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376" w:lineRule="auto" w:before="55"/>
        <w:ind w:left="1107" w:right="1090"/>
        <w:jc w:val="center"/>
      </w:pPr>
      <w:bookmarkStart w:name="1" w:id="1"/>
      <w:bookmarkEnd w:id="1"/>
      <w:r>
        <w:rPr/>
      </w:r>
      <w:r>
        <w:rPr>
          <w:w w:val="105"/>
        </w:rPr>
        <w:t>UNIVERSIDAD AUTÓNOMA DEL ESTADO DE MÉXICO FACULTAD DE MEDICINA</w:t>
      </w:r>
    </w:p>
    <w:p>
      <w:pPr>
        <w:pStyle w:val="BodyText"/>
        <w:spacing w:line="376" w:lineRule="auto" w:before="4"/>
        <w:ind w:left="711" w:right="696"/>
        <w:jc w:val="center"/>
      </w:pPr>
      <w:r>
        <w:rPr>
          <w:w w:val="105"/>
        </w:rPr>
        <w:t>COORDINACIÓN DE INVESTIGACIÓN Y ESTUDIOS AVANZADOS DEPARTAMENTO DE ESTUDIOS AVANZADOS</w:t>
      </w:r>
    </w:p>
    <w:p>
      <w:pPr>
        <w:pStyle w:val="BodyText"/>
        <w:spacing w:line="372" w:lineRule="auto" w:before="4"/>
        <w:ind w:left="1107" w:right="1092"/>
        <w:jc w:val="center"/>
      </w:pPr>
      <w:r>
        <w:rPr/>
        <w:drawing>
          <wp:anchor distT="0" distB="0" distL="0" distR="0" allowOverlap="1" layoutInCell="1" locked="0" behindDoc="0" simplePos="0" relativeHeight="0">
            <wp:simplePos x="0" y="0"/>
            <wp:positionH relativeFrom="page">
              <wp:posOffset>3029597</wp:posOffset>
            </wp:positionH>
            <wp:positionV relativeFrom="paragraph">
              <wp:posOffset>533009</wp:posOffset>
            </wp:positionV>
            <wp:extent cx="1598007" cy="1452181"/>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598007" cy="1452181"/>
                    </a:xfrm>
                    <a:prstGeom prst="rect">
                      <a:avLst/>
                    </a:prstGeom>
                  </pic:spPr>
                </pic:pic>
              </a:graphicData>
            </a:graphic>
          </wp:anchor>
        </w:drawing>
      </w:r>
      <w:r>
        <w:rPr>
          <w:w w:val="105"/>
        </w:rPr>
        <w:t>COORDINACIÓN DE LA ESPECIALIDAD DE CIRUGÍA GENERAL DEPARTAMENTO DE EDUCACIÓN PROFESIONAL</w:t>
      </w:r>
    </w:p>
    <w:p>
      <w:pPr>
        <w:pStyle w:val="BodyText"/>
        <w:rPr>
          <w:sz w:val="22"/>
        </w:rPr>
      </w:pPr>
    </w:p>
    <w:p>
      <w:pPr>
        <w:pStyle w:val="BodyText"/>
        <w:rPr>
          <w:sz w:val="22"/>
        </w:rPr>
      </w:pPr>
    </w:p>
    <w:p>
      <w:pPr>
        <w:pStyle w:val="BodyText"/>
        <w:spacing w:before="11"/>
        <w:rPr>
          <w:sz w:val="22"/>
        </w:rPr>
      </w:pPr>
    </w:p>
    <w:p>
      <w:pPr>
        <w:pStyle w:val="BodyText"/>
        <w:spacing w:line="376" w:lineRule="auto"/>
        <w:ind w:left="103" w:right="89"/>
        <w:jc w:val="center"/>
      </w:pPr>
      <w:r>
        <w:rPr>
          <w:w w:val="105"/>
        </w:rPr>
        <w:t>“DESCRIPCION DE LA SERIE DE CASOS DE TUMOR DE CUERPO CAROTIDEO EN EL CENTRO MEDICO ISSEMYM TOLUCA”</w:t>
      </w:r>
    </w:p>
    <w:p>
      <w:pPr>
        <w:pStyle w:val="BodyText"/>
        <w:rPr>
          <w:sz w:val="22"/>
        </w:rPr>
      </w:pPr>
    </w:p>
    <w:p>
      <w:pPr>
        <w:pStyle w:val="BodyText"/>
        <w:spacing w:before="135"/>
        <w:ind w:left="711" w:right="698"/>
        <w:jc w:val="center"/>
      </w:pPr>
      <w:r>
        <w:rPr>
          <w:w w:val="105"/>
        </w:rPr>
        <w:t>CENTRO MEDICO ISSEMYM TOLUCA “LIC. ARTURO MONTIEL ROJAS”</w:t>
      </w:r>
    </w:p>
    <w:p>
      <w:pPr>
        <w:pStyle w:val="BodyText"/>
        <w:rPr>
          <w:sz w:val="22"/>
        </w:rPr>
      </w:pPr>
    </w:p>
    <w:p>
      <w:pPr>
        <w:pStyle w:val="BodyText"/>
        <w:spacing w:before="10"/>
        <w:rPr>
          <w:sz w:val="22"/>
        </w:rPr>
      </w:pPr>
    </w:p>
    <w:p>
      <w:pPr>
        <w:pStyle w:val="BodyText"/>
        <w:spacing w:before="1"/>
        <w:ind w:left="1104" w:right="1092"/>
        <w:jc w:val="center"/>
      </w:pPr>
      <w:r>
        <w:rPr>
          <w:w w:val="105"/>
        </w:rPr>
        <w:t>TESIS</w:t>
      </w:r>
    </w:p>
    <w:p>
      <w:pPr>
        <w:pStyle w:val="BodyText"/>
        <w:spacing w:before="137"/>
        <w:ind w:left="103" w:right="88"/>
        <w:jc w:val="center"/>
      </w:pPr>
      <w:r>
        <w:rPr>
          <w:w w:val="105"/>
        </w:rPr>
        <w:t>QUE PARA OBTENER EL DIPLOMA DE LA ESPECIALIDAD EN CIRUGÍA GENERAL</w:t>
      </w:r>
    </w:p>
    <w:p>
      <w:pPr>
        <w:pStyle w:val="BodyText"/>
        <w:rPr>
          <w:sz w:val="22"/>
        </w:rPr>
      </w:pPr>
    </w:p>
    <w:p>
      <w:pPr>
        <w:pStyle w:val="BodyText"/>
        <w:spacing w:before="10"/>
        <w:rPr>
          <w:sz w:val="22"/>
        </w:rPr>
      </w:pPr>
    </w:p>
    <w:p>
      <w:pPr>
        <w:pStyle w:val="BodyText"/>
        <w:spacing w:before="1"/>
        <w:ind w:left="1106" w:right="1092"/>
        <w:jc w:val="center"/>
      </w:pPr>
      <w:r>
        <w:rPr>
          <w:w w:val="105"/>
        </w:rPr>
        <w:t>PRESENTA:</w:t>
      </w:r>
    </w:p>
    <w:p>
      <w:pPr>
        <w:pStyle w:val="BodyText"/>
        <w:spacing w:before="137"/>
        <w:ind w:left="2659"/>
      </w:pPr>
      <w:r>
        <w:rPr>
          <w:w w:val="105"/>
        </w:rPr>
        <w:t>M. C. SALVADOR MOYA JIMENEZ</w:t>
      </w:r>
    </w:p>
    <w:p>
      <w:pPr>
        <w:pStyle w:val="BodyText"/>
        <w:rPr>
          <w:sz w:val="22"/>
        </w:rPr>
      </w:pPr>
    </w:p>
    <w:p>
      <w:pPr>
        <w:pStyle w:val="BodyText"/>
        <w:spacing w:before="10"/>
        <w:rPr>
          <w:sz w:val="22"/>
        </w:rPr>
      </w:pPr>
    </w:p>
    <w:p>
      <w:pPr>
        <w:pStyle w:val="BodyText"/>
        <w:spacing w:before="1"/>
        <w:ind w:left="1106" w:right="1092"/>
        <w:jc w:val="center"/>
      </w:pPr>
      <w:r>
        <w:rPr>
          <w:w w:val="105"/>
        </w:rPr>
        <w:t>DIRECTOR DE TESIS:</w:t>
      </w:r>
    </w:p>
    <w:p>
      <w:pPr>
        <w:pStyle w:val="BodyText"/>
        <w:spacing w:before="137"/>
        <w:ind w:left="1105" w:right="1092"/>
        <w:jc w:val="center"/>
      </w:pPr>
      <w:r>
        <w:rPr>
          <w:w w:val="105"/>
        </w:rPr>
        <w:t>ESP. EN A.C.V HUGO CARRASCO GONZALEZ</w:t>
      </w:r>
    </w:p>
    <w:p>
      <w:pPr>
        <w:pStyle w:val="BodyText"/>
        <w:rPr>
          <w:sz w:val="22"/>
        </w:rPr>
      </w:pPr>
    </w:p>
    <w:p>
      <w:pPr>
        <w:pStyle w:val="BodyText"/>
        <w:spacing w:before="10"/>
        <w:rPr>
          <w:sz w:val="22"/>
        </w:rPr>
      </w:pPr>
    </w:p>
    <w:p>
      <w:pPr>
        <w:pStyle w:val="BodyText"/>
        <w:spacing w:before="1"/>
        <w:ind w:left="1106" w:right="1092"/>
        <w:jc w:val="center"/>
      </w:pPr>
      <w:r>
        <w:rPr>
          <w:w w:val="105"/>
        </w:rPr>
        <w:t>REVISORES:</w:t>
      </w:r>
    </w:p>
    <w:p>
      <w:pPr>
        <w:pStyle w:val="ListParagraph"/>
        <w:numPr>
          <w:ilvl w:val="0"/>
          <w:numId w:val="1"/>
        </w:numPr>
        <w:tabs>
          <w:tab w:pos="2159" w:val="left" w:leader="none"/>
        </w:tabs>
        <w:spacing w:line="240" w:lineRule="auto" w:before="137" w:after="0"/>
        <w:ind w:left="2158" w:right="0" w:hanging="272"/>
        <w:jc w:val="left"/>
        <w:rPr>
          <w:sz w:val="21"/>
        </w:rPr>
      </w:pPr>
      <w:r>
        <w:rPr>
          <w:w w:val="105"/>
          <w:sz w:val="21"/>
        </w:rPr>
        <w:t>EN</w:t>
      </w:r>
      <w:r>
        <w:rPr>
          <w:spacing w:val="-10"/>
          <w:w w:val="105"/>
          <w:sz w:val="21"/>
        </w:rPr>
        <w:t> </w:t>
      </w:r>
      <w:r>
        <w:rPr>
          <w:w w:val="105"/>
          <w:sz w:val="21"/>
        </w:rPr>
        <w:t>CG</w:t>
      </w:r>
      <w:r>
        <w:rPr>
          <w:spacing w:val="-10"/>
          <w:w w:val="105"/>
          <w:sz w:val="21"/>
        </w:rPr>
        <w:t> </w:t>
      </w:r>
      <w:r>
        <w:rPr>
          <w:spacing w:val="2"/>
          <w:w w:val="105"/>
          <w:sz w:val="21"/>
        </w:rPr>
        <w:t>MARIO</w:t>
      </w:r>
      <w:r>
        <w:rPr>
          <w:spacing w:val="-10"/>
          <w:w w:val="105"/>
          <w:sz w:val="21"/>
        </w:rPr>
        <w:t> </w:t>
      </w:r>
      <w:r>
        <w:rPr>
          <w:w w:val="105"/>
          <w:sz w:val="21"/>
        </w:rPr>
        <w:t>ALFREDO</w:t>
      </w:r>
      <w:r>
        <w:rPr>
          <w:spacing w:val="-10"/>
          <w:w w:val="105"/>
          <w:sz w:val="21"/>
        </w:rPr>
        <w:t> </w:t>
      </w:r>
      <w:r>
        <w:rPr>
          <w:w w:val="105"/>
          <w:sz w:val="21"/>
        </w:rPr>
        <w:t>JARAMILLO</w:t>
      </w:r>
      <w:r>
        <w:rPr>
          <w:spacing w:val="-10"/>
          <w:w w:val="105"/>
          <w:sz w:val="21"/>
        </w:rPr>
        <w:t> </w:t>
      </w:r>
      <w:r>
        <w:rPr>
          <w:spacing w:val="2"/>
          <w:w w:val="105"/>
          <w:sz w:val="21"/>
        </w:rPr>
        <w:t>GARCIA</w:t>
      </w:r>
    </w:p>
    <w:p>
      <w:pPr>
        <w:pStyle w:val="ListParagraph"/>
        <w:numPr>
          <w:ilvl w:val="1"/>
          <w:numId w:val="1"/>
        </w:numPr>
        <w:tabs>
          <w:tab w:pos="2691" w:val="left" w:leader="none"/>
        </w:tabs>
        <w:spacing w:line="240" w:lineRule="auto" w:before="137" w:after="0"/>
        <w:ind w:left="2690" w:right="0" w:hanging="272"/>
        <w:jc w:val="left"/>
        <w:rPr>
          <w:sz w:val="21"/>
        </w:rPr>
      </w:pPr>
      <w:r>
        <w:rPr>
          <w:w w:val="105"/>
          <w:sz w:val="21"/>
        </w:rPr>
        <w:t>EN CG CESAR JARAMILLO</w:t>
      </w:r>
      <w:r>
        <w:rPr>
          <w:spacing w:val="-35"/>
          <w:w w:val="105"/>
          <w:sz w:val="21"/>
        </w:rPr>
        <w:t> </w:t>
      </w:r>
      <w:r>
        <w:rPr>
          <w:spacing w:val="2"/>
          <w:w w:val="105"/>
          <w:sz w:val="21"/>
        </w:rPr>
        <w:t>GARCIA</w:t>
      </w:r>
    </w:p>
    <w:p>
      <w:pPr>
        <w:pStyle w:val="ListParagraph"/>
        <w:numPr>
          <w:ilvl w:val="2"/>
          <w:numId w:val="1"/>
        </w:numPr>
        <w:tabs>
          <w:tab w:pos="2850" w:val="left" w:leader="none"/>
        </w:tabs>
        <w:spacing w:line="240" w:lineRule="auto" w:before="137" w:after="0"/>
        <w:ind w:left="2690" w:right="0" w:hanging="113"/>
        <w:jc w:val="left"/>
        <w:rPr>
          <w:sz w:val="21"/>
        </w:rPr>
      </w:pPr>
      <w:r>
        <w:rPr>
          <w:w w:val="105"/>
          <w:sz w:val="21"/>
        </w:rPr>
        <w:t>EN CG JORGE MUÑOZ</w:t>
      </w:r>
      <w:r>
        <w:rPr>
          <w:spacing w:val="-23"/>
          <w:w w:val="105"/>
          <w:sz w:val="21"/>
        </w:rPr>
        <w:t> </w:t>
      </w:r>
      <w:r>
        <w:rPr>
          <w:w w:val="105"/>
          <w:sz w:val="21"/>
        </w:rPr>
        <w:t>INFANTE</w:t>
      </w:r>
    </w:p>
    <w:p>
      <w:pPr>
        <w:pStyle w:val="ListParagraph"/>
        <w:numPr>
          <w:ilvl w:val="2"/>
          <w:numId w:val="1"/>
        </w:numPr>
        <w:tabs>
          <w:tab w:pos="2691" w:val="left" w:leader="none"/>
        </w:tabs>
        <w:spacing w:line="376" w:lineRule="auto" w:before="112" w:after="0"/>
        <w:ind w:left="2690" w:right="2231" w:hanging="260"/>
        <w:jc w:val="left"/>
        <w:rPr>
          <w:sz w:val="21"/>
        </w:rPr>
      </w:pPr>
      <w:r>
        <w:rPr>
          <w:w w:val="105"/>
          <w:sz w:val="21"/>
        </w:rPr>
        <w:t>EN CG VICENTE CARDONA</w:t>
      </w:r>
      <w:r>
        <w:rPr>
          <w:spacing w:val="-22"/>
          <w:w w:val="105"/>
          <w:sz w:val="21"/>
        </w:rPr>
        <w:t> </w:t>
      </w:r>
      <w:r>
        <w:rPr>
          <w:w w:val="105"/>
          <w:sz w:val="21"/>
        </w:rPr>
        <w:t>INFANTE TOLUCA ESTADO DE MÉXICO;</w:t>
      </w:r>
      <w:r>
        <w:rPr>
          <w:spacing w:val="-26"/>
          <w:w w:val="105"/>
          <w:sz w:val="21"/>
        </w:rPr>
        <w:t> </w:t>
      </w:r>
      <w:r>
        <w:rPr>
          <w:w w:val="105"/>
          <w:sz w:val="21"/>
        </w:rPr>
        <w:t>2017</w:t>
      </w:r>
    </w:p>
    <w:p>
      <w:pPr>
        <w:spacing w:after="0" w:line="376" w:lineRule="auto"/>
        <w:jc w:val="left"/>
        <w:rPr>
          <w:sz w:val="21"/>
        </w:rPr>
        <w:sectPr>
          <w:type w:val="continuous"/>
          <w:pgSz w:w="12240" w:h="15840"/>
          <w:pgMar w:top="138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Heading3"/>
        <w:spacing w:line="376" w:lineRule="auto" w:before="79"/>
        <w:ind w:left="2239" w:hanging="2134"/>
        <w:jc w:val="left"/>
      </w:pPr>
      <w:r>
        <w:rPr>
          <w:w w:val="105"/>
        </w:rPr>
        <w:t>“DESCRIPCION DE LA SERIE DE CASOS DE TUMOR DE CUERPO CAROTIDEO EN EL CENTRO MEDICO ISSEMYM TOLUCA”</w:t>
      </w:r>
    </w:p>
    <w:p>
      <w:pPr>
        <w:spacing w:after="0" w:line="376" w:lineRule="auto"/>
        <w:jc w:val="left"/>
        <w:sectPr>
          <w:pgSz w:w="12240" w:h="15840"/>
          <w:pgMar w:top="1500" w:bottom="280" w:left="1700" w:right="1680"/>
        </w:sectPr>
      </w:pPr>
    </w:p>
    <w:p>
      <w:pPr>
        <w:pStyle w:val="BodyText"/>
        <w:spacing w:before="55"/>
        <w:ind w:left="615" w:right="620"/>
        <w:jc w:val="center"/>
      </w:pPr>
      <w:bookmarkStart w:name="2" w:id="2"/>
      <w:bookmarkEnd w:id="2"/>
      <w:r>
        <w:rPr/>
      </w:r>
      <w:r>
        <w:rPr>
          <w:w w:val="105"/>
        </w:rPr>
        <w:t>INDICE</w:t>
      </w:r>
    </w:p>
    <w:p>
      <w:pPr>
        <w:pStyle w:val="BodyText"/>
        <w:spacing w:before="137"/>
        <w:ind w:left="108" w:right="3095"/>
      </w:pPr>
      <w:r>
        <w:rPr>
          <w:w w:val="105"/>
        </w:rPr>
        <w:t>ABREVIATURAS</w:t>
      </w:r>
    </w:p>
    <w:p>
      <w:pPr>
        <w:pStyle w:val="BodyText"/>
        <w:rPr>
          <w:sz w:val="20"/>
        </w:rPr>
      </w:pPr>
    </w:p>
    <w:p>
      <w:pPr>
        <w:pStyle w:val="BodyText"/>
        <w:spacing w:before="8"/>
        <w:rPr>
          <w:sz w:val="17"/>
        </w:rPr>
      </w:pPr>
    </w:p>
    <w:tbl>
      <w:tblPr>
        <w:tblW w:w="0" w:type="auto"/>
        <w:jc w:val="left"/>
        <w:tblInd w:w="4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0"/>
        <w:gridCol w:w="6555"/>
        <w:gridCol w:w="1200"/>
      </w:tblGrid>
      <w:tr>
        <w:trPr>
          <w:trHeight w:val="462" w:hRule="exact"/>
        </w:trPr>
        <w:tc>
          <w:tcPr>
            <w:tcW w:w="700" w:type="dxa"/>
          </w:tcPr>
          <w:p>
            <w:pPr>
              <w:pStyle w:val="TableParagraph"/>
              <w:spacing w:before="78"/>
              <w:ind w:left="35"/>
              <w:jc w:val="left"/>
              <w:rPr>
                <w:sz w:val="21"/>
              </w:rPr>
            </w:pPr>
            <w:r>
              <w:rPr>
                <w:w w:val="105"/>
                <w:sz w:val="21"/>
              </w:rPr>
              <w:t>I.</w:t>
            </w:r>
          </w:p>
        </w:tc>
        <w:tc>
          <w:tcPr>
            <w:tcW w:w="6555" w:type="dxa"/>
          </w:tcPr>
          <w:p>
            <w:pPr>
              <w:pStyle w:val="TableParagraph"/>
              <w:spacing w:before="78"/>
              <w:ind w:left="54"/>
              <w:jc w:val="left"/>
              <w:rPr>
                <w:sz w:val="21"/>
              </w:rPr>
            </w:pPr>
            <w:r>
              <w:rPr>
                <w:w w:val="105"/>
                <w:sz w:val="21"/>
              </w:rPr>
              <w:t>MARCO TEÓRICO</w:t>
            </w:r>
          </w:p>
        </w:tc>
        <w:tc>
          <w:tcPr>
            <w:tcW w:w="1200" w:type="dxa"/>
          </w:tcPr>
          <w:p>
            <w:pPr>
              <w:pStyle w:val="TableParagraph"/>
              <w:spacing w:before="78"/>
              <w:ind w:right="72"/>
              <w:jc w:val="right"/>
              <w:rPr>
                <w:sz w:val="21"/>
              </w:rPr>
            </w:pPr>
            <w:r>
              <w:rPr>
                <w:w w:val="102"/>
                <w:sz w:val="21"/>
              </w:rPr>
              <w:t>1</w:t>
            </w:r>
          </w:p>
        </w:tc>
      </w:tr>
      <w:tr>
        <w:trPr>
          <w:trHeight w:val="506" w:hRule="exact"/>
        </w:trPr>
        <w:tc>
          <w:tcPr>
            <w:tcW w:w="700" w:type="dxa"/>
          </w:tcPr>
          <w:p>
            <w:pPr>
              <w:pStyle w:val="TableParagraph"/>
              <w:spacing w:before="124"/>
              <w:ind w:left="401"/>
              <w:jc w:val="left"/>
              <w:rPr>
                <w:sz w:val="21"/>
              </w:rPr>
            </w:pPr>
            <w:r>
              <w:rPr>
                <w:w w:val="105"/>
                <w:sz w:val="21"/>
              </w:rPr>
              <w:t>I.1</w:t>
            </w:r>
          </w:p>
        </w:tc>
        <w:tc>
          <w:tcPr>
            <w:tcW w:w="6555" w:type="dxa"/>
          </w:tcPr>
          <w:p>
            <w:pPr>
              <w:pStyle w:val="TableParagraph"/>
              <w:spacing w:before="124"/>
              <w:ind w:left="68"/>
              <w:jc w:val="left"/>
              <w:rPr>
                <w:sz w:val="21"/>
              </w:rPr>
            </w:pPr>
            <w:r>
              <w:rPr>
                <w:w w:val="105"/>
                <w:sz w:val="21"/>
              </w:rPr>
              <w:t>Introducción</w:t>
            </w:r>
          </w:p>
        </w:tc>
        <w:tc>
          <w:tcPr>
            <w:tcW w:w="1200" w:type="dxa"/>
          </w:tcPr>
          <w:p>
            <w:pPr>
              <w:pStyle w:val="TableParagraph"/>
              <w:spacing w:before="124"/>
              <w:ind w:right="70"/>
              <w:jc w:val="right"/>
              <w:rPr>
                <w:sz w:val="21"/>
              </w:rPr>
            </w:pPr>
            <w:r>
              <w:rPr>
                <w:w w:val="102"/>
                <w:sz w:val="21"/>
              </w:rPr>
              <w:t>1</w:t>
            </w:r>
          </w:p>
        </w:tc>
      </w:tr>
      <w:tr>
        <w:trPr>
          <w:trHeight w:val="506" w:hRule="exact"/>
        </w:trPr>
        <w:tc>
          <w:tcPr>
            <w:tcW w:w="700" w:type="dxa"/>
          </w:tcPr>
          <w:p>
            <w:pPr/>
          </w:p>
        </w:tc>
        <w:tc>
          <w:tcPr>
            <w:tcW w:w="6555" w:type="dxa"/>
          </w:tcPr>
          <w:p>
            <w:pPr>
              <w:pStyle w:val="TableParagraph"/>
              <w:spacing w:before="122"/>
              <w:ind w:left="129"/>
              <w:jc w:val="left"/>
              <w:rPr>
                <w:sz w:val="21"/>
              </w:rPr>
            </w:pPr>
            <w:r>
              <w:rPr>
                <w:w w:val="105"/>
                <w:sz w:val="21"/>
              </w:rPr>
              <w:t>I.1.1 Aspectos generales</w:t>
            </w:r>
          </w:p>
        </w:tc>
        <w:tc>
          <w:tcPr>
            <w:tcW w:w="1200" w:type="dxa"/>
          </w:tcPr>
          <w:p>
            <w:pPr>
              <w:pStyle w:val="TableParagraph"/>
              <w:spacing w:before="122"/>
              <w:ind w:right="69"/>
              <w:jc w:val="right"/>
              <w:rPr>
                <w:sz w:val="21"/>
              </w:rPr>
            </w:pPr>
            <w:r>
              <w:rPr>
                <w:w w:val="102"/>
                <w:sz w:val="21"/>
              </w:rPr>
              <w:t>2</w:t>
            </w:r>
          </w:p>
        </w:tc>
      </w:tr>
      <w:tr>
        <w:trPr>
          <w:trHeight w:val="506" w:hRule="exact"/>
        </w:trPr>
        <w:tc>
          <w:tcPr>
            <w:tcW w:w="700" w:type="dxa"/>
          </w:tcPr>
          <w:p>
            <w:pPr/>
          </w:p>
        </w:tc>
        <w:tc>
          <w:tcPr>
            <w:tcW w:w="6555" w:type="dxa"/>
          </w:tcPr>
          <w:p>
            <w:pPr>
              <w:pStyle w:val="TableParagraph"/>
              <w:spacing w:before="124"/>
              <w:ind w:left="679"/>
              <w:jc w:val="left"/>
              <w:rPr>
                <w:sz w:val="21"/>
              </w:rPr>
            </w:pPr>
            <w:r>
              <w:rPr>
                <w:w w:val="105"/>
                <w:sz w:val="21"/>
              </w:rPr>
              <w:t>I.1.1.1 Primeras descripciones</w:t>
            </w:r>
          </w:p>
        </w:tc>
        <w:tc>
          <w:tcPr>
            <w:tcW w:w="1200" w:type="dxa"/>
          </w:tcPr>
          <w:p>
            <w:pPr>
              <w:pStyle w:val="TableParagraph"/>
              <w:spacing w:before="124"/>
              <w:ind w:right="82"/>
              <w:jc w:val="right"/>
              <w:rPr>
                <w:sz w:val="21"/>
              </w:rPr>
            </w:pPr>
            <w:r>
              <w:rPr>
                <w:w w:val="102"/>
                <w:sz w:val="21"/>
              </w:rPr>
              <w:t>2</w:t>
            </w:r>
          </w:p>
        </w:tc>
      </w:tr>
      <w:tr>
        <w:trPr>
          <w:trHeight w:val="504" w:hRule="exact"/>
        </w:trPr>
        <w:tc>
          <w:tcPr>
            <w:tcW w:w="700" w:type="dxa"/>
          </w:tcPr>
          <w:p>
            <w:pPr/>
          </w:p>
        </w:tc>
        <w:tc>
          <w:tcPr>
            <w:tcW w:w="6555" w:type="dxa"/>
          </w:tcPr>
          <w:p>
            <w:pPr>
              <w:pStyle w:val="TableParagraph"/>
              <w:spacing w:before="122"/>
              <w:ind w:left="679"/>
              <w:jc w:val="left"/>
              <w:rPr>
                <w:sz w:val="21"/>
              </w:rPr>
            </w:pPr>
            <w:r>
              <w:rPr>
                <w:w w:val="105"/>
                <w:sz w:val="21"/>
              </w:rPr>
              <w:t>I.1.1.2 Epidemiologia</w:t>
            </w:r>
          </w:p>
        </w:tc>
        <w:tc>
          <w:tcPr>
            <w:tcW w:w="1200" w:type="dxa"/>
          </w:tcPr>
          <w:p>
            <w:pPr>
              <w:pStyle w:val="TableParagraph"/>
              <w:spacing w:before="122"/>
              <w:ind w:right="69"/>
              <w:jc w:val="right"/>
              <w:rPr>
                <w:sz w:val="21"/>
              </w:rPr>
            </w:pPr>
            <w:r>
              <w:rPr>
                <w:w w:val="102"/>
                <w:sz w:val="21"/>
              </w:rPr>
              <w:t>2</w:t>
            </w:r>
          </w:p>
        </w:tc>
      </w:tr>
      <w:tr>
        <w:trPr>
          <w:trHeight w:val="506" w:hRule="exact"/>
        </w:trPr>
        <w:tc>
          <w:tcPr>
            <w:tcW w:w="700" w:type="dxa"/>
          </w:tcPr>
          <w:p>
            <w:pPr/>
          </w:p>
        </w:tc>
        <w:tc>
          <w:tcPr>
            <w:tcW w:w="6555" w:type="dxa"/>
          </w:tcPr>
          <w:p>
            <w:pPr>
              <w:pStyle w:val="TableParagraph"/>
              <w:spacing w:before="122"/>
              <w:ind w:left="679"/>
              <w:jc w:val="left"/>
              <w:rPr>
                <w:sz w:val="21"/>
              </w:rPr>
            </w:pPr>
            <w:r>
              <w:rPr>
                <w:w w:val="105"/>
                <w:sz w:val="21"/>
              </w:rPr>
              <w:t>I.1.1.3 Ubicaciones anatómicas</w:t>
            </w:r>
          </w:p>
        </w:tc>
        <w:tc>
          <w:tcPr>
            <w:tcW w:w="1200" w:type="dxa"/>
          </w:tcPr>
          <w:p>
            <w:pPr>
              <w:pStyle w:val="TableParagraph"/>
              <w:spacing w:before="122"/>
              <w:ind w:right="45"/>
              <w:jc w:val="right"/>
              <w:rPr>
                <w:sz w:val="21"/>
              </w:rPr>
            </w:pPr>
            <w:r>
              <w:rPr>
                <w:w w:val="102"/>
                <w:sz w:val="21"/>
              </w:rPr>
              <w:t>3</w:t>
            </w:r>
          </w:p>
        </w:tc>
      </w:tr>
      <w:tr>
        <w:trPr>
          <w:trHeight w:val="506" w:hRule="exact"/>
        </w:trPr>
        <w:tc>
          <w:tcPr>
            <w:tcW w:w="700" w:type="dxa"/>
          </w:tcPr>
          <w:p>
            <w:pPr/>
          </w:p>
        </w:tc>
        <w:tc>
          <w:tcPr>
            <w:tcW w:w="6555" w:type="dxa"/>
          </w:tcPr>
          <w:p>
            <w:pPr>
              <w:pStyle w:val="TableParagraph"/>
              <w:spacing w:before="124"/>
              <w:ind w:left="679"/>
              <w:jc w:val="left"/>
              <w:rPr>
                <w:sz w:val="21"/>
              </w:rPr>
            </w:pPr>
            <w:r>
              <w:rPr>
                <w:w w:val="105"/>
                <w:sz w:val="21"/>
              </w:rPr>
              <w:t>I.1.1.4 Patogénesis</w:t>
            </w:r>
          </w:p>
        </w:tc>
        <w:tc>
          <w:tcPr>
            <w:tcW w:w="1200" w:type="dxa"/>
          </w:tcPr>
          <w:p>
            <w:pPr>
              <w:pStyle w:val="TableParagraph"/>
              <w:spacing w:before="124"/>
              <w:ind w:right="57"/>
              <w:jc w:val="right"/>
              <w:rPr>
                <w:sz w:val="21"/>
              </w:rPr>
            </w:pPr>
            <w:r>
              <w:rPr>
                <w:w w:val="102"/>
                <w:sz w:val="21"/>
              </w:rPr>
              <w:t>3</w:t>
            </w:r>
          </w:p>
        </w:tc>
      </w:tr>
      <w:tr>
        <w:trPr>
          <w:trHeight w:val="506" w:hRule="exact"/>
        </w:trPr>
        <w:tc>
          <w:tcPr>
            <w:tcW w:w="700" w:type="dxa"/>
          </w:tcPr>
          <w:p>
            <w:pPr/>
          </w:p>
        </w:tc>
        <w:tc>
          <w:tcPr>
            <w:tcW w:w="6555" w:type="dxa"/>
          </w:tcPr>
          <w:p>
            <w:pPr>
              <w:pStyle w:val="TableParagraph"/>
              <w:spacing w:before="122"/>
              <w:ind w:left="679"/>
              <w:jc w:val="left"/>
              <w:rPr>
                <w:sz w:val="21"/>
              </w:rPr>
            </w:pPr>
            <w:r>
              <w:rPr>
                <w:w w:val="105"/>
                <w:sz w:val="21"/>
              </w:rPr>
              <w:t>I.1.1.5 Histopatología</w:t>
            </w:r>
          </w:p>
        </w:tc>
        <w:tc>
          <w:tcPr>
            <w:tcW w:w="1200" w:type="dxa"/>
          </w:tcPr>
          <w:p>
            <w:pPr>
              <w:pStyle w:val="TableParagraph"/>
              <w:spacing w:before="122"/>
              <w:ind w:right="45"/>
              <w:jc w:val="right"/>
              <w:rPr>
                <w:sz w:val="21"/>
              </w:rPr>
            </w:pPr>
            <w:r>
              <w:rPr>
                <w:w w:val="102"/>
                <w:sz w:val="21"/>
              </w:rPr>
              <w:t>3</w:t>
            </w:r>
          </w:p>
        </w:tc>
      </w:tr>
      <w:tr>
        <w:trPr>
          <w:trHeight w:val="506" w:hRule="exact"/>
        </w:trPr>
        <w:tc>
          <w:tcPr>
            <w:tcW w:w="700" w:type="dxa"/>
          </w:tcPr>
          <w:p>
            <w:pPr/>
          </w:p>
        </w:tc>
        <w:tc>
          <w:tcPr>
            <w:tcW w:w="6555" w:type="dxa"/>
          </w:tcPr>
          <w:p>
            <w:pPr>
              <w:pStyle w:val="TableParagraph"/>
              <w:spacing w:before="124"/>
              <w:ind w:left="679"/>
              <w:jc w:val="left"/>
              <w:rPr>
                <w:sz w:val="21"/>
              </w:rPr>
            </w:pPr>
            <w:r>
              <w:rPr>
                <w:w w:val="105"/>
                <w:sz w:val="21"/>
              </w:rPr>
              <w:t>I.1.1.6 Predisposición Hereditaria</w:t>
            </w:r>
          </w:p>
        </w:tc>
        <w:tc>
          <w:tcPr>
            <w:tcW w:w="1200" w:type="dxa"/>
          </w:tcPr>
          <w:p>
            <w:pPr>
              <w:pStyle w:val="TableParagraph"/>
              <w:spacing w:before="124"/>
              <w:ind w:right="45"/>
              <w:jc w:val="right"/>
              <w:rPr>
                <w:sz w:val="21"/>
              </w:rPr>
            </w:pPr>
            <w:r>
              <w:rPr>
                <w:w w:val="102"/>
                <w:sz w:val="21"/>
              </w:rPr>
              <w:t>4</w:t>
            </w:r>
          </w:p>
        </w:tc>
      </w:tr>
      <w:tr>
        <w:trPr>
          <w:trHeight w:val="504" w:hRule="exact"/>
        </w:trPr>
        <w:tc>
          <w:tcPr>
            <w:tcW w:w="700" w:type="dxa"/>
          </w:tcPr>
          <w:p>
            <w:pPr/>
          </w:p>
        </w:tc>
        <w:tc>
          <w:tcPr>
            <w:tcW w:w="6555" w:type="dxa"/>
          </w:tcPr>
          <w:p>
            <w:pPr>
              <w:pStyle w:val="TableParagraph"/>
              <w:spacing w:before="122"/>
              <w:ind w:left="679"/>
              <w:jc w:val="left"/>
              <w:rPr>
                <w:sz w:val="21"/>
              </w:rPr>
            </w:pPr>
            <w:r>
              <w:rPr>
                <w:w w:val="105"/>
                <w:sz w:val="21"/>
              </w:rPr>
              <w:t>I.1.1.7 Criterios celulares de malignidad</w:t>
            </w:r>
          </w:p>
        </w:tc>
        <w:tc>
          <w:tcPr>
            <w:tcW w:w="1200" w:type="dxa"/>
          </w:tcPr>
          <w:p>
            <w:pPr>
              <w:pStyle w:val="TableParagraph"/>
              <w:spacing w:before="122"/>
              <w:ind w:right="33"/>
              <w:jc w:val="right"/>
              <w:rPr>
                <w:sz w:val="21"/>
              </w:rPr>
            </w:pPr>
            <w:r>
              <w:rPr>
                <w:w w:val="102"/>
                <w:sz w:val="21"/>
              </w:rPr>
              <w:t>5</w:t>
            </w:r>
          </w:p>
        </w:tc>
      </w:tr>
      <w:tr>
        <w:trPr>
          <w:trHeight w:val="506" w:hRule="exact"/>
        </w:trPr>
        <w:tc>
          <w:tcPr>
            <w:tcW w:w="700" w:type="dxa"/>
          </w:tcPr>
          <w:p>
            <w:pPr/>
          </w:p>
        </w:tc>
        <w:tc>
          <w:tcPr>
            <w:tcW w:w="6555" w:type="dxa"/>
          </w:tcPr>
          <w:p>
            <w:pPr>
              <w:pStyle w:val="TableParagraph"/>
              <w:spacing w:before="122"/>
              <w:ind w:left="679"/>
              <w:jc w:val="left"/>
              <w:rPr>
                <w:sz w:val="21"/>
              </w:rPr>
            </w:pPr>
            <w:r>
              <w:rPr>
                <w:w w:val="105"/>
                <w:sz w:val="21"/>
              </w:rPr>
              <w:t>I.1.1.8 Tumores secretores</w:t>
            </w:r>
          </w:p>
        </w:tc>
        <w:tc>
          <w:tcPr>
            <w:tcW w:w="1200" w:type="dxa"/>
          </w:tcPr>
          <w:p>
            <w:pPr>
              <w:pStyle w:val="TableParagraph"/>
              <w:spacing w:before="122"/>
              <w:ind w:right="45"/>
              <w:jc w:val="right"/>
              <w:rPr>
                <w:sz w:val="21"/>
              </w:rPr>
            </w:pPr>
            <w:r>
              <w:rPr>
                <w:w w:val="102"/>
                <w:sz w:val="21"/>
              </w:rPr>
              <w:t>5</w:t>
            </w:r>
          </w:p>
        </w:tc>
      </w:tr>
      <w:tr>
        <w:trPr>
          <w:trHeight w:val="506" w:hRule="exact"/>
        </w:trPr>
        <w:tc>
          <w:tcPr>
            <w:tcW w:w="700" w:type="dxa"/>
          </w:tcPr>
          <w:p>
            <w:pPr/>
          </w:p>
        </w:tc>
        <w:tc>
          <w:tcPr>
            <w:tcW w:w="6555" w:type="dxa"/>
          </w:tcPr>
          <w:p>
            <w:pPr>
              <w:pStyle w:val="TableParagraph"/>
              <w:spacing w:before="124"/>
              <w:ind w:left="679"/>
              <w:jc w:val="left"/>
              <w:rPr>
                <w:sz w:val="21"/>
              </w:rPr>
            </w:pPr>
            <w:r>
              <w:rPr>
                <w:w w:val="105"/>
                <w:sz w:val="21"/>
              </w:rPr>
              <w:t>I.1.1.9 Presentación Clínica</w:t>
            </w:r>
          </w:p>
        </w:tc>
        <w:tc>
          <w:tcPr>
            <w:tcW w:w="1200" w:type="dxa"/>
          </w:tcPr>
          <w:p>
            <w:pPr>
              <w:pStyle w:val="TableParagraph"/>
              <w:spacing w:before="124"/>
              <w:ind w:right="45"/>
              <w:jc w:val="right"/>
              <w:rPr>
                <w:sz w:val="21"/>
              </w:rPr>
            </w:pPr>
            <w:r>
              <w:rPr>
                <w:w w:val="102"/>
                <w:sz w:val="21"/>
              </w:rPr>
              <w:t>5</w:t>
            </w:r>
          </w:p>
        </w:tc>
      </w:tr>
      <w:tr>
        <w:trPr>
          <w:trHeight w:val="506" w:hRule="exact"/>
        </w:trPr>
        <w:tc>
          <w:tcPr>
            <w:tcW w:w="700" w:type="dxa"/>
          </w:tcPr>
          <w:p>
            <w:pPr/>
          </w:p>
        </w:tc>
        <w:tc>
          <w:tcPr>
            <w:tcW w:w="6555" w:type="dxa"/>
          </w:tcPr>
          <w:p>
            <w:pPr>
              <w:pStyle w:val="TableParagraph"/>
              <w:spacing w:before="122"/>
              <w:ind w:left="679"/>
              <w:jc w:val="left"/>
              <w:rPr>
                <w:sz w:val="21"/>
              </w:rPr>
            </w:pPr>
            <w:r>
              <w:rPr>
                <w:w w:val="105"/>
                <w:sz w:val="21"/>
              </w:rPr>
              <w:t>I.1.1.10 Métodos diagnósticos</w:t>
            </w:r>
          </w:p>
        </w:tc>
        <w:tc>
          <w:tcPr>
            <w:tcW w:w="1200" w:type="dxa"/>
          </w:tcPr>
          <w:p>
            <w:pPr>
              <w:pStyle w:val="TableParagraph"/>
              <w:spacing w:before="122"/>
              <w:ind w:right="57"/>
              <w:jc w:val="right"/>
              <w:rPr>
                <w:sz w:val="21"/>
              </w:rPr>
            </w:pPr>
            <w:r>
              <w:rPr>
                <w:w w:val="102"/>
                <w:sz w:val="21"/>
              </w:rPr>
              <w:t>6</w:t>
            </w:r>
          </w:p>
        </w:tc>
      </w:tr>
      <w:tr>
        <w:trPr>
          <w:trHeight w:val="506" w:hRule="exact"/>
        </w:trPr>
        <w:tc>
          <w:tcPr>
            <w:tcW w:w="700" w:type="dxa"/>
          </w:tcPr>
          <w:p>
            <w:pPr/>
          </w:p>
        </w:tc>
        <w:tc>
          <w:tcPr>
            <w:tcW w:w="6555" w:type="dxa"/>
          </w:tcPr>
          <w:p>
            <w:pPr>
              <w:pStyle w:val="TableParagraph"/>
              <w:spacing w:before="124"/>
              <w:ind w:left="679"/>
              <w:jc w:val="left"/>
              <w:rPr>
                <w:sz w:val="21"/>
              </w:rPr>
            </w:pPr>
            <w:r>
              <w:rPr>
                <w:w w:val="105"/>
                <w:sz w:val="21"/>
              </w:rPr>
              <w:t>I.1.1.11 Embolización preoperatoria</w:t>
            </w:r>
          </w:p>
        </w:tc>
        <w:tc>
          <w:tcPr>
            <w:tcW w:w="1200" w:type="dxa"/>
          </w:tcPr>
          <w:p>
            <w:pPr>
              <w:pStyle w:val="TableParagraph"/>
              <w:spacing w:before="124"/>
              <w:ind w:right="57"/>
              <w:jc w:val="right"/>
              <w:rPr>
                <w:sz w:val="21"/>
              </w:rPr>
            </w:pPr>
            <w:r>
              <w:rPr>
                <w:w w:val="102"/>
                <w:sz w:val="21"/>
              </w:rPr>
              <w:t>7</w:t>
            </w:r>
          </w:p>
        </w:tc>
      </w:tr>
      <w:tr>
        <w:trPr>
          <w:trHeight w:val="504" w:hRule="exact"/>
        </w:trPr>
        <w:tc>
          <w:tcPr>
            <w:tcW w:w="700" w:type="dxa"/>
          </w:tcPr>
          <w:p>
            <w:pPr/>
          </w:p>
        </w:tc>
        <w:tc>
          <w:tcPr>
            <w:tcW w:w="6555" w:type="dxa"/>
          </w:tcPr>
          <w:p>
            <w:pPr>
              <w:pStyle w:val="TableParagraph"/>
              <w:spacing w:before="122"/>
              <w:ind w:left="679"/>
              <w:jc w:val="left"/>
              <w:rPr>
                <w:sz w:val="21"/>
              </w:rPr>
            </w:pPr>
            <w:r>
              <w:rPr>
                <w:w w:val="105"/>
                <w:sz w:val="21"/>
              </w:rPr>
              <w:t>I.1.1.12 Tratamientos actuales</w:t>
            </w:r>
          </w:p>
        </w:tc>
        <w:tc>
          <w:tcPr>
            <w:tcW w:w="1200" w:type="dxa"/>
          </w:tcPr>
          <w:p>
            <w:pPr>
              <w:pStyle w:val="TableParagraph"/>
              <w:spacing w:before="122"/>
              <w:ind w:right="82"/>
              <w:jc w:val="right"/>
              <w:rPr>
                <w:sz w:val="21"/>
              </w:rPr>
            </w:pPr>
            <w:r>
              <w:rPr>
                <w:w w:val="102"/>
                <w:sz w:val="21"/>
              </w:rPr>
              <w:t>8</w:t>
            </w:r>
          </w:p>
        </w:tc>
      </w:tr>
      <w:tr>
        <w:trPr>
          <w:trHeight w:val="460" w:hRule="exact"/>
        </w:trPr>
        <w:tc>
          <w:tcPr>
            <w:tcW w:w="700" w:type="dxa"/>
          </w:tcPr>
          <w:p>
            <w:pPr/>
          </w:p>
        </w:tc>
        <w:tc>
          <w:tcPr>
            <w:tcW w:w="6555" w:type="dxa"/>
          </w:tcPr>
          <w:p>
            <w:pPr>
              <w:pStyle w:val="TableParagraph"/>
              <w:spacing w:before="122"/>
              <w:ind w:left="679"/>
              <w:jc w:val="left"/>
              <w:rPr>
                <w:sz w:val="21"/>
              </w:rPr>
            </w:pPr>
            <w:r>
              <w:rPr>
                <w:w w:val="105"/>
                <w:sz w:val="21"/>
              </w:rPr>
              <w:t>I.1.1.13 Complicaciones derivadas del tratamiento</w:t>
            </w:r>
          </w:p>
        </w:tc>
        <w:tc>
          <w:tcPr>
            <w:tcW w:w="1200" w:type="dxa"/>
          </w:tcPr>
          <w:p>
            <w:pPr>
              <w:pStyle w:val="TableParagraph"/>
              <w:spacing w:before="122"/>
              <w:ind w:right="56"/>
              <w:jc w:val="right"/>
              <w:rPr>
                <w:sz w:val="21"/>
              </w:rPr>
            </w:pPr>
            <w:r>
              <w:rPr>
                <w:w w:val="102"/>
                <w:sz w:val="21"/>
              </w:rPr>
              <w:t>9</w:t>
            </w:r>
          </w:p>
        </w:tc>
      </w:tr>
    </w:tbl>
    <w:p>
      <w:pPr>
        <w:pStyle w:val="BodyText"/>
        <w:rPr>
          <w:sz w:val="8"/>
        </w:rPr>
      </w:pPr>
    </w:p>
    <w:p>
      <w:pPr>
        <w:pStyle w:val="ListParagraph"/>
        <w:numPr>
          <w:ilvl w:val="0"/>
          <w:numId w:val="2"/>
        </w:numPr>
        <w:tabs>
          <w:tab w:pos="903" w:val="left" w:leader="none"/>
          <w:tab w:pos="904" w:val="left" w:leader="none"/>
          <w:tab w:pos="8935" w:val="right" w:leader="none"/>
        </w:tabs>
        <w:spacing w:line="240" w:lineRule="auto" w:before="79" w:after="0"/>
        <w:ind w:left="903" w:right="0" w:hanging="428"/>
        <w:jc w:val="left"/>
        <w:rPr>
          <w:sz w:val="21"/>
        </w:rPr>
      </w:pPr>
      <w:r>
        <w:rPr>
          <w:w w:val="105"/>
          <w:sz w:val="21"/>
        </w:rPr>
        <w:t>PLANTEAMIENTO</w:t>
      </w:r>
      <w:r>
        <w:rPr>
          <w:spacing w:val="2"/>
          <w:w w:val="105"/>
          <w:sz w:val="21"/>
        </w:rPr>
        <w:t> </w:t>
      </w:r>
      <w:r>
        <w:rPr>
          <w:w w:val="105"/>
          <w:sz w:val="21"/>
        </w:rPr>
        <w:t>DEL</w:t>
      </w:r>
      <w:r>
        <w:rPr>
          <w:spacing w:val="1"/>
          <w:w w:val="105"/>
          <w:sz w:val="21"/>
        </w:rPr>
        <w:t> </w:t>
      </w:r>
      <w:r>
        <w:rPr>
          <w:spacing w:val="2"/>
          <w:w w:val="105"/>
          <w:sz w:val="21"/>
        </w:rPr>
        <w:t>PROBLEMA</w:t>
      </w:r>
      <w:r>
        <w:rPr>
          <w:rFonts w:ascii="Times New Roman"/>
          <w:spacing w:val="2"/>
          <w:w w:val="105"/>
          <w:sz w:val="21"/>
        </w:rPr>
        <w:tab/>
      </w:r>
      <w:r>
        <w:rPr>
          <w:w w:val="105"/>
          <w:sz w:val="21"/>
        </w:rPr>
        <w:t>10</w:t>
      </w:r>
    </w:p>
    <w:p>
      <w:pPr>
        <w:pStyle w:val="ListParagraph"/>
        <w:numPr>
          <w:ilvl w:val="1"/>
          <w:numId w:val="2"/>
        </w:numPr>
        <w:tabs>
          <w:tab w:pos="1271" w:val="left" w:leader="none"/>
          <w:tab w:pos="8923" w:val="right" w:leader="none"/>
        </w:tabs>
        <w:spacing w:line="240" w:lineRule="auto" w:before="262" w:after="0"/>
        <w:ind w:left="1270" w:right="0" w:hanging="367"/>
        <w:jc w:val="left"/>
        <w:rPr>
          <w:sz w:val="21"/>
        </w:rPr>
      </w:pPr>
      <w:r>
        <w:rPr>
          <w:w w:val="105"/>
          <w:sz w:val="21"/>
        </w:rPr>
        <w:t>Argumentación</w:t>
      </w:r>
      <w:r>
        <w:rPr>
          <w:rFonts w:ascii="Times New Roman" w:hAnsi="Times New Roman"/>
          <w:w w:val="105"/>
          <w:sz w:val="21"/>
        </w:rPr>
        <w:tab/>
      </w:r>
      <w:r>
        <w:rPr>
          <w:w w:val="105"/>
          <w:sz w:val="21"/>
        </w:rPr>
        <w:t>10</w:t>
      </w:r>
    </w:p>
    <w:p>
      <w:pPr>
        <w:pStyle w:val="ListParagraph"/>
        <w:numPr>
          <w:ilvl w:val="1"/>
          <w:numId w:val="2"/>
        </w:numPr>
        <w:tabs>
          <w:tab w:pos="1271" w:val="left" w:leader="none"/>
          <w:tab w:pos="8936" w:val="right" w:leader="none"/>
        </w:tabs>
        <w:spacing w:line="240" w:lineRule="auto" w:before="267" w:after="0"/>
        <w:ind w:left="1270" w:right="0" w:hanging="367"/>
        <w:jc w:val="left"/>
        <w:rPr>
          <w:sz w:val="21"/>
        </w:rPr>
      </w:pPr>
      <w:r>
        <w:rPr>
          <w:w w:val="105"/>
          <w:sz w:val="21"/>
        </w:rPr>
        <w:t>Pregunta</w:t>
      </w:r>
      <w:r>
        <w:rPr>
          <w:spacing w:val="1"/>
          <w:w w:val="105"/>
          <w:sz w:val="21"/>
        </w:rPr>
        <w:t> </w:t>
      </w:r>
      <w:r>
        <w:rPr>
          <w:w w:val="105"/>
          <w:sz w:val="21"/>
        </w:rPr>
        <w:t>de</w:t>
      </w:r>
      <w:r>
        <w:rPr>
          <w:spacing w:val="1"/>
          <w:w w:val="105"/>
          <w:sz w:val="21"/>
        </w:rPr>
        <w:t> </w:t>
      </w:r>
      <w:r>
        <w:rPr>
          <w:w w:val="105"/>
          <w:sz w:val="21"/>
        </w:rPr>
        <w:t>investigación</w:t>
      </w:r>
      <w:r>
        <w:rPr>
          <w:rFonts w:ascii="Times New Roman" w:hAnsi="Times New Roman"/>
          <w:w w:val="105"/>
          <w:sz w:val="21"/>
        </w:rPr>
        <w:tab/>
      </w:r>
      <w:r>
        <w:rPr>
          <w:w w:val="105"/>
          <w:sz w:val="21"/>
        </w:rPr>
        <w:t>10</w:t>
      </w:r>
    </w:p>
    <w:p>
      <w:pPr>
        <w:pStyle w:val="ListParagraph"/>
        <w:numPr>
          <w:ilvl w:val="0"/>
          <w:numId w:val="2"/>
        </w:numPr>
        <w:tabs>
          <w:tab w:pos="903" w:val="left" w:leader="none"/>
          <w:tab w:pos="8946" w:val="right" w:leader="none"/>
        </w:tabs>
        <w:spacing w:line="240" w:lineRule="auto" w:before="262" w:after="0"/>
        <w:ind w:left="902" w:right="0" w:hanging="427"/>
        <w:jc w:val="left"/>
        <w:rPr>
          <w:sz w:val="21"/>
        </w:rPr>
      </w:pPr>
      <w:r>
        <w:rPr>
          <w:w w:val="105"/>
          <w:sz w:val="21"/>
        </w:rPr>
        <w:t>JUSTIFICACIONES</w:t>
      </w:r>
      <w:r>
        <w:rPr>
          <w:rFonts w:ascii="Times New Roman"/>
          <w:w w:val="105"/>
          <w:sz w:val="21"/>
        </w:rPr>
        <w:tab/>
      </w:r>
      <w:r>
        <w:rPr>
          <w:w w:val="105"/>
          <w:sz w:val="21"/>
        </w:rPr>
        <w:t>10</w:t>
      </w:r>
    </w:p>
    <w:p>
      <w:pPr>
        <w:pStyle w:val="ListParagraph"/>
        <w:numPr>
          <w:ilvl w:val="1"/>
          <w:numId w:val="2"/>
        </w:numPr>
        <w:tabs>
          <w:tab w:pos="1332" w:val="left" w:leader="none"/>
          <w:tab w:pos="8946" w:val="right" w:leader="none"/>
        </w:tabs>
        <w:spacing w:line="240" w:lineRule="auto" w:before="267" w:after="0"/>
        <w:ind w:left="1331" w:right="0" w:hanging="428"/>
        <w:jc w:val="left"/>
        <w:rPr>
          <w:sz w:val="21"/>
        </w:rPr>
      </w:pPr>
      <w:r>
        <w:rPr>
          <w:w w:val="105"/>
          <w:sz w:val="21"/>
        </w:rPr>
        <w:t>Académica</w:t>
      </w:r>
      <w:r>
        <w:rPr>
          <w:rFonts w:ascii="Times New Roman" w:hAnsi="Times New Roman"/>
          <w:w w:val="105"/>
          <w:sz w:val="21"/>
        </w:rPr>
        <w:tab/>
      </w:r>
      <w:r>
        <w:rPr>
          <w:w w:val="105"/>
          <w:sz w:val="21"/>
        </w:rPr>
        <w:t>10</w:t>
      </w:r>
    </w:p>
    <w:p>
      <w:pPr>
        <w:pStyle w:val="ListParagraph"/>
        <w:numPr>
          <w:ilvl w:val="1"/>
          <w:numId w:val="2"/>
        </w:numPr>
        <w:tabs>
          <w:tab w:pos="1331" w:val="left" w:leader="none"/>
          <w:tab w:pos="8946" w:val="right" w:leader="none"/>
        </w:tabs>
        <w:spacing w:line="240" w:lineRule="auto" w:before="262" w:after="0"/>
        <w:ind w:left="1330" w:right="0" w:hanging="427"/>
        <w:jc w:val="left"/>
        <w:rPr>
          <w:sz w:val="21"/>
        </w:rPr>
      </w:pPr>
      <w:r>
        <w:rPr>
          <w:w w:val="105"/>
          <w:sz w:val="21"/>
        </w:rPr>
        <w:t>Epidemiológica</w:t>
      </w:r>
      <w:r>
        <w:rPr>
          <w:rFonts w:ascii="Times New Roman" w:hAnsi="Times New Roman"/>
          <w:w w:val="105"/>
          <w:sz w:val="21"/>
        </w:rPr>
        <w:tab/>
      </w:r>
      <w:r>
        <w:rPr>
          <w:w w:val="105"/>
          <w:sz w:val="21"/>
        </w:rPr>
        <w:t>10</w:t>
      </w:r>
    </w:p>
    <w:p>
      <w:pPr>
        <w:pStyle w:val="ListParagraph"/>
        <w:numPr>
          <w:ilvl w:val="1"/>
          <w:numId w:val="2"/>
        </w:numPr>
        <w:tabs>
          <w:tab w:pos="1270" w:val="left" w:leader="none"/>
          <w:tab w:pos="8946" w:val="right" w:leader="none"/>
        </w:tabs>
        <w:spacing w:line="240" w:lineRule="auto" w:before="262" w:after="0"/>
        <w:ind w:left="1270" w:right="0" w:hanging="428"/>
        <w:jc w:val="left"/>
        <w:rPr>
          <w:sz w:val="21"/>
        </w:rPr>
      </w:pPr>
      <w:r>
        <w:rPr>
          <w:w w:val="105"/>
          <w:sz w:val="21"/>
        </w:rPr>
        <w:t>Económica</w:t>
      </w:r>
      <w:r>
        <w:rPr>
          <w:rFonts w:ascii="Times New Roman" w:hAnsi="Times New Roman"/>
          <w:w w:val="105"/>
          <w:sz w:val="21"/>
        </w:rPr>
        <w:tab/>
      </w:r>
      <w:r>
        <w:rPr>
          <w:w w:val="105"/>
          <w:sz w:val="21"/>
        </w:rPr>
        <w:t>11</w:t>
      </w:r>
    </w:p>
    <w:p>
      <w:pPr>
        <w:spacing w:after="0" w:line="240" w:lineRule="auto"/>
        <w:jc w:val="left"/>
        <w:rPr>
          <w:sz w:val="21"/>
        </w:rPr>
        <w:sectPr>
          <w:pgSz w:w="12240" w:h="15840"/>
          <w:pgMar w:top="1380" w:bottom="280" w:left="1600" w:right="1580"/>
        </w:sectPr>
      </w:pPr>
    </w:p>
    <w:sdt>
      <w:sdtPr>
        <w:docPartObj>
          <w:docPartGallery w:val="Table of Contents"/>
          <w:docPartUnique/>
        </w:docPartObj>
      </w:sdtPr>
      <w:sdtEndPr/>
      <w:sdtContent>
        <w:p>
          <w:pPr>
            <w:pStyle w:val="TOC1"/>
            <w:numPr>
              <w:ilvl w:val="0"/>
              <w:numId w:val="2"/>
            </w:numPr>
            <w:tabs>
              <w:tab w:pos="625" w:val="left" w:leader="none"/>
              <w:tab w:pos="8815" w:val="right" w:leader="none"/>
            </w:tabs>
            <w:spacing w:line="240" w:lineRule="auto" w:before="50" w:after="0"/>
            <w:ind w:left="624" w:right="0" w:hanging="330"/>
            <w:jc w:val="left"/>
          </w:pPr>
          <w:hyperlink w:history="true" w:anchor="_TOC_250018">
            <w:r>
              <w:rPr>
                <w:w w:val="105"/>
              </w:rPr>
              <w:t>VARIABLES</w:t>
            </w:r>
            <w:r>
              <w:rPr>
                <w:rFonts w:ascii="Times New Roman"/>
                <w:w w:val="105"/>
              </w:rPr>
              <w:tab/>
            </w:r>
            <w:r>
              <w:rPr>
                <w:w w:val="105"/>
              </w:rPr>
              <w:t>11</w:t>
            </w:r>
          </w:hyperlink>
        </w:p>
        <w:p>
          <w:pPr>
            <w:pStyle w:val="TOC2"/>
            <w:numPr>
              <w:ilvl w:val="0"/>
              <w:numId w:val="2"/>
            </w:numPr>
            <w:tabs>
              <w:tab w:pos="618" w:val="left" w:leader="none"/>
              <w:tab w:pos="8826" w:val="right" w:leader="none"/>
            </w:tabs>
            <w:spacing w:line="240" w:lineRule="auto" w:before="267" w:after="0"/>
            <w:ind w:left="617" w:right="0" w:hanging="269"/>
            <w:jc w:val="left"/>
          </w:pPr>
          <w:hyperlink w:history="true" w:anchor="_TOC_250017">
            <w:r>
              <w:rPr>
                <w:w w:val="105"/>
              </w:rPr>
              <w:t>OBJETIVOS</w:t>
            </w:r>
            <w:r>
              <w:rPr>
                <w:rFonts w:ascii="Times New Roman"/>
                <w:w w:val="105"/>
              </w:rPr>
              <w:tab/>
            </w:r>
            <w:r>
              <w:rPr>
                <w:w w:val="105"/>
              </w:rPr>
              <w:t>12</w:t>
            </w:r>
          </w:hyperlink>
        </w:p>
        <w:p>
          <w:pPr>
            <w:pStyle w:val="TOC3"/>
            <w:numPr>
              <w:ilvl w:val="1"/>
              <w:numId w:val="2"/>
            </w:numPr>
            <w:tabs>
              <w:tab w:pos="1657" w:val="left" w:leader="none"/>
              <w:tab w:pos="8826" w:val="right" w:leader="none"/>
            </w:tabs>
            <w:spacing w:line="240" w:lineRule="auto" w:before="262" w:after="0"/>
            <w:ind w:left="1656" w:right="0" w:hanging="391"/>
            <w:jc w:val="left"/>
          </w:pPr>
          <w:hyperlink w:history="true" w:anchor="_TOC_250016">
            <w:r>
              <w:rPr>
                <w:w w:val="105"/>
              </w:rPr>
              <w:t>General</w:t>
            </w:r>
            <w:r>
              <w:rPr>
                <w:rFonts w:ascii="Times New Roman"/>
                <w:w w:val="105"/>
              </w:rPr>
              <w:tab/>
            </w:r>
            <w:r>
              <w:rPr>
                <w:w w:val="105"/>
              </w:rPr>
              <w:t>12</w:t>
            </w:r>
          </w:hyperlink>
        </w:p>
        <w:p>
          <w:pPr>
            <w:pStyle w:val="TOC3"/>
            <w:numPr>
              <w:ilvl w:val="1"/>
              <w:numId w:val="2"/>
            </w:numPr>
            <w:tabs>
              <w:tab w:pos="1657" w:val="left" w:leader="none"/>
              <w:tab w:pos="8826" w:val="right" w:leader="none"/>
            </w:tabs>
            <w:spacing w:line="240" w:lineRule="auto" w:before="262" w:after="0"/>
            <w:ind w:left="1656" w:right="0" w:hanging="391"/>
            <w:jc w:val="left"/>
          </w:pPr>
          <w:r>
            <w:rPr>
              <w:w w:val="105"/>
            </w:rPr>
            <w:t>Específicos</w:t>
          </w:r>
          <w:r>
            <w:rPr>
              <w:rFonts w:ascii="Times New Roman" w:hAnsi="Times New Roman"/>
              <w:w w:val="105"/>
            </w:rPr>
            <w:tab/>
          </w:r>
          <w:r>
            <w:rPr>
              <w:w w:val="105"/>
            </w:rPr>
            <w:t>12</w:t>
          </w:r>
        </w:p>
        <w:p>
          <w:pPr>
            <w:pStyle w:val="TOC2"/>
            <w:numPr>
              <w:ilvl w:val="0"/>
              <w:numId w:val="2"/>
            </w:numPr>
            <w:tabs>
              <w:tab w:pos="618" w:val="left" w:leader="none"/>
              <w:tab w:pos="8820" w:val="right" w:leader="none"/>
            </w:tabs>
            <w:spacing w:line="240" w:lineRule="auto" w:before="267" w:after="0"/>
            <w:ind w:left="617" w:right="0" w:hanging="269"/>
            <w:jc w:val="left"/>
          </w:pPr>
          <w:r>
            <w:rPr>
              <w:spacing w:val="2"/>
              <w:w w:val="105"/>
            </w:rPr>
            <w:t>MÉTODOS</w:t>
          </w:r>
          <w:r>
            <w:rPr>
              <w:rFonts w:ascii="Times New Roman" w:hAnsi="Times New Roman"/>
              <w:spacing w:val="2"/>
              <w:w w:val="105"/>
            </w:rPr>
            <w:tab/>
          </w:r>
          <w:r>
            <w:rPr>
              <w:w w:val="105"/>
            </w:rPr>
            <w:t>13</w:t>
          </w:r>
        </w:p>
        <w:p>
          <w:pPr>
            <w:pStyle w:val="TOC3"/>
            <w:numPr>
              <w:ilvl w:val="1"/>
              <w:numId w:val="2"/>
            </w:numPr>
            <w:tabs>
              <w:tab w:pos="1718" w:val="left" w:leader="none"/>
              <w:tab w:pos="8826" w:val="right" w:leader="none"/>
            </w:tabs>
            <w:spacing w:line="240" w:lineRule="auto" w:before="262" w:after="0"/>
            <w:ind w:left="1717" w:right="0" w:hanging="452"/>
            <w:jc w:val="left"/>
          </w:pPr>
          <w:r>
            <w:rPr>
              <w:w w:val="105"/>
            </w:rPr>
            <w:t>Tipo de estudio</w:t>
          </w:r>
          <w:r>
            <w:rPr>
              <w:rFonts w:ascii="Times New Roman"/>
              <w:w w:val="105"/>
            </w:rPr>
            <w:tab/>
          </w:r>
          <w:r>
            <w:rPr>
              <w:w w:val="105"/>
            </w:rPr>
            <w:t>13</w:t>
          </w:r>
        </w:p>
        <w:p>
          <w:pPr>
            <w:pStyle w:val="TOC3"/>
            <w:numPr>
              <w:ilvl w:val="1"/>
              <w:numId w:val="2"/>
            </w:numPr>
            <w:tabs>
              <w:tab w:pos="1718" w:val="left" w:leader="none"/>
              <w:tab w:pos="8826" w:val="right" w:leader="none"/>
            </w:tabs>
            <w:spacing w:line="240" w:lineRule="auto" w:before="267" w:after="0"/>
            <w:ind w:left="1717" w:right="0" w:hanging="452"/>
            <w:jc w:val="left"/>
          </w:pPr>
          <w:hyperlink w:history="true" w:anchor="_TOC_250015">
            <w:r>
              <w:rPr>
                <w:w w:val="105"/>
              </w:rPr>
              <w:t>Diseño del</w:t>
            </w:r>
            <w:r>
              <w:rPr>
                <w:spacing w:val="-1"/>
                <w:w w:val="105"/>
              </w:rPr>
              <w:t> </w:t>
            </w:r>
            <w:r>
              <w:rPr>
                <w:w w:val="105"/>
              </w:rPr>
              <w:t>estudio</w:t>
            </w:r>
            <w:r>
              <w:rPr>
                <w:rFonts w:ascii="Times New Roman" w:hAnsi="Times New Roman"/>
                <w:w w:val="105"/>
              </w:rPr>
              <w:tab/>
            </w:r>
            <w:r>
              <w:rPr>
                <w:w w:val="105"/>
              </w:rPr>
              <w:t>13</w:t>
            </w:r>
          </w:hyperlink>
        </w:p>
        <w:p>
          <w:pPr>
            <w:pStyle w:val="TOC3"/>
            <w:numPr>
              <w:ilvl w:val="1"/>
              <w:numId w:val="2"/>
            </w:numPr>
            <w:tabs>
              <w:tab w:pos="1718" w:val="left" w:leader="none"/>
              <w:tab w:pos="8826" w:val="right" w:leader="none"/>
            </w:tabs>
            <w:spacing w:line="240" w:lineRule="auto" w:before="262" w:after="0"/>
            <w:ind w:left="1717" w:right="0" w:hanging="452"/>
            <w:jc w:val="left"/>
          </w:pPr>
          <w:r>
            <w:rPr>
              <w:w w:val="105"/>
            </w:rPr>
            <w:t>Operacionalizacion de variables</w:t>
          </w:r>
          <w:r>
            <w:rPr>
              <w:rFonts w:ascii="Times New Roman"/>
              <w:w w:val="105"/>
            </w:rPr>
            <w:tab/>
          </w:r>
          <w:r>
            <w:rPr>
              <w:w w:val="105"/>
            </w:rPr>
            <w:t>14</w:t>
          </w:r>
        </w:p>
        <w:p>
          <w:pPr>
            <w:pStyle w:val="TOC3"/>
            <w:numPr>
              <w:ilvl w:val="1"/>
              <w:numId w:val="2"/>
            </w:numPr>
            <w:tabs>
              <w:tab w:pos="1719" w:val="left" w:leader="none"/>
              <w:tab w:pos="8821" w:val="right" w:leader="none"/>
            </w:tabs>
            <w:spacing w:line="240" w:lineRule="auto" w:before="262" w:after="0"/>
            <w:ind w:left="1718" w:right="0" w:hanging="453"/>
            <w:jc w:val="left"/>
          </w:pPr>
          <w:hyperlink w:history="true" w:anchor="_TOC_250014">
            <w:r>
              <w:rPr>
                <w:w w:val="105"/>
              </w:rPr>
              <w:t>Universo</w:t>
            </w:r>
            <w:r>
              <w:rPr>
                <w:spacing w:val="1"/>
                <w:w w:val="105"/>
              </w:rPr>
              <w:t> </w:t>
            </w:r>
            <w:r>
              <w:rPr>
                <w:w w:val="105"/>
              </w:rPr>
              <w:t>de</w:t>
            </w:r>
            <w:r>
              <w:rPr>
                <w:spacing w:val="1"/>
                <w:w w:val="105"/>
              </w:rPr>
              <w:t> </w:t>
            </w:r>
            <w:r>
              <w:rPr>
                <w:w w:val="105"/>
              </w:rPr>
              <w:t>trabajo</w:t>
            </w:r>
            <w:r>
              <w:rPr>
                <w:rFonts w:ascii="Times New Roman"/>
                <w:w w:val="105"/>
              </w:rPr>
              <w:tab/>
            </w:r>
            <w:r>
              <w:rPr>
                <w:w w:val="105"/>
              </w:rPr>
              <w:t>17</w:t>
            </w:r>
          </w:hyperlink>
        </w:p>
        <w:p>
          <w:pPr>
            <w:pStyle w:val="TOC4"/>
            <w:numPr>
              <w:ilvl w:val="2"/>
              <w:numId w:val="2"/>
            </w:numPr>
            <w:tabs>
              <w:tab w:pos="2330" w:val="left" w:leader="none"/>
              <w:tab w:pos="8826" w:val="right" w:leader="none"/>
            </w:tabs>
            <w:spacing w:line="240" w:lineRule="auto" w:before="267" w:after="0"/>
            <w:ind w:left="2329" w:right="0" w:hanging="636"/>
            <w:jc w:val="left"/>
          </w:pPr>
          <w:hyperlink w:history="true" w:anchor="_TOC_250013">
            <w:r>
              <w:rPr>
                <w:w w:val="105"/>
              </w:rPr>
              <w:t>Criterios de inclusión</w:t>
            </w:r>
            <w:r>
              <w:rPr>
                <w:rFonts w:ascii="Times New Roman" w:hAnsi="Times New Roman"/>
                <w:w w:val="105"/>
              </w:rPr>
              <w:tab/>
            </w:r>
            <w:r>
              <w:rPr>
                <w:w w:val="105"/>
              </w:rPr>
              <w:t>17</w:t>
            </w:r>
          </w:hyperlink>
        </w:p>
        <w:p>
          <w:pPr>
            <w:pStyle w:val="TOC4"/>
            <w:numPr>
              <w:ilvl w:val="2"/>
              <w:numId w:val="2"/>
            </w:numPr>
            <w:tabs>
              <w:tab w:pos="2330" w:val="left" w:leader="none"/>
              <w:tab w:pos="8826" w:val="right" w:leader="none"/>
            </w:tabs>
            <w:spacing w:line="240" w:lineRule="auto" w:before="262" w:after="0"/>
            <w:ind w:left="2329" w:right="0" w:hanging="636"/>
            <w:jc w:val="left"/>
          </w:pPr>
          <w:hyperlink w:history="true" w:anchor="_TOC_250012">
            <w:r>
              <w:rPr>
                <w:w w:val="105"/>
              </w:rPr>
              <w:t>Criterios de exclusión</w:t>
            </w:r>
            <w:r>
              <w:rPr>
                <w:rFonts w:ascii="Times New Roman" w:hAnsi="Times New Roman"/>
                <w:w w:val="105"/>
              </w:rPr>
              <w:tab/>
            </w:r>
            <w:r>
              <w:rPr>
                <w:w w:val="105"/>
              </w:rPr>
              <w:t>17</w:t>
            </w:r>
          </w:hyperlink>
        </w:p>
        <w:p>
          <w:pPr>
            <w:pStyle w:val="TOC3"/>
            <w:numPr>
              <w:ilvl w:val="1"/>
              <w:numId w:val="2"/>
            </w:numPr>
            <w:tabs>
              <w:tab w:pos="1718" w:val="left" w:leader="none"/>
              <w:tab w:pos="8826" w:val="right" w:leader="none"/>
            </w:tabs>
            <w:spacing w:line="240" w:lineRule="auto" w:before="267" w:after="0"/>
            <w:ind w:left="1717" w:right="0" w:hanging="452"/>
            <w:jc w:val="left"/>
          </w:pPr>
          <w:hyperlink w:history="true" w:anchor="_TOC_250011">
            <w:r>
              <w:rPr>
                <w:w w:val="105"/>
              </w:rPr>
              <w:t>Instrumentos de investigación</w:t>
            </w:r>
            <w:r>
              <w:rPr>
                <w:rFonts w:ascii="Times New Roman" w:hAnsi="Times New Roman"/>
                <w:w w:val="105"/>
              </w:rPr>
              <w:tab/>
            </w:r>
            <w:r>
              <w:rPr>
                <w:w w:val="105"/>
              </w:rPr>
              <w:t>17</w:t>
            </w:r>
          </w:hyperlink>
        </w:p>
        <w:p>
          <w:pPr>
            <w:pStyle w:val="TOC3"/>
            <w:numPr>
              <w:ilvl w:val="1"/>
              <w:numId w:val="2"/>
            </w:numPr>
            <w:tabs>
              <w:tab w:pos="1719" w:val="left" w:leader="none"/>
              <w:tab w:pos="8821" w:val="right" w:leader="none"/>
            </w:tabs>
            <w:spacing w:line="240" w:lineRule="auto" w:before="262" w:after="0"/>
            <w:ind w:left="1718" w:right="0" w:hanging="453"/>
            <w:jc w:val="left"/>
          </w:pPr>
          <w:hyperlink w:history="true" w:anchor="_TOC_250010">
            <w:r>
              <w:rPr>
                <w:w w:val="105"/>
              </w:rPr>
              <w:t>Límite</w:t>
            </w:r>
            <w:r>
              <w:rPr>
                <w:spacing w:val="1"/>
                <w:w w:val="105"/>
              </w:rPr>
              <w:t> </w:t>
            </w:r>
            <w:r>
              <w:rPr>
                <w:w w:val="105"/>
              </w:rPr>
              <w:t>de</w:t>
            </w:r>
            <w:r>
              <w:rPr>
                <w:spacing w:val="1"/>
                <w:w w:val="105"/>
              </w:rPr>
              <w:t> </w:t>
            </w:r>
            <w:r>
              <w:rPr>
                <w:w w:val="105"/>
              </w:rPr>
              <w:t>espacio</w:t>
            </w:r>
            <w:r>
              <w:rPr>
                <w:rFonts w:ascii="Times New Roman" w:hAnsi="Times New Roman"/>
                <w:w w:val="105"/>
              </w:rPr>
              <w:tab/>
            </w:r>
            <w:r>
              <w:rPr>
                <w:w w:val="105"/>
              </w:rPr>
              <w:t>17</w:t>
            </w:r>
          </w:hyperlink>
        </w:p>
        <w:p>
          <w:pPr>
            <w:pStyle w:val="TOC3"/>
            <w:numPr>
              <w:ilvl w:val="1"/>
              <w:numId w:val="2"/>
            </w:numPr>
            <w:tabs>
              <w:tab w:pos="1718" w:val="left" w:leader="none"/>
              <w:tab w:pos="8826" w:val="right" w:leader="none"/>
            </w:tabs>
            <w:spacing w:line="240" w:lineRule="auto" w:before="267" w:after="0"/>
            <w:ind w:left="1717" w:right="0" w:hanging="452"/>
            <w:jc w:val="left"/>
          </w:pPr>
          <w:hyperlink w:history="true" w:anchor="_TOC_250009">
            <w:r>
              <w:rPr>
                <w:w w:val="105"/>
              </w:rPr>
              <w:t>Límite de tiempo</w:t>
            </w:r>
            <w:r>
              <w:rPr>
                <w:rFonts w:ascii="Times New Roman" w:hAnsi="Times New Roman"/>
                <w:w w:val="105"/>
              </w:rPr>
              <w:tab/>
            </w:r>
            <w:r>
              <w:rPr>
                <w:w w:val="105"/>
              </w:rPr>
              <w:t>17</w:t>
            </w:r>
          </w:hyperlink>
        </w:p>
        <w:p>
          <w:pPr>
            <w:pStyle w:val="TOC3"/>
            <w:numPr>
              <w:ilvl w:val="1"/>
              <w:numId w:val="2"/>
            </w:numPr>
            <w:tabs>
              <w:tab w:pos="1718" w:val="left" w:leader="none"/>
              <w:tab w:pos="8826" w:val="right" w:leader="none"/>
            </w:tabs>
            <w:spacing w:line="240" w:lineRule="auto" w:before="262" w:after="0"/>
            <w:ind w:left="1717" w:right="0" w:hanging="452"/>
            <w:jc w:val="left"/>
          </w:pPr>
          <w:hyperlink w:history="true" w:anchor="_TOC_250008">
            <w:r>
              <w:rPr>
                <w:w w:val="105"/>
              </w:rPr>
              <w:t>Análisis estadístico</w:t>
            </w:r>
            <w:r>
              <w:rPr>
                <w:rFonts w:ascii="Times New Roman" w:hAnsi="Times New Roman"/>
                <w:w w:val="105"/>
              </w:rPr>
              <w:tab/>
            </w:r>
            <w:r>
              <w:rPr>
                <w:w w:val="105"/>
              </w:rPr>
              <w:t>17</w:t>
            </w:r>
          </w:hyperlink>
        </w:p>
        <w:p>
          <w:pPr>
            <w:pStyle w:val="TOC2"/>
            <w:numPr>
              <w:ilvl w:val="0"/>
              <w:numId w:val="2"/>
            </w:numPr>
            <w:tabs>
              <w:tab w:pos="741" w:val="left" w:leader="none"/>
              <w:tab w:pos="8808" w:val="right" w:leader="none"/>
            </w:tabs>
            <w:spacing w:line="240" w:lineRule="auto" w:before="262" w:after="0"/>
            <w:ind w:left="740" w:right="0" w:hanging="392"/>
            <w:jc w:val="left"/>
          </w:pPr>
          <w:hyperlink w:history="true" w:anchor="_TOC_250007">
            <w:r>
              <w:rPr>
                <w:w w:val="105"/>
              </w:rPr>
              <w:t>ASPECTOS</w:t>
            </w:r>
            <w:r>
              <w:rPr>
                <w:spacing w:val="1"/>
                <w:w w:val="105"/>
              </w:rPr>
              <w:t> </w:t>
            </w:r>
            <w:r>
              <w:rPr>
                <w:w w:val="105"/>
              </w:rPr>
              <w:t>ÉTICOS</w:t>
            </w:r>
            <w:r>
              <w:rPr>
                <w:rFonts w:ascii="Times New Roman" w:hAnsi="Times New Roman"/>
                <w:w w:val="105"/>
              </w:rPr>
              <w:tab/>
            </w:r>
            <w:r>
              <w:rPr>
                <w:w w:val="105"/>
              </w:rPr>
              <w:t>18</w:t>
            </w:r>
          </w:hyperlink>
        </w:p>
        <w:p>
          <w:pPr>
            <w:pStyle w:val="TOC2"/>
            <w:numPr>
              <w:ilvl w:val="0"/>
              <w:numId w:val="2"/>
            </w:numPr>
            <w:tabs>
              <w:tab w:pos="801" w:val="left" w:leader="none"/>
              <w:tab w:pos="8826" w:val="right" w:leader="none"/>
            </w:tabs>
            <w:spacing w:line="240" w:lineRule="auto" w:before="267" w:after="0"/>
            <w:ind w:left="800" w:right="0" w:hanging="452"/>
            <w:jc w:val="left"/>
          </w:pPr>
          <w:hyperlink w:history="true" w:anchor="_TOC_250006">
            <w:r>
              <w:rPr>
                <w:spacing w:val="2"/>
                <w:w w:val="105"/>
              </w:rPr>
              <w:t>ORGANIZACIÓN</w:t>
            </w:r>
            <w:r>
              <w:rPr>
                <w:rFonts w:ascii="Times New Roman" w:hAnsi="Times New Roman"/>
                <w:spacing w:val="2"/>
                <w:w w:val="105"/>
              </w:rPr>
              <w:tab/>
            </w:r>
            <w:r>
              <w:rPr>
                <w:w w:val="105"/>
              </w:rPr>
              <w:t>18</w:t>
            </w:r>
          </w:hyperlink>
        </w:p>
        <w:p>
          <w:pPr>
            <w:pStyle w:val="TOC2"/>
            <w:numPr>
              <w:ilvl w:val="0"/>
              <w:numId w:val="2"/>
            </w:numPr>
            <w:tabs>
              <w:tab w:pos="679" w:val="left" w:leader="none"/>
              <w:tab w:pos="8826" w:val="right" w:leader="none"/>
            </w:tabs>
            <w:spacing w:line="240" w:lineRule="auto" w:before="262" w:after="0"/>
            <w:ind w:left="678" w:right="0" w:hanging="330"/>
            <w:jc w:val="left"/>
          </w:pPr>
          <w:hyperlink w:history="true" w:anchor="_TOC_250005">
            <w:r>
              <w:rPr>
                <w:w w:val="105"/>
              </w:rPr>
              <w:t>RESULTADOS</w:t>
            </w:r>
            <w:r>
              <w:rPr>
                <w:rFonts w:ascii="Times New Roman"/>
                <w:w w:val="105"/>
              </w:rPr>
              <w:tab/>
            </w:r>
            <w:r>
              <w:rPr>
                <w:w w:val="105"/>
              </w:rPr>
              <w:t>19</w:t>
            </w:r>
          </w:hyperlink>
        </w:p>
        <w:p>
          <w:pPr>
            <w:pStyle w:val="TOC2"/>
            <w:numPr>
              <w:ilvl w:val="0"/>
              <w:numId w:val="2"/>
            </w:numPr>
            <w:tabs>
              <w:tab w:pos="617" w:val="left" w:leader="none"/>
              <w:tab w:pos="8826" w:val="right" w:leader="none"/>
            </w:tabs>
            <w:spacing w:line="240" w:lineRule="auto" w:before="267" w:after="0"/>
            <w:ind w:left="616" w:right="0" w:hanging="268"/>
            <w:jc w:val="left"/>
          </w:pPr>
          <w:hyperlink w:history="true" w:anchor="_TOC_250004">
            <w:r>
              <w:rPr>
                <w:w w:val="105"/>
              </w:rPr>
              <w:t>TABLAS Y </w:t>
            </w:r>
            <w:r>
              <w:rPr>
                <w:spacing w:val="2"/>
                <w:w w:val="105"/>
              </w:rPr>
              <w:t>GRAFICAS</w:t>
            </w:r>
            <w:r>
              <w:rPr>
                <w:rFonts w:ascii="Times New Roman"/>
                <w:spacing w:val="2"/>
                <w:w w:val="105"/>
              </w:rPr>
              <w:tab/>
            </w:r>
            <w:r>
              <w:rPr>
                <w:w w:val="105"/>
              </w:rPr>
              <w:t>21</w:t>
            </w:r>
          </w:hyperlink>
        </w:p>
        <w:p>
          <w:pPr>
            <w:pStyle w:val="TOC2"/>
            <w:numPr>
              <w:ilvl w:val="0"/>
              <w:numId w:val="2"/>
            </w:numPr>
            <w:tabs>
              <w:tab w:pos="679" w:val="left" w:leader="none"/>
              <w:tab w:pos="8826" w:val="right" w:leader="none"/>
            </w:tabs>
            <w:spacing w:line="240" w:lineRule="auto" w:before="262" w:after="0"/>
            <w:ind w:left="678" w:right="0" w:hanging="330"/>
            <w:jc w:val="left"/>
          </w:pPr>
          <w:r>
            <w:rPr>
              <w:w w:val="105"/>
            </w:rPr>
            <w:t>DISCUSION DE RESULTADOS</w:t>
          </w:r>
          <w:r>
            <w:rPr>
              <w:rFonts w:ascii="Times New Roman"/>
              <w:w w:val="105"/>
            </w:rPr>
            <w:tab/>
          </w:r>
          <w:r>
            <w:rPr>
              <w:w w:val="105"/>
            </w:rPr>
            <w:t>24</w:t>
          </w:r>
        </w:p>
        <w:p>
          <w:pPr>
            <w:pStyle w:val="TOC2"/>
            <w:numPr>
              <w:ilvl w:val="0"/>
              <w:numId w:val="2"/>
            </w:numPr>
            <w:tabs>
              <w:tab w:pos="740" w:val="left" w:leader="none"/>
              <w:tab w:pos="8826" w:val="right" w:leader="none"/>
            </w:tabs>
            <w:spacing w:line="240" w:lineRule="auto" w:before="262" w:after="0"/>
            <w:ind w:left="739" w:right="0" w:hanging="391"/>
            <w:jc w:val="left"/>
          </w:pPr>
          <w:hyperlink w:history="true" w:anchor="_TOC_250003">
            <w:r>
              <w:rPr>
                <w:spacing w:val="2"/>
                <w:w w:val="105"/>
              </w:rPr>
              <w:t>CONCLUSIONES</w:t>
            </w:r>
            <w:r>
              <w:rPr>
                <w:rFonts w:ascii="Times New Roman"/>
                <w:spacing w:val="2"/>
                <w:w w:val="105"/>
              </w:rPr>
              <w:tab/>
            </w:r>
            <w:r>
              <w:rPr>
                <w:w w:val="105"/>
              </w:rPr>
              <w:t>30</w:t>
            </w:r>
          </w:hyperlink>
        </w:p>
        <w:p>
          <w:pPr>
            <w:pStyle w:val="TOC2"/>
            <w:numPr>
              <w:ilvl w:val="0"/>
              <w:numId w:val="2"/>
            </w:numPr>
            <w:tabs>
              <w:tab w:pos="801" w:val="left" w:leader="none"/>
              <w:tab w:pos="8826" w:val="right" w:leader="none"/>
            </w:tabs>
            <w:spacing w:line="240" w:lineRule="auto" w:before="267" w:after="0"/>
            <w:ind w:left="800" w:right="0" w:hanging="452"/>
            <w:jc w:val="left"/>
          </w:pPr>
          <w:hyperlink w:history="true" w:anchor="_TOC_250002">
            <w:r>
              <w:rPr>
                <w:spacing w:val="2"/>
                <w:w w:val="105"/>
              </w:rPr>
              <w:t>RECOMENDACIONES</w:t>
            </w:r>
            <w:r>
              <w:rPr>
                <w:rFonts w:ascii="Times New Roman"/>
                <w:spacing w:val="2"/>
                <w:w w:val="105"/>
              </w:rPr>
              <w:tab/>
            </w:r>
            <w:r>
              <w:rPr>
                <w:w w:val="105"/>
              </w:rPr>
              <w:t>30</w:t>
            </w:r>
          </w:hyperlink>
        </w:p>
        <w:p>
          <w:pPr>
            <w:pStyle w:val="TOC2"/>
            <w:numPr>
              <w:ilvl w:val="0"/>
              <w:numId w:val="2"/>
            </w:numPr>
            <w:tabs>
              <w:tab w:pos="824" w:val="left" w:leader="none"/>
              <w:tab w:pos="8826" w:val="right" w:leader="none"/>
            </w:tabs>
            <w:spacing w:line="240" w:lineRule="auto" w:before="262" w:after="0"/>
            <w:ind w:left="823" w:right="0" w:hanging="475"/>
            <w:jc w:val="left"/>
          </w:pPr>
          <w:hyperlink w:history="true" w:anchor="_TOC_250001">
            <w:r>
              <w:rPr>
                <w:w w:val="105"/>
              </w:rPr>
              <w:t>BIBLIOGRAFIA</w:t>
            </w:r>
            <w:r>
              <w:rPr>
                <w:rFonts w:ascii="Times New Roman"/>
                <w:w w:val="105"/>
              </w:rPr>
              <w:tab/>
            </w:r>
            <w:r>
              <w:rPr>
                <w:w w:val="105"/>
              </w:rPr>
              <w:t>31</w:t>
            </w:r>
          </w:hyperlink>
        </w:p>
        <w:p>
          <w:pPr>
            <w:pStyle w:val="TOC2"/>
            <w:numPr>
              <w:ilvl w:val="0"/>
              <w:numId w:val="2"/>
            </w:numPr>
            <w:tabs>
              <w:tab w:pos="765" w:val="left" w:leader="none"/>
              <w:tab w:pos="8826" w:val="right" w:leader="none"/>
            </w:tabs>
            <w:spacing w:line="240" w:lineRule="auto" w:before="267" w:after="0"/>
            <w:ind w:left="764" w:right="0" w:hanging="416"/>
            <w:jc w:val="left"/>
          </w:pPr>
          <w:hyperlink w:history="true" w:anchor="_TOC_250000">
            <w:r>
              <w:rPr>
                <w:w w:val="105"/>
              </w:rPr>
              <w:t>ANEXOS</w:t>
            </w:r>
            <w:r>
              <w:rPr>
                <w:rFonts w:ascii="Times New Roman"/>
                <w:w w:val="105"/>
              </w:rPr>
              <w:tab/>
            </w:r>
            <w:r>
              <w:rPr>
                <w:w w:val="105"/>
              </w:rPr>
              <w:t>34</w:t>
            </w:r>
          </w:hyperlink>
        </w:p>
      </w:sdtContent>
    </w:sdt>
    <w:p>
      <w:pPr>
        <w:spacing w:after="0" w:line="240" w:lineRule="auto"/>
        <w:jc w:val="left"/>
        <w:sectPr>
          <w:pgSz w:w="12240" w:h="15840"/>
          <w:pgMar w:top="1380" w:bottom="280" w:left="1720" w:right="1580"/>
        </w:sectPr>
      </w:pPr>
    </w:p>
    <w:p>
      <w:pPr>
        <w:pStyle w:val="Heading3"/>
        <w:spacing w:before="50"/>
        <w:ind w:left="108" w:right="4421" w:firstLine="0"/>
        <w:jc w:val="left"/>
      </w:pPr>
      <w:bookmarkStart w:name="1.1" w:id="3"/>
      <w:bookmarkEnd w:id="3"/>
      <w:r>
        <w:rPr>
          <w:b w:val="0"/>
        </w:rPr>
      </w:r>
      <w:r>
        <w:rPr>
          <w:w w:val="105"/>
        </w:rPr>
        <w:t>ABREVIATURAS</w:t>
      </w:r>
    </w:p>
    <w:p>
      <w:pPr>
        <w:pStyle w:val="BodyText"/>
        <w:tabs>
          <w:tab w:pos="1294" w:val="left" w:leader="none"/>
          <w:tab w:pos="1343" w:val="left" w:leader="none"/>
        </w:tabs>
        <w:spacing w:line="506" w:lineRule="auto" w:before="771"/>
        <w:ind w:left="108" w:right="4421"/>
      </w:pPr>
      <w:r>
        <w:rPr>
          <w:b/>
          <w:w w:val="105"/>
        </w:rPr>
        <w:t>TAC</w:t>
        <w:tab/>
      </w:r>
      <w:r>
        <w:rPr>
          <w:w w:val="105"/>
        </w:rPr>
        <w:t>Tomografía</w:t>
      </w:r>
      <w:r>
        <w:rPr>
          <w:spacing w:val="-8"/>
          <w:w w:val="105"/>
        </w:rPr>
        <w:t> </w:t>
      </w:r>
      <w:r>
        <w:rPr>
          <w:w w:val="105"/>
        </w:rPr>
        <w:t>axial</w:t>
      </w:r>
      <w:r>
        <w:rPr>
          <w:spacing w:val="-9"/>
          <w:w w:val="105"/>
        </w:rPr>
        <w:t> </w:t>
      </w:r>
      <w:r>
        <w:rPr>
          <w:w w:val="105"/>
        </w:rPr>
        <w:t>computarizada.</w:t>
      </w:r>
      <w:r>
        <w:rPr>
          <w:w w:val="102"/>
        </w:rPr>
        <w:t> </w:t>
      </w:r>
      <w:r>
        <w:rPr>
          <w:b/>
          <w:w w:val="105"/>
        </w:rPr>
        <w:t>RMN</w:t>
        <w:tab/>
        <w:tab/>
      </w:r>
      <w:r>
        <w:rPr>
          <w:w w:val="105"/>
        </w:rPr>
        <w:t>Resonancia</w:t>
      </w:r>
      <w:r>
        <w:rPr>
          <w:spacing w:val="-9"/>
          <w:w w:val="105"/>
        </w:rPr>
        <w:t> </w:t>
      </w:r>
      <w:r>
        <w:rPr>
          <w:w w:val="105"/>
        </w:rPr>
        <w:t>magnética</w:t>
      </w:r>
      <w:r>
        <w:rPr>
          <w:spacing w:val="-9"/>
          <w:w w:val="105"/>
        </w:rPr>
        <w:t> </w:t>
      </w:r>
      <w:r>
        <w:rPr>
          <w:w w:val="105"/>
        </w:rPr>
        <w:t>nuclear.</w:t>
      </w:r>
      <w:r>
        <w:rPr>
          <w:w w:val="102"/>
        </w:rPr>
        <w:t> </w:t>
      </w:r>
      <w:r>
        <w:rPr>
          <w:b/>
          <w:w w:val="105"/>
        </w:rPr>
        <w:t>AVE</w:t>
        <w:tab/>
        <w:tab/>
      </w:r>
      <w:r>
        <w:rPr>
          <w:w w:val="105"/>
        </w:rPr>
        <w:t>Accidente</w:t>
      </w:r>
      <w:r>
        <w:rPr>
          <w:spacing w:val="-8"/>
          <w:w w:val="105"/>
        </w:rPr>
        <w:t> </w:t>
      </w:r>
      <w:r>
        <w:rPr>
          <w:w w:val="105"/>
        </w:rPr>
        <w:t>vascular</w:t>
      </w:r>
      <w:r>
        <w:rPr>
          <w:spacing w:val="-8"/>
          <w:w w:val="105"/>
        </w:rPr>
        <w:t> </w:t>
      </w:r>
      <w:r>
        <w:rPr>
          <w:w w:val="105"/>
        </w:rPr>
        <w:t>encefálico.</w:t>
      </w:r>
      <w:r>
        <w:rPr>
          <w:w w:val="102"/>
        </w:rPr>
        <w:t> </w:t>
      </w:r>
      <w:r>
        <w:rPr>
          <w:b/>
          <w:w w:val="105"/>
        </w:rPr>
        <w:t>Gy</w:t>
        <w:tab/>
      </w:r>
      <w:r>
        <w:rPr>
          <w:color w:val="1C1C1C"/>
          <w:w w:val="105"/>
        </w:rPr>
        <w:t>Grays</w:t>
      </w:r>
    </w:p>
    <w:p>
      <w:pPr>
        <w:spacing w:after="0" w:line="506" w:lineRule="auto"/>
        <w:sectPr>
          <w:pgSz w:w="12240" w:h="15840"/>
          <w:pgMar w:top="1380" w:bottom="280" w:left="1600" w:right="1720"/>
        </w:sectPr>
      </w:pPr>
    </w:p>
    <w:p>
      <w:pPr>
        <w:pStyle w:val="Heading3"/>
        <w:numPr>
          <w:ilvl w:val="0"/>
          <w:numId w:val="3"/>
        </w:numPr>
        <w:tabs>
          <w:tab w:pos="231" w:val="left" w:leader="none"/>
        </w:tabs>
        <w:spacing w:line="240" w:lineRule="auto" w:before="50" w:after="0"/>
        <w:ind w:left="230" w:right="0" w:hanging="122"/>
        <w:jc w:val="both"/>
      </w:pPr>
      <w:bookmarkStart w:name="3" w:id="4"/>
      <w:bookmarkEnd w:id="4"/>
      <w:r>
        <w:rPr>
          <w:b w:val="0"/>
        </w:rPr>
      </w:r>
      <w:bookmarkStart w:name="3" w:id="5"/>
      <w:bookmarkEnd w:id="5"/>
      <w:r>
        <w:rPr>
          <w:spacing w:val="2"/>
          <w:w w:val="105"/>
        </w:rPr>
        <w:t>M</w:t>
      </w:r>
      <w:r>
        <w:rPr>
          <w:spacing w:val="2"/>
          <w:w w:val="105"/>
        </w:rPr>
        <w:t>ARCO</w:t>
      </w:r>
      <w:r>
        <w:rPr>
          <w:spacing w:val="-20"/>
          <w:w w:val="105"/>
        </w:rPr>
        <w:t> </w:t>
      </w:r>
      <w:r>
        <w:rPr>
          <w:w w:val="105"/>
        </w:rPr>
        <w:t>TEORICO</w:t>
      </w:r>
    </w:p>
    <w:p>
      <w:pPr>
        <w:pStyle w:val="BodyText"/>
        <w:spacing w:before="2"/>
        <w:rPr>
          <w:b/>
          <w:sz w:val="23"/>
        </w:rPr>
      </w:pPr>
    </w:p>
    <w:p>
      <w:pPr>
        <w:spacing w:before="1"/>
        <w:ind w:left="108" w:right="0" w:firstLine="0"/>
        <w:jc w:val="both"/>
        <w:rPr>
          <w:b/>
          <w:sz w:val="21"/>
        </w:rPr>
      </w:pPr>
      <w:r>
        <w:rPr>
          <w:b/>
          <w:w w:val="105"/>
          <w:sz w:val="21"/>
        </w:rPr>
        <w:t>I.1 Introducción</w:t>
      </w:r>
    </w:p>
    <w:p>
      <w:pPr>
        <w:pStyle w:val="BodyText"/>
        <w:spacing w:before="2"/>
        <w:rPr>
          <w:b/>
          <w:sz w:val="23"/>
        </w:rPr>
      </w:pPr>
    </w:p>
    <w:p>
      <w:pPr>
        <w:pStyle w:val="BodyText"/>
        <w:spacing w:line="364" w:lineRule="auto" w:before="1"/>
        <w:ind w:left="108" w:right="111"/>
        <w:jc w:val="both"/>
      </w:pPr>
      <w:r>
        <w:rPr>
          <w:w w:val="105"/>
        </w:rPr>
        <w:t>Los</w:t>
      </w:r>
      <w:r>
        <w:rPr>
          <w:spacing w:val="-7"/>
          <w:w w:val="105"/>
        </w:rPr>
        <w:t> </w:t>
      </w:r>
      <w:r>
        <w:rPr>
          <w:w w:val="105"/>
        </w:rPr>
        <w:t>tejidos</w:t>
      </w:r>
      <w:r>
        <w:rPr>
          <w:spacing w:val="-7"/>
          <w:w w:val="105"/>
        </w:rPr>
        <w:t> </w:t>
      </w:r>
      <w:r>
        <w:rPr>
          <w:w w:val="105"/>
        </w:rPr>
        <w:t>paraganglionicos</w:t>
      </w:r>
      <w:r>
        <w:rPr>
          <w:spacing w:val="-7"/>
          <w:w w:val="105"/>
        </w:rPr>
        <w:t> </w:t>
      </w:r>
      <w:r>
        <w:rPr>
          <w:w w:val="105"/>
        </w:rPr>
        <w:t>que</w:t>
      </w:r>
      <w:r>
        <w:rPr>
          <w:spacing w:val="-7"/>
          <w:w w:val="105"/>
        </w:rPr>
        <w:t> </w:t>
      </w:r>
      <w:r>
        <w:rPr>
          <w:w w:val="105"/>
        </w:rPr>
        <w:t>se</w:t>
      </w:r>
      <w:r>
        <w:rPr>
          <w:spacing w:val="-7"/>
          <w:w w:val="105"/>
        </w:rPr>
        <w:t> </w:t>
      </w:r>
      <w:r>
        <w:rPr>
          <w:w w:val="105"/>
        </w:rPr>
        <w:t>encuentran</w:t>
      </w:r>
      <w:r>
        <w:rPr>
          <w:spacing w:val="-7"/>
          <w:w w:val="105"/>
        </w:rPr>
        <w:t> </w:t>
      </w:r>
      <w:r>
        <w:rPr>
          <w:w w:val="105"/>
        </w:rPr>
        <w:t>distribuidos</w:t>
      </w:r>
      <w:r>
        <w:rPr>
          <w:spacing w:val="-7"/>
          <w:w w:val="105"/>
        </w:rPr>
        <w:t> </w:t>
      </w:r>
      <w:r>
        <w:rPr>
          <w:w w:val="105"/>
        </w:rPr>
        <w:t>en</w:t>
      </w:r>
      <w:r>
        <w:rPr>
          <w:spacing w:val="-7"/>
          <w:w w:val="105"/>
        </w:rPr>
        <w:t> </w:t>
      </w:r>
      <w:r>
        <w:rPr>
          <w:w w:val="105"/>
        </w:rPr>
        <w:t>el</w:t>
      </w:r>
      <w:r>
        <w:rPr>
          <w:spacing w:val="-8"/>
          <w:w w:val="105"/>
        </w:rPr>
        <w:t> </w:t>
      </w:r>
      <w:r>
        <w:rPr>
          <w:w w:val="105"/>
        </w:rPr>
        <w:t>cuerpo</w:t>
      </w:r>
      <w:r>
        <w:rPr>
          <w:spacing w:val="-7"/>
          <w:w w:val="105"/>
        </w:rPr>
        <w:t> </w:t>
      </w:r>
      <w:r>
        <w:rPr>
          <w:w w:val="105"/>
        </w:rPr>
        <w:t>constituyen</w:t>
      </w:r>
      <w:r>
        <w:rPr>
          <w:spacing w:val="-7"/>
          <w:w w:val="105"/>
        </w:rPr>
        <w:t> </w:t>
      </w:r>
      <w:r>
        <w:rPr>
          <w:w w:val="105"/>
        </w:rPr>
        <w:t>por</w:t>
      </w:r>
      <w:r>
        <w:rPr>
          <w:spacing w:val="-8"/>
          <w:w w:val="105"/>
        </w:rPr>
        <w:t> </w:t>
      </w:r>
      <w:r>
        <w:rPr>
          <w:w w:val="105"/>
        </w:rPr>
        <w:t>si mismos órganos quimiorreceptores, sus células forman parte del sistema neuroendocrino difuso cuyos productos principales catecolaminas y neuropéptidos, pueden servir como hormonas y</w:t>
      </w:r>
      <w:r>
        <w:rPr>
          <w:spacing w:val="-22"/>
          <w:w w:val="105"/>
        </w:rPr>
        <w:t> </w:t>
      </w:r>
      <w:r>
        <w:rPr>
          <w:w w:val="105"/>
        </w:rPr>
        <w:t>neurotransmisores</w:t>
      </w:r>
      <w:r>
        <w:rPr>
          <w:w w:val="105"/>
          <w:position w:val="10"/>
          <w:sz w:val="14"/>
        </w:rPr>
        <w:t>1</w:t>
      </w:r>
      <w:r>
        <w:rPr>
          <w:w w:val="105"/>
        </w:rPr>
        <w:t>.</w:t>
      </w:r>
    </w:p>
    <w:p>
      <w:pPr>
        <w:pStyle w:val="BodyText"/>
        <w:spacing w:line="372" w:lineRule="auto"/>
        <w:ind w:left="108" w:right="107"/>
        <w:jc w:val="both"/>
      </w:pPr>
      <w:r>
        <w:rPr>
          <w:w w:val="105"/>
        </w:rPr>
        <w:t>Glenner</w:t>
      </w:r>
      <w:r>
        <w:rPr>
          <w:spacing w:val="-15"/>
          <w:w w:val="105"/>
        </w:rPr>
        <w:t> </w:t>
      </w:r>
      <w:r>
        <w:rPr>
          <w:w w:val="105"/>
        </w:rPr>
        <w:t>y</w:t>
      </w:r>
      <w:r>
        <w:rPr>
          <w:spacing w:val="-15"/>
          <w:w w:val="105"/>
        </w:rPr>
        <w:t> </w:t>
      </w:r>
      <w:r>
        <w:rPr>
          <w:w w:val="105"/>
        </w:rPr>
        <w:t>Grimley,</w:t>
      </w:r>
      <w:r>
        <w:rPr>
          <w:spacing w:val="-15"/>
          <w:w w:val="105"/>
        </w:rPr>
        <w:t> </w:t>
      </w:r>
      <w:r>
        <w:rPr>
          <w:w w:val="105"/>
        </w:rPr>
        <w:t>clasificaron</w:t>
      </w:r>
      <w:r>
        <w:rPr>
          <w:spacing w:val="-15"/>
          <w:w w:val="105"/>
        </w:rPr>
        <w:t> </w:t>
      </w:r>
      <w:r>
        <w:rPr>
          <w:w w:val="105"/>
        </w:rPr>
        <w:t>los</w:t>
      </w:r>
      <w:r>
        <w:rPr>
          <w:spacing w:val="-15"/>
          <w:w w:val="105"/>
        </w:rPr>
        <w:t> </w:t>
      </w:r>
      <w:r>
        <w:rPr>
          <w:w w:val="105"/>
        </w:rPr>
        <w:t>paragangliomas,</w:t>
      </w:r>
      <w:r>
        <w:rPr>
          <w:spacing w:val="-15"/>
          <w:w w:val="105"/>
        </w:rPr>
        <w:t> </w:t>
      </w:r>
      <w:r>
        <w:rPr>
          <w:w w:val="105"/>
        </w:rPr>
        <w:t>de</w:t>
      </w:r>
      <w:r>
        <w:rPr>
          <w:spacing w:val="-15"/>
          <w:w w:val="105"/>
        </w:rPr>
        <w:t> </w:t>
      </w:r>
      <w:r>
        <w:rPr>
          <w:w w:val="105"/>
        </w:rPr>
        <w:t>acuerdo</w:t>
      </w:r>
      <w:r>
        <w:rPr>
          <w:spacing w:val="-15"/>
          <w:w w:val="105"/>
        </w:rPr>
        <w:t> </w:t>
      </w:r>
      <w:r>
        <w:rPr>
          <w:w w:val="105"/>
        </w:rPr>
        <w:t>a</w:t>
      </w:r>
      <w:r>
        <w:rPr>
          <w:spacing w:val="-15"/>
          <w:w w:val="105"/>
        </w:rPr>
        <w:t> </w:t>
      </w:r>
      <w:r>
        <w:rPr>
          <w:w w:val="105"/>
        </w:rPr>
        <w:t>su</w:t>
      </w:r>
      <w:r>
        <w:rPr>
          <w:spacing w:val="-15"/>
          <w:w w:val="105"/>
        </w:rPr>
        <w:t> </w:t>
      </w:r>
      <w:r>
        <w:rPr>
          <w:w w:val="105"/>
        </w:rPr>
        <w:t>localización</w:t>
      </w:r>
      <w:r>
        <w:rPr>
          <w:spacing w:val="-15"/>
          <w:w w:val="105"/>
        </w:rPr>
        <w:t> </w:t>
      </w:r>
      <w:r>
        <w:rPr>
          <w:w w:val="105"/>
        </w:rPr>
        <w:t>anatómica y su actividad funcional, en adrenales y extraadrenales. Los adrenales fueron subdivididos según su asociación en vasos-cervicales y nervio-craneales originados en arcos branquiales (braquoméricos), con el mediastino superior (intravagal), cadena simpática, ganglios retroperitoneales (aorto-simpático) o con vísceras como aurícula, vejiga, hilio hepático y vasos mesentéricos</w:t>
      </w:r>
      <w:r>
        <w:rPr>
          <w:spacing w:val="-33"/>
          <w:w w:val="105"/>
        </w:rPr>
        <w:t> </w:t>
      </w:r>
      <w:r>
        <w:rPr>
          <w:w w:val="105"/>
        </w:rPr>
        <w:t>(viscero-autonómicos)</w:t>
      </w:r>
      <w:r>
        <w:rPr>
          <w:w w:val="105"/>
          <w:position w:val="10"/>
          <w:sz w:val="14"/>
        </w:rPr>
        <w:t>2</w:t>
      </w:r>
      <w:r>
        <w:rPr>
          <w:w w:val="105"/>
        </w:rPr>
        <w:t>.</w:t>
      </w:r>
    </w:p>
    <w:p>
      <w:pPr>
        <w:pStyle w:val="BodyText"/>
        <w:spacing w:before="11"/>
        <w:rPr>
          <w:sz w:val="31"/>
        </w:rPr>
      </w:pPr>
    </w:p>
    <w:p>
      <w:pPr>
        <w:pStyle w:val="ListParagraph"/>
        <w:numPr>
          <w:ilvl w:val="1"/>
          <w:numId w:val="3"/>
        </w:numPr>
        <w:tabs>
          <w:tab w:pos="828" w:val="left" w:leader="none"/>
          <w:tab w:pos="829" w:val="left" w:leader="none"/>
        </w:tabs>
        <w:spacing w:line="240" w:lineRule="auto" w:before="0" w:after="0"/>
        <w:ind w:left="828" w:right="0" w:hanging="482"/>
        <w:jc w:val="left"/>
        <w:rPr>
          <w:sz w:val="21"/>
        </w:rPr>
      </w:pPr>
      <w:r>
        <w:rPr>
          <w:w w:val="105"/>
          <w:sz w:val="21"/>
        </w:rPr>
        <w:t>Adrenal:</w:t>
      </w:r>
      <w:r>
        <w:rPr>
          <w:spacing w:val="-15"/>
          <w:w w:val="105"/>
          <w:sz w:val="21"/>
        </w:rPr>
        <w:t> </w:t>
      </w:r>
      <w:r>
        <w:rPr>
          <w:w w:val="105"/>
          <w:sz w:val="21"/>
        </w:rPr>
        <w:t>Feocromocitoma</w:t>
      </w:r>
    </w:p>
    <w:p>
      <w:pPr>
        <w:pStyle w:val="BodyText"/>
        <w:rPr>
          <w:sz w:val="22"/>
        </w:rPr>
      </w:pPr>
    </w:p>
    <w:p>
      <w:pPr>
        <w:pStyle w:val="BodyText"/>
        <w:spacing w:before="10"/>
        <w:rPr>
          <w:sz w:val="22"/>
        </w:rPr>
      </w:pPr>
    </w:p>
    <w:p>
      <w:pPr>
        <w:pStyle w:val="ListParagraph"/>
        <w:numPr>
          <w:ilvl w:val="1"/>
          <w:numId w:val="3"/>
        </w:numPr>
        <w:tabs>
          <w:tab w:pos="828" w:val="left" w:leader="none"/>
          <w:tab w:pos="829" w:val="left" w:leader="none"/>
        </w:tabs>
        <w:spacing w:line="240" w:lineRule="auto" w:before="1" w:after="0"/>
        <w:ind w:left="828" w:right="0" w:hanging="543"/>
        <w:jc w:val="left"/>
        <w:rPr>
          <w:sz w:val="21"/>
        </w:rPr>
      </w:pPr>
      <w:r>
        <w:rPr>
          <w:w w:val="105"/>
          <w:sz w:val="21"/>
        </w:rPr>
        <w:t>Extra adrenales:</w:t>
      </w:r>
      <w:r>
        <w:rPr>
          <w:spacing w:val="-18"/>
          <w:w w:val="105"/>
          <w:sz w:val="21"/>
        </w:rPr>
        <w:t> </w:t>
      </w:r>
      <w:r>
        <w:rPr>
          <w:w w:val="105"/>
          <w:sz w:val="21"/>
        </w:rPr>
        <w:t>Braquimérico</w:t>
      </w:r>
    </w:p>
    <w:p>
      <w:pPr>
        <w:pStyle w:val="BodyText"/>
        <w:rPr>
          <w:sz w:val="22"/>
        </w:rPr>
      </w:pPr>
    </w:p>
    <w:p>
      <w:pPr>
        <w:pStyle w:val="BodyText"/>
        <w:spacing w:before="6"/>
        <w:rPr>
          <w:sz w:val="22"/>
        </w:rPr>
      </w:pPr>
    </w:p>
    <w:p>
      <w:pPr>
        <w:pStyle w:val="BodyText"/>
        <w:spacing w:line="501" w:lineRule="auto"/>
        <w:ind w:left="2478" w:right="3095" w:hanging="48"/>
      </w:pPr>
      <w:r>
        <w:rPr>
          <w:w w:val="105"/>
        </w:rPr>
        <w:t>Cuerpo carotídeo – subclavio Yugulo timpánico</w:t>
      </w:r>
    </w:p>
    <w:p>
      <w:pPr>
        <w:pStyle w:val="BodyText"/>
        <w:spacing w:line="501" w:lineRule="auto" w:before="11"/>
        <w:ind w:left="2478" w:right="4285"/>
      </w:pPr>
      <w:r>
        <w:rPr>
          <w:w w:val="105"/>
        </w:rPr>
        <w:t>Orbitario – coronario Laríngeo – pulmonar Intravagal Aortosimpático Vísceras – autonómico</w:t>
      </w:r>
    </w:p>
    <w:p>
      <w:pPr>
        <w:pStyle w:val="BodyText"/>
        <w:rPr>
          <w:sz w:val="22"/>
        </w:rPr>
      </w:pPr>
    </w:p>
    <w:p>
      <w:pPr>
        <w:pStyle w:val="BodyText"/>
        <w:spacing w:before="9"/>
        <w:rPr>
          <w:sz w:val="22"/>
        </w:rPr>
      </w:pPr>
    </w:p>
    <w:p>
      <w:pPr>
        <w:pStyle w:val="BodyText"/>
        <w:spacing w:line="506" w:lineRule="auto"/>
        <w:ind w:left="108" w:right="107"/>
        <w:jc w:val="both"/>
      </w:pPr>
      <w:r>
        <w:rPr>
          <w:w w:val="105"/>
        </w:rPr>
        <w:t>Los tumores del cuerpo carotídeo son neoplasias raras originadas de los órganos quimiorreceptores localizados en al adventicia de la bifurcación de la arteria carótida.</w:t>
      </w:r>
    </w:p>
    <w:p>
      <w:pPr>
        <w:pStyle w:val="BodyText"/>
        <w:spacing w:line="465" w:lineRule="auto" w:before="2"/>
        <w:ind w:left="108" w:right="114"/>
        <w:jc w:val="both"/>
      </w:pPr>
      <w:r>
        <w:rPr>
          <w:w w:val="105"/>
        </w:rPr>
        <w:t>También</w:t>
      </w:r>
      <w:r>
        <w:rPr>
          <w:spacing w:val="-6"/>
          <w:w w:val="105"/>
        </w:rPr>
        <w:t> </w:t>
      </w:r>
      <w:r>
        <w:rPr>
          <w:w w:val="105"/>
        </w:rPr>
        <w:t>conocidos</w:t>
      </w:r>
      <w:r>
        <w:rPr>
          <w:spacing w:val="-6"/>
          <w:w w:val="105"/>
        </w:rPr>
        <w:t> </w:t>
      </w:r>
      <w:r>
        <w:rPr>
          <w:w w:val="105"/>
        </w:rPr>
        <w:t>como</w:t>
      </w:r>
      <w:r>
        <w:rPr>
          <w:spacing w:val="-6"/>
          <w:w w:val="105"/>
        </w:rPr>
        <w:t> </w:t>
      </w:r>
      <w:r>
        <w:rPr>
          <w:w w:val="105"/>
        </w:rPr>
        <w:t>glomus</w:t>
      </w:r>
      <w:r>
        <w:rPr>
          <w:spacing w:val="-6"/>
          <w:w w:val="105"/>
        </w:rPr>
        <w:t> </w:t>
      </w:r>
      <w:r>
        <w:rPr>
          <w:w w:val="105"/>
        </w:rPr>
        <w:t>carotídeos,</w:t>
      </w:r>
      <w:r>
        <w:rPr>
          <w:spacing w:val="-7"/>
          <w:w w:val="105"/>
        </w:rPr>
        <w:t> </w:t>
      </w:r>
      <w:r>
        <w:rPr>
          <w:w w:val="105"/>
        </w:rPr>
        <w:t>tumor</w:t>
      </w:r>
      <w:r>
        <w:rPr>
          <w:spacing w:val="-7"/>
          <w:w w:val="105"/>
        </w:rPr>
        <w:t> </w:t>
      </w:r>
      <w:r>
        <w:rPr>
          <w:w w:val="105"/>
        </w:rPr>
        <w:t>glómico,</w:t>
      </w:r>
      <w:r>
        <w:rPr>
          <w:spacing w:val="-7"/>
          <w:w w:val="105"/>
        </w:rPr>
        <w:t> </w:t>
      </w:r>
      <w:r>
        <w:rPr>
          <w:w w:val="105"/>
        </w:rPr>
        <w:t>paranganglioma</w:t>
      </w:r>
      <w:r>
        <w:rPr>
          <w:spacing w:val="-6"/>
          <w:w w:val="105"/>
        </w:rPr>
        <w:t> </w:t>
      </w:r>
      <w:r>
        <w:rPr>
          <w:w w:val="105"/>
        </w:rPr>
        <w:t>no</w:t>
      </w:r>
      <w:r>
        <w:rPr>
          <w:spacing w:val="-6"/>
          <w:w w:val="105"/>
        </w:rPr>
        <w:t> </w:t>
      </w:r>
      <w:r>
        <w:rPr>
          <w:w w:val="105"/>
        </w:rPr>
        <w:t>cromafín, quimiodectoma o</w:t>
      </w:r>
      <w:r>
        <w:rPr>
          <w:spacing w:val="-29"/>
          <w:w w:val="105"/>
        </w:rPr>
        <w:t> </w:t>
      </w:r>
      <w:r>
        <w:rPr>
          <w:w w:val="105"/>
        </w:rPr>
        <w:t>quemodectomas</w:t>
      </w:r>
      <w:r>
        <w:rPr>
          <w:w w:val="105"/>
          <w:position w:val="10"/>
          <w:sz w:val="14"/>
        </w:rPr>
        <w:t>1,2</w:t>
      </w:r>
      <w:r>
        <w:rPr>
          <w:w w:val="105"/>
        </w:rPr>
        <w:t>.</w:t>
      </w:r>
    </w:p>
    <w:p>
      <w:pPr>
        <w:spacing w:after="0" w:line="465" w:lineRule="auto"/>
        <w:jc w:val="both"/>
        <w:sectPr>
          <w:footerReference w:type="default" r:id="rId6"/>
          <w:pgSz w:w="12240" w:h="15840"/>
          <w:pgMar w:footer="687" w:header="0" w:top="1380" w:bottom="880" w:left="1600" w:right="1580"/>
          <w:pgNumType w:start="1"/>
        </w:sectPr>
      </w:pPr>
    </w:p>
    <w:p>
      <w:pPr>
        <w:pStyle w:val="BodyText"/>
        <w:rPr>
          <w:sz w:val="20"/>
        </w:rPr>
      </w:pPr>
    </w:p>
    <w:p>
      <w:pPr>
        <w:pStyle w:val="BodyText"/>
        <w:rPr>
          <w:sz w:val="20"/>
        </w:rPr>
      </w:pPr>
    </w:p>
    <w:p>
      <w:pPr>
        <w:pStyle w:val="BodyText"/>
        <w:rPr>
          <w:sz w:val="20"/>
        </w:rPr>
      </w:pPr>
    </w:p>
    <w:p>
      <w:pPr>
        <w:pStyle w:val="BodyText"/>
        <w:spacing w:before="11"/>
      </w:pPr>
    </w:p>
    <w:p>
      <w:pPr>
        <w:pStyle w:val="Heading3"/>
        <w:numPr>
          <w:ilvl w:val="2"/>
          <w:numId w:val="4"/>
        </w:numPr>
        <w:tabs>
          <w:tab w:pos="599" w:val="left" w:leader="none"/>
        </w:tabs>
        <w:spacing w:line="240" w:lineRule="auto" w:before="0" w:after="0"/>
        <w:ind w:left="598" w:right="0" w:hanging="490"/>
        <w:jc w:val="both"/>
      </w:pPr>
      <w:r>
        <w:rPr>
          <w:w w:val="105"/>
        </w:rPr>
        <w:t>Aspectos</w:t>
      </w:r>
      <w:r>
        <w:rPr>
          <w:spacing w:val="-12"/>
          <w:w w:val="105"/>
        </w:rPr>
        <w:t> </w:t>
      </w:r>
      <w:r>
        <w:rPr>
          <w:w w:val="105"/>
        </w:rPr>
        <w:t>generales</w:t>
      </w:r>
    </w:p>
    <w:p>
      <w:pPr>
        <w:pStyle w:val="BodyText"/>
        <w:spacing w:before="9"/>
        <w:rPr>
          <w:b/>
          <w:sz w:val="22"/>
        </w:rPr>
      </w:pPr>
    </w:p>
    <w:p>
      <w:pPr>
        <w:pStyle w:val="BodyText"/>
        <w:spacing w:line="487" w:lineRule="auto"/>
        <w:ind w:left="108" w:right="111"/>
        <w:jc w:val="both"/>
      </w:pPr>
      <w:r>
        <w:rPr>
          <w:w w:val="105"/>
        </w:rPr>
        <w:t>Los paragangliomas son tumores benignos, altamente vascularizados, cuyas células se originan</w:t>
      </w:r>
      <w:r>
        <w:rPr>
          <w:spacing w:val="-4"/>
          <w:w w:val="105"/>
        </w:rPr>
        <w:t> </w:t>
      </w:r>
      <w:r>
        <w:rPr>
          <w:w w:val="105"/>
        </w:rPr>
        <w:t>en</w:t>
      </w:r>
      <w:r>
        <w:rPr>
          <w:spacing w:val="-4"/>
          <w:w w:val="105"/>
        </w:rPr>
        <w:t> </w:t>
      </w:r>
      <w:r>
        <w:rPr>
          <w:w w:val="105"/>
        </w:rPr>
        <w:t>la</w:t>
      </w:r>
      <w:r>
        <w:rPr>
          <w:spacing w:val="-4"/>
          <w:w w:val="105"/>
        </w:rPr>
        <w:t> </w:t>
      </w:r>
      <w:r>
        <w:rPr>
          <w:w w:val="105"/>
        </w:rPr>
        <w:t>cresta</w:t>
      </w:r>
      <w:r>
        <w:rPr>
          <w:spacing w:val="-4"/>
          <w:w w:val="105"/>
        </w:rPr>
        <w:t> </w:t>
      </w:r>
      <w:r>
        <w:rPr>
          <w:w w:val="105"/>
        </w:rPr>
        <w:t>neural</w:t>
      </w:r>
      <w:r>
        <w:rPr>
          <w:spacing w:val="-5"/>
          <w:w w:val="105"/>
        </w:rPr>
        <w:t> </w:t>
      </w:r>
      <w:r>
        <w:rPr>
          <w:w w:val="105"/>
        </w:rPr>
        <w:t>embrionaria.</w:t>
      </w:r>
      <w:r>
        <w:rPr>
          <w:spacing w:val="-5"/>
          <w:w w:val="105"/>
        </w:rPr>
        <w:t> </w:t>
      </w:r>
      <w:r>
        <w:rPr>
          <w:w w:val="105"/>
        </w:rPr>
        <w:t>Se</w:t>
      </w:r>
      <w:r>
        <w:rPr>
          <w:spacing w:val="-4"/>
          <w:w w:val="105"/>
        </w:rPr>
        <w:t> </w:t>
      </w:r>
      <w:r>
        <w:rPr>
          <w:w w:val="105"/>
        </w:rPr>
        <w:t>ubican</w:t>
      </w:r>
      <w:r>
        <w:rPr>
          <w:spacing w:val="-4"/>
          <w:w w:val="105"/>
        </w:rPr>
        <w:t> </w:t>
      </w:r>
      <w:r>
        <w:rPr>
          <w:w w:val="105"/>
        </w:rPr>
        <w:t>a</w:t>
      </w:r>
      <w:r>
        <w:rPr>
          <w:spacing w:val="-4"/>
          <w:w w:val="105"/>
        </w:rPr>
        <w:t> </w:t>
      </w:r>
      <w:r>
        <w:rPr>
          <w:w w:val="105"/>
        </w:rPr>
        <w:t>lo</w:t>
      </w:r>
      <w:r>
        <w:rPr>
          <w:spacing w:val="-4"/>
          <w:w w:val="105"/>
        </w:rPr>
        <w:t> </w:t>
      </w:r>
      <w:r>
        <w:rPr>
          <w:w w:val="105"/>
        </w:rPr>
        <w:t>largo</w:t>
      </w:r>
      <w:r>
        <w:rPr>
          <w:spacing w:val="-4"/>
          <w:w w:val="105"/>
        </w:rPr>
        <w:t> </w:t>
      </w:r>
      <w:r>
        <w:rPr>
          <w:w w:val="105"/>
        </w:rPr>
        <w:t>de</w:t>
      </w:r>
      <w:r>
        <w:rPr>
          <w:spacing w:val="-4"/>
          <w:w w:val="105"/>
        </w:rPr>
        <w:t> </w:t>
      </w:r>
      <w:r>
        <w:rPr>
          <w:w w:val="105"/>
        </w:rPr>
        <w:t>arterias</w:t>
      </w:r>
      <w:r>
        <w:rPr>
          <w:spacing w:val="-4"/>
          <w:w w:val="105"/>
        </w:rPr>
        <w:t> </w:t>
      </w:r>
      <w:r>
        <w:rPr>
          <w:w w:val="105"/>
        </w:rPr>
        <w:t>y</w:t>
      </w:r>
      <w:r>
        <w:rPr>
          <w:spacing w:val="-4"/>
          <w:w w:val="105"/>
        </w:rPr>
        <w:t> </w:t>
      </w:r>
      <w:r>
        <w:rPr>
          <w:w w:val="105"/>
        </w:rPr>
        <w:t>pares</w:t>
      </w:r>
      <w:r>
        <w:rPr>
          <w:spacing w:val="-4"/>
          <w:w w:val="105"/>
        </w:rPr>
        <w:t> </w:t>
      </w:r>
      <w:r>
        <w:rPr>
          <w:w w:val="105"/>
        </w:rPr>
        <w:t>craneales de</w:t>
      </w:r>
      <w:r>
        <w:rPr>
          <w:spacing w:val="-5"/>
          <w:w w:val="105"/>
        </w:rPr>
        <w:t> </w:t>
      </w:r>
      <w:r>
        <w:rPr>
          <w:w w:val="105"/>
        </w:rPr>
        <w:t>los</w:t>
      </w:r>
      <w:r>
        <w:rPr>
          <w:spacing w:val="-5"/>
          <w:w w:val="105"/>
        </w:rPr>
        <w:t> </w:t>
      </w:r>
      <w:r>
        <w:rPr>
          <w:w w:val="105"/>
        </w:rPr>
        <w:t>arcos</w:t>
      </w:r>
      <w:r>
        <w:rPr>
          <w:spacing w:val="-5"/>
          <w:w w:val="105"/>
        </w:rPr>
        <w:t> </w:t>
      </w:r>
      <w:r>
        <w:rPr>
          <w:w w:val="105"/>
        </w:rPr>
        <w:t>branquiales,</w:t>
      </w:r>
      <w:r>
        <w:rPr>
          <w:spacing w:val="-5"/>
          <w:w w:val="105"/>
        </w:rPr>
        <w:t> </w:t>
      </w:r>
      <w:r>
        <w:rPr>
          <w:w w:val="105"/>
        </w:rPr>
        <w:t>siendo</w:t>
      </w:r>
      <w:r>
        <w:rPr>
          <w:spacing w:val="-4"/>
          <w:w w:val="105"/>
        </w:rPr>
        <w:t> </w:t>
      </w:r>
      <w:r>
        <w:rPr>
          <w:w w:val="105"/>
        </w:rPr>
        <w:t>infrecuentes</w:t>
      </w:r>
      <w:r>
        <w:rPr>
          <w:spacing w:val="-5"/>
          <w:w w:val="105"/>
        </w:rPr>
        <w:t> </w:t>
      </w:r>
      <w:r>
        <w:rPr>
          <w:w w:val="105"/>
        </w:rPr>
        <w:t>en</w:t>
      </w:r>
      <w:r>
        <w:rPr>
          <w:spacing w:val="-5"/>
          <w:w w:val="105"/>
        </w:rPr>
        <w:t> </w:t>
      </w:r>
      <w:r>
        <w:rPr>
          <w:w w:val="105"/>
        </w:rPr>
        <w:t>la</w:t>
      </w:r>
      <w:r>
        <w:rPr>
          <w:spacing w:val="-5"/>
          <w:w w:val="105"/>
        </w:rPr>
        <w:t> </w:t>
      </w:r>
      <w:r>
        <w:rPr>
          <w:w w:val="105"/>
        </w:rPr>
        <w:t>región</w:t>
      </w:r>
      <w:r>
        <w:rPr>
          <w:spacing w:val="-5"/>
          <w:w w:val="105"/>
        </w:rPr>
        <w:t> </w:t>
      </w:r>
      <w:r>
        <w:rPr>
          <w:w w:val="105"/>
        </w:rPr>
        <w:t>cérvico</w:t>
      </w:r>
      <w:r>
        <w:rPr>
          <w:spacing w:val="-5"/>
          <w:w w:val="105"/>
        </w:rPr>
        <w:t> </w:t>
      </w:r>
      <w:r>
        <w:rPr>
          <w:w w:val="105"/>
        </w:rPr>
        <w:t>–</w:t>
      </w:r>
      <w:r>
        <w:rPr>
          <w:spacing w:val="-4"/>
          <w:w w:val="105"/>
        </w:rPr>
        <w:t> </w:t>
      </w:r>
      <w:r>
        <w:rPr>
          <w:w w:val="105"/>
        </w:rPr>
        <w:t>facial</w:t>
      </w:r>
      <w:r>
        <w:rPr>
          <w:spacing w:val="-5"/>
          <w:w w:val="105"/>
        </w:rPr>
        <w:t> </w:t>
      </w:r>
      <w:r>
        <w:rPr>
          <w:w w:val="105"/>
          <w:position w:val="10"/>
          <w:sz w:val="14"/>
        </w:rPr>
        <w:t>1</w:t>
      </w:r>
      <w:r>
        <w:rPr>
          <w:w w:val="105"/>
        </w:rPr>
        <w:t>.12</w:t>
      </w:r>
    </w:p>
    <w:p>
      <w:pPr>
        <w:pStyle w:val="Heading3"/>
        <w:numPr>
          <w:ilvl w:val="3"/>
          <w:numId w:val="4"/>
        </w:numPr>
        <w:tabs>
          <w:tab w:pos="782" w:val="left" w:leader="none"/>
        </w:tabs>
        <w:spacing w:line="229" w:lineRule="exact" w:before="0" w:after="0"/>
        <w:ind w:left="781" w:right="0" w:hanging="673"/>
        <w:jc w:val="both"/>
      </w:pPr>
      <w:r>
        <w:rPr>
          <w:w w:val="105"/>
        </w:rPr>
        <w:t>Primeras</w:t>
      </w:r>
      <w:r>
        <w:rPr>
          <w:spacing w:val="-14"/>
          <w:w w:val="105"/>
        </w:rPr>
        <w:t> </w:t>
      </w:r>
      <w:r>
        <w:rPr>
          <w:w w:val="105"/>
        </w:rPr>
        <w:t>descripciones</w:t>
      </w:r>
    </w:p>
    <w:p>
      <w:pPr>
        <w:pStyle w:val="BodyText"/>
        <w:spacing w:before="9"/>
        <w:rPr>
          <w:b/>
          <w:sz w:val="22"/>
        </w:rPr>
      </w:pPr>
    </w:p>
    <w:p>
      <w:pPr>
        <w:pStyle w:val="BodyText"/>
        <w:spacing w:line="487" w:lineRule="auto"/>
        <w:ind w:left="108" w:right="110"/>
        <w:jc w:val="both"/>
      </w:pPr>
      <w:r>
        <w:rPr>
          <w:w w:val="105"/>
        </w:rPr>
        <w:t>La primera descripción de tejido paraganglionar corresponde a Von Haller (1743), quien estudio el cuerpo carotideo. Hasta 1990, menos de mil casos habían sido reportados en la literatura mundial</w:t>
      </w:r>
      <w:r>
        <w:rPr>
          <w:w w:val="105"/>
          <w:position w:val="10"/>
          <w:sz w:val="14"/>
        </w:rPr>
        <w:t>1</w:t>
      </w:r>
      <w:r>
        <w:rPr>
          <w:w w:val="105"/>
        </w:rPr>
        <w:t>.</w:t>
      </w:r>
    </w:p>
    <w:p>
      <w:pPr>
        <w:pStyle w:val="BodyText"/>
        <w:spacing w:line="225" w:lineRule="exact"/>
        <w:ind w:left="108"/>
        <w:jc w:val="both"/>
      </w:pPr>
      <w:r>
        <w:rPr>
          <w:w w:val="105"/>
        </w:rPr>
        <w:t>Von  Luschka  (1862)  hizo  el  primer  reporte  de  tumores  del  cuerpo  carotideo, siendo</w:t>
      </w:r>
    </w:p>
    <w:p>
      <w:pPr>
        <w:pStyle w:val="BodyText"/>
        <w:spacing w:before="2"/>
        <w:rPr>
          <w:sz w:val="23"/>
        </w:rPr>
      </w:pPr>
    </w:p>
    <w:p>
      <w:pPr>
        <w:pStyle w:val="BodyText"/>
        <w:spacing w:line="504" w:lineRule="auto" w:before="1"/>
        <w:ind w:left="108" w:right="108"/>
        <w:jc w:val="both"/>
      </w:pPr>
      <w:r>
        <w:rPr>
          <w:w w:val="105"/>
        </w:rPr>
        <w:t>Scudder, en 1903, el primero en rescatar uno de estos tumores. En el mismo año, Kohn acuñó</w:t>
      </w:r>
      <w:r>
        <w:rPr>
          <w:spacing w:val="-12"/>
          <w:w w:val="105"/>
        </w:rPr>
        <w:t> </w:t>
      </w:r>
      <w:r>
        <w:rPr>
          <w:w w:val="105"/>
        </w:rPr>
        <w:t>el</w:t>
      </w:r>
      <w:r>
        <w:rPr>
          <w:spacing w:val="-14"/>
          <w:w w:val="105"/>
        </w:rPr>
        <w:t> </w:t>
      </w:r>
      <w:r>
        <w:rPr>
          <w:w w:val="105"/>
        </w:rPr>
        <w:t>término</w:t>
      </w:r>
      <w:r>
        <w:rPr>
          <w:spacing w:val="-12"/>
          <w:w w:val="105"/>
        </w:rPr>
        <w:t> </w:t>
      </w:r>
      <w:r>
        <w:rPr>
          <w:w w:val="105"/>
        </w:rPr>
        <w:t>paranglión</w:t>
      </w:r>
      <w:r>
        <w:rPr>
          <w:spacing w:val="-12"/>
          <w:w w:val="105"/>
        </w:rPr>
        <w:t> </w:t>
      </w:r>
      <w:r>
        <w:rPr>
          <w:w w:val="105"/>
        </w:rPr>
        <w:t>para</w:t>
      </w:r>
      <w:r>
        <w:rPr>
          <w:spacing w:val="-12"/>
          <w:w w:val="105"/>
        </w:rPr>
        <w:t> </w:t>
      </w:r>
      <w:r>
        <w:rPr>
          <w:w w:val="105"/>
        </w:rPr>
        <w:t>describir</w:t>
      </w:r>
      <w:r>
        <w:rPr>
          <w:spacing w:val="-13"/>
          <w:w w:val="105"/>
        </w:rPr>
        <w:t> </w:t>
      </w:r>
      <w:r>
        <w:rPr>
          <w:w w:val="105"/>
        </w:rPr>
        <w:t>el</w:t>
      </w:r>
      <w:r>
        <w:rPr>
          <w:spacing w:val="-14"/>
          <w:w w:val="105"/>
        </w:rPr>
        <w:t> </w:t>
      </w:r>
      <w:r>
        <w:rPr>
          <w:w w:val="105"/>
        </w:rPr>
        <w:t>cuerpo</w:t>
      </w:r>
      <w:r>
        <w:rPr>
          <w:spacing w:val="-12"/>
          <w:w w:val="105"/>
        </w:rPr>
        <w:t> </w:t>
      </w:r>
      <w:r>
        <w:rPr>
          <w:w w:val="105"/>
        </w:rPr>
        <w:t>carotídeo.</w:t>
      </w:r>
      <w:r>
        <w:rPr>
          <w:spacing w:val="-13"/>
          <w:w w:val="105"/>
        </w:rPr>
        <w:t> </w:t>
      </w:r>
      <w:r>
        <w:rPr>
          <w:w w:val="105"/>
        </w:rPr>
        <w:t>Durante</w:t>
      </w:r>
      <w:r>
        <w:rPr>
          <w:spacing w:val="-12"/>
          <w:w w:val="105"/>
        </w:rPr>
        <w:t> </w:t>
      </w:r>
      <w:r>
        <w:rPr>
          <w:w w:val="105"/>
        </w:rPr>
        <w:t>la</w:t>
      </w:r>
      <w:r>
        <w:rPr>
          <w:spacing w:val="-12"/>
          <w:w w:val="105"/>
        </w:rPr>
        <w:t> </w:t>
      </w:r>
      <w:r>
        <w:rPr>
          <w:w w:val="105"/>
        </w:rPr>
        <w:t>primera</w:t>
      </w:r>
      <w:r>
        <w:rPr>
          <w:spacing w:val="-12"/>
          <w:w w:val="105"/>
        </w:rPr>
        <w:t> </w:t>
      </w:r>
      <w:r>
        <w:rPr>
          <w:w w:val="105"/>
        </w:rPr>
        <w:t>mitad</w:t>
      </w:r>
      <w:r>
        <w:rPr>
          <w:spacing w:val="-12"/>
          <w:w w:val="105"/>
        </w:rPr>
        <w:t> </w:t>
      </w:r>
      <w:r>
        <w:rPr>
          <w:spacing w:val="2"/>
          <w:w w:val="105"/>
        </w:rPr>
        <w:t>del </w:t>
      </w:r>
      <w:r>
        <w:rPr>
          <w:w w:val="105"/>
        </w:rPr>
        <w:t>siglo</w:t>
      </w:r>
      <w:r>
        <w:rPr>
          <w:spacing w:val="26"/>
          <w:w w:val="105"/>
        </w:rPr>
        <w:t> </w:t>
      </w:r>
      <w:r>
        <w:rPr>
          <w:w w:val="105"/>
        </w:rPr>
        <w:t>XX</w:t>
      </w:r>
      <w:r>
        <w:rPr>
          <w:spacing w:val="27"/>
          <w:w w:val="105"/>
        </w:rPr>
        <w:t> </w:t>
      </w:r>
      <w:r>
        <w:rPr>
          <w:w w:val="105"/>
        </w:rPr>
        <w:t>se</w:t>
      </w:r>
      <w:r>
        <w:rPr>
          <w:spacing w:val="26"/>
          <w:w w:val="105"/>
        </w:rPr>
        <w:t> </w:t>
      </w:r>
      <w:r>
        <w:rPr>
          <w:w w:val="105"/>
        </w:rPr>
        <w:t>describió</w:t>
      </w:r>
      <w:r>
        <w:rPr>
          <w:spacing w:val="26"/>
          <w:w w:val="105"/>
        </w:rPr>
        <w:t> </w:t>
      </w:r>
      <w:r>
        <w:rPr>
          <w:w w:val="105"/>
        </w:rPr>
        <w:t>la</w:t>
      </w:r>
      <w:r>
        <w:rPr>
          <w:spacing w:val="26"/>
          <w:w w:val="105"/>
        </w:rPr>
        <w:t> </w:t>
      </w:r>
      <w:r>
        <w:rPr>
          <w:w w:val="105"/>
        </w:rPr>
        <w:t>presencia</w:t>
      </w:r>
      <w:r>
        <w:rPr>
          <w:spacing w:val="27"/>
          <w:w w:val="105"/>
        </w:rPr>
        <w:t> </w:t>
      </w:r>
      <w:r>
        <w:rPr>
          <w:w w:val="105"/>
        </w:rPr>
        <w:t>de</w:t>
      </w:r>
      <w:r>
        <w:rPr>
          <w:spacing w:val="27"/>
          <w:w w:val="105"/>
        </w:rPr>
        <w:t> </w:t>
      </w:r>
      <w:r>
        <w:rPr>
          <w:w w:val="105"/>
        </w:rPr>
        <w:t>tejido</w:t>
      </w:r>
      <w:r>
        <w:rPr>
          <w:spacing w:val="27"/>
          <w:w w:val="105"/>
        </w:rPr>
        <w:t> </w:t>
      </w:r>
      <w:r>
        <w:rPr>
          <w:w w:val="105"/>
        </w:rPr>
        <w:t>paraganglionar</w:t>
      </w:r>
      <w:r>
        <w:rPr>
          <w:spacing w:val="26"/>
          <w:w w:val="105"/>
        </w:rPr>
        <w:t> </w:t>
      </w:r>
      <w:r>
        <w:rPr>
          <w:w w:val="105"/>
        </w:rPr>
        <w:t>en</w:t>
      </w:r>
      <w:r>
        <w:rPr>
          <w:spacing w:val="27"/>
          <w:w w:val="105"/>
        </w:rPr>
        <w:t> </w:t>
      </w:r>
      <w:r>
        <w:rPr>
          <w:w w:val="105"/>
        </w:rPr>
        <w:t>el</w:t>
      </w:r>
      <w:r>
        <w:rPr>
          <w:spacing w:val="25"/>
          <w:w w:val="105"/>
        </w:rPr>
        <w:t> </w:t>
      </w:r>
      <w:r>
        <w:rPr>
          <w:w w:val="105"/>
        </w:rPr>
        <w:t>trayecto</w:t>
      </w:r>
      <w:r>
        <w:rPr>
          <w:spacing w:val="27"/>
          <w:w w:val="105"/>
        </w:rPr>
        <w:t> </w:t>
      </w:r>
      <w:r>
        <w:rPr>
          <w:w w:val="105"/>
        </w:rPr>
        <w:t>del</w:t>
      </w:r>
      <w:r>
        <w:rPr>
          <w:spacing w:val="25"/>
          <w:w w:val="105"/>
        </w:rPr>
        <w:t> </w:t>
      </w:r>
      <w:r>
        <w:rPr>
          <w:w w:val="105"/>
        </w:rPr>
        <w:t>nervio</w:t>
      </w:r>
      <w:r>
        <w:rPr>
          <w:spacing w:val="27"/>
          <w:w w:val="105"/>
        </w:rPr>
        <w:t> </w:t>
      </w:r>
      <w:r>
        <w:rPr>
          <w:w w:val="105"/>
        </w:rPr>
        <w:t>de</w:t>
      </w:r>
    </w:p>
    <w:p>
      <w:pPr>
        <w:pStyle w:val="BodyText"/>
        <w:spacing w:line="246" w:lineRule="exact"/>
        <w:ind w:left="108"/>
        <w:jc w:val="both"/>
      </w:pPr>
      <w:r>
        <w:rPr>
          <w:w w:val="105"/>
        </w:rPr>
        <w:t>Jacobson, en el perineuro vagal y en la convexidad del golfo de la yugular</w:t>
      </w:r>
      <w:r>
        <w:rPr>
          <w:w w:val="105"/>
          <w:position w:val="10"/>
          <w:sz w:val="14"/>
        </w:rPr>
        <w:t>1</w:t>
      </w:r>
      <w:r>
        <w:rPr>
          <w:w w:val="105"/>
        </w:rPr>
        <w:t>.</w:t>
      </w:r>
    </w:p>
    <w:p>
      <w:pPr>
        <w:pStyle w:val="BodyText"/>
        <w:spacing w:before="9"/>
        <w:rPr>
          <w:sz w:val="22"/>
        </w:rPr>
      </w:pPr>
    </w:p>
    <w:p>
      <w:pPr>
        <w:pStyle w:val="BodyText"/>
        <w:spacing w:line="504" w:lineRule="auto"/>
        <w:ind w:left="108" w:right="110"/>
        <w:jc w:val="both"/>
      </w:pPr>
      <w:r>
        <w:rPr>
          <w:w w:val="105"/>
        </w:rPr>
        <w:t>En</w:t>
      </w:r>
      <w:r>
        <w:rPr>
          <w:spacing w:val="-10"/>
          <w:w w:val="105"/>
        </w:rPr>
        <w:t> </w:t>
      </w:r>
      <w:r>
        <w:rPr>
          <w:w w:val="105"/>
        </w:rPr>
        <w:t>1975,</w:t>
      </w:r>
      <w:r>
        <w:rPr>
          <w:spacing w:val="-11"/>
          <w:w w:val="105"/>
        </w:rPr>
        <w:t> </w:t>
      </w:r>
      <w:r>
        <w:rPr>
          <w:w w:val="105"/>
        </w:rPr>
        <w:t>Mascorro</w:t>
      </w:r>
      <w:r>
        <w:rPr>
          <w:spacing w:val="-10"/>
          <w:w w:val="105"/>
        </w:rPr>
        <w:t> </w:t>
      </w:r>
      <w:r>
        <w:rPr>
          <w:w w:val="105"/>
        </w:rPr>
        <w:t>y</w:t>
      </w:r>
      <w:r>
        <w:rPr>
          <w:spacing w:val="-10"/>
          <w:w w:val="105"/>
        </w:rPr>
        <w:t> </w:t>
      </w:r>
      <w:r>
        <w:rPr>
          <w:w w:val="105"/>
        </w:rPr>
        <w:t>Yates,</w:t>
      </w:r>
      <w:r>
        <w:rPr>
          <w:spacing w:val="-11"/>
          <w:w w:val="105"/>
        </w:rPr>
        <w:t> </w:t>
      </w:r>
      <w:r>
        <w:rPr>
          <w:w w:val="105"/>
        </w:rPr>
        <w:t>denominaron</w:t>
      </w:r>
      <w:r>
        <w:rPr>
          <w:spacing w:val="-10"/>
          <w:w w:val="105"/>
        </w:rPr>
        <w:t> </w:t>
      </w:r>
      <w:r>
        <w:rPr>
          <w:w w:val="105"/>
        </w:rPr>
        <w:t>como</w:t>
      </w:r>
      <w:r>
        <w:rPr>
          <w:spacing w:val="-10"/>
          <w:w w:val="105"/>
        </w:rPr>
        <w:t> </w:t>
      </w:r>
      <w:r>
        <w:rPr>
          <w:w w:val="105"/>
        </w:rPr>
        <w:t>sistema</w:t>
      </w:r>
      <w:r>
        <w:rPr>
          <w:spacing w:val="-10"/>
          <w:w w:val="105"/>
        </w:rPr>
        <w:t> </w:t>
      </w:r>
      <w:r>
        <w:rPr>
          <w:w w:val="105"/>
        </w:rPr>
        <w:t>paraganglionar</w:t>
      </w:r>
      <w:r>
        <w:rPr>
          <w:spacing w:val="-11"/>
          <w:w w:val="105"/>
        </w:rPr>
        <w:t> </w:t>
      </w:r>
      <w:r>
        <w:rPr>
          <w:w w:val="105"/>
        </w:rPr>
        <w:t>al</w:t>
      </w:r>
      <w:r>
        <w:rPr>
          <w:spacing w:val="-11"/>
          <w:w w:val="105"/>
        </w:rPr>
        <w:t> </w:t>
      </w:r>
      <w:r>
        <w:rPr>
          <w:w w:val="105"/>
        </w:rPr>
        <w:t>grupo</w:t>
      </w:r>
      <w:r>
        <w:rPr>
          <w:spacing w:val="-10"/>
          <w:w w:val="105"/>
        </w:rPr>
        <w:t> </w:t>
      </w:r>
      <w:r>
        <w:rPr>
          <w:w w:val="105"/>
        </w:rPr>
        <w:t>de</w:t>
      </w:r>
      <w:r>
        <w:rPr>
          <w:spacing w:val="-10"/>
          <w:w w:val="105"/>
        </w:rPr>
        <w:t> </w:t>
      </w:r>
      <w:r>
        <w:rPr>
          <w:w w:val="105"/>
        </w:rPr>
        <w:t>células cromafines, derivadas del neuroectodermo, que se ubican en sitios extra-suprarrenales. Forman</w:t>
      </w:r>
      <w:r>
        <w:rPr>
          <w:spacing w:val="-5"/>
          <w:w w:val="105"/>
        </w:rPr>
        <w:t> </w:t>
      </w:r>
      <w:r>
        <w:rPr>
          <w:w w:val="105"/>
        </w:rPr>
        <w:t>parte</w:t>
      </w:r>
      <w:r>
        <w:rPr>
          <w:spacing w:val="-5"/>
          <w:w w:val="105"/>
        </w:rPr>
        <w:t> </w:t>
      </w:r>
      <w:r>
        <w:rPr>
          <w:w w:val="105"/>
        </w:rPr>
        <w:t>del</w:t>
      </w:r>
      <w:r>
        <w:rPr>
          <w:spacing w:val="-6"/>
          <w:w w:val="105"/>
        </w:rPr>
        <w:t> </w:t>
      </w:r>
      <w:r>
        <w:rPr>
          <w:w w:val="105"/>
        </w:rPr>
        <w:t>sistema</w:t>
      </w:r>
      <w:r>
        <w:rPr>
          <w:spacing w:val="-5"/>
          <w:w w:val="105"/>
        </w:rPr>
        <w:t> </w:t>
      </w:r>
      <w:r>
        <w:rPr>
          <w:w w:val="105"/>
        </w:rPr>
        <w:t>neuroendocrino,</w:t>
      </w:r>
      <w:r>
        <w:rPr>
          <w:spacing w:val="-6"/>
          <w:w w:val="105"/>
        </w:rPr>
        <w:t> </w:t>
      </w:r>
      <w:r>
        <w:rPr>
          <w:w w:val="105"/>
        </w:rPr>
        <w:t>aportando</w:t>
      </w:r>
      <w:r>
        <w:rPr>
          <w:spacing w:val="-5"/>
          <w:w w:val="105"/>
        </w:rPr>
        <w:t> </w:t>
      </w:r>
      <w:r>
        <w:rPr>
          <w:w w:val="105"/>
        </w:rPr>
        <w:t>catecolaminas</w:t>
      </w:r>
      <w:r>
        <w:rPr>
          <w:spacing w:val="-5"/>
          <w:w w:val="105"/>
        </w:rPr>
        <w:t> </w:t>
      </w:r>
      <w:r>
        <w:rPr>
          <w:w w:val="105"/>
        </w:rPr>
        <w:t>hasta</w:t>
      </w:r>
      <w:r>
        <w:rPr>
          <w:spacing w:val="-5"/>
          <w:w w:val="105"/>
        </w:rPr>
        <w:t> </w:t>
      </w:r>
      <w:r>
        <w:rPr>
          <w:w w:val="105"/>
        </w:rPr>
        <w:t>que</w:t>
      </w:r>
      <w:r>
        <w:rPr>
          <w:spacing w:val="-5"/>
          <w:w w:val="105"/>
        </w:rPr>
        <w:t> </w:t>
      </w:r>
      <w:r>
        <w:rPr>
          <w:w w:val="105"/>
        </w:rPr>
        <w:t>se</w:t>
      </w:r>
      <w:r>
        <w:rPr>
          <w:spacing w:val="-5"/>
          <w:w w:val="105"/>
        </w:rPr>
        <w:t> </w:t>
      </w:r>
      <w:r>
        <w:rPr>
          <w:w w:val="105"/>
        </w:rPr>
        <w:t>forma</w:t>
      </w:r>
      <w:r>
        <w:rPr>
          <w:spacing w:val="-5"/>
          <w:w w:val="105"/>
        </w:rPr>
        <w:t> </w:t>
      </w:r>
      <w:r>
        <w:rPr>
          <w:w w:val="105"/>
        </w:rPr>
        <w:t>la médula suprarrenal. La mayor parte de las células degeneran después del nacimiento, persistiendo sólo en algunas localizaciones. En el área cérvico-facial normalmente se encuentra tejido paraganglionar a lo largo del sistema nervioso autónomo y en los</w:t>
      </w:r>
      <w:r>
        <w:rPr>
          <w:spacing w:val="-39"/>
          <w:w w:val="105"/>
        </w:rPr>
        <w:t> </w:t>
      </w:r>
      <w:r>
        <w:rPr>
          <w:w w:val="105"/>
        </w:rPr>
        <w:t>cuerpos</w:t>
      </w:r>
    </w:p>
    <w:p>
      <w:pPr>
        <w:pStyle w:val="BodyText"/>
        <w:spacing w:line="251" w:lineRule="exact"/>
        <w:ind w:left="108"/>
        <w:jc w:val="both"/>
      </w:pPr>
      <w:r>
        <w:rPr>
          <w:w w:val="105"/>
        </w:rPr>
        <w:t>yugulo-timpánico, vagal y carotídeo</w:t>
      </w:r>
      <w:r>
        <w:rPr>
          <w:w w:val="105"/>
          <w:position w:val="10"/>
          <w:sz w:val="14"/>
        </w:rPr>
        <w:t>2</w:t>
      </w:r>
      <w:r>
        <w:rPr>
          <w:w w:val="105"/>
        </w:rPr>
        <w:t>.</w:t>
      </w:r>
    </w:p>
    <w:p>
      <w:pPr>
        <w:pStyle w:val="BodyText"/>
        <w:spacing w:before="9"/>
        <w:rPr>
          <w:sz w:val="22"/>
        </w:rPr>
      </w:pPr>
    </w:p>
    <w:p>
      <w:pPr>
        <w:pStyle w:val="Heading3"/>
        <w:numPr>
          <w:ilvl w:val="3"/>
          <w:numId w:val="4"/>
        </w:numPr>
        <w:tabs>
          <w:tab w:pos="782" w:val="left" w:leader="none"/>
        </w:tabs>
        <w:spacing w:line="240" w:lineRule="auto" w:before="0" w:after="0"/>
        <w:ind w:left="781" w:right="0" w:hanging="673"/>
        <w:jc w:val="both"/>
      </w:pPr>
      <w:r>
        <w:rPr>
          <w:w w:val="105"/>
        </w:rPr>
        <w:t>Epidemiología</w:t>
      </w:r>
    </w:p>
    <w:p>
      <w:pPr>
        <w:pStyle w:val="BodyText"/>
        <w:spacing w:before="2"/>
        <w:rPr>
          <w:b/>
          <w:sz w:val="23"/>
        </w:rPr>
      </w:pPr>
    </w:p>
    <w:p>
      <w:pPr>
        <w:pStyle w:val="BodyText"/>
        <w:spacing w:line="484" w:lineRule="auto" w:before="1"/>
        <w:ind w:left="108" w:right="113"/>
        <w:jc w:val="both"/>
      </w:pPr>
      <w:r>
        <w:rPr>
          <w:w w:val="105"/>
        </w:rPr>
        <w:t>Tienen</w:t>
      </w:r>
      <w:r>
        <w:rPr>
          <w:spacing w:val="-15"/>
          <w:w w:val="105"/>
        </w:rPr>
        <w:t> </w:t>
      </w:r>
      <w:r>
        <w:rPr>
          <w:w w:val="105"/>
        </w:rPr>
        <w:t>una</w:t>
      </w:r>
      <w:r>
        <w:rPr>
          <w:spacing w:val="-15"/>
          <w:w w:val="105"/>
        </w:rPr>
        <w:t> </w:t>
      </w:r>
      <w:r>
        <w:rPr>
          <w:w w:val="105"/>
        </w:rPr>
        <w:t>incidencia</w:t>
      </w:r>
      <w:r>
        <w:rPr>
          <w:spacing w:val="-15"/>
          <w:w w:val="105"/>
        </w:rPr>
        <w:t> </w:t>
      </w:r>
      <w:r>
        <w:rPr>
          <w:w w:val="105"/>
        </w:rPr>
        <w:t>de</w:t>
      </w:r>
      <w:r>
        <w:rPr>
          <w:spacing w:val="-15"/>
          <w:w w:val="105"/>
        </w:rPr>
        <w:t> </w:t>
      </w:r>
      <w:r>
        <w:rPr>
          <w:w w:val="105"/>
        </w:rPr>
        <w:t>1</w:t>
      </w:r>
      <w:r>
        <w:rPr>
          <w:spacing w:val="-15"/>
          <w:w w:val="105"/>
        </w:rPr>
        <w:t> </w:t>
      </w:r>
      <w:r>
        <w:rPr>
          <w:w w:val="105"/>
        </w:rPr>
        <w:t>en</w:t>
      </w:r>
      <w:r>
        <w:rPr>
          <w:spacing w:val="-15"/>
          <w:w w:val="105"/>
        </w:rPr>
        <w:t> </w:t>
      </w:r>
      <w:r>
        <w:rPr>
          <w:w w:val="105"/>
        </w:rPr>
        <w:t>100.000.</w:t>
      </w:r>
      <w:r>
        <w:rPr>
          <w:spacing w:val="-16"/>
          <w:w w:val="105"/>
        </w:rPr>
        <w:t> </w:t>
      </w:r>
      <w:r>
        <w:rPr>
          <w:w w:val="105"/>
        </w:rPr>
        <w:t>Los</w:t>
      </w:r>
      <w:r>
        <w:rPr>
          <w:spacing w:val="-15"/>
          <w:w w:val="105"/>
        </w:rPr>
        <w:t> </w:t>
      </w:r>
      <w:r>
        <w:rPr>
          <w:w w:val="105"/>
        </w:rPr>
        <w:t>tumores</w:t>
      </w:r>
      <w:r>
        <w:rPr>
          <w:spacing w:val="-14"/>
          <w:w w:val="105"/>
        </w:rPr>
        <w:t> </w:t>
      </w:r>
      <w:r>
        <w:rPr>
          <w:w w:val="105"/>
        </w:rPr>
        <w:t>del</w:t>
      </w:r>
      <w:r>
        <w:rPr>
          <w:spacing w:val="-17"/>
          <w:w w:val="105"/>
        </w:rPr>
        <w:t> </w:t>
      </w:r>
      <w:r>
        <w:rPr>
          <w:w w:val="105"/>
        </w:rPr>
        <w:t>cuerpo</w:t>
      </w:r>
      <w:r>
        <w:rPr>
          <w:spacing w:val="-15"/>
          <w:w w:val="105"/>
        </w:rPr>
        <w:t> </w:t>
      </w:r>
      <w:r>
        <w:rPr>
          <w:w w:val="105"/>
        </w:rPr>
        <w:t>carotideo</w:t>
      </w:r>
      <w:r>
        <w:rPr>
          <w:spacing w:val="-15"/>
          <w:w w:val="105"/>
        </w:rPr>
        <w:t> </w:t>
      </w:r>
      <w:r>
        <w:rPr>
          <w:w w:val="105"/>
        </w:rPr>
        <w:t>son</w:t>
      </w:r>
      <w:r>
        <w:rPr>
          <w:spacing w:val="-15"/>
          <w:w w:val="105"/>
        </w:rPr>
        <w:t> </w:t>
      </w:r>
      <w:r>
        <w:rPr>
          <w:w w:val="105"/>
        </w:rPr>
        <w:t>lesiones</w:t>
      </w:r>
      <w:r>
        <w:rPr>
          <w:spacing w:val="-15"/>
          <w:w w:val="105"/>
        </w:rPr>
        <w:t> </w:t>
      </w:r>
      <w:r>
        <w:rPr>
          <w:w w:val="105"/>
        </w:rPr>
        <w:t>poco comunes</w:t>
      </w:r>
      <w:r>
        <w:rPr>
          <w:spacing w:val="-4"/>
          <w:w w:val="105"/>
        </w:rPr>
        <w:t> </w:t>
      </w:r>
      <w:r>
        <w:rPr>
          <w:w w:val="105"/>
        </w:rPr>
        <w:t>del</w:t>
      </w:r>
      <w:r>
        <w:rPr>
          <w:spacing w:val="-5"/>
          <w:w w:val="105"/>
        </w:rPr>
        <w:t> </w:t>
      </w:r>
      <w:r>
        <w:rPr>
          <w:w w:val="105"/>
        </w:rPr>
        <w:t>sistema</w:t>
      </w:r>
      <w:r>
        <w:rPr>
          <w:spacing w:val="-4"/>
          <w:w w:val="105"/>
        </w:rPr>
        <w:t> </w:t>
      </w:r>
      <w:r>
        <w:rPr>
          <w:w w:val="105"/>
        </w:rPr>
        <w:t>neuroendocrino.</w:t>
      </w:r>
      <w:r>
        <w:rPr>
          <w:spacing w:val="-5"/>
          <w:w w:val="105"/>
        </w:rPr>
        <w:t> </w:t>
      </w:r>
      <w:r>
        <w:rPr>
          <w:w w:val="105"/>
        </w:rPr>
        <w:t>De</w:t>
      </w:r>
      <w:r>
        <w:rPr>
          <w:spacing w:val="-4"/>
          <w:w w:val="105"/>
        </w:rPr>
        <w:t> </w:t>
      </w:r>
      <w:r>
        <w:rPr>
          <w:w w:val="105"/>
        </w:rPr>
        <w:t>5</w:t>
      </w:r>
      <w:r>
        <w:rPr>
          <w:spacing w:val="-4"/>
          <w:w w:val="105"/>
        </w:rPr>
        <w:t> </w:t>
      </w:r>
      <w:r>
        <w:rPr>
          <w:w w:val="105"/>
        </w:rPr>
        <w:t>a</w:t>
      </w:r>
      <w:r>
        <w:rPr>
          <w:spacing w:val="-4"/>
          <w:w w:val="105"/>
        </w:rPr>
        <w:t> </w:t>
      </w:r>
      <w:r>
        <w:rPr>
          <w:w w:val="105"/>
        </w:rPr>
        <w:t>7</w:t>
      </w:r>
      <w:r>
        <w:rPr>
          <w:spacing w:val="-4"/>
          <w:w w:val="105"/>
        </w:rPr>
        <w:t> </w:t>
      </w:r>
      <w:r>
        <w:rPr>
          <w:w w:val="105"/>
        </w:rPr>
        <w:t>%</w:t>
      </w:r>
      <w:r>
        <w:rPr>
          <w:spacing w:val="-3"/>
          <w:w w:val="105"/>
        </w:rPr>
        <w:t> </w:t>
      </w:r>
      <w:r>
        <w:rPr>
          <w:w w:val="105"/>
        </w:rPr>
        <w:t>de</w:t>
      </w:r>
      <w:r>
        <w:rPr>
          <w:spacing w:val="-4"/>
          <w:w w:val="105"/>
        </w:rPr>
        <w:t> </w:t>
      </w:r>
      <w:r>
        <w:rPr>
          <w:w w:val="105"/>
        </w:rPr>
        <w:t>los</w:t>
      </w:r>
      <w:r>
        <w:rPr>
          <w:spacing w:val="-4"/>
          <w:w w:val="105"/>
        </w:rPr>
        <w:t> </w:t>
      </w:r>
      <w:r>
        <w:rPr>
          <w:w w:val="105"/>
        </w:rPr>
        <w:t>tumores</w:t>
      </w:r>
      <w:r>
        <w:rPr>
          <w:spacing w:val="-4"/>
          <w:w w:val="105"/>
        </w:rPr>
        <w:t> </w:t>
      </w:r>
      <w:r>
        <w:rPr>
          <w:w w:val="105"/>
        </w:rPr>
        <w:t>del</w:t>
      </w:r>
      <w:r>
        <w:rPr>
          <w:spacing w:val="-5"/>
          <w:w w:val="105"/>
        </w:rPr>
        <w:t> </w:t>
      </w:r>
      <w:r>
        <w:rPr>
          <w:w w:val="105"/>
        </w:rPr>
        <w:t>cuerpo</w:t>
      </w:r>
      <w:r>
        <w:rPr>
          <w:spacing w:val="-4"/>
          <w:w w:val="105"/>
        </w:rPr>
        <w:t> </w:t>
      </w:r>
      <w:r>
        <w:rPr>
          <w:w w:val="105"/>
        </w:rPr>
        <w:t>carotideo</w:t>
      </w:r>
      <w:r>
        <w:rPr>
          <w:spacing w:val="-4"/>
          <w:w w:val="105"/>
        </w:rPr>
        <w:t> </w:t>
      </w:r>
      <w:r>
        <w:rPr>
          <w:w w:val="105"/>
        </w:rPr>
        <w:t>son malignos</w:t>
      </w:r>
      <w:r>
        <w:rPr>
          <w:w w:val="105"/>
          <w:position w:val="10"/>
          <w:sz w:val="14"/>
        </w:rPr>
        <w:t>2</w:t>
      </w:r>
      <w:r>
        <w:rPr>
          <w:w w:val="105"/>
        </w:rPr>
        <w:t>.</w:t>
      </w:r>
    </w:p>
    <w:p>
      <w:pPr>
        <w:spacing w:after="0" w:line="484" w:lineRule="auto"/>
        <w:jc w:val="both"/>
        <w:sectPr>
          <w:pgSz w:w="12240" w:h="15840"/>
          <w:pgMar w:header="0" w:footer="687" w:top="1500" w:bottom="940" w:left="1600" w:right="1580"/>
        </w:sectPr>
      </w:pPr>
    </w:p>
    <w:p>
      <w:pPr>
        <w:pStyle w:val="Heading3"/>
        <w:numPr>
          <w:ilvl w:val="3"/>
          <w:numId w:val="4"/>
        </w:numPr>
        <w:tabs>
          <w:tab w:pos="782" w:val="left" w:leader="none"/>
        </w:tabs>
        <w:spacing w:line="240" w:lineRule="auto" w:before="50" w:after="0"/>
        <w:ind w:left="781" w:right="0" w:hanging="673"/>
        <w:jc w:val="both"/>
      </w:pPr>
      <w:r>
        <w:rPr>
          <w:w w:val="105"/>
        </w:rPr>
        <w:t>Ubicaciones</w:t>
      </w:r>
      <w:r>
        <w:rPr>
          <w:spacing w:val="-14"/>
          <w:w w:val="105"/>
        </w:rPr>
        <w:t> </w:t>
      </w:r>
      <w:r>
        <w:rPr>
          <w:w w:val="105"/>
        </w:rPr>
        <w:t>anatómicas</w:t>
      </w:r>
    </w:p>
    <w:p>
      <w:pPr>
        <w:pStyle w:val="BodyText"/>
        <w:spacing w:before="2"/>
        <w:rPr>
          <w:b/>
          <w:sz w:val="23"/>
        </w:rPr>
      </w:pPr>
    </w:p>
    <w:p>
      <w:pPr>
        <w:pStyle w:val="BodyText"/>
        <w:spacing w:line="491" w:lineRule="auto" w:before="1"/>
        <w:ind w:left="108" w:right="109"/>
        <w:jc w:val="both"/>
      </w:pPr>
      <w:r>
        <w:rPr>
          <w:w w:val="105"/>
        </w:rPr>
        <w:t>El 90% de los paragangliomas se ubica en la glándula suprarrenal (feocromocitoma). El 85%</w:t>
      </w:r>
      <w:r>
        <w:rPr>
          <w:spacing w:val="-9"/>
          <w:w w:val="105"/>
        </w:rPr>
        <w:t> </w:t>
      </w:r>
      <w:r>
        <w:rPr>
          <w:w w:val="105"/>
        </w:rPr>
        <w:t>de</w:t>
      </w:r>
      <w:r>
        <w:rPr>
          <w:spacing w:val="-10"/>
          <w:w w:val="105"/>
        </w:rPr>
        <w:t> </w:t>
      </w:r>
      <w:r>
        <w:rPr>
          <w:w w:val="105"/>
        </w:rPr>
        <w:t>los</w:t>
      </w:r>
      <w:r>
        <w:rPr>
          <w:spacing w:val="-10"/>
          <w:w w:val="105"/>
        </w:rPr>
        <w:t> </w:t>
      </w:r>
      <w:r>
        <w:rPr>
          <w:w w:val="105"/>
        </w:rPr>
        <w:t>paragangliomas</w:t>
      </w:r>
      <w:r>
        <w:rPr>
          <w:spacing w:val="-10"/>
          <w:w w:val="105"/>
        </w:rPr>
        <w:t> </w:t>
      </w:r>
      <w:r>
        <w:rPr>
          <w:w w:val="105"/>
        </w:rPr>
        <w:t>extrasuprarrenales</w:t>
      </w:r>
      <w:r>
        <w:rPr>
          <w:spacing w:val="-10"/>
          <w:w w:val="105"/>
        </w:rPr>
        <w:t> </w:t>
      </w:r>
      <w:r>
        <w:rPr>
          <w:w w:val="105"/>
        </w:rPr>
        <w:t>se</w:t>
      </w:r>
      <w:r>
        <w:rPr>
          <w:spacing w:val="-10"/>
          <w:w w:val="105"/>
        </w:rPr>
        <w:t> </w:t>
      </w:r>
      <w:r>
        <w:rPr>
          <w:w w:val="105"/>
        </w:rPr>
        <w:t>localiza</w:t>
      </w:r>
      <w:r>
        <w:rPr>
          <w:spacing w:val="-12"/>
          <w:w w:val="105"/>
        </w:rPr>
        <w:t> </w:t>
      </w:r>
      <w:r>
        <w:rPr>
          <w:w w:val="105"/>
        </w:rPr>
        <w:t>en</w:t>
      </w:r>
      <w:r>
        <w:rPr>
          <w:spacing w:val="-10"/>
          <w:w w:val="105"/>
        </w:rPr>
        <w:t> </w:t>
      </w:r>
      <w:r>
        <w:rPr>
          <w:w w:val="105"/>
        </w:rPr>
        <w:t>el</w:t>
      </w:r>
      <w:r>
        <w:rPr>
          <w:spacing w:val="-12"/>
          <w:w w:val="105"/>
        </w:rPr>
        <w:t> </w:t>
      </w:r>
      <w:r>
        <w:rPr>
          <w:w w:val="105"/>
        </w:rPr>
        <w:t>abdomen,</w:t>
      </w:r>
      <w:r>
        <w:rPr>
          <w:spacing w:val="-11"/>
          <w:w w:val="105"/>
        </w:rPr>
        <w:t> </w:t>
      </w:r>
      <w:r>
        <w:rPr>
          <w:w w:val="105"/>
        </w:rPr>
        <w:t>12%</w:t>
      </w:r>
      <w:r>
        <w:rPr>
          <w:spacing w:val="-9"/>
          <w:w w:val="105"/>
        </w:rPr>
        <w:t> </w:t>
      </w:r>
      <w:r>
        <w:rPr>
          <w:w w:val="105"/>
        </w:rPr>
        <w:t>en</w:t>
      </w:r>
      <w:r>
        <w:rPr>
          <w:spacing w:val="-10"/>
          <w:w w:val="105"/>
        </w:rPr>
        <w:t> </w:t>
      </w:r>
      <w:r>
        <w:rPr>
          <w:w w:val="105"/>
        </w:rPr>
        <w:t>el</w:t>
      </w:r>
      <w:r>
        <w:rPr>
          <w:spacing w:val="-12"/>
          <w:w w:val="105"/>
        </w:rPr>
        <w:t> </w:t>
      </w:r>
      <w:r>
        <w:rPr>
          <w:w w:val="105"/>
        </w:rPr>
        <w:t>tórax, sólo un 3%, en cabeza y cuello. Otras ubicaciones menos frecuentes son: laringe, cavidad nasal, órbita y</w:t>
      </w:r>
      <w:r>
        <w:rPr>
          <w:spacing w:val="-19"/>
          <w:w w:val="105"/>
        </w:rPr>
        <w:t> </w:t>
      </w:r>
      <w:r>
        <w:rPr>
          <w:w w:val="105"/>
        </w:rPr>
        <w:t>tráquea</w:t>
      </w:r>
      <w:r>
        <w:rPr>
          <w:w w:val="105"/>
          <w:position w:val="10"/>
          <w:sz w:val="14"/>
        </w:rPr>
        <w:t>2</w:t>
      </w:r>
      <w:r>
        <w:rPr>
          <w:w w:val="105"/>
        </w:rPr>
        <w:t>.</w:t>
      </w:r>
    </w:p>
    <w:p>
      <w:pPr>
        <w:pStyle w:val="BodyText"/>
        <w:spacing w:line="219" w:lineRule="exact"/>
        <w:ind w:left="108"/>
        <w:jc w:val="both"/>
      </w:pPr>
      <w:r>
        <w:rPr>
          <w:w w:val="105"/>
        </w:rPr>
        <w:t>En   algunas   series   clínicas   se   describen   un   aligera   preponderancia   en mujeres,</w:t>
      </w:r>
    </w:p>
    <w:p>
      <w:pPr>
        <w:pStyle w:val="BodyText"/>
        <w:spacing w:before="3"/>
        <w:rPr>
          <w:sz w:val="20"/>
        </w:rPr>
      </w:pPr>
    </w:p>
    <w:p>
      <w:pPr>
        <w:pStyle w:val="BodyText"/>
        <w:ind w:left="108"/>
        <w:jc w:val="both"/>
      </w:pPr>
      <w:r>
        <w:rPr>
          <w:w w:val="105"/>
        </w:rPr>
        <w:t>especialmente para el tumor de cuerpo carotídeo y el paraganglionar vagal</w:t>
      </w:r>
      <w:r>
        <w:rPr>
          <w:w w:val="105"/>
          <w:position w:val="10"/>
          <w:sz w:val="14"/>
        </w:rPr>
        <w:t>2</w:t>
      </w:r>
      <w:r>
        <w:rPr>
          <w:w w:val="105"/>
        </w:rPr>
        <w:t>.</w:t>
      </w:r>
    </w:p>
    <w:p>
      <w:pPr>
        <w:pStyle w:val="BodyText"/>
        <w:spacing w:before="9"/>
        <w:rPr>
          <w:sz w:val="22"/>
        </w:rPr>
      </w:pPr>
    </w:p>
    <w:p>
      <w:pPr>
        <w:pStyle w:val="Heading3"/>
        <w:numPr>
          <w:ilvl w:val="3"/>
          <w:numId w:val="4"/>
        </w:numPr>
        <w:tabs>
          <w:tab w:pos="782" w:val="left" w:leader="none"/>
        </w:tabs>
        <w:spacing w:line="240" w:lineRule="auto" w:before="0" w:after="0"/>
        <w:ind w:left="781" w:right="0" w:hanging="673"/>
        <w:jc w:val="both"/>
      </w:pPr>
      <w:r>
        <w:rPr>
          <w:w w:val="105"/>
        </w:rPr>
        <w:t>Patogénesis</w:t>
      </w:r>
    </w:p>
    <w:p>
      <w:pPr>
        <w:pStyle w:val="BodyText"/>
        <w:spacing w:before="9"/>
        <w:rPr>
          <w:b/>
          <w:sz w:val="22"/>
        </w:rPr>
      </w:pPr>
    </w:p>
    <w:p>
      <w:pPr>
        <w:pStyle w:val="BodyText"/>
        <w:spacing w:line="504" w:lineRule="auto"/>
        <w:ind w:left="108" w:right="107"/>
        <w:jc w:val="both"/>
      </w:pPr>
      <w:r>
        <w:rPr>
          <w:w w:val="105"/>
        </w:rPr>
        <w:t>Las condiciones que conducen a la hipoxemia crónica, que incluyen vivir a gran altura, el tabaquismo, la enfermedad pulmonar obstructiva crónica, u otras condiciones</w:t>
      </w:r>
      <w:r>
        <w:rPr>
          <w:spacing w:val="-41"/>
          <w:w w:val="105"/>
        </w:rPr>
        <w:t> </w:t>
      </w:r>
      <w:r>
        <w:rPr>
          <w:w w:val="105"/>
        </w:rPr>
        <w:t>respiratorias que</w:t>
      </w:r>
      <w:r>
        <w:rPr>
          <w:spacing w:val="-6"/>
          <w:w w:val="105"/>
        </w:rPr>
        <w:t> </w:t>
      </w:r>
      <w:r>
        <w:rPr>
          <w:w w:val="105"/>
        </w:rPr>
        <w:t>provocan</w:t>
      </w:r>
      <w:r>
        <w:rPr>
          <w:spacing w:val="-6"/>
          <w:w w:val="105"/>
        </w:rPr>
        <w:t> </w:t>
      </w:r>
      <w:r>
        <w:rPr>
          <w:w w:val="105"/>
        </w:rPr>
        <w:t>hipoxia,</w:t>
      </w:r>
      <w:r>
        <w:rPr>
          <w:spacing w:val="-7"/>
          <w:w w:val="105"/>
        </w:rPr>
        <w:t> </w:t>
      </w:r>
      <w:r>
        <w:rPr>
          <w:w w:val="105"/>
        </w:rPr>
        <w:t>pueden</w:t>
      </w:r>
      <w:r>
        <w:rPr>
          <w:spacing w:val="-6"/>
          <w:w w:val="105"/>
        </w:rPr>
        <w:t> </w:t>
      </w:r>
      <w:r>
        <w:rPr>
          <w:w w:val="105"/>
        </w:rPr>
        <w:t>ser</w:t>
      </w:r>
      <w:r>
        <w:rPr>
          <w:spacing w:val="-7"/>
          <w:w w:val="105"/>
        </w:rPr>
        <w:t> </w:t>
      </w:r>
      <w:r>
        <w:rPr>
          <w:w w:val="105"/>
        </w:rPr>
        <w:t>causas</w:t>
      </w:r>
      <w:r>
        <w:rPr>
          <w:spacing w:val="-6"/>
          <w:w w:val="105"/>
        </w:rPr>
        <w:t> </w:t>
      </w:r>
      <w:r>
        <w:rPr>
          <w:w w:val="105"/>
        </w:rPr>
        <w:t>esporádicas</w:t>
      </w:r>
      <w:r>
        <w:rPr>
          <w:spacing w:val="-6"/>
          <w:w w:val="105"/>
        </w:rPr>
        <w:t> </w:t>
      </w:r>
      <w:r>
        <w:rPr>
          <w:w w:val="105"/>
        </w:rPr>
        <w:t>de</w:t>
      </w:r>
      <w:r>
        <w:rPr>
          <w:spacing w:val="-6"/>
          <w:w w:val="105"/>
        </w:rPr>
        <w:t> </w:t>
      </w:r>
      <w:r>
        <w:rPr>
          <w:w w:val="105"/>
        </w:rPr>
        <w:t>hiperplasia</w:t>
      </w:r>
      <w:r>
        <w:rPr>
          <w:spacing w:val="-6"/>
          <w:w w:val="105"/>
        </w:rPr>
        <w:t> </w:t>
      </w:r>
      <w:r>
        <w:rPr>
          <w:w w:val="105"/>
        </w:rPr>
        <w:t>del</w:t>
      </w:r>
      <w:r>
        <w:rPr>
          <w:spacing w:val="-7"/>
          <w:w w:val="105"/>
        </w:rPr>
        <w:t> </w:t>
      </w:r>
      <w:r>
        <w:rPr>
          <w:w w:val="105"/>
        </w:rPr>
        <w:t>cuerpo</w:t>
      </w:r>
      <w:r>
        <w:rPr>
          <w:spacing w:val="-6"/>
          <w:w w:val="105"/>
        </w:rPr>
        <w:t> </w:t>
      </w:r>
      <w:r>
        <w:rPr>
          <w:w w:val="105"/>
        </w:rPr>
        <w:t>carotideo, también relacionado como parte de síndromes, incluyendo la tríada de Carney (sarcoma del</w:t>
      </w:r>
      <w:r>
        <w:rPr>
          <w:spacing w:val="-11"/>
          <w:w w:val="105"/>
        </w:rPr>
        <w:t> </w:t>
      </w:r>
      <w:r>
        <w:rPr>
          <w:w w:val="105"/>
        </w:rPr>
        <w:t>estroma</w:t>
      </w:r>
      <w:r>
        <w:rPr>
          <w:spacing w:val="-9"/>
          <w:w w:val="105"/>
        </w:rPr>
        <w:t> </w:t>
      </w:r>
      <w:r>
        <w:rPr>
          <w:w w:val="105"/>
        </w:rPr>
        <w:t>gástrico,</w:t>
      </w:r>
      <w:r>
        <w:rPr>
          <w:spacing w:val="-11"/>
          <w:w w:val="105"/>
        </w:rPr>
        <w:t> </w:t>
      </w:r>
      <w:r>
        <w:rPr>
          <w:w w:val="105"/>
        </w:rPr>
        <w:t>pulmonar</w:t>
      </w:r>
      <w:r>
        <w:rPr>
          <w:spacing w:val="-10"/>
          <w:w w:val="105"/>
        </w:rPr>
        <w:t> </w:t>
      </w:r>
      <w:r>
        <w:rPr>
          <w:w w:val="105"/>
        </w:rPr>
        <w:t>condroma,</w:t>
      </w:r>
      <w:r>
        <w:rPr>
          <w:spacing w:val="-10"/>
          <w:w w:val="105"/>
        </w:rPr>
        <w:t> </w:t>
      </w:r>
      <w:r>
        <w:rPr>
          <w:w w:val="105"/>
        </w:rPr>
        <w:t>y</w:t>
      </w:r>
      <w:r>
        <w:rPr>
          <w:spacing w:val="-9"/>
          <w:w w:val="105"/>
        </w:rPr>
        <w:t> </w:t>
      </w:r>
      <w:r>
        <w:rPr>
          <w:w w:val="105"/>
        </w:rPr>
        <w:t>paraganglioma),</w:t>
      </w:r>
      <w:r>
        <w:rPr>
          <w:spacing w:val="-11"/>
          <w:w w:val="105"/>
        </w:rPr>
        <w:t> </w:t>
      </w:r>
      <w:r>
        <w:rPr>
          <w:w w:val="105"/>
        </w:rPr>
        <w:t>la</w:t>
      </w:r>
      <w:r>
        <w:rPr>
          <w:spacing w:val="-9"/>
          <w:w w:val="105"/>
        </w:rPr>
        <w:t> </w:t>
      </w:r>
      <w:r>
        <w:rPr>
          <w:w w:val="105"/>
        </w:rPr>
        <w:t>enfermedad</w:t>
      </w:r>
      <w:r>
        <w:rPr>
          <w:spacing w:val="-9"/>
          <w:w w:val="105"/>
        </w:rPr>
        <w:t> </w:t>
      </w:r>
      <w:r>
        <w:rPr>
          <w:w w:val="105"/>
        </w:rPr>
        <w:t>de</w:t>
      </w:r>
      <w:r>
        <w:rPr>
          <w:spacing w:val="-9"/>
          <w:w w:val="105"/>
        </w:rPr>
        <w:t> </w:t>
      </w:r>
      <w:r>
        <w:rPr>
          <w:w w:val="105"/>
        </w:rPr>
        <w:t>von</w:t>
      </w:r>
      <w:r>
        <w:rPr>
          <w:spacing w:val="-9"/>
          <w:w w:val="105"/>
        </w:rPr>
        <w:t> </w:t>
      </w:r>
      <w:r>
        <w:rPr>
          <w:w w:val="105"/>
        </w:rPr>
        <w:t>Hippel-</w:t>
      </w:r>
    </w:p>
    <w:p>
      <w:pPr>
        <w:pStyle w:val="BodyText"/>
        <w:spacing w:line="465" w:lineRule="auto" w:before="9"/>
        <w:ind w:left="108" w:right="111"/>
        <w:jc w:val="both"/>
      </w:pPr>
      <w:r>
        <w:rPr>
          <w:w w:val="105"/>
        </w:rPr>
        <w:t>Lindau (feocromocitoma, hemangioblastoma espinal, y paraganglioma), neurofibromatosis tipo 1, y múltiples endoneoplasias</w:t>
      </w:r>
      <w:r>
        <w:rPr>
          <w:w w:val="105"/>
          <w:position w:val="10"/>
          <w:sz w:val="14"/>
        </w:rPr>
        <w:t>2</w:t>
      </w:r>
      <w:r>
        <w:rPr>
          <w:w w:val="105"/>
        </w:rPr>
        <w:t>.</w:t>
      </w:r>
    </w:p>
    <w:p>
      <w:pPr>
        <w:pStyle w:val="Heading3"/>
        <w:numPr>
          <w:ilvl w:val="3"/>
          <w:numId w:val="4"/>
        </w:numPr>
        <w:tabs>
          <w:tab w:pos="782" w:val="left" w:leader="none"/>
        </w:tabs>
        <w:spacing w:line="240" w:lineRule="auto" w:before="7" w:after="0"/>
        <w:ind w:left="781" w:right="0" w:hanging="673"/>
        <w:jc w:val="both"/>
      </w:pPr>
      <w:r>
        <w:rPr>
          <w:w w:val="105"/>
        </w:rPr>
        <w:t>Histopatología</w:t>
      </w:r>
    </w:p>
    <w:p>
      <w:pPr>
        <w:pStyle w:val="BodyText"/>
        <w:spacing w:before="2"/>
        <w:rPr>
          <w:b/>
          <w:sz w:val="23"/>
        </w:rPr>
      </w:pPr>
    </w:p>
    <w:p>
      <w:pPr>
        <w:pStyle w:val="BodyText"/>
        <w:spacing w:line="501" w:lineRule="auto" w:before="1"/>
        <w:ind w:left="108" w:right="109"/>
        <w:jc w:val="both"/>
      </w:pPr>
      <w:r>
        <w:rPr>
          <w:w w:val="105"/>
        </w:rPr>
        <w:t>La histopatología de los paragangliomas, independientemente de su ubicación anatómica, es similar a la del feocromocitoma suprarrenal. Predominan las células tipo I o células paragangliónicas, de aspecto poligonal o fusiforme, con abundante citoplasma granular eosiófilo y características dispuestas en nidos celulares con un patrón pseudo-alveolar conocido</w:t>
      </w:r>
      <w:r>
        <w:rPr>
          <w:spacing w:val="-14"/>
          <w:w w:val="105"/>
        </w:rPr>
        <w:t> </w:t>
      </w:r>
      <w:r>
        <w:rPr>
          <w:w w:val="105"/>
        </w:rPr>
        <w:t>como</w:t>
      </w:r>
      <w:r>
        <w:rPr>
          <w:spacing w:val="-14"/>
          <w:w w:val="105"/>
        </w:rPr>
        <w:t> </w:t>
      </w:r>
      <w:r>
        <w:rPr>
          <w:w w:val="105"/>
        </w:rPr>
        <w:t>¨zellballen¨.</w:t>
      </w:r>
      <w:r>
        <w:rPr>
          <w:spacing w:val="-15"/>
          <w:w w:val="105"/>
        </w:rPr>
        <w:t> </w:t>
      </w:r>
      <w:r>
        <w:rPr>
          <w:w w:val="105"/>
        </w:rPr>
        <w:t>Derivan</w:t>
      </w:r>
      <w:r>
        <w:rPr>
          <w:spacing w:val="-14"/>
          <w:w w:val="105"/>
        </w:rPr>
        <w:t> </w:t>
      </w:r>
      <w:r>
        <w:rPr>
          <w:w w:val="105"/>
        </w:rPr>
        <w:t>del</w:t>
      </w:r>
      <w:r>
        <w:rPr>
          <w:spacing w:val="-15"/>
          <w:w w:val="105"/>
        </w:rPr>
        <w:t> </w:t>
      </w:r>
      <w:r>
        <w:rPr>
          <w:w w:val="105"/>
        </w:rPr>
        <w:t>neuroectodermo,</w:t>
      </w:r>
      <w:r>
        <w:rPr>
          <w:spacing w:val="-15"/>
          <w:w w:val="105"/>
        </w:rPr>
        <w:t> </w:t>
      </w:r>
      <w:r>
        <w:rPr>
          <w:w w:val="105"/>
        </w:rPr>
        <w:t>y</w:t>
      </w:r>
      <w:r>
        <w:rPr>
          <w:spacing w:val="-14"/>
          <w:w w:val="105"/>
        </w:rPr>
        <w:t> </w:t>
      </w:r>
      <w:r>
        <w:rPr>
          <w:w w:val="105"/>
        </w:rPr>
        <w:t>poseen</w:t>
      </w:r>
      <w:r>
        <w:rPr>
          <w:spacing w:val="-14"/>
          <w:w w:val="105"/>
        </w:rPr>
        <w:t> </w:t>
      </w:r>
      <w:r>
        <w:rPr>
          <w:w w:val="105"/>
        </w:rPr>
        <w:t>gránulos</w:t>
      </w:r>
      <w:r>
        <w:rPr>
          <w:spacing w:val="-14"/>
          <w:w w:val="105"/>
        </w:rPr>
        <w:t> </w:t>
      </w:r>
      <w:r>
        <w:rPr>
          <w:w w:val="105"/>
        </w:rPr>
        <w:t>secretores</w:t>
      </w:r>
      <w:r>
        <w:rPr>
          <w:spacing w:val="-14"/>
          <w:w w:val="105"/>
        </w:rPr>
        <w:t> </w:t>
      </w:r>
      <w:r>
        <w:rPr>
          <w:w w:val="105"/>
        </w:rPr>
        <w:t>con catecolaminas y neuropéptidos. Se tiñen con hematoxilina de plata (argentación) pero no con dicromato de potasio ( no cromafines). Presentan grados variables de atipia que no</w:t>
      </w:r>
      <w:r>
        <w:rPr>
          <w:spacing w:val="-40"/>
          <w:w w:val="105"/>
        </w:rPr>
        <w:t> </w:t>
      </w:r>
      <w:r>
        <w:rPr>
          <w:w w:val="105"/>
        </w:rPr>
        <w:t>se</w:t>
      </w:r>
    </w:p>
    <w:p>
      <w:pPr>
        <w:pStyle w:val="BodyText"/>
        <w:spacing w:line="253" w:lineRule="exact"/>
        <w:ind w:left="108"/>
        <w:jc w:val="both"/>
      </w:pPr>
      <w:r>
        <w:rPr>
          <w:w w:val="105"/>
        </w:rPr>
        <w:t>correlaciona con el comportamiento biológico del tumor</w:t>
      </w:r>
      <w:r>
        <w:rPr>
          <w:w w:val="105"/>
          <w:position w:val="10"/>
          <w:sz w:val="14"/>
        </w:rPr>
        <w:t>2</w:t>
      </w:r>
      <w:r>
        <w:rPr>
          <w:w w:val="105"/>
        </w:rPr>
        <w:t>.</w:t>
      </w:r>
    </w:p>
    <w:p>
      <w:pPr>
        <w:spacing w:after="0" w:line="253" w:lineRule="exact"/>
        <w:jc w:val="both"/>
        <w:sectPr>
          <w:pgSz w:w="12240" w:h="15840"/>
          <w:pgMar w:header="0" w:footer="687" w:top="1380" w:bottom="940" w:left="1600" w:right="1580"/>
        </w:sectPr>
      </w:pPr>
    </w:p>
    <w:p>
      <w:pPr>
        <w:pStyle w:val="BodyText"/>
        <w:spacing w:line="487" w:lineRule="auto" w:before="50"/>
        <w:ind w:left="108" w:right="108"/>
        <w:jc w:val="both"/>
      </w:pPr>
      <w:r>
        <w:rPr>
          <w:w w:val="105"/>
        </w:rPr>
        <w:t>Al igual que el tejido paraganglionar normal, los paragangliomas poseen numerosos capilares</w:t>
      </w:r>
      <w:r>
        <w:rPr>
          <w:w w:val="105"/>
          <w:position w:val="10"/>
          <w:sz w:val="14"/>
        </w:rPr>
        <w:t>2</w:t>
      </w:r>
      <w:r>
        <w:rPr>
          <w:w w:val="105"/>
        </w:rPr>
        <w:t>.</w:t>
      </w:r>
      <w:r>
        <w:rPr>
          <w:spacing w:val="-19"/>
          <w:w w:val="105"/>
        </w:rPr>
        <w:t> </w:t>
      </w:r>
      <w:r>
        <w:rPr>
          <w:w w:val="105"/>
        </w:rPr>
        <w:t>Se</w:t>
      </w:r>
      <w:r>
        <w:rPr>
          <w:spacing w:val="-17"/>
          <w:w w:val="105"/>
        </w:rPr>
        <w:t> </w:t>
      </w:r>
      <w:r>
        <w:rPr>
          <w:w w:val="105"/>
        </w:rPr>
        <w:t>ha</w:t>
      </w:r>
      <w:r>
        <w:rPr>
          <w:spacing w:val="-17"/>
          <w:w w:val="105"/>
        </w:rPr>
        <w:t> </w:t>
      </w:r>
      <w:r>
        <w:rPr>
          <w:w w:val="105"/>
        </w:rPr>
        <w:t>establecido</w:t>
      </w:r>
      <w:r>
        <w:rPr>
          <w:spacing w:val="-17"/>
          <w:w w:val="105"/>
        </w:rPr>
        <w:t> </w:t>
      </w:r>
      <w:r>
        <w:rPr>
          <w:w w:val="105"/>
        </w:rPr>
        <w:t>que</w:t>
      </w:r>
      <w:r>
        <w:rPr>
          <w:spacing w:val="-17"/>
          <w:w w:val="105"/>
        </w:rPr>
        <w:t> </w:t>
      </w:r>
      <w:r>
        <w:rPr>
          <w:w w:val="105"/>
        </w:rPr>
        <w:t>esta</w:t>
      </w:r>
      <w:r>
        <w:rPr>
          <w:spacing w:val="-17"/>
          <w:w w:val="105"/>
        </w:rPr>
        <w:t> </w:t>
      </w:r>
      <w:r>
        <w:rPr>
          <w:w w:val="105"/>
        </w:rPr>
        <w:t>rica</w:t>
      </w:r>
      <w:r>
        <w:rPr>
          <w:spacing w:val="-17"/>
          <w:w w:val="105"/>
        </w:rPr>
        <w:t> </w:t>
      </w:r>
      <w:r>
        <w:rPr>
          <w:w w:val="105"/>
        </w:rPr>
        <w:t>vascularización</w:t>
      </w:r>
      <w:r>
        <w:rPr>
          <w:spacing w:val="-17"/>
          <w:w w:val="105"/>
        </w:rPr>
        <w:t> </w:t>
      </w:r>
      <w:r>
        <w:rPr>
          <w:w w:val="105"/>
        </w:rPr>
        <w:t>tumoral,</w:t>
      </w:r>
      <w:r>
        <w:rPr>
          <w:spacing w:val="-18"/>
          <w:w w:val="105"/>
        </w:rPr>
        <w:t> </w:t>
      </w:r>
      <w:r>
        <w:rPr>
          <w:w w:val="105"/>
        </w:rPr>
        <w:t>se</w:t>
      </w:r>
      <w:r>
        <w:rPr>
          <w:spacing w:val="-17"/>
          <w:w w:val="105"/>
        </w:rPr>
        <w:t> </w:t>
      </w:r>
      <w:r>
        <w:rPr>
          <w:w w:val="105"/>
        </w:rPr>
        <w:t>asocia</w:t>
      </w:r>
      <w:r>
        <w:rPr>
          <w:spacing w:val="-17"/>
          <w:w w:val="105"/>
        </w:rPr>
        <w:t> </w:t>
      </w:r>
      <w:r>
        <w:rPr>
          <w:w w:val="105"/>
        </w:rPr>
        <w:t>a</w:t>
      </w:r>
      <w:r>
        <w:rPr>
          <w:spacing w:val="-17"/>
          <w:w w:val="105"/>
        </w:rPr>
        <w:t> </w:t>
      </w:r>
      <w:r>
        <w:rPr>
          <w:w w:val="105"/>
        </w:rPr>
        <w:t>una</w:t>
      </w:r>
      <w:r>
        <w:rPr>
          <w:spacing w:val="-17"/>
          <w:w w:val="105"/>
        </w:rPr>
        <w:t> </w:t>
      </w:r>
      <w:r>
        <w:rPr>
          <w:w w:val="105"/>
        </w:rPr>
        <w:t>elevada expresión tisular de algunos factores angiogénicos (factor de crecimiento vascular endotelio, factor de crecimiento de células endoteliales derivado de plaquetas y prostaglandinas)</w:t>
      </w:r>
      <w:r>
        <w:rPr>
          <w:w w:val="105"/>
          <w:position w:val="10"/>
          <w:sz w:val="14"/>
        </w:rPr>
        <w:t>3</w:t>
      </w:r>
      <w:r>
        <w:rPr>
          <w:w w:val="105"/>
        </w:rPr>
        <w:t>.</w:t>
      </w:r>
    </w:p>
    <w:p>
      <w:pPr>
        <w:pStyle w:val="Heading3"/>
        <w:numPr>
          <w:ilvl w:val="3"/>
          <w:numId w:val="4"/>
        </w:numPr>
        <w:tabs>
          <w:tab w:pos="782" w:val="left" w:leader="none"/>
        </w:tabs>
        <w:spacing w:line="225" w:lineRule="exact" w:before="0" w:after="0"/>
        <w:ind w:left="781" w:right="0" w:hanging="673"/>
        <w:jc w:val="both"/>
      </w:pPr>
      <w:r>
        <w:rPr>
          <w:w w:val="105"/>
        </w:rPr>
        <w:t>Predisposición</w:t>
      </w:r>
      <w:r>
        <w:rPr>
          <w:spacing w:val="-15"/>
          <w:w w:val="105"/>
        </w:rPr>
        <w:t> </w:t>
      </w:r>
      <w:r>
        <w:rPr>
          <w:w w:val="105"/>
        </w:rPr>
        <w:t>Hereditaria</w:t>
      </w:r>
    </w:p>
    <w:p>
      <w:pPr>
        <w:pStyle w:val="BodyText"/>
        <w:spacing w:before="2"/>
        <w:rPr>
          <w:b/>
          <w:sz w:val="23"/>
        </w:rPr>
      </w:pPr>
    </w:p>
    <w:p>
      <w:pPr>
        <w:pStyle w:val="BodyText"/>
        <w:spacing w:line="501" w:lineRule="auto" w:before="1"/>
        <w:ind w:left="108" w:right="108"/>
        <w:jc w:val="both"/>
      </w:pPr>
      <w:r>
        <w:rPr>
          <w:w w:val="105"/>
        </w:rPr>
        <w:t>Desde 1933 se han reportado asociaciones familiares de paragangliomas, especialmente casos de tumores del cuerpo carotideo. Aproximadamente un 35% de estos tumores tendrían una predisposición hereditaria, aunque las estimaciones publicadas varían entre un</w:t>
      </w:r>
      <w:r>
        <w:rPr>
          <w:spacing w:val="-5"/>
          <w:w w:val="105"/>
        </w:rPr>
        <w:t> </w:t>
      </w:r>
      <w:r>
        <w:rPr>
          <w:w w:val="105"/>
        </w:rPr>
        <w:t>10%</w:t>
      </w:r>
      <w:r>
        <w:rPr>
          <w:spacing w:val="-4"/>
          <w:w w:val="105"/>
        </w:rPr>
        <w:t> </w:t>
      </w:r>
      <w:r>
        <w:rPr>
          <w:w w:val="105"/>
        </w:rPr>
        <w:t>y</w:t>
      </w:r>
      <w:r>
        <w:rPr>
          <w:spacing w:val="-6"/>
          <w:w w:val="105"/>
        </w:rPr>
        <w:t> </w:t>
      </w:r>
      <w:r>
        <w:rPr>
          <w:w w:val="105"/>
        </w:rPr>
        <w:t>un</w:t>
      </w:r>
      <w:r>
        <w:rPr>
          <w:spacing w:val="-5"/>
          <w:w w:val="105"/>
        </w:rPr>
        <w:t> </w:t>
      </w:r>
      <w:r>
        <w:rPr>
          <w:w w:val="105"/>
        </w:rPr>
        <w:t>50%.</w:t>
      </w:r>
      <w:r>
        <w:rPr>
          <w:spacing w:val="-7"/>
          <w:w w:val="105"/>
        </w:rPr>
        <w:t> </w:t>
      </w:r>
      <w:r>
        <w:rPr>
          <w:w w:val="105"/>
        </w:rPr>
        <w:t>La</w:t>
      </w:r>
      <w:r>
        <w:rPr>
          <w:spacing w:val="-5"/>
          <w:w w:val="105"/>
        </w:rPr>
        <w:t> </w:t>
      </w:r>
      <w:r>
        <w:rPr>
          <w:w w:val="105"/>
        </w:rPr>
        <w:t>probabilidad</w:t>
      </w:r>
      <w:r>
        <w:rPr>
          <w:spacing w:val="-5"/>
          <w:w w:val="105"/>
        </w:rPr>
        <w:t> </w:t>
      </w:r>
      <w:r>
        <w:rPr>
          <w:w w:val="105"/>
        </w:rPr>
        <w:t>de</w:t>
      </w:r>
      <w:r>
        <w:rPr>
          <w:spacing w:val="-5"/>
          <w:w w:val="105"/>
        </w:rPr>
        <w:t> </w:t>
      </w:r>
      <w:r>
        <w:rPr>
          <w:w w:val="105"/>
        </w:rPr>
        <w:t>que</w:t>
      </w:r>
      <w:r>
        <w:rPr>
          <w:spacing w:val="-5"/>
          <w:w w:val="105"/>
        </w:rPr>
        <w:t> </w:t>
      </w:r>
      <w:r>
        <w:rPr>
          <w:w w:val="105"/>
        </w:rPr>
        <w:t>un</w:t>
      </w:r>
      <w:r>
        <w:rPr>
          <w:spacing w:val="-5"/>
          <w:w w:val="105"/>
        </w:rPr>
        <w:t> </w:t>
      </w:r>
      <w:r>
        <w:rPr>
          <w:w w:val="105"/>
        </w:rPr>
        <w:t>paraganglioma</w:t>
      </w:r>
      <w:r>
        <w:rPr>
          <w:spacing w:val="-6"/>
          <w:w w:val="105"/>
        </w:rPr>
        <w:t> </w:t>
      </w:r>
      <w:r>
        <w:rPr>
          <w:w w:val="105"/>
        </w:rPr>
        <w:t>tenga</w:t>
      </w:r>
      <w:r>
        <w:rPr>
          <w:spacing w:val="-5"/>
          <w:w w:val="105"/>
        </w:rPr>
        <w:t> </w:t>
      </w:r>
      <w:r>
        <w:rPr>
          <w:w w:val="105"/>
        </w:rPr>
        <w:t>un</w:t>
      </w:r>
      <w:r>
        <w:rPr>
          <w:spacing w:val="-5"/>
          <w:w w:val="105"/>
        </w:rPr>
        <w:t> </w:t>
      </w:r>
      <w:r>
        <w:rPr>
          <w:w w:val="105"/>
        </w:rPr>
        <w:t>componente</w:t>
      </w:r>
      <w:r>
        <w:rPr>
          <w:spacing w:val="-6"/>
          <w:w w:val="105"/>
        </w:rPr>
        <w:t> </w:t>
      </w:r>
      <w:r>
        <w:rPr>
          <w:w w:val="105"/>
        </w:rPr>
        <w:t>familiar es  casi  61  veces  mayor  en  el  caso  de  los  tumores  de  cuerpo  carotideo  que     </w:t>
      </w:r>
      <w:r>
        <w:rPr>
          <w:spacing w:val="31"/>
          <w:w w:val="105"/>
        </w:rPr>
        <w:t> </w:t>
      </w:r>
      <w:r>
        <w:rPr>
          <w:w w:val="105"/>
        </w:rPr>
        <w:t>en</w:t>
      </w:r>
    </w:p>
    <w:p>
      <w:pPr>
        <w:pStyle w:val="BodyText"/>
        <w:spacing w:line="253" w:lineRule="exact"/>
        <w:ind w:left="108"/>
        <w:jc w:val="both"/>
      </w:pPr>
      <w:r>
        <w:rPr>
          <w:w w:val="105"/>
        </w:rPr>
        <w:t>paragangliomas de otras ubicaciones</w:t>
      </w:r>
      <w:r>
        <w:rPr>
          <w:w w:val="105"/>
          <w:position w:val="10"/>
          <w:sz w:val="14"/>
        </w:rPr>
        <w:t>4</w:t>
      </w:r>
      <w:r>
        <w:rPr>
          <w:w w:val="105"/>
        </w:rPr>
        <w:t>.</w:t>
      </w:r>
    </w:p>
    <w:p>
      <w:pPr>
        <w:pStyle w:val="BodyText"/>
        <w:spacing w:before="9"/>
        <w:rPr>
          <w:sz w:val="22"/>
        </w:rPr>
      </w:pPr>
    </w:p>
    <w:p>
      <w:pPr>
        <w:pStyle w:val="BodyText"/>
        <w:spacing w:line="494" w:lineRule="auto"/>
        <w:ind w:left="108" w:right="111"/>
        <w:jc w:val="both"/>
      </w:pPr>
      <w:r>
        <w:rPr>
          <w:w w:val="105"/>
        </w:rPr>
        <w:t>Siguiendo</w:t>
      </w:r>
      <w:r>
        <w:rPr>
          <w:spacing w:val="-14"/>
          <w:w w:val="105"/>
        </w:rPr>
        <w:t> </w:t>
      </w:r>
      <w:r>
        <w:rPr>
          <w:w w:val="105"/>
        </w:rPr>
        <w:t>la</w:t>
      </w:r>
      <w:r>
        <w:rPr>
          <w:spacing w:val="-14"/>
          <w:w w:val="105"/>
        </w:rPr>
        <w:t> </w:t>
      </w:r>
      <w:r>
        <w:rPr>
          <w:w w:val="105"/>
        </w:rPr>
        <w:t>hipótesis</w:t>
      </w:r>
      <w:r>
        <w:rPr>
          <w:spacing w:val="-14"/>
          <w:w w:val="105"/>
        </w:rPr>
        <w:t> </w:t>
      </w:r>
      <w:r>
        <w:rPr>
          <w:w w:val="105"/>
        </w:rPr>
        <w:t>de</w:t>
      </w:r>
      <w:r>
        <w:rPr>
          <w:spacing w:val="-14"/>
          <w:w w:val="105"/>
        </w:rPr>
        <w:t> </w:t>
      </w:r>
      <w:r>
        <w:rPr>
          <w:w w:val="105"/>
        </w:rPr>
        <w:t>los</w:t>
      </w:r>
      <w:r>
        <w:rPr>
          <w:spacing w:val="-14"/>
          <w:w w:val="105"/>
        </w:rPr>
        <w:t> </w:t>
      </w:r>
      <w:r>
        <w:rPr>
          <w:w w:val="105"/>
        </w:rPr>
        <w:t>genes</w:t>
      </w:r>
      <w:r>
        <w:rPr>
          <w:spacing w:val="-14"/>
          <w:w w:val="105"/>
        </w:rPr>
        <w:t> </w:t>
      </w:r>
      <w:r>
        <w:rPr>
          <w:w w:val="105"/>
        </w:rPr>
        <w:t>supresores</w:t>
      </w:r>
      <w:r>
        <w:rPr>
          <w:spacing w:val="-14"/>
          <w:w w:val="105"/>
        </w:rPr>
        <w:t> </w:t>
      </w:r>
      <w:r>
        <w:rPr>
          <w:w w:val="105"/>
        </w:rPr>
        <w:t>de</w:t>
      </w:r>
      <w:r>
        <w:rPr>
          <w:spacing w:val="-14"/>
          <w:w w:val="105"/>
        </w:rPr>
        <w:t> </w:t>
      </w:r>
      <w:r>
        <w:rPr>
          <w:w w:val="105"/>
        </w:rPr>
        <w:t>tumores,</w:t>
      </w:r>
      <w:r>
        <w:rPr>
          <w:spacing w:val="-15"/>
          <w:w w:val="105"/>
        </w:rPr>
        <w:t> </w:t>
      </w:r>
      <w:r>
        <w:rPr>
          <w:w w:val="105"/>
        </w:rPr>
        <w:t>se</w:t>
      </w:r>
      <w:r>
        <w:rPr>
          <w:spacing w:val="-14"/>
          <w:w w:val="105"/>
        </w:rPr>
        <w:t> </w:t>
      </w:r>
      <w:r>
        <w:rPr>
          <w:w w:val="105"/>
        </w:rPr>
        <w:t>puede</w:t>
      </w:r>
      <w:r>
        <w:rPr>
          <w:spacing w:val="-14"/>
          <w:w w:val="105"/>
        </w:rPr>
        <w:t> </w:t>
      </w:r>
      <w:r>
        <w:rPr>
          <w:w w:val="105"/>
        </w:rPr>
        <w:t>explicar</w:t>
      </w:r>
      <w:r>
        <w:rPr>
          <w:spacing w:val="-15"/>
          <w:w w:val="105"/>
        </w:rPr>
        <w:t> </w:t>
      </w:r>
      <w:r>
        <w:rPr>
          <w:w w:val="105"/>
        </w:rPr>
        <w:t>la</w:t>
      </w:r>
      <w:r>
        <w:rPr>
          <w:spacing w:val="-14"/>
          <w:w w:val="105"/>
        </w:rPr>
        <w:t> </w:t>
      </w:r>
      <w:r>
        <w:rPr>
          <w:w w:val="105"/>
        </w:rPr>
        <w:t>mayor</w:t>
      </w:r>
      <w:r>
        <w:rPr>
          <w:spacing w:val="-15"/>
          <w:w w:val="105"/>
        </w:rPr>
        <w:t> </w:t>
      </w:r>
      <w:r>
        <w:rPr>
          <w:w w:val="105"/>
        </w:rPr>
        <w:t>tasa de multicentricidad en tumores hereditarios. Es así como se ha reportado una enfermedad multicéntrica (por ejemplo: tumores de cuerpo carotídeo bilaterales) en un 30-40% de los paragangliomas familiares, muy superior al 4-10% descritos en paragangliomas esporádicos</w:t>
      </w:r>
      <w:r>
        <w:rPr>
          <w:w w:val="105"/>
          <w:position w:val="10"/>
          <w:sz w:val="14"/>
        </w:rPr>
        <w:t>3,4</w:t>
      </w:r>
      <w:r>
        <w:rPr>
          <w:w w:val="105"/>
        </w:rPr>
        <w:t>.</w:t>
      </w:r>
    </w:p>
    <w:p>
      <w:pPr>
        <w:pStyle w:val="BodyText"/>
        <w:spacing w:line="216" w:lineRule="exact"/>
        <w:ind w:left="108"/>
        <w:jc w:val="both"/>
      </w:pPr>
      <w:r>
        <w:rPr>
          <w:w w:val="105"/>
        </w:rPr>
        <w:t>Para  algunos  autores,  todos  los  casos  de  paragangliomas  multicéntricos      deberían</w:t>
      </w:r>
    </w:p>
    <w:p>
      <w:pPr>
        <w:pStyle w:val="BodyText"/>
        <w:spacing w:before="2"/>
        <w:rPr>
          <w:sz w:val="23"/>
        </w:rPr>
      </w:pPr>
    </w:p>
    <w:p>
      <w:pPr>
        <w:pStyle w:val="BodyText"/>
        <w:spacing w:line="465" w:lineRule="auto" w:before="1"/>
        <w:ind w:left="108" w:right="113"/>
        <w:jc w:val="both"/>
      </w:pPr>
      <w:r>
        <w:rPr>
          <w:w w:val="105"/>
        </w:rPr>
        <w:t>considerarse de tipo hereditario (es decir, con alguna predisposición genética), aún sin historia familiar positiva, dado lo inhabitual de estos tumores</w:t>
      </w:r>
      <w:r>
        <w:rPr>
          <w:w w:val="105"/>
          <w:position w:val="10"/>
          <w:sz w:val="14"/>
        </w:rPr>
        <w:t>4</w:t>
      </w:r>
      <w:r>
        <w:rPr>
          <w:w w:val="105"/>
        </w:rPr>
        <w:t>.</w:t>
      </w:r>
    </w:p>
    <w:p>
      <w:pPr>
        <w:pStyle w:val="BodyText"/>
        <w:spacing w:line="249" w:lineRule="exact"/>
        <w:ind w:left="108"/>
        <w:jc w:val="both"/>
      </w:pPr>
      <w:r>
        <w:rPr>
          <w:w w:val="105"/>
        </w:rPr>
        <w:t>Los paragangliomas familiares suelen presentarse a edades más tempranas (4</w:t>
      </w:r>
      <w:r>
        <w:rPr>
          <w:w w:val="105"/>
          <w:position w:val="10"/>
          <w:sz w:val="14"/>
        </w:rPr>
        <w:t>a </w:t>
      </w:r>
      <w:r>
        <w:rPr>
          <w:w w:val="105"/>
        </w:rPr>
        <w:t>década de</w:t>
      </w:r>
    </w:p>
    <w:p>
      <w:pPr>
        <w:pStyle w:val="BodyText"/>
        <w:spacing w:before="3"/>
        <w:rPr>
          <w:sz w:val="20"/>
        </w:rPr>
      </w:pPr>
    </w:p>
    <w:p>
      <w:pPr>
        <w:pStyle w:val="BodyText"/>
        <w:spacing w:line="487" w:lineRule="auto"/>
        <w:ind w:left="108" w:right="111"/>
        <w:jc w:val="both"/>
      </w:pPr>
      <w:r>
        <w:rPr>
          <w:w w:val="105"/>
        </w:rPr>
        <w:t>la vida), en relación a la edad de diagnostico de los paragangliomas esporádicos (5</w:t>
      </w:r>
      <w:r>
        <w:rPr>
          <w:w w:val="105"/>
          <w:position w:val="10"/>
          <w:sz w:val="14"/>
        </w:rPr>
        <w:t>a</w:t>
      </w:r>
      <w:r>
        <w:rPr>
          <w:w w:val="105"/>
        </w:rPr>
        <w:t>-6</w:t>
      </w:r>
      <w:r>
        <w:rPr>
          <w:w w:val="105"/>
          <w:position w:val="10"/>
          <w:sz w:val="14"/>
        </w:rPr>
        <w:t>a </w:t>
      </w:r>
      <w:r>
        <w:rPr>
          <w:w w:val="105"/>
        </w:rPr>
        <w:t>década de la vida), tanto en hombres como en mujeres con la misma frecuencia, sin embargo con mayor tendencia en mujeres</w:t>
      </w:r>
      <w:r>
        <w:rPr>
          <w:w w:val="105"/>
          <w:position w:val="10"/>
          <w:sz w:val="14"/>
        </w:rPr>
        <w:t>4,5</w:t>
      </w:r>
      <w:r>
        <w:rPr>
          <w:w w:val="105"/>
        </w:rPr>
        <w:t>.</w:t>
      </w:r>
    </w:p>
    <w:p>
      <w:pPr>
        <w:spacing w:after="0" w:line="487" w:lineRule="auto"/>
        <w:jc w:val="both"/>
        <w:sectPr>
          <w:pgSz w:w="12240" w:h="15840"/>
          <w:pgMar w:header="0" w:footer="687" w:top="1380" w:bottom="940" w:left="1600" w:right="1580"/>
        </w:sectPr>
      </w:pPr>
    </w:p>
    <w:p>
      <w:pPr>
        <w:pStyle w:val="BodyText"/>
        <w:spacing w:line="487" w:lineRule="auto" w:before="50"/>
        <w:ind w:left="108" w:right="109"/>
        <w:jc w:val="both"/>
      </w:pPr>
      <w:r>
        <w:rPr>
          <w:w w:val="105"/>
        </w:rPr>
        <w:t>Actualmente</w:t>
      </w:r>
      <w:r>
        <w:rPr>
          <w:spacing w:val="-19"/>
          <w:w w:val="105"/>
        </w:rPr>
        <w:t> </w:t>
      </w:r>
      <w:r>
        <w:rPr>
          <w:w w:val="105"/>
        </w:rPr>
        <w:t>se</w:t>
      </w:r>
      <w:r>
        <w:rPr>
          <w:spacing w:val="-19"/>
          <w:w w:val="105"/>
        </w:rPr>
        <w:t> </w:t>
      </w:r>
      <w:r>
        <w:rPr>
          <w:w w:val="105"/>
        </w:rPr>
        <w:t>investigan</w:t>
      </w:r>
      <w:r>
        <w:rPr>
          <w:spacing w:val="-19"/>
          <w:w w:val="105"/>
        </w:rPr>
        <w:t> </w:t>
      </w:r>
      <w:r>
        <w:rPr>
          <w:w w:val="105"/>
        </w:rPr>
        <w:t>métodos</w:t>
      </w:r>
      <w:r>
        <w:rPr>
          <w:spacing w:val="-20"/>
          <w:w w:val="105"/>
        </w:rPr>
        <w:t> </w:t>
      </w:r>
      <w:r>
        <w:rPr>
          <w:w w:val="105"/>
        </w:rPr>
        <w:t>de</w:t>
      </w:r>
      <w:r>
        <w:rPr>
          <w:spacing w:val="-19"/>
          <w:w w:val="105"/>
        </w:rPr>
        <w:t> </w:t>
      </w:r>
      <w:r>
        <w:rPr>
          <w:w w:val="105"/>
        </w:rPr>
        <w:t>diagnóstico</w:t>
      </w:r>
      <w:r>
        <w:rPr>
          <w:spacing w:val="-19"/>
          <w:w w:val="105"/>
        </w:rPr>
        <w:t> </w:t>
      </w:r>
      <w:r>
        <w:rPr>
          <w:w w:val="105"/>
        </w:rPr>
        <w:t>genético</w:t>
      </w:r>
      <w:r>
        <w:rPr>
          <w:spacing w:val="-19"/>
          <w:w w:val="105"/>
        </w:rPr>
        <w:t> </w:t>
      </w:r>
      <w:r>
        <w:rPr>
          <w:w w:val="105"/>
        </w:rPr>
        <w:t>en</w:t>
      </w:r>
      <w:r>
        <w:rPr>
          <w:spacing w:val="-19"/>
          <w:w w:val="105"/>
        </w:rPr>
        <w:t> </w:t>
      </w:r>
      <w:r>
        <w:rPr>
          <w:w w:val="105"/>
        </w:rPr>
        <w:t>pacientes</w:t>
      </w:r>
      <w:r>
        <w:rPr>
          <w:spacing w:val="-20"/>
          <w:w w:val="105"/>
        </w:rPr>
        <w:t> </w:t>
      </w:r>
      <w:r>
        <w:rPr>
          <w:w w:val="105"/>
        </w:rPr>
        <w:t>con</w:t>
      </w:r>
      <w:r>
        <w:rPr>
          <w:spacing w:val="-19"/>
          <w:w w:val="105"/>
        </w:rPr>
        <w:t> </w:t>
      </w:r>
      <w:r>
        <w:rPr>
          <w:w w:val="105"/>
        </w:rPr>
        <w:t>riesgo</w:t>
      </w:r>
      <w:r>
        <w:rPr>
          <w:spacing w:val="-19"/>
          <w:w w:val="105"/>
        </w:rPr>
        <w:t> </w:t>
      </w:r>
      <w:r>
        <w:rPr>
          <w:w w:val="105"/>
        </w:rPr>
        <w:t>familiar de desarrollar paragangliomas; por ejemplo, parientes fenotípicamente normales de pacientes portadores de paragangliomas</w:t>
      </w:r>
      <w:r>
        <w:rPr>
          <w:spacing w:val="-36"/>
          <w:w w:val="105"/>
        </w:rPr>
        <w:t> </w:t>
      </w:r>
      <w:r>
        <w:rPr>
          <w:w w:val="105"/>
        </w:rPr>
        <w:t>multicéntricos</w:t>
      </w:r>
      <w:r>
        <w:rPr>
          <w:w w:val="105"/>
          <w:position w:val="10"/>
          <w:sz w:val="14"/>
        </w:rPr>
        <w:t>5</w:t>
      </w:r>
      <w:r>
        <w:rPr>
          <w:w w:val="105"/>
        </w:rPr>
        <w:t>.</w:t>
      </w:r>
    </w:p>
    <w:p>
      <w:pPr>
        <w:pStyle w:val="Heading3"/>
        <w:numPr>
          <w:ilvl w:val="3"/>
          <w:numId w:val="4"/>
        </w:numPr>
        <w:tabs>
          <w:tab w:pos="782" w:val="left" w:leader="none"/>
        </w:tabs>
        <w:spacing w:line="225" w:lineRule="exact" w:before="0" w:after="0"/>
        <w:ind w:left="781" w:right="0" w:hanging="673"/>
        <w:jc w:val="both"/>
      </w:pPr>
      <w:r>
        <w:rPr>
          <w:w w:val="105"/>
        </w:rPr>
        <w:t>Criterios celulares de</w:t>
      </w:r>
      <w:r>
        <w:rPr>
          <w:spacing w:val="-18"/>
          <w:w w:val="105"/>
        </w:rPr>
        <w:t> </w:t>
      </w:r>
      <w:r>
        <w:rPr>
          <w:w w:val="105"/>
        </w:rPr>
        <w:t>malignidad</w:t>
      </w:r>
    </w:p>
    <w:p>
      <w:pPr>
        <w:pStyle w:val="BodyText"/>
        <w:spacing w:before="2"/>
        <w:rPr>
          <w:b/>
          <w:sz w:val="23"/>
        </w:rPr>
      </w:pPr>
    </w:p>
    <w:p>
      <w:pPr>
        <w:pStyle w:val="BodyText"/>
        <w:spacing w:line="501" w:lineRule="auto" w:before="1"/>
        <w:ind w:left="108" w:right="110"/>
        <w:jc w:val="both"/>
      </w:pPr>
      <w:r>
        <w:rPr>
          <w:w w:val="105"/>
        </w:rPr>
        <w:t>No</w:t>
      </w:r>
      <w:r>
        <w:rPr>
          <w:spacing w:val="-10"/>
          <w:w w:val="105"/>
        </w:rPr>
        <w:t> </w:t>
      </w:r>
      <w:r>
        <w:rPr>
          <w:w w:val="105"/>
        </w:rPr>
        <w:t>existe</w:t>
      </w:r>
      <w:r>
        <w:rPr>
          <w:spacing w:val="-10"/>
          <w:w w:val="105"/>
        </w:rPr>
        <w:t> </w:t>
      </w:r>
      <w:r>
        <w:rPr>
          <w:w w:val="105"/>
        </w:rPr>
        <w:t>claridad</w:t>
      </w:r>
      <w:r>
        <w:rPr>
          <w:spacing w:val="-10"/>
          <w:w w:val="105"/>
        </w:rPr>
        <w:t> </w:t>
      </w:r>
      <w:r>
        <w:rPr>
          <w:w w:val="105"/>
        </w:rPr>
        <w:t>respecto</w:t>
      </w:r>
      <w:r>
        <w:rPr>
          <w:spacing w:val="-10"/>
          <w:w w:val="105"/>
        </w:rPr>
        <w:t> </w:t>
      </w:r>
      <w:r>
        <w:rPr>
          <w:w w:val="105"/>
        </w:rPr>
        <w:t>de</w:t>
      </w:r>
      <w:r>
        <w:rPr>
          <w:spacing w:val="-10"/>
          <w:w w:val="105"/>
        </w:rPr>
        <w:t> </w:t>
      </w:r>
      <w:r>
        <w:rPr>
          <w:w w:val="105"/>
        </w:rPr>
        <w:t>los</w:t>
      </w:r>
      <w:r>
        <w:rPr>
          <w:spacing w:val="-10"/>
          <w:w w:val="105"/>
        </w:rPr>
        <w:t> </w:t>
      </w:r>
      <w:r>
        <w:rPr>
          <w:w w:val="105"/>
        </w:rPr>
        <w:t>criterios</w:t>
      </w:r>
      <w:r>
        <w:rPr>
          <w:spacing w:val="-10"/>
          <w:w w:val="105"/>
        </w:rPr>
        <w:t> </w:t>
      </w:r>
      <w:r>
        <w:rPr>
          <w:w w:val="105"/>
        </w:rPr>
        <w:t>celulares</w:t>
      </w:r>
      <w:r>
        <w:rPr>
          <w:spacing w:val="-10"/>
          <w:w w:val="105"/>
        </w:rPr>
        <w:t> </w:t>
      </w:r>
      <w:r>
        <w:rPr>
          <w:w w:val="105"/>
        </w:rPr>
        <w:t>de</w:t>
      </w:r>
      <w:r>
        <w:rPr>
          <w:spacing w:val="-10"/>
          <w:w w:val="105"/>
        </w:rPr>
        <w:t> </w:t>
      </w:r>
      <w:r>
        <w:rPr>
          <w:w w:val="105"/>
        </w:rPr>
        <w:t>malignidad</w:t>
      </w:r>
      <w:r>
        <w:rPr>
          <w:spacing w:val="-10"/>
          <w:w w:val="105"/>
        </w:rPr>
        <w:t> </w:t>
      </w:r>
      <w:r>
        <w:rPr>
          <w:w w:val="105"/>
        </w:rPr>
        <w:t>en</w:t>
      </w:r>
      <w:r>
        <w:rPr>
          <w:spacing w:val="-10"/>
          <w:w w:val="105"/>
        </w:rPr>
        <w:t> </w:t>
      </w:r>
      <w:r>
        <w:rPr>
          <w:w w:val="105"/>
        </w:rPr>
        <w:t>este</w:t>
      </w:r>
      <w:r>
        <w:rPr>
          <w:spacing w:val="-10"/>
          <w:w w:val="105"/>
        </w:rPr>
        <w:t> </w:t>
      </w:r>
      <w:r>
        <w:rPr>
          <w:w w:val="105"/>
        </w:rPr>
        <w:t>tipo</w:t>
      </w:r>
      <w:r>
        <w:rPr>
          <w:spacing w:val="-10"/>
          <w:w w:val="105"/>
        </w:rPr>
        <w:t> </w:t>
      </w:r>
      <w:r>
        <w:rPr>
          <w:w w:val="105"/>
        </w:rPr>
        <w:t>de</w:t>
      </w:r>
      <w:r>
        <w:rPr>
          <w:spacing w:val="-10"/>
          <w:w w:val="105"/>
        </w:rPr>
        <w:t> </w:t>
      </w:r>
      <w:r>
        <w:rPr>
          <w:w w:val="105"/>
        </w:rPr>
        <w:t>tumores. Un</w:t>
      </w:r>
      <w:r>
        <w:rPr>
          <w:spacing w:val="-10"/>
          <w:w w:val="105"/>
        </w:rPr>
        <w:t> </w:t>
      </w:r>
      <w:r>
        <w:rPr>
          <w:w w:val="105"/>
        </w:rPr>
        <w:t>elevado</w:t>
      </w:r>
      <w:r>
        <w:rPr>
          <w:spacing w:val="-10"/>
          <w:w w:val="105"/>
        </w:rPr>
        <w:t> </w:t>
      </w:r>
      <w:r>
        <w:rPr>
          <w:w w:val="105"/>
        </w:rPr>
        <w:t>número</w:t>
      </w:r>
      <w:r>
        <w:rPr>
          <w:spacing w:val="-10"/>
          <w:w w:val="105"/>
        </w:rPr>
        <w:t> </w:t>
      </w:r>
      <w:r>
        <w:rPr>
          <w:w w:val="105"/>
        </w:rPr>
        <w:t>de</w:t>
      </w:r>
      <w:r>
        <w:rPr>
          <w:spacing w:val="-10"/>
          <w:w w:val="105"/>
        </w:rPr>
        <w:t> </w:t>
      </w:r>
      <w:r>
        <w:rPr>
          <w:w w:val="105"/>
        </w:rPr>
        <w:t>paragangliomas</w:t>
      </w:r>
      <w:r>
        <w:rPr>
          <w:spacing w:val="-11"/>
          <w:w w:val="105"/>
        </w:rPr>
        <w:t> </w:t>
      </w:r>
      <w:r>
        <w:rPr>
          <w:w w:val="105"/>
        </w:rPr>
        <w:t>presentan</w:t>
      </w:r>
      <w:r>
        <w:rPr>
          <w:spacing w:val="-10"/>
          <w:w w:val="105"/>
        </w:rPr>
        <w:t> </w:t>
      </w:r>
      <w:r>
        <w:rPr>
          <w:w w:val="105"/>
        </w:rPr>
        <w:t>mitosis</w:t>
      </w:r>
      <w:r>
        <w:rPr>
          <w:spacing w:val="-11"/>
          <w:w w:val="105"/>
        </w:rPr>
        <w:t> </w:t>
      </w:r>
      <w:r>
        <w:rPr>
          <w:w w:val="105"/>
        </w:rPr>
        <w:t>atípicas,</w:t>
      </w:r>
      <w:r>
        <w:rPr>
          <w:spacing w:val="-12"/>
          <w:w w:val="105"/>
        </w:rPr>
        <w:t> </w:t>
      </w:r>
      <w:r>
        <w:rPr>
          <w:w w:val="105"/>
        </w:rPr>
        <w:t>aumento</w:t>
      </w:r>
      <w:r>
        <w:rPr>
          <w:spacing w:val="-10"/>
          <w:w w:val="105"/>
        </w:rPr>
        <w:t> </w:t>
      </w:r>
      <w:r>
        <w:rPr>
          <w:w w:val="105"/>
        </w:rPr>
        <w:t>del</w:t>
      </w:r>
      <w:r>
        <w:rPr>
          <w:spacing w:val="-12"/>
          <w:w w:val="105"/>
        </w:rPr>
        <w:t> </w:t>
      </w:r>
      <w:r>
        <w:rPr>
          <w:w w:val="105"/>
        </w:rPr>
        <w:t>número</w:t>
      </w:r>
      <w:r>
        <w:rPr>
          <w:spacing w:val="-10"/>
          <w:w w:val="105"/>
        </w:rPr>
        <w:t> </w:t>
      </w:r>
      <w:r>
        <w:rPr>
          <w:w w:val="105"/>
        </w:rPr>
        <w:t>de</w:t>
      </w:r>
    </w:p>
    <w:p>
      <w:pPr>
        <w:pStyle w:val="BodyText"/>
        <w:spacing w:line="465" w:lineRule="auto" w:before="11"/>
        <w:ind w:left="108" w:right="110"/>
        <w:jc w:val="both"/>
      </w:pPr>
      <w:r>
        <w:rPr>
          <w:w w:val="105"/>
        </w:rPr>
        <w:t>mitosis, pleomorfismo nuclear e invasión capsular. El criterio más aceptado para definir malignidad es a través de la demostración de metástasis regionales o a distancia</w:t>
      </w:r>
      <w:r>
        <w:rPr>
          <w:w w:val="105"/>
          <w:position w:val="10"/>
          <w:sz w:val="14"/>
        </w:rPr>
        <w:t>5</w:t>
      </w:r>
      <w:r>
        <w:rPr>
          <w:w w:val="105"/>
        </w:rPr>
        <w:t>.</w:t>
      </w:r>
    </w:p>
    <w:p>
      <w:pPr>
        <w:pStyle w:val="BodyText"/>
        <w:spacing w:line="487" w:lineRule="auto" w:before="7"/>
        <w:ind w:left="108" w:right="110"/>
        <w:jc w:val="both"/>
      </w:pPr>
      <w:r>
        <w:rPr>
          <w:w w:val="105"/>
        </w:rPr>
        <w:t>Según</w:t>
      </w:r>
      <w:r>
        <w:rPr>
          <w:spacing w:val="-19"/>
          <w:w w:val="105"/>
        </w:rPr>
        <w:t> </w:t>
      </w:r>
      <w:r>
        <w:rPr>
          <w:w w:val="105"/>
        </w:rPr>
        <w:t>este</w:t>
      </w:r>
      <w:r>
        <w:rPr>
          <w:spacing w:val="-19"/>
          <w:w w:val="105"/>
        </w:rPr>
        <w:t> </w:t>
      </w:r>
      <w:r>
        <w:rPr>
          <w:w w:val="105"/>
        </w:rPr>
        <w:t>criterio,</w:t>
      </w:r>
      <w:r>
        <w:rPr>
          <w:spacing w:val="-20"/>
          <w:w w:val="105"/>
        </w:rPr>
        <w:t> </w:t>
      </w:r>
      <w:r>
        <w:rPr>
          <w:w w:val="105"/>
        </w:rPr>
        <w:t>se</w:t>
      </w:r>
      <w:r>
        <w:rPr>
          <w:spacing w:val="-19"/>
          <w:w w:val="105"/>
        </w:rPr>
        <w:t> </w:t>
      </w:r>
      <w:r>
        <w:rPr>
          <w:w w:val="105"/>
        </w:rPr>
        <w:t>ha</w:t>
      </w:r>
      <w:r>
        <w:rPr>
          <w:spacing w:val="-19"/>
          <w:w w:val="105"/>
        </w:rPr>
        <w:t> </w:t>
      </w:r>
      <w:r>
        <w:rPr>
          <w:w w:val="105"/>
        </w:rPr>
        <w:t>informado</w:t>
      </w:r>
      <w:r>
        <w:rPr>
          <w:spacing w:val="-19"/>
          <w:w w:val="105"/>
        </w:rPr>
        <w:t> </w:t>
      </w:r>
      <w:r>
        <w:rPr>
          <w:w w:val="105"/>
        </w:rPr>
        <w:t>una</w:t>
      </w:r>
      <w:r>
        <w:rPr>
          <w:spacing w:val="-19"/>
          <w:w w:val="105"/>
        </w:rPr>
        <w:t> </w:t>
      </w:r>
      <w:r>
        <w:rPr>
          <w:w w:val="105"/>
        </w:rPr>
        <w:t>incidencia</w:t>
      </w:r>
      <w:r>
        <w:rPr>
          <w:spacing w:val="-19"/>
          <w:w w:val="105"/>
        </w:rPr>
        <w:t> </w:t>
      </w:r>
      <w:r>
        <w:rPr>
          <w:w w:val="105"/>
        </w:rPr>
        <w:t>de</w:t>
      </w:r>
      <w:r>
        <w:rPr>
          <w:spacing w:val="-19"/>
          <w:w w:val="105"/>
        </w:rPr>
        <w:t> </w:t>
      </w:r>
      <w:r>
        <w:rPr>
          <w:w w:val="105"/>
        </w:rPr>
        <w:t>paragangliomas</w:t>
      </w:r>
      <w:r>
        <w:rPr>
          <w:spacing w:val="-19"/>
          <w:w w:val="105"/>
        </w:rPr>
        <w:t> </w:t>
      </w:r>
      <w:r>
        <w:rPr>
          <w:w w:val="105"/>
        </w:rPr>
        <w:t>malignos</w:t>
      </w:r>
      <w:r>
        <w:rPr>
          <w:spacing w:val="-19"/>
          <w:w w:val="105"/>
        </w:rPr>
        <w:t> </w:t>
      </w:r>
      <w:r>
        <w:rPr>
          <w:w w:val="105"/>
        </w:rPr>
        <w:t>que</w:t>
      </w:r>
      <w:r>
        <w:rPr>
          <w:spacing w:val="-19"/>
          <w:w w:val="105"/>
        </w:rPr>
        <w:t> </w:t>
      </w:r>
      <w:r>
        <w:rPr>
          <w:w w:val="105"/>
        </w:rPr>
        <w:t>fluctúa entre</w:t>
      </w:r>
      <w:r>
        <w:rPr>
          <w:spacing w:val="-9"/>
          <w:w w:val="105"/>
        </w:rPr>
        <w:t> </w:t>
      </w:r>
      <w:r>
        <w:rPr>
          <w:w w:val="105"/>
        </w:rPr>
        <w:t>el</w:t>
      </w:r>
      <w:r>
        <w:rPr>
          <w:spacing w:val="-11"/>
          <w:w w:val="105"/>
        </w:rPr>
        <w:t> </w:t>
      </w:r>
      <w:r>
        <w:rPr>
          <w:w w:val="105"/>
        </w:rPr>
        <w:t>3%</w:t>
      </w:r>
      <w:r>
        <w:rPr>
          <w:spacing w:val="-9"/>
          <w:w w:val="105"/>
        </w:rPr>
        <w:t> </w:t>
      </w:r>
      <w:r>
        <w:rPr>
          <w:w w:val="105"/>
        </w:rPr>
        <w:t>al</w:t>
      </w:r>
      <w:r>
        <w:rPr>
          <w:spacing w:val="-11"/>
          <w:w w:val="105"/>
        </w:rPr>
        <w:t> </w:t>
      </w:r>
      <w:r>
        <w:rPr>
          <w:w w:val="105"/>
        </w:rPr>
        <w:t>20%,</w:t>
      </w:r>
      <w:r>
        <w:rPr>
          <w:spacing w:val="-10"/>
          <w:w w:val="105"/>
        </w:rPr>
        <w:t> </w:t>
      </w:r>
      <w:r>
        <w:rPr>
          <w:w w:val="105"/>
        </w:rPr>
        <w:t>dependiendo</w:t>
      </w:r>
      <w:r>
        <w:rPr>
          <w:spacing w:val="-9"/>
          <w:w w:val="105"/>
        </w:rPr>
        <w:t> </w:t>
      </w:r>
      <w:r>
        <w:rPr>
          <w:w w:val="105"/>
        </w:rPr>
        <w:t>de</w:t>
      </w:r>
      <w:r>
        <w:rPr>
          <w:spacing w:val="-9"/>
          <w:w w:val="105"/>
        </w:rPr>
        <w:t> </w:t>
      </w:r>
      <w:r>
        <w:rPr>
          <w:w w:val="105"/>
        </w:rPr>
        <w:t>su</w:t>
      </w:r>
      <w:r>
        <w:rPr>
          <w:spacing w:val="-9"/>
          <w:w w:val="105"/>
        </w:rPr>
        <w:t> </w:t>
      </w:r>
      <w:r>
        <w:rPr>
          <w:w w:val="105"/>
        </w:rPr>
        <w:t>ubicación:</w:t>
      </w:r>
      <w:r>
        <w:rPr>
          <w:spacing w:val="-10"/>
          <w:w w:val="105"/>
        </w:rPr>
        <w:t> </w:t>
      </w:r>
      <w:r>
        <w:rPr>
          <w:w w:val="105"/>
        </w:rPr>
        <w:t>6%</w:t>
      </w:r>
      <w:r>
        <w:rPr>
          <w:spacing w:val="-9"/>
          <w:w w:val="105"/>
        </w:rPr>
        <w:t> </w:t>
      </w:r>
      <w:r>
        <w:rPr>
          <w:w w:val="105"/>
        </w:rPr>
        <w:t>de</w:t>
      </w:r>
      <w:r>
        <w:rPr>
          <w:spacing w:val="-9"/>
          <w:w w:val="105"/>
        </w:rPr>
        <w:t> </w:t>
      </w:r>
      <w:r>
        <w:rPr>
          <w:w w:val="105"/>
        </w:rPr>
        <w:t>tumores</w:t>
      </w:r>
      <w:r>
        <w:rPr>
          <w:spacing w:val="-9"/>
          <w:w w:val="105"/>
        </w:rPr>
        <w:t> </w:t>
      </w:r>
      <w:r>
        <w:rPr>
          <w:w w:val="105"/>
        </w:rPr>
        <w:t>del</w:t>
      </w:r>
      <w:r>
        <w:rPr>
          <w:spacing w:val="-11"/>
          <w:w w:val="105"/>
        </w:rPr>
        <w:t> </w:t>
      </w:r>
      <w:r>
        <w:rPr>
          <w:w w:val="105"/>
        </w:rPr>
        <w:t>cuerpo</w:t>
      </w:r>
      <w:r>
        <w:rPr>
          <w:spacing w:val="-9"/>
          <w:w w:val="105"/>
        </w:rPr>
        <w:t> </w:t>
      </w:r>
      <w:r>
        <w:rPr>
          <w:w w:val="105"/>
        </w:rPr>
        <w:t>carotídeo,</w:t>
      </w:r>
      <w:r>
        <w:rPr>
          <w:spacing w:val="-10"/>
          <w:w w:val="105"/>
        </w:rPr>
        <w:t> </w:t>
      </w:r>
      <w:r>
        <w:rPr>
          <w:w w:val="105"/>
        </w:rPr>
        <w:t>5% de</w:t>
      </w:r>
      <w:r>
        <w:rPr>
          <w:spacing w:val="37"/>
          <w:w w:val="105"/>
        </w:rPr>
        <w:t> </w:t>
      </w:r>
      <w:r>
        <w:rPr>
          <w:w w:val="105"/>
        </w:rPr>
        <w:t>los</w:t>
      </w:r>
      <w:r>
        <w:rPr>
          <w:spacing w:val="37"/>
          <w:w w:val="105"/>
        </w:rPr>
        <w:t> </w:t>
      </w:r>
      <w:r>
        <w:rPr>
          <w:w w:val="105"/>
        </w:rPr>
        <w:t>yugulo</w:t>
      </w:r>
      <w:r>
        <w:rPr>
          <w:spacing w:val="37"/>
          <w:w w:val="105"/>
        </w:rPr>
        <w:t> </w:t>
      </w:r>
      <w:r>
        <w:rPr>
          <w:w w:val="105"/>
        </w:rPr>
        <w:t>timpánicos,</w:t>
      </w:r>
      <w:r>
        <w:rPr>
          <w:spacing w:val="35"/>
          <w:w w:val="105"/>
        </w:rPr>
        <w:t> </w:t>
      </w:r>
      <w:r>
        <w:rPr>
          <w:w w:val="105"/>
        </w:rPr>
        <w:t>10-19%</w:t>
      </w:r>
      <w:r>
        <w:rPr>
          <w:spacing w:val="38"/>
          <w:w w:val="105"/>
        </w:rPr>
        <w:t> </w:t>
      </w:r>
      <w:r>
        <w:rPr>
          <w:w w:val="105"/>
        </w:rPr>
        <w:t>de</w:t>
      </w:r>
      <w:r>
        <w:rPr>
          <w:spacing w:val="37"/>
          <w:w w:val="105"/>
        </w:rPr>
        <w:t> </w:t>
      </w:r>
      <w:r>
        <w:rPr>
          <w:w w:val="105"/>
        </w:rPr>
        <w:t>los</w:t>
      </w:r>
      <w:r>
        <w:rPr>
          <w:spacing w:val="37"/>
          <w:w w:val="105"/>
        </w:rPr>
        <w:t> </w:t>
      </w:r>
      <w:r>
        <w:rPr>
          <w:w w:val="105"/>
        </w:rPr>
        <w:t>vagales</w:t>
      </w:r>
      <w:r>
        <w:rPr>
          <w:spacing w:val="37"/>
          <w:w w:val="105"/>
        </w:rPr>
        <w:t> </w:t>
      </w:r>
      <w:r>
        <w:rPr>
          <w:w w:val="105"/>
        </w:rPr>
        <w:t>y</w:t>
      </w:r>
      <w:r>
        <w:rPr>
          <w:spacing w:val="37"/>
          <w:w w:val="105"/>
        </w:rPr>
        <w:t> </w:t>
      </w:r>
      <w:r>
        <w:rPr>
          <w:w w:val="105"/>
        </w:rPr>
        <w:t>3%</w:t>
      </w:r>
      <w:r>
        <w:rPr>
          <w:spacing w:val="38"/>
          <w:w w:val="105"/>
        </w:rPr>
        <w:t> </w:t>
      </w:r>
      <w:r>
        <w:rPr>
          <w:w w:val="105"/>
        </w:rPr>
        <w:t>de</w:t>
      </w:r>
      <w:r>
        <w:rPr>
          <w:spacing w:val="37"/>
          <w:w w:val="105"/>
        </w:rPr>
        <w:t> </w:t>
      </w:r>
      <w:r>
        <w:rPr>
          <w:w w:val="105"/>
        </w:rPr>
        <w:t>los</w:t>
      </w:r>
      <w:r>
        <w:rPr>
          <w:spacing w:val="37"/>
          <w:w w:val="105"/>
        </w:rPr>
        <w:t> </w:t>
      </w:r>
      <w:r>
        <w:rPr>
          <w:w w:val="105"/>
        </w:rPr>
        <w:t>laríngeos</w:t>
      </w:r>
      <w:r>
        <w:rPr>
          <w:w w:val="105"/>
          <w:position w:val="10"/>
          <w:sz w:val="14"/>
        </w:rPr>
        <w:t>1</w:t>
      </w:r>
      <w:r>
        <w:rPr>
          <w:w w:val="105"/>
        </w:rPr>
        <w:t>.</w:t>
      </w:r>
      <w:r>
        <w:rPr>
          <w:spacing w:val="35"/>
          <w:w w:val="105"/>
        </w:rPr>
        <w:t> </w:t>
      </w:r>
      <w:r>
        <w:rPr>
          <w:w w:val="105"/>
        </w:rPr>
        <w:t>Se</w:t>
      </w:r>
      <w:r>
        <w:rPr>
          <w:spacing w:val="37"/>
          <w:w w:val="105"/>
        </w:rPr>
        <w:t> </w:t>
      </w:r>
      <w:r>
        <w:rPr>
          <w:w w:val="105"/>
        </w:rPr>
        <w:t>reportan</w:t>
      </w:r>
    </w:p>
    <w:p>
      <w:pPr>
        <w:pStyle w:val="BodyText"/>
        <w:spacing w:line="465" w:lineRule="auto"/>
        <w:ind w:left="108" w:right="110"/>
        <w:jc w:val="both"/>
      </w:pPr>
      <w:r>
        <w:rPr>
          <w:w w:val="105"/>
        </w:rPr>
        <w:t>metástasis a distancia de paragangliomas cervicales en pulmón, hueso , mama,</w:t>
      </w:r>
      <w:r>
        <w:rPr>
          <w:spacing w:val="-35"/>
          <w:w w:val="105"/>
        </w:rPr>
        <w:t> </w:t>
      </w:r>
      <w:r>
        <w:rPr>
          <w:w w:val="105"/>
        </w:rPr>
        <w:t>páncreas, tiroides, riñón e</w:t>
      </w:r>
      <w:r>
        <w:rPr>
          <w:spacing w:val="-26"/>
          <w:w w:val="105"/>
        </w:rPr>
        <w:t> </w:t>
      </w:r>
      <w:r>
        <w:rPr>
          <w:w w:val="105"/>
        </w:rPr>
        <w:t>hígado</w:t>
      </w:r>
      <w:r>
        <w:rPr>
          <w:w w:val="105"/>
          <w:position w:val="10"/>
          <w:sz w:val="14"/>
        </w:rPr>
        <w:t>5,6</w:t>
      </w:r>
      <w:r>
        <w:rPr>
          <w:w w:val="105"/>
        </w:rPr>
        <w:t>.</w:t>
      </w:r>
    </w:p>
    <w:p>
      <w:pPr>
        <w:pStyle w:val="Heading3"/>
        <w:numPr>
          <w:ilvl w:val="3"/>
          <w:numId w:val="4"/>
        </w:numPr>
        <w:tabs>
          <w:tab w:pos="782" w:val="left" w:leader="none"/>
        </w:tabs>
        <w:spacing w:line="240" w:lineRule="auto" w:before="12" w:after="0"/>
        <w:ind w:left="781" w:right="0" w:hanging="673"/>
        <w:jc w:val="both"/>
      </w:pPr>
      <w:r>
        <w:rPr>
          <w:w w:val="105"/>
        </w:rPr>
        <w:t>Tumores</w:t>
      </w:r>
      <w:r>
        <w:rPr>
          <w:spacing w:val="-13"/>
          <w:w w:val="105"/>
        </w:rPr>
        <w:t> </w:t>
      </w:r>
      <w:r>
        <w:rPr>
          <w:w w:val="105"/>
        </w:rPr>
        <w:t>secretores</w:t>
      </w:r>
    </w:p>
    <w:p>
      <w:pPr>
        <w:pStyle w:val="BodyText"/>
        <w:spacing w:before="9"/>
        <w:rPr>
          <w:b/>
          <w:sz w:val="22"/>
        </w:rPr>
      </w:pPr>
    </w:p>
    <w:p>
      <w:pPr>
        <w:pStyle w:val="BodyText"/>
        <w:spacing w:line="501" w:lineRule="auto"/>
        <w:ind w:left="108" w:right="108"/>
        <w:jc w:val="both"/>
      </w:pPr>
      <w:r>
        <w:rPr>
          <w:w w:val="105"/>
        </w:rPr>
        <w:t>Si bien todos los paragangliomas poseen gránulos neurosecretores, solo 1 a 3 % de ellos tienen actividad clínica detectable (secretores de noradrenalina). La presencia de cefalea, hipertensión paroxística y palpitaciones pueden orientar a la presencia de un tumor funcional, en cuyo caso se recomienda la medición de noradrenalina y sus metabolitos en orina de 24 horas como parte de la planificación quirúrgica. En caso de confirmarse la actividad secretora del paraganglioma, el paciente deberá ser pre-tratado con alfa y beta bloqueadores (por ejemplo: labetalol)antes de ser sometido a la resección quirúrgica    del</w:t>
      </w:r>
    </w:p>
    <w:p>
      <w:pPr>
        <w:pStyle w:val="BodyText"/>
        <w:spacing w:line="253" w:lineRule="exact"/>
        <w:ind w:left="108"/>
        <w:jc w:val="both"/>
      </w:pPr>
      <w:r>
        <w:rPr/>
        <w:t>tumor</w:t>
      </w:r>
      <w:r>
        <w:rPr>
          <w:position w:val="10"/>
          <w:sz w:val="14"/>
        </w:rPr>
        <w:t>7</w:t>
      </w:r>
      <w:r>
        <w:rPr/>
        <w:t>.</w:t>
      </w:r>
    </w:p>
    <w:p>
      <w:pPr>
        <w:pStyle w:val="BodyText"/>
        <w:spacing w:before="9"/>
        <w:rPr>
          <w:sz w:val="22"/>
        </w:rPr>
      </w:pPr>
    </w:p>
    <w:p>
      <w:pPr>
        <w:pStyle w:val="Heading3"/>
        <w:numPr>
          <w:ilvl w:val="3"/>
          <w:numId w:val="4"/>
        </w:numPr>
        <w:tabs>
          <w:tab w:pos="782" w:val="left" w:leader="none"/>
        </w:tabs>
        <w:spacing w:line="240" w:lineRule="auto" w:before="0" w:after="0"/>
        <w:ind w:left="781" w:right="0" w:hanging="673"/>
        <w:jc w:val="both"/>
      </w:pPr>
      <w:r>
        <w:rPr>
          <w:w w:val="105"/>
        </w:rPr>
        <w:t>Presentación</w:t>
      </w:r>
      <w:r>
        <w:rPr>
          <w:spacing w:val="-13"/>
          <w:w w:val="105"/>
        </w:rPr>
        <w:t> </w:t>
      </w:r>
      <w:r>
        <w:rPr>
          <w:w w:val="105"/>
        </w:rPr>
        <w:t>clínica</w:t>
      </w:r>
    </w:p>
    <w:p>
      <w:pPr>
        <w:pStyle w:val="BodyText"/>
        <w:spacing w:before="2"/>
        <w:rPr>
          <w:b/>
          <w:sz w:val="23"/>
        </w:rPr>
      </w:pPr>
    </w:p>
    <w:p>
      <w:pPr>
        <w:pStyle w:val="BodyText"/>
        <w:spacing w:line="501" w:lineRule="auto" w:before="1"/>
        <w:ind w:left="108" w:right="112"/>
        <w:jc w:val="both"/>
      </w:pPr>
      <w:r>
        <w:rPr>
          <w:w w:val="105"/>
        </w:rPr>
        <w:t>Le presentación clínica es la presencia de tumoración asintomático en la cara lateral del cuello, de crecimiento gradual y generalmente diagnosticado en forma incidental. Cuando son de gran tamaño, pueden causar sintomatología por efecto de compresión; por lo</w:t>
      </w:r>
    </w:p>
    <w:p>
      <w:pPr>
        <w:spacing w:after="0" w:line="501" w:lineRule="auto"/>
        <w:jc w:val="both"/>
        <w:sectPr>
          <w:pgSz w:w="12240" w:h="15840"/>
          <w:pgMar w:header="0" w:footer="687" w:top="1380" w:bottom="940" w:left="1600" w:right="1580"/>
        </w:sectPr>
      </w:pPr>
    </w:p>
    <w:p>
      <w:pPr>
        <w:pStyle w:val="BodyText"/>
        <w:spacing w:line="487" w:lineRule="auto" w:before="50"/>
        <w:ind w:left="108" w:right="109"/>
        <w:jc w:val="both"/>
      </w:pPr>
      <w:r>
        <w:rPr>
          <w:w w:val="105"/>
        </w:rPr>
        <w:t>general</w:t>
      </w:r>
      <w:r>
        <w:rPr>
          <w:spacing w:val="-12"/>
          <w:w w:val="105"/>
        </w:rPr>
        <w:t> </w:t>
      </w:r>
      <w:r>
        <w:rPr>
          <w:w w:val="105"/>
        </w:rPr>
        <w:t>son</w:t>
      </w:r>
      <w:r>
        <w:rPr>
          <w:spacing w:val="-10"/>
          <w:w w:val="105"/>
        </w:rPr>
        <w:t> </w:t>
      </w:r>
      <w:r>
        <w:rPr>
          <w:w w:val="105"/>
        </w:rPr>
        <w:t>benignos</w:t>
      </w:r>
      <w:r>
        <w:rPr>
          <w:spacing w:val="-10"/>
          <w:w w:val="105"/>
        </w:rPr>
        <w:t> </w:t>
      </w:r>
      <w:r>
        <w:rPr>
          <w:w w:val="105"/>
        </w:rPr>
        <w:t>y</w:t>
      </w:r>
      <w:r>
        <w:rPr>
          <w:spacing w:val="-10"/>
          <w:w w:val="105"/>
        </w:rPr>
        <w:t> </w:t>
      </w:r>
      <w:r>
        <w:rPr>
          <w:w w:val="105"/>
        </w:rPr>
        <w:t>el</w:t>
      </w:r>
      <w:r>
        <w:rPr>
          <w:spacing w:val="-12"/>
          <w:w w:val="105"/>
        </w:rPr>
        <w:t> </w:t>
      </w:r>
      <w:r>
        <w:rPr>
          <w:w w:val="105"/>
        </w:rPr>
        <w:t>diagnostico</w:t>
      </w:r>
      <w:r>
        <w:rPr>
          <w:spacing w:val="-10"/>
          <w:w w:val="105"/>
        </w:rPr>
        <w:t> </w:t>
      </w:r>
      <w:r>
        <w:rPr>
          <w:w w:val="105"/>
        </w:rPr>
        <w:t>de</w:t>
      </w:r>
      <w:r>
        <w:rPr>
          <w:spacing w:val="-10"/>
          <w:w w:val="105"/>
        </w:rPr>
        <w:t> </w:t>
      </w:r>
      <w:r>
        <w:rPr>
          <w:w w:val="105"/>
        </w:rPr>
        <w:t>malignidad</w:t>
      </w:r>
      <w:r>
        <w:rPr>
          <w:spacing w:val="-10"/>
          <w:w w:val="105"/>
        </w:rPr>
        <w:t> </w:t>
      </w:r>
      <w:r>
        <w:rPr>
          <w:w w:val="105"/>
        </w:rPr>
        <w:t>no</w:t>
      </w:r>
      <w:r>
        <w:rPr>
          <w:spacing w:val="-10"/>
          <w:w w:val="105"/>
        </w:rPr>
        <w:t> </w:t>
      </w:r>
      <w:r>
        <w:rPr>
          <w:w w:val="105"/>
        </w:rPr>
        <w:t>está</w:t>
      </w:r>
      <w:r>
        <w:rPr>
          <w:spacing w:val="-10"/>
          <w:w w:val="105"/>
        </w:rPr>
        <w:t> </w:t>
      </w:r>
      <w:r>
        <w:rPr>
          <w:w w:val="105"/>
        </w:rPr>
        <w:t>dictado</w:t>
      </w:r>
      <w:r>
        <w:rPr>
          <w:spacing w:val="-10"/>
          <w:w w:val="105"/>
        </w:rPr>
        <w:t> </w:t>
      </w:r>
      <w:r>
        <w:rPr>
          <w:w w:val="105"/>
        </w:rPr>
        <w:t>por</w:t>
      </w:r>
      <w:r>
        <w:rPr>
          <w:spacing w:val="-11"/>
          <w:w w:val="105"/>
        </w:rPr>
        <w:t> </w:t>
      </w:r>
      <w:r>
        <w:rPr>
          <w:w w:val="105"/>
        </w:rPr>
        <w:t>sus</w:t>
      </w:r>
      <w:r>
        <w:rPr>
          <w:spacing w:val="-10"/>
          <w:w w:val="105"/>
        </w:rPr>
        <w:t> </w:t>
      </w:r>
      <w:r>
        <w:rPr>
          <w:w w:val="105"/>
        </w:rPr>
        <w:t>características histopatológicas,</w:t>
      </w:r>
      <w:r>
        <w:rPr>
          <w:spacing w:val="-13"/>
          <w:w w:val="105"/>
        </w:rPr>
        <w:t> </w:t>
      </w:r>
      <w:r>
        <w:rPr>
          <w:w w:val="105"/>
        </w:rPr>
        <w:t>sino</w:t>
      </w:r>
      <w:r>
        <w:rPr>
          <w:spacing w:val="-12"/>
          <w:w w:val="105"/>
        </w:rPr>
        <w:t> </w:t>
      </w:r>
      <w:r>
        <w:rPr>
          <w:w w:val="105"/>
        </w:rPr>
        <w:t>por</w:t>
      </w:r>
      <w:r>
        <w:rPr>
          <w:spacing w:val="-13"/>
          <w:w w:val="105"/>
        </w:rPr>
        <w:t> </w:t>
      </w:r>
      <w:r>
        <w:rPr>
          <w:w w:val="105"/>
        </w:rPr>
        <w:t>invasión</w:t>
      </w:r>
      <w:r>
        <w:rPr>
          <w:spacing w:val="-12"/>
          <w:w w:val="105"/>
        </w:rPr>
        <w:t> </w:t>
      </w:r>
      <w:r>
        <w:rPr>
          <w:w w:val="105"/>
        </w:rPr>
        <w:t>a</w:t>
      </w:r>
      <w:r>
        <w:rPr>
          <w:spacing w:val="-12"/>
          <w:w w:val="105"/>
        </w:rPr>
        <w:t> </w:t>
      </w:r>
      <w:r>
        <w:rPr>
          <w:w w:val="105"/>
        </w:rPr>
        <w:t>órganos</w:t>
      </w:r>
      <w:r>
        <w:rPr>
          <w:spacing w:val="-12"/>
          <w:w w:val="105"/>
        </w:rPr>
        <w:t> </w:t>
      </w:r>
      <w:r>
        <w:rPr>
          <w:w w:val="105"/>
        </w:rPr>
        <w:t>vecinos,</w:t>
      </w:r>
      <w:r>
        <w:rPr>
          <w:spacing w:val="-13"/>
          <w:w w:val="105"/>
        </w:rPr>
        <w:t> </w:t>
      </w:r>
      <w:r>
        <w:rPr>
          <w:w w:val="105"/>
        </w:rPr>
        <w:t>metástasis</w:t>
      </w:r>
      <w:r>
        <w:rPr>
          <w:spacing w:val="-12"/>
          <w:w w:val="105"/>
        </w:rPr>
        <w:t> </w:t>
      </w:r>
      <w:r>
        <w:rPr>
          <w:w w:val="105"/>
        </w:rPr>
        <w:t>o</w:t>
      </w:r>
      <w:r>
        <w:rPr>
          <w:spacing w:val="-12"/>
          <w:w w:val="105"/>
        </w:rPr>
        <w:t> </w:t>
      </w:r>
      <w:r>
        <w:rPr>
          <w:w w:val="105"/>
        </w:rPr>
        <w:t>recurrencia</w:t>
      </w:r>
      <w:r>
        <w:rPr>
          <w:spacing w:val="-12"/>
          <w:w w:val="105"/>
        </w:rPr>
        <w:t> </w:t>
      </w:r>
      <w:r>
        <w:rPr>
          <w:w w:val="105"/>
        </w:rPr>
        <w:t>observadas en un 5-10% de los</w:t>
      </w:r>
      <w:r>
        <w:rPr>
          <w:spacing w:val="-26"/>
          <w:w w:val="105"/>
        </w:rPr>
        <w:t> </w:t>
      </w:r>
      <w:r>
        <w:rPr>
          <w:w w:val="105"/>
        </w:rPr>
        <w:t>casos</w:t>
      </w:r>
      <w:r>
        <w:rPr>
          <w:w w:val="105"/>
          <w:position w:val="10"/>
          <w:sz w:val="14"/>
        </w:rPr>
        <w:t>2,8</w:t>
      </w:r>
      <w:r>
        <w:rPr>
          <w:w w:val="105"/>
        </w:rPr>
        <w:t>.</w:t>
      </w:r>
    </w:p>
    <w:p>
      <w:pPr>
        <w:pStyle w:val="BodyText"/>
        <w:spacing w:line="225" w:lineRule="exact"/>
        <w:ind w:left="108"/>
        <w:jc w:val="both"/>
      </w:pPr>
      <w:r>
        <w:rPr>
          <w:w w:val="105"/>
        </w:rPr>
        <w:t>En el caso de paragangliomas yugulo-timpánicos, el diagnóstico diferencial incluye a otros</w:t>
      </w:r>
    </w:p>
    <w:p>
      <w:pPr>
        <w:pStyle w:val="BodyText"/>
        <w:spacing w:before="2"/>
        <w:rPr>
          <w:sz w:val="23"/>
        </w:rPr>
      </w:pPr>
    </w:p>
    <w:p>
      <w:pPr>
        <w:pStyle w:val="BodyText"/>
        <w:spacing w:line="465" w:lineRule="auto" w:before="1"/>
        <w:ind w:left="108" w:right="110"/>
        <w:jc w:val="both"/>
      </w:pPr>
      <w:r>
        <w:rPr>
          <w:w w:val="105"/>
        </w:rPr>
        <w:t>tumores de la base del cráneo lateral, como meningiomas, schwannomas, y neurofibromas</w:t>
      </w:r>
      <w:r>
        <w:rPr>
          <w:w w:val="105"/>
          <w:position w:val="10"/>
          <w:sz w:val="14"/>
        </w:rPr>
        <w:t>2</w:t>
      </w:r>
      <w:r>
        <w:rPr>
          <w:w w:val="105"/>
        </w:rPr>
        <w:t>.</w:t>
      </w:r>
    </w:p>
    <w:p>
      <w:pPr>
        <w:pStyle w:val="Heading3"/>
        <w:numPr>
          <w:ilvl w:val="3"/>
          <w:numId w:val="4"/>
        </w:numPr>
        <w:tabs>
          <w:tab w:pos="905" w:val="left" w:leader="none"/>
        </w:tabs>
        <w:spacing w:line="240" w:lineRule="auto" w:before="12" w:after="0"/>
        <w:ind w:left="904" w:right="0" w:hanging="796"/>
        <w:jc w:val="both"/>
      </w:pPr>
      <w:r>
        <w:rPr>
          <w:w w:val="105"/>
        </w:rPr>
        <w:t>Métodos</w:t>
      </w:r>
      <w:r>
        <w:rPr>
          <w:spacing w:val="-14"/>
          <w:w w:val="105"/>
        </w:rPr>
        <w:t> </w:t>
      </w:r>
      <w:r>
        <w:rPr>
          <w:w w:val="105"/>
        </w:rPr>
        <w:t>diagnósticos</w:t>
      </w:r>
    </w:p>
    <w:p>
      <w:pPr>
        <w:pStyle w:val="BodyText"/>
        <w:spacing w:before="9"/>
        <w:rPr>
          <w:b/>
          <w:sz w:val="22"/>
        </w:rPr>
      </w:pPr>
    </w:p>
    <w:p>
      <w:pPr>
        <w:pStyle w:val="BodyText"/>
        <w:spacing w:line="504" w:lineRule="auto"/>
        <w:ind w:left="108" w:right="108"/>
        <w:jc w:val="both"/>
      </w:pPr>
      <w:r>
        <w:rPr>
          <w:w w:val="105"/>
        </w:rPr>
        <w:t>La tomografía axial computada (TAC), permite estudiar la relación de los paragangliomas cervicales</w:t>
      </w:r>
      <w:r>
        <w:rPr>
          <w:spacing w:val="-12"/>
          <w:w w:val="105"/>
        </w:rPr>
        <w:t> </w:t>
      </w:r>
      <w:r>
        <w:rPr>
          <w:w w:val="105"/>
        </w:rPr>
        <w:t>con</w:t>
      </w:r>
      <w:r>
        <w:rPr>
          <w:spacing w:val="-12"/>
          <w:w w:val="105"/>
        </w:rPr>
        <w:t> </w:t>
      </w:r>
      <w:r>
        <w:rPr>
          <w:w w:val="105"/>
        </w:rPr>
        <w:t>los</w:t>
      </w:r>
      <w:r>
        <w:rPr>
          <w:spacing w:val="-12"/>
          <w:w w:val="105"/>
        </w:rPr>
        <w:t> </w:t>
      </w:r>
      <w:r>
        <w:rPr>
          <w:w w:val="105"/>
        </w:rPr>
        <w:t>tejidos</w:t>
      </w:r>
      <w:r>
        <w:rPr>
          <w:spacing w:val="-12"/>
          <w:w w:val="105"/>
        </w:rPr>
        <w:t> </w:t>
      </w:r>
      <w:r>
        <w:rPr>
          <w:w w:val="105"/>
        </w:rPr>
        <w:t>blandos,</w:t>
      </w:r>
      <w:r>
        <w:rPr>
          <w:spacing w:val="-13"/>
          <w:w w:val="105"/>
        </w:rPr>
        <w:t> </w:t>
      </w:r>
      <w:r>
        <w:rPr>
          <w:w w:val="105"/>
        </w:rPr>
        <w:t>así</w:t>
      </w:r>
      <w:r>
        <w:rPr>
          <w:spacing w:val="-13"/>
          <w:w w:val="105"/>
        </w:rPr>
        <w:t> </w:t>
      </w:r>
      <w:r>
        <w:rPr>
          <w:w w:val="105"/>
        </w:rPr>
        <w:t>como</w:t>
      </w:r>
      <w:r>
        <w:rPr>
          <w:spacing w:val="-12"/>
          <w:w w:val="105"/>
        </w:rPr>
        <w:t> </w:t>
      </w:r>
      <w:r>
        <w:rPr>
          <w:w w:val="105"/>
        </w:rPr>
        <w:t>detectar</w:t>
      </w:r>
      <w:r>
        <w:rPr>
          <w:spacing w:val="-13"/>
          <w:w w:val="105"/>
        </w:rPr>
        <w:t> </w:t>
      </w:r>
      <w:r>
        <w:rPr>
          <w:w w:val="105"/>
        </w:rPr>
        <w:t>lesiones</w:t>
      </w:r>
      <w:r>
        <w:rPr>
          <w:spacing w:val="-12"/>
          <w:w w:val="105"/>
        </w:rPr>
        <w:t> </w:t>
      </w:r>
      <w:r>
        <w:rPr>
          <w:w w:val="105"/>
        </w:rPr>
        <w:t>múltiples.</w:t>
      </w:r>
      <w:r>
        <w:rPr>
          <w:spacing w:val="36"/>
          <w:w w:val="105"/>
        </w:rPr>
        <w:t> </w:t>
      </w:r>
      <w:r>
        <w:rPr>
          <w:w w:val="105"/>
        </w:rPr>
        <w:t>La</w:t>
      </w:r>
      <w:r>
        <w:rPr>
          <w:spacing w:val="-12"/>
          <w:w w:val="105"/>
        </w:rPr>
        <w:t> </w:t>
      </w:r>
      <w:r>
        <w:rPr>
          <w:w w:val="105"/>
        </w:rPr>
        <w:t>vascularización de</w:t>
      </w:r>
      <w:r>
        <w:rPr>
          <w:spacing w:val="18"/>
          <w:w w:val="105"/>
        </w:rPr>
        <w:t> </w:t>
      </w:r>
      <w:r>
        <w:rPr>
          <w:w w:val="105"/>
        </w:rPr>
        <w:t>los</w:t>
      </w:r>
      <w:r>
        <w:rPr>
          <w:spacing w:val="18"/>
          <w:w w:val="105"/>
        </w:rPr>
        <w:t> </w:t>
      </w:r>
      <w:r>
        <w:rPr>
          <w:w w:val="105"/>
        </w:rPr>
        <w:t>tumores</w:t>
      </w:r>
      <w:r>
        <w:rPr>
          <w:spacing w:val="18"/>
          <w:w w:val="105"/>
        </w:rPr>
        <w:t> </w:t>
      </w:r>
      <w:r>
        <w:rPr>
          <w:w w:val="105"/>
        </w:rPr>
        <w:t>del</w:t>
      </w:r>
      <w:r>
        <w:rPr>
          <w:spacing w:val="17"/>
          <w:w w:val="105"/>
        </w:rPr>
        <w:t> </w:t>
      </w:r>
      <w:r>
        <w:rPr>
          <w:w w:val="105"/>
        </w:rPr>
        <w:t>cuerpo</w:t>
      </w:r>
      <w:r>
        <w:rPr>
          <w:spacing w:val="18"/>
          <w:w w:val="105"/>
        </w:rPr>
        <w:t> </w:t>
      </w:r>
      <w:r>
        <w:rPr>
          <w:w w:val="105"/>
        </w:rPr>
        <w:t>carotídeo</w:t>
      </w:r>
      <w:r>
        <w:rPr>
          <w:spacing w:val="18"/>
          <w:w w:val="105"/>
        </w:rPr>
        <w:t> </w:t>
      </w:r>
      <w:r>
        <w:rPr>
          <w:w w:val="105"/>
        </w:rPr>
        <w:t>se</w:t>
      </w:r>
      <w:r>
        <w:rPr>
          <w:spacing w:val="18"/>
          <w:w w:val="105"/>
        </w:rPr>
        <w:t> </w:t>
      </w:r>
      <w:r>
        <w:rPr>
          <w:w w:val="105"/>
        </w:rPr>
        <w:t>aprecia</w:t>
      </w:r>
      <w:r>
        <w:rPr>
          <w:spacing w:val="18"/>
          <w:w w:val="105"/>
        </w:rPr>
        <w:t> </w:t>
      </w:r>
      <w:r>
        <w:rPr>
          <w:w w:val="105"/>
        </w:rPr>
        <w:t>con</w:t>
      </w:r>
      <w:r>
        <w:rPr>
          <w:spacing w:val="18"/>
          <w:w w:val="105"/>
        </w:rPr>
        <w:t> </w:t>
      </w:r>
      <w:r>
        <w:rPr>
          <w:w w:val="105"/>
        </w:rPr>
        <w:t>mayor</w:t>
      </w:r>
      <w:r>
        <w:rPr>
          <w:spacing w:val="17"/>
          <w:w w:val="105"/>
        </w:rPr>
        <w:t> </w:t>
      </w:r>
      <w:r>
        <w:rPr>
          <w:w w:val="105"/>
        </w:rPr>
        <w:t>claridad</w:t>
      </w:r>
      <w:r>
        <w:rPr>
          <w:spacing w:val="18"/>
          <w:w w:val="105"/>
        </w:rPr>
        <w:t> </w:t>
      </w:r>
      <w:r>
        <w:rPr>
          <w:w w:val="105"/>
        </w:rPr>
        <w:t>al</w:t>
      </w:r>
      <w:r>
        <w:rPr>
          <w:spacing w:val="17"/>
          <w:w w:val="105"/>
        </w:rPr>
        <w:t> </w:t>
      </w:r>
      <w:r>
        <w:rPr>
          <w:w w:val="105"/>
        </w:rPr>
        <w:t>inyectar</w:t>
      </w:r>
      <w:r>
        <w:rPr>
          <w:spacing w:val="17"/>
          <w:w w:val="105"/>
        </w:rPr>
        <w:t> </w:t>
      </w:r>
      <w:r>
        <w:rPr>
          <w:w w:val="105"/>
        </w:rPr>
        <w:t>medio</w:t>
      </w:r>
      <w:r>
        <w:rPr>
          <w:spacing w:val="18"/>
          <w:w w:val="105"/>
        </w:rPr>
        <w:t> </w:t>
      </w:r>
      <w:r>
        <w:rPr>
          <w:w w:val="105"/>
        </w:rPr>
        <w:t>de</w:t>
      </w:r>
    </w:p>
    <w:p>
      <w:pPr>
        <w:pStyle w:val="BodyText"/>
        <w:spacing w:line="246" w:lineRule="exact"/>
        <w:ind w:left="108"/>
        <w:jc w:val="both"/>
      </w:pPr>
      <w:r>
        <w:rPr>
          <w:w w:val="105"/>
        </w:rPr>
        <w:t>contraste endovenoso (angiografía TAC)</w:t>
      </w:r>
      <w:r>
        <w:rPr>
          <w:w w:val="105"/>
          <w:position w:val="10"/>
          <w:sz w:val="14"/>
        </w:rPr>
        <w:t>8,9</w:t>
      </w:r>
      <w:r>
        <w:rPr>
          <w:w w:val="105"/>
        </w:rPr>
        <w:t>.</w:t>
      </w:r>
    </w:p>
    <w:p>
      <w:pPr>
        <w:pStyle w:val="BodyText"/>
        <w:spacing w:before="2"/>
        <w:rPr>
          <w:sz w:val="23"/>
        </w:rPr>
      </w:pPr>
    </w:p>
    <w:p>
      <w:pPr>
        <w:pStyle w:val="BodyText"/>
        <w:spacing w:line="465" w:lineRule="auto" w:before="1"/>
        <w:ind w:left="108" w:right="113"/>
        <w:jc w:val="both"/>
      </w:pPr>
      <w:r>
        <w:rPr>
          <w:w w:val="105"/>
        </w:rPr>
        <w:t>En los glomus yúgulotimpánicos la TAC de alta resolución, es el examen de mayor</w:t>
      </w:r>
      <w:r>
        <w:rPr>
          <w:spacing w:val="-40"/>
          <w:w w:val="105"/>
        </w:rPr>
        <w:t> </w:t>
      </w:r>
      <w:r>
        <w:rPr>
          <w:w w:val="105"/>
        </w:rPr>
        <w:t>utilidad para</w:t>
      </w:r>
      <w:r>
        <w:rPr>
          <w:spacing w:val="-4"/>
          <w:w w:val="105"/>
        </w:rPr>
        <w:t> </w:t>
      </w:r>
      <w:r>
        <w:rPr>
          <w:w w:val="105"/>
        </w:rPr>
        <w:t>valorar</w:t>
      </w:r>
      <w:r>
        <w:rPr>
          <w:spacing w:val="-4"/>
          <w:w w:val="105"/>
        </w:rPr>
        <w:t> </w:t>
      </w:r>
      <w:r>
        <w:rPr>
          <w:w w:val="105"/>
        </w:rPr>
        <w:t>la</w:t>
      </w:r>
      <w:r>
        <w:rPr>
          <w:spacing w:val="-4"/>
          <w:w w:val="105"/>
        </w:rPr>
        <w:t> </w:t>
      </w:r>
      <w:r>
        <w:rPr>
          <w:w w:val="105"/>
        </w:rPr>
        <w:t>extensión</w:t>
      </w:r>
      <w:r>
        <w:rPr>
          <w:spacing w:val="-4"/>
          <w:w w:val="105"/>
        </w:rPr>
        <w:t> </w:t>
      </w:r>
      <w:r>
        <w:rPr>
          <w:w w:val="105"/>
        </w:rPr>
        <w:t>tumoral</w:t>
      </w:r>
      <w:r>
        <w:rPr>
          <w:spacing w:val="-5"/>
          <w:w w:val="105"/>
        </w:rPr>
        <w:t> </w:t>
      </w:r>
      <w:r>
        <w:rPr>
          <w:w w:val="105"/>
        </w:rPr>
        <w:t>en</w:t>
      </w:r>
      <w:r>
        <w:rPr>
          <w:spacing w:val="-4"/>
          <w:w w:val="105"/>
        </w:rPr>
        <w:t> </w:t>
      </w:r>
      <w:r>
        <w:rPr>
          <w:w w:val="105"/>
        </w:rPr>
        <w:t>el</w:t>
      </w:r>
      <w:r>
        <w:rPr>
          <w:spacing w:val="-5"/>
          <w:w w:val="105"/>
        </w:rPr>
        <w:t> </w:t>
      </w:r>
      <w:r>
        <w:rPr>
          <w:w w:val="105"/>
        </w:rPr>
        <w:t>hueso</w:t>
      </w:r>
      <w:r>
        <w:rPr>
          <w:spacing w:val="-4"/>
          <w:w w:val="105"/>
        </w:rPr>
        <w:t> </w:t>
      </w:r>
      <w:r>
        <w:rPr>
          <w:w w:val="105"/>
        </w:rPr>
        <w:t>temporal</w:t>
      </w:r>
      <w:r>
        <w:rPr>
          <w:spacing w:val="-5"/>
          <w:w w:val="105"/>
        </w:rPr>
        <w:t> </w:t>
      </w:r>
      <w:r>
        <w:rPr>
          <w:w w:val="105"/>
        </w:rPr>
        <w:t>y</w:t>
      </w:r>
      <w:r>
        <w:rPr>
          <w:spacing w:val="-4"/>
          <w:w w:val="105"/>
        </w:rPr>
        <w:t> </w:t>
      </w:r>
      <w:r>
        <w:rPr>
          <w:w w:val="105"/>
        </w:rPr>
        <w:t>en</w:t>
      </w:r>
      <w:r>
        <w:rPr>
          <w:spacing w:val="-4"/>
          <w:w w:val="105"/>
        </w:rPr>
        <w:t> </w:t>
      </w:r>
      <w:r>
        <w:rPr>
          <w:w w:val="105"/>
        </w:rPr>
        <w:t>el</w:t>
      </w:r>
      <w:r>
        <w:rPr>
          <w:spacing w:val="-5"/>
          <w:w w:val="105"/>
        </w:rPr>
        <w:t> </w:t>
      </w:r>
      <w:r>
        <w:rPr>
          <w:w w:val="105"/>
        </w:rPr>
        <w:t>agujero</w:t>
      </w:r>
      <w:r>
        <w:rPr>
          <w:spacing w:val="-4"/>
          <w:w w:val="105"/>
        </w:rPr>
        <w:t> </w:t>
      </w:r>
      <w:r>
        <w:rPr>
          <w:w w:val="105"/>
        </w:rPr>
        <w:t>rasgado</w:t>
      </w:r>
      <w:r>
        <w:rPr>
          <w:spacing w:val="-3"/>
          <w:w w:val="105"/>
        </w:rPr>
        <w:t> </w:t>
      </w:r>
      <w:r>
        <w:rPr>
          <w:w w:val="105"/>
        </w:rPr>
        <w:t>posterior</w:t>
      </w:r>
      <w:r>
        <w:rPr>
          <w:w w:val="105"/>
          <w:position w:val="10"/>
          <w:sz w:val="14"/>
        </w:rPr>
        <w:t>8</w:t>
      </w:r>
      <w:r>
        <w:rPr>
          <w:w w:val="105"/>
        </w:rPr>
        <w:t>.</w:t>
      </w:r>
    </w:p>
    <w:p>
      <w:pPr>
        <w:pStyle w:val="BodyText"/>
        <w:spacing w:before="12"/>
        <w:ind w:left="615" w:right="619"/>
        <w:jc w:val="center"/>
      </w:pPr>
      <w:r>
        <w:rPr>
          <w:w w:val="105"/>
        </w:rPr>
        <w:t>CLASIFICACION DE FISCH, PARA GLOMUS YÚGULO-TIMPÁNICO.</w:t>
      </w:r>
    </w:p>
    <w:p>
      <w:pPr>
        <w:pStyle w:val="BodyText"/>
        <w:spacing w:before="4" w:after="1"/>
        <w:rPr>
          <w:sz w:val="22"/>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2"/>
        <w:gridCol w:w="7666"/>
      </w:tblGrid>
      <w:tr>
        <w:trPr>
          <w:trHeight w:val="514" w:hRule="exact"/>
        </w:trPr>
        <w:tc>
          <w:tcPr>
            <w:tcW w:w="1162" w:type="dxa"/>
          </w:tcPr>
          <w:p>
            <w:pPr>
              <w:pStyle w:val="TableParagraph"/>
              <w:ind w:left="300" w:right="297"/>
              <w:rPr>
                <w:sz w:val="21"/>
              </w:rPr>
            </w:pPr>
            <w:r>
              <w:rPr>
                <w:w w:val="105"/>
                <w:sz w:val="21"/>
              </w:rPr>
              <w:t>TIPO</w:t>
            </w:r>
          </w:p>
        </w:tc>
        <w:tc>
          <w:tcPr>
            <w:tcW w:w="7666" w:type="dxa"/>
          </w:tcPr>
          <w:p>
            <w:pPr>
              <w:pStyle w:val="TableParagraph"/>
              <w:ind w:left="890" w:right="889"/>
              <w:rPr>
                <w:sz w:val="21"/>
              </w:rPr>
            </w:pPr>
            <w:r>
              <w:rPr>
                <w:w w:val="105"/>
                <w:sz w:val="21"/>
              </w:rPr>
              <w:t>DESCRIPCIÓN</w:t>
            </w:r>
          </w:p>
        </w:tc>
      </w:tr>
      <w:tr>
        <w:trPr>
          <w:trHeight w:val="518" w:hRule="exact"/>
        </w:trPr>
        <w:tc>
          <w:tcPr>
            <w:tcW w:w="1162" w:type="dxa"/>
          </w:tcPr>
          <w:p>
            <w:pPr>
              <w:pStyle w:val="TableParagraph"/>
              <w:ind w:left="3"/>
              <w:rPr>
                <w:sz w:val="21"/>
              </w:rPr>
            </w:pPr>
            <w:r>
              <w:rPr>
                <w:w w:val="102"/>
                <w:sz w:val="21"/>
              </w:rPr>
              <w:t>A</w:t>
            </w:r>
          </w:p>
        </w:tc>
        <w:tc>
          <w:tcPr>
            <w:tcW w:w="7666" w:type="dxa"/>
          </w:tcPr>
          <w:p>
            <w:pPr>
              <w:pStyle w:val="TableParagraph"/>
              <w:ind w:left="891" w:right="889"/>
              <w:rPr>
                <w:sz w:val="21"/>
              </w:rPr>
            </w:pPr>
            <w:r>
              <w:rPr>
                <w:w w:val="105"/>
                <w:sz w:val="21"/>
              </w:rPr>
              <w:t>Tumor limitado a promontorio.</w:t>
            </w:r>
          </w:p>
        </w:tc>
      </w:tr>
      <w:tr>
        <w:trPr>
          <w:trHeight w:val="514" w:hRule="exact"/>
        </w:trPr>
        <w:tc>
          <w:tcPr>
            <w:tcW w:w="1162" w:type="dxa"/>
          </w:tcPr>
          <w:p>
            <w:pPr>
              <w:pStyle w:val="TableParagraph"/>
              <w:ind w:left="3"/>
              <w:rPr>
                <w:sz w:val="21"/>
              </w:rPr>
            </w:pPr>
            <w:r>
              <w:rPr>
                <w:w w:val="102"/>
                <w:sz w:val="21"/>
              </w:rPr>
              <w:t>B</w:t>
            </w:r>
          </w:p>
        </w:tc>
        <w:tc>
          <w:tcPr>
            <w:tcW w:w="7666" w:type="dxa"/>
          </w:tcPr>
          <w:p>
            <w:pPr>
              <w:pStyle w:val="TableParagraph"/>
              <w:ind w:left="892" w:right="889"/>
              <w:rPr>
                <w:sz w:val="21"/>
              </w:rPr>
            </w:pPr>
            <w:r>
              <w:rPr>
                <w:w w:val="105"/>
                <w:sz w:val="21"/>
              </w:rPr>
              <w:t>Tumor confinado a oído medio, hipo timpánico y mastoides.</w:t>
            </w:r>
          </w:p>
        </w:tc>
      </w:tr>
      <w:tr>
        <w:trPr>
          <w:trHeight w:val="1022" w:hRule="exact"/>
        </w:trPr>
        <w:tc>
          <w:tcPr>
            <w:tcW w:w="1162" w:type="dxa"/>
          </w:tcPr>
          <w:p>
            <w:pPr>
              <w:pStyle w:val="TableParagraph"/>
              <w:ind w:left="3"/>
              <w:rPr>
                <w:sz w:val="21"/>
              </w:rPr>
            </w:pPr>
            <w:r>
              <w:rPr>
                <w:w w:val="102"/>
                <w:sz w:val="21"/>
              </w:rPr>
              <w:t>C</w:t>
            </w:r>
          </w:p>
        </w:tc>
        <w:tc>
          <w:tcPr>
            <w:tcW w:w="7666" w:type="dxa"/>
          </w:tcPr>
          <w:p>
            <w:pPr>
              <w:pStyle w:val="TableParagraph"/>
              <w:spacing w:line="506" w:lineRule="auto"/>
              <w:ind w:left="3292" w:hanging="3021"/>
              <w:jc w:val="left"/>
              <w:rPr>
                <w:sz w:val="21"/>
              </w:rPr>
            </w:pPr>
            <w:r>
              <w:rPr>
                <w:w w:val="105"/>
                <w:sz w:val="21"/>
              </w:rPr>
              <w:t>Tumor que erosiona bulbo yugular y foramen carotídeo compromiso infra laberíntico.</w:t>
            </w:r>
          </w:p>
        </w:tc>
      </w:tr>
      <w:tr>
        <w:trPr>
          <w:trHeight w:val="518" w:hRule="exact"/>
        </w:trPr>
        <w:tc>
          <w:tcPr>
            <w:tcW w:w="1162" w:type="dxa"/>
          </w:tcPr>
          <w:p>
            <w:pPr>
              <w:pStyle w:val="TableParagraph"/>
              <w:ind w:left="300" w:right="294"/>
              <w:rPr>
                <w:sz w:val="21"/>
              </w:rPr>
            </w:pPr>
            <w:r>
              <w:rPr>
                <w:w w:val="105"/>
                <w:sz w:val="21"/>
              </w:rPr>
              <w:t>D1</w:t>
            </w:r>
          </w:p>
        </w:tc>
        <w:tc>
          <w:tcPr>
            <w:tcW w:w="7666" w:type="dxa"/>
          </w:tcPr>
          <w:p>
            <w:pPr>
              <w:pStyle w:val="TableParagraph"/>
              <w:ind w:left="892" w:right="886"/>
              <w:rPr>
                <w:sz w:val="21"/>
              </w:rPr>
            </w:pPr>
            <w:r>
              <w:rPr>
                <w:w w:val="105"/>
                <w:sz w:val="21"/>
              </w:rPr>
              <w:t>Invasión intracraneal menor de 2 cm.</w:t>
            </w:r>
          </w:p>
        </w:tc>
      </w:tr>
      <w:tr>
        <w:trPr>
          <w:trHeight w:val="514" w:hRule="exact"/>
        </w:trPr>
        <w:tc>
          <w:tcPr>
            <w:tcW w:w="1162" w:type="dxa"/>
          </w:tcPr>
          <w:p>
            <w:pPr>
              <w:pStyle w:val="TableParagraph"/>
              <w:ind w:left="300" w:right="294"/>
              <w:rPr>
                <w:sz w:val="21"/>
              </w:rPr>
            </w:pPr>
            <w:r>
              <w:rPr>
                <w:w w:val="105"/>
                <w:sz w:val="21"/>
              </w:rPr>
              <w:t>D2</w:t>
            </w:r>
          </w:p>
        </w:tc>
        <w:tc>
          <w:tcPr>
            <w:tcW w:w="7666" w:type="dxa"/>
          </w:tcPr>
          <w:p>
            <w:pPr>
              <w:pStyle w:val="TableParagraph"/>
              <w:ind w:left="892" w:right="888"/>
              <w:rPr>
                <w:sz w:val="21"/>
              </w:rPr>
            </w:pPr>
            <w:r>
              <w:rPr>
                <w:w w:val="105"/>
                <w:sz w:val="21"/>
              </w:rPr>
              <w:t>Invasión intracraneal mayor de 2 cm.</w:t>
            </w:r>
          </w:p>
        </w:tc>
      </w:tr>
    </w:tbl>
    <w:p>
      <w:pPr>
        <w:pStyle w:val="BodyText"/>
        <w:rPr>
          <w:sz w:val="20"/>
        </w:rPr>
      </w:pPr>
    </w:p>
    <w:p>
      <w:pPr>
        <w:pStyle w:val="BodyText"/>
        <w:spacing w:before="9"/>
        <w:rPr>
          <w:sz w:val="17"/>
        </w:rPr>
      </w:pPr>
    </w:p>
    <w:p>
      <w:pPr>
        <w:pStyle w:val="BodyText"/>
        <w:spacing w:line="504" w:lineRule="auto" w:before="79"/>
        <w:ind w:left="108" w:right="110"/>
        <w:jc w:val="both"/>
      </w:pPr>
      <w:r>
        <w:rPr>
          <w:w w:val="105"/>
        </w:rPr>
        <w:t>La resonancia magnética nuclear (RMN), es superior en la evaluación de los tejidos blandos, al estudiar el compromiso vascular del tumor, y en distinguirlo de cambios inflamatorios, edema y vasos sanguíneos cercanos. Es superior a la TAC, en la valoración</w:t>
      </w:r>
    </w:p>
    <w:p>
      <w:pPr>
        <w:pStyle w:val="BodyText"/>
        <w:spacing w:line="246" w:lineRule="exact"/>
        <w:ind w:left="108"/>
        <w:jc w:val="both"/>
      </w:pPr>
      <w:r>
        <w:rPr>
          <w:w w:val="105"/>
        </w:rPr>
        <w:t>del compromiso intracraneano</w:t>
      </w:r>
      <w:r>
        <w:rPr>
          <w:w w:val="105"/>
          <w:position w:val="10"/>
          <w:sz w:val="14"/>
        </w:rPr>
        <w:t>8</w:t>
      </w:r>
      <w:r>
        <w:rPr>
          <w:w w:val="105"/>
        </w:rPr>
        <w:t>.</w:t>
      </w:r>
    </w:p>
    <w:p>
      <w:pPr>
        <w:spacing w:after="0" w:line="246" w:lineRule="exact"/>
        <w:jc w:val="both"/>
        <w:sectPr>
          <w:pgSz w:w="12240" w:h="15840"/>
          <w:pgMar w:header="0" w:footer="687" w:top="1380" w:bottom="940" w:left="1600" w:right="1580"/>
        </w:sectPr>
      </w:pPr>
    </w:p>
    <w:p>
      <w:pPr>
        <w:pStyle w:val="BodyText"/>
        <w:spacing w:line="487" w:lineRule="auto" w:before="50"/>
        <w:ind w:left="108" w:right="110"/>
        <w:jc w:val="both"/>
      </w:pPr>
      <w:r>
        <w:rPr>
          <w:w w:val="105"/>
        </w:rPr>
        <w:t>En la secuencia T</w:t>
      </w:r>
      <w:r>
        <w:rPr>
          <w:w w:val="105"/>
          <w:position w:val="-2"/>
          <w:sz w:val="14"/>
        </w:rPr>
        <w:t>1 </w:t>
      </w:r>
      <w:r>
        <w:rPr>
          <w:w w:val="105"/>
        </w:rPr>
        <w:t>de la RMN, los paragangliomas se ven como imágenes hipo intensas bien definidas, mientras que en T</w:t>
      </w:r>
      <w:r>
        <w:rPr>
          <w:w w:val="105"/>
          <w:position w:val="-2"/>
          <w:sz w:val="14"/>
        </w:rPr>
        <w:t>2 </w:t>
      </w:r>
      <w:r>
        <w:rPr>
          <w:w w:val="105"/>
        </w:rPr>
        <w:t>se aprecian como imágenes hiperintensas en forma heterogénea, con puntos oscuros y brillantes; imagen de “sal y pimienta”. La angioresonancia, permite realizar un detallado estudio anatómico de la irrigación de los paragangliomas</w:t>
      </w:r>
      <w:r>
        <w:rPr>
          <w:w w:val="105"/>
          <w:position w:val="10"/>
          <w:sz w:val="14"/>
        </w:rPr>
        <w:t>8</w:t>
      </w:r>
      <w:r>
        <w:rPr>
          <w:w w:val="105"/>
        </w:rPr>
        <w:t>.</w:t>
      </w:r>
    </w:p>
    <w:p>
      <w:pPr>
        <w:pStyle w:val="BodyText"/>
        <w:spacing w:line="225" w:lineRule="exact"/>
        <w:ind w:left="108"/>
        <w:jc w:val="both"/>
      </w:pPr>
      <w:r>
        <w:rPr>
          <w:w w:val="105"/>
        </w:rPr>
        <w:t>El   estudio   ultrasonográfico   con   doppler-duplex,   tiene   una   función   limitada       en</w:t>
      </w:r>
    </w:p>
    <w:p>
      <w:pPr>
        <w:pStyle w:val="BodyText"/>
        <w:spacing w:before="2"/>
        <w:rPr>
          <w:sz w:val="23"/>
        </w:rPr>
      </w:pPr>
    </w:p>
    <w:p>
      <w:pPr>
        <w:pStyle w:val="BodyText"/>
        <w:spacing w:line="465" w:lineRule="auto" w:before="1"/>
        <w:ind w:left="108" w:right="109"/>
        <w:jc w:val="both"/>
      </w:pPr>
      <w:r>
        <w:rPr>
          <w:w w:val="105"/>
        </w:rPr>
        <w:t>paragangliomas, siendo de utilidad únicamente en la valoración y seguimiento de tumores del cuerpo carotideo</w:t>
      </w:r>
      <w:r>
        <w:rPr>
          <w:w w:val="105"/>
          <w:position w:val="10"/>
          <w:sz w:val="14"/>
        </w:rPr>
        <w:t>8,9</w:t>
      </w:r>
      <w:r>
        <w:rPr>
          <w:w w:val="105"/>
        </w:rPr>
        <w:t>.</w:t>
      </w:r>
    </w:p>
    <w:p>
      <w:pPr>
        <w:pStyle w:val="BodyText"/>
        <w:spacing w:line="504" w:lineRule="auto" w:before="7"/>
        <w:ind w:left="108" w:right="109"/>
        <w:jc w:val="both"/>
      </w:pPr>
      <w:r>
        <w:rPr>
          <w:w w:val="105"/>
        </w:rPr>
        <w:t>Los paragangliomas pueden ser también estudiados mediante el uso de compuestos radiomarcados: al poseer un gran número de receptores de somastotanina tipo 2, que se visualizan tras la inyección de octreótido (péptido análogo de la somatostatina). Esta evaluación cintigráfica, si bien no proporciona el detalle anatómico de la TAC o RMN, permite confirma el diagnóstico de tumor neuroendocrino, detectar lesiones a distancia,</w:t>
      </w:r>
    </w:p>
    <w:p>
      <w:pPr>
        <w:pStyle w:val="BodyText"/>
        <w:spacing w:line="465" w:lineRule="auto" w:before="9"/>
        <w:ind w:left="108" w:right="109"/>
        <w:jc w:val="both"/>
      </w:pPr>
      <w:r>
        <w:rPr>
          <w:w w:val="105"/>
        </w:rPr>
        <w:t>distinguir cambios postoperatorios de enfermedad residual y/o recurrente como estudiar pacientes en riesgo de presentar paragangliomas familiares</w:t>
      </w:r>
      <w:r>
        <w:rPr>
          <w:w w:val="105"/>
          <w:position w:val="10"/>
          <w:sz w:val="14"/>
        </w:rPr>
        <w:t>9,10</w:t>
      </w:r>
      <w:r>
        <w:rPr>
          <w:w w:val="105"/>
        </w:rPr>
        <w:t>.</w:t>
      </w:r>
    </w:p>
    <w:p>
      <w:pPr>
        <w:pStyle w:val="BodyText"/>
        <w:spacing w:line="491" w:lineRule="auto" w:before="7"/>
        <w:ind w:left="108" w:right="108"/>
        <w:jc w:val="both"/>
      </w:pPr>
      <w:r>
        <w:rPr>
          <w:w w:val="105"/>
        </w:rPr>
        <w:t>La angiografía es comparada con la utilidad de los estudios imagenológicos no invasivos, pero</w:t>
      </w:r>
      <w:r>
        <w:rPr>
          <w:spacing w:val="-17"/>
          <w:w w:val="105"/>
        </w:rPr>
        <w:t> </w:t>
      </w:r>
      <w:r>
        <w:rPr>
          <w:w w:val="105"/>
        </w:rPr>
        <w:t>conserva</w:t>
      </w:r>
      <w:r>
        <w:rPr>
          <w:spacing w:val="-17"/>
          <w:w w:val="105"/>
        </w:rPr>
        <w:t> </w:t>
      </w:r>
      <w:r>
        <w:rPr>
          <w:w w:val="105"/>
        </w:rPr>
        <w:t>un</w:t>
      </w:r>
      <w:r>
        <w:rPr>
          <w:spacing w:val="-17"/>
          <w:w w:val="105"/>
        </w:rPr>
        <w:t> </w:t>
      </w:r>
      <w:r>
        <w:rPr>
          <w:w w:val="105"/>
        </w:rPr>
        <w:t>rol</w:t>
      </w:r>
      <w:r>
        <w:rPr>
          <w:spacing w:val="-18"/>
          <w:w w:val="105"/>
        </w:rPr>
        <w:t> </w:t>
      </w:r>
      <w:r>
        <w:rPr>
          <w:w w:val="105"/>
        </w:rPr>
        <w:t>por</w:t>
      </w:r>
      <w:r>
        <w:rPr>
          <w:spacing w:val="-18"/>
          <w:w w:val="105"/>
        </w:rPr>
        <w:t> </w:t>
      </w:r>
      <w:r>
        <w:rPr>
          <w:w w:val="105"/>
        </w:rPr>
        <w:t>su</w:t>
      </w:r>
      <w:r>
        <w:rPr>
          <w:spacing w:val="-17"/>
          <w:w w:val="105"/>
        </w:rPr>
        <w:t> </w:t>
      </w:r>
      <w:r>
        <w:rPr>
          <w:w w:val="105"/>
        </w:rPr>
        <w:t>potencial</w:t>
      </w:r>
      <w:r>
        <w:rPr>
          <w:spacing w:val="-18"/>
          <w:w w:val="105"/>
        </w:rPr>
        <w:t> </w:t>
      </w:r>
      <w:r>
        <w:rPr>
          <w:w w:val="105"/>
        </w:rPr>
        <w:t>terapéutico</w:t>
      </w:r>
      <w:r>
        <w:rPr>
          <w:spacing w:val="-17"/>
          <w:w w:val="105"/>
        </w:rPr>
        <w:t> </w:t>
      </w:r>
      <w:r>
        <w:rPr>
          <w:w w:val="105"/>
        </w:rPr>
        <w:t>a</w:t>
      </w:r>
      <w:r>
        <w:rPr>
          <w:spacing w:val="-17"/>
          <w:w w:val="105"/>
        </w:rPr>
        <w:t> </w:t>
      </w:r>
      <w:r>
        <w:rPr>
          <w:w w:val="105"/>
        </w:rPr>
        <w:t>través</w:t>
      </w:r>
      <w:r>
        <w:rPr>
          <w:spacing w:val="-17"/>
          <w:w w:val="105"/>
        </w:rPr>
        <w:t> </w:t>
      </w:r>
      <w:r>
        <w:rPr>
          <w:w w:val="105"/>
        </w:rPr>
        <w:t>de</w:t>
      </w:r>
      <w:r>
        <w:rPr>
          <w:spacing w:val="-17"/>
          <w:w w:val="105"/>
        </w:rPr>
        <w:t> </w:t>
      </w:r>
      <w:r>
        <w:rPr>
          <w:w w:val="105"/>
        </w:rPr>
        <w:t>la</w:t>
      </w:r>
      <w:r>
        <w:rPr>
          <w:spacing w:val="-17"/>
          <w:w w:val="105"/>
        </w:rPr>
        <w:t> </w:t>
      </w:r>
      <w:r>
        <w:rPr>
          <w:w w:val="105"/>
        </w:rPr>
        <w:t>embolización.</w:t>
      </w:r>
      <w:r>
        <w:rPr>
          <w:spacing w:val="-18"/>
          <w:w w:val="105"/>
        </w:rPr>
        <w:t> </w:t>
      </w:r>
      <w:r>
        <w:rPr>
          <w:w w:val="105"/>
        </w:rPr>
        <w:t>La</w:t>
      </w:r>
      <w:r>
        <w:rPr>
          <w:spacing w:val="-17"/>
          <w:w w:val="105"/>
        </w:rPr>
        <w:t> </w:t>
      </w:r>
      <w:r>
        <w:rPr>
          <w:w w:val="105"/>
        </w:rPr>
        <w:t>angiografía demuestra el suministro primario arterial, la configuración vascular y la irrigación colateral del</w:t>
      </w:r>
      <w:r>
        <w:rPr>
          <w:spacing w:val="-11"/>
          <w:w w:val="105"/>
        </w:rPr>
        <w:t> </w:t>
      </w:r>
      <w:r>
        <w:rPr>
          <w:w w:val="105"/>
        </w:rPr>
        <w:t>tumor</w:t>
      </w:r>
      <w:r>
        <w:rPr>
          <w:w w:val="105"/>
          <w:position w:val="10"/>
          <w:sz w:val="14"/>
        </w:rPr>
        <w:t>9</w:t>
      </w:r>
      <w:r>
        <w:rPr>
          <w:w w:val="105"/>
        </w:rPr>
        <w:t>.</w:t>
      </w:r>
    </w:p>
    <w:p>
      <w:pPr>
        <w:pStyle w:val="BodyText"/>
        <w:spacing w:line="219" w:lineRule="exact"/>
        <w:ind w:left="108"/>
        <w:jc w:val="both"/>
      </w:pPr>
      <w:r>
        <w:rPr>
          <w:w w:val="105"/>
        </w:rPr>
        <w:t>La mayoría de los parangangliomas de cabeza y cuello recibe riego de ramas de la arteria</w:t>
      </w:r>
    </w:p>
    <w:p>
      <w:pPr>
        <w:pStyle w:val="BodyText"/>
        <w:spacing w:before="9"/>
        <w:rPr>
          <w:sz w:val="22"/>
        </w:rPr>
      </w:pPr>
    </w:p>
    <w:p>
      <w:pPr>
        <w:pStyle w:val="BodyText"/>
        <w:spacing w:line="470" w:lineRule="auto"/>
        <w:ind w:left="108" w:right="112"/>
        <w:jc w:val="both"/>
      </w:pPr>
      <w:r>
        <w:rPr>
          <w:w w:val="105"/>
        </w:rPr>
        <w:t>faríngea</w:t>
      </w:r>
      <w:r>
        <w:rPr>
          <w:spacing w:val="-17"/>
          <w:w w:val="105"/>
        </w:rPr>
        <w:t> </w:t>
      </w:r>
      <w:r>
        <w:rPr>
          <w:w w:val="105"/>
        </w:rPr>
        <w:t>ascendente;</w:t>
      </w:r>
      <w:r>
        <w:rPr>
          <w:spacing w:val="-17"/>
          <w:w w:val="105"/>
        </w:rPr>
        <w:t> </w:t>
      </w:r>
      <w:r>
        <w:rPr>
          <w:w w:val="105"/>
        </w:rPr>
        <w:t>otros</w:t>
      </w:r>
      <w:r>
        <w:rPr>
          <w:spacing w:val="-17"/>
          <w:w w:val="105"/>
        </w:rPr>
        <w:t> </w:t>
      </w:r>
      <w:r>
        <w:rPr>
          <w:w w:val="105"/>
        </w:rPr>
        <w:t>aportes</w:t>
      </w:r>
      <w:r>
        <w:rPr>
          <w:spacing w:val="-17"/>
          <w:w w:val="105"/>
        </w:rPr>
        <w:t> </w:t>
      </w:r>
      <w:r>
        <w:rPr>
          <w:w w:val="105"/>
        </w:rPr>
        <w:t>pueden</w:t>
      </w:r>
      <w:r>
        <w:rPr>
          <w:spacing w:val="-17"/>
          <w:w w:val="105"/>
        </w:rPr>
        <w:t> </w:t>
      </w:r>
      <w:r>
        <w:rPr>
          <w:w w:val="105"/>
        </w:rPr>
        <w:t>provenir</w:t>
      </w:r>
      <w:r>
        <w:rPr>
          <w:spacing w:val="-17"/>
          <w:w w:val="105"/>
        </w:rPr>
        <w:t> </w:t>
      </w:r>
      <w:r>
        <w:rPr>
          <w:w w:val="105"/>
        </w:rPr>
        <w:t>de</w:t>
      </w:r>
      <w:r>
        <w:rPr>
          <w:spacing w:val="-17"/>
          <w:w w:val="105"/>
        </w:rPr>
        <w:t> </w:t>
      </w:r>
      <w:r>
        <w:rPr>
          <w:w w:val="105"/>
        </w:rPr>
        <w:t>ramas</w:t>
      </w:r>
      <w:r>
        <w:rPr>
          <w:spacing w:val="-17"/>
          <w:w w:val="105"/>
        </w:rPr>
        <w:t> </w:t>
      </w:r>
      <w:r>
        <w:rPr>
          <w:w w:val="105"/>
        </w:rPr>
        <w:t>de</w:t>
      </w:r>
      <w:r>
        <w:rPr>
          <w:spacing w:val="-17"/>
          <w:w w:val="105"/>
        </w:rPr>
        <w:t> </w:t>
      </w:r>
      <w:r>
        <w:rPr>
          <w:w w:val="105"/>
        </w:rPr>
        <w:t>la</w:t>
      </w:r>
      <w:r>
        <w:rPr>
          <w:spacing w:val="-17"/>
          <w:w w:val="105"/>
        </w:rPr>
        <w:t> </w:t>
      </w:r>
      <w:r>
        <w:rPr>
          <w:w w:val="105"/>
        </w:rPr>
        <w:t>carótida</w:t>
      </w:r>
      <w:r>
        <w:rPr>
          <w:spacing w:val="-20"/>
          <w:w w:val="105"/>
        </w:rPr>
        <w:t> </w:t>
      </w:r>
      <w:r>
        <w:rPr>
          <w:w w:val="105"/>
        </w:rPr>
        <w:t>interna,</w:t>
      </w:r>
      <w:r>
        <w:rPr>
          <w:spacing w:val="-17"/>
          <w:w w:val="105"/>
        </w:rPr>
        <w:t> </w:t>
      </w:r>
      <w:r>
        <w:rPr>
          <w:w w:val="105"/>
        </w:rPr>
        <w:t>maxilar interna,</w:t>
      </w:r>
      <w:r>
        <w:rPr>
          <w:spacing w:val="-6"/>
          <w:w w:val="105"/>
        </w:rPr>
        <w:t> </w:t>
      </w:r>
      <w:r>
        <w:rPr>
          <w:w w:val="105"/>
        </w:rPr>
        <w:t>occipital,</w:t>
      </w:r>
      <w:r>
        <w:rPr>
          <w:spacing w:val="-6"/>
          <w:w w:val="105"/>
        </w:rPr>
        <w:t> </w:t>
      </w:r>
      <w:r>
        <w:rPr>
          <w:w w:val="105"/>
        </w:rPr>
        <w:t>vertebral</w:t>
      </w:r>
      <w:r>
        <w:rPr>
          <w:spacing w:val="-7"/>
          <w:w w:val="105"/>
        </w:rPr>
        <w:t> </w:t>
      </w:r>
      <w:r>
        <w:rPr>
          <w:w w:val="105"/>
        </w:rPr>
        <w:t>o</w:t>
      </w:r>
      <w:r>
        <w:rPr>
          <w:spacing w:val="-6"/>
          <w:w w:val="105"/>
        </w:rPr>
        <w:t> </w:t>
      </w:r>
      <w:r>
        <w:rPr>
          <w:w w:val="105"/>
        </w:rPr>
        <w:t>rama</w:t>
      </w:r>
      <w:r>
        <w:rPr>
          <w:spacing w:val="-6"/>
          <w:w w:val="105"/>
        </w:rPr>
        <w:t> </w:t>
      </w:r>
      <w:r>
        <w:rPr>
          <w:w w:val="105"/>
        </w:rPr>
        <w:t>cervical</w:t>
      </w:r>
      <w:r>
        <w:rPr>
          <w:spacing w:val="-7"/>
          <w:w w:val="105"/>
        </w:rPr>
        <w:t> </w:t>
      </w:r>
      <w:r>
        <w:rPr>
          <w:w w:val="105"/>
        </w:rPr>
        <w:t>ascendente</w:t>
      </w:r>
      <w:r>
        <w:rPr>
          <w:spacing w:val="-6"/>
          <w:w w:val="105"/>
        </w:rPr>
        <w:t> </w:t>
      </w:r>
      <w:r>
        <w:rPr>
          <w:w w:val="105"/>
        </w:rPr>
        <w:t>del</w:t>
      </w:r>
      <w:r>
        <w:rPr>
          <w:spacing w:val="-7"/>
          <w:w w:val="105"/>
        </w:rPr>
        <w:t> </w:t>
      </w:r>
      <w:r>
        <w:rPr>
          <w:w w:val="105"/>
        </w:rPr>
        <w:t>tronco</w:t>
      </w:r>
      <w:r>
        <w:rPr>
          <w:spacing w:val="-6"/>
          <w:w w:val="105"/>
        </w:rPr>
        <w:t> </w:t>
      </w:r>
      <w:r>
        <w:rPr>
          <w:w w:val="105"/>
        </w:rPr>
        <w:t>tirocervical</w:t>
      </w:r>
      <w:r>
        <w:rPr>
          <w:w w:val="105"/>
          <w:position w:val="10"/>
          <w:sz w:val="14"/>
        </w:rPr>
        <w:t>9,10</w:t>
      </w:r>
      <w:r>
        <w:rPr>
          <w:w w:val="105"/>
        </w:rPr>
        <w:t>.</w:t>
      </w:r>
    </w:p>
    <w:p>
      <w:pPr>
        <w:pStyle w:val="Heading3"/>
        <w:numPr>
          <w:ilvl w:val="3"/>
          <w:numId w:val="4"/>
        </w:numPr>
        <w:tabs>
          <w:tab w:pos="905" w:val="left" w:leader="none"/>
        </w:tabs>
        <w:spacing w:line="240" w:lineRule="auto" w:before="2" w:after="0"/>
        <w:ind w:left="904" w:right="0" w:hanging="796"/>
        <w:jc w:val="both"/>
      </w:pPr>
      <w:r>
        <w:rPr>
          <w:w w:val="105"/>
        </w:rPr>
        <w:t>Embolización</w:t>
      </w:r>
      <w:r>
        <w:rPr>
          <w:spacing w:val="-18"/>
          <w:w w:val="105"/>
        </w:rPr>
        <w:t> </w:t>
      </w:r>
      <w:r>
        <w:rPr>
          <w:w w:val="105"/>
        </w:rPr>
        <w:t>preoperatoria</w:t>
      </w:r>
    </w:p>
    <w:p>
      <w:pPr>
        <w:pStyle w:val="BodyText"/>
        <w:spacing w:before="2"/>
        <w:rPr>
          <w:b/>
          <w:sz w:val="23"/>
        </w:rPr>
      </w:pPr>
    </w:p>
    <w:p>
      <w:pPr>
        <w:pStyle w:val="BodyText"/>
        <w:spacing w:line="484" w:lineRule="auto" w:before="1"/>
        <w:ind w:left="108" w:right="110"/>
        <w:jc w:val="both"/>
      </w:pPr>
      <w:r>
        <w:rPr>
          <w:w w:val="105"/>
        </w:rPr>
        <w:t>La embolización preoperatoria de paragangliomas, descrita inicialmente por Schick en 1980, ha sido propuesta por numerosos autores. Esta técnica permite disminuir la pérdida sanguínea intraoperatoria, reducir el tiempo quirúrgico y el riesgo operatorio</w:t>
      </w:r>
      <w:r>
        <w:rPr>
          <w:w w:val="105"/>
          <w:position w:val="10"/>
          <w:sz w:val="14"/>
        </w:rPr>
        <w:t>10</w:t>
      </w:r>
      <w:r>
        <w:rPr>
          <w:w w:val="105"/>
        </w:rPr>
        <w:t>. Su   mayor</w:t>
      </w:r>
    </w:p>
    <w:p>
      <w:pPr>
        <w:spacing w:after="0" w:line="484" w:lineRule="auto"/>
        <w:jc w:val="both"/>
        <w:sectPr>
          <w:pgSz w:w="12240" w:h="15840"/>
          <w:pgMar w:header="0" w:footer="687" w:top="1380" w:bottom="940" w:left="1600" w:right="1580"/>
        </w:sectPr>
      </w:pPr>
    </w:p>
    <w:p>
      <w:pPr>
        <w:pStyle w:val="BodyText"/>
        <w:spacing w:line="504" w:lineRule="auto" w:before="50"/>
        <w:ind w:left="108" w:right="109"/>
        <w:jc w:val="both"/>
      </w:pPr>
      <w:r>
        <w:rPr>
          <w:w w:val="105"/>
        </w:rPr>
        <w:t>beneficio se aprecia en tumores de gran volumen: tumores del cuerpo carotídeo de un diámetro superior a los 3 cm o bien glomus yugulares etapas C y D. En los glomus timpánicos A y B su beneficio es discutible. A pesar de la ayuda que proporciona la embolización de estos tumores al cirujano, no se puede desconocer las complicaciones potenciales del procedimiento: accidente vascular encefálico (AVE) isquémico por reflujo del material de embolización a la arteria carótida interna y neuropatías craneales. Algunos autores consideran estos riesgos como inaceptables, por lo que no recomiendan la embolización preoperatoria rutinaria de los tumores de cuerpo carotídeo. La embolización produce una reacción preoperatoria rutinaria de los tumores de cuerpo carotídeo. La embolización produce una reacción inflamatoria en el tumor, que se manifiesta por dolor local y</w:t>
      </w:r>
      <w:r>
        <w:rPr>
          <w:spacing w:val="51"/>
          <w:w w:val="105"/>
        </w:rPr>
        <w:t> </w:t>
      </w:r>
      <w:r>
        <w:rPr>
          <w:w w:val="105"/>
        </w:rPr>
        <w:t>fiebre, y</w:t>
      </w:r>
      <w:r>
        <w:rPr>
          <w:spacing w:val="51"/>
          <w:w w:val="105"/>
        </w:rPr>
        <w:t> </w:t>
      </w:r>
      <w:r>
        <w:rPr>
          <w:w w:val="105"/>
        </w:rPr>
        <w:t>que</w:t>
      </w:r>
      <w:r>
        <w:rPr>
          <w:spacing w:val="51"/>
          <w:w w:val="105"/>
        </w:rPr>
        <w:t> </w:t>
      </w:r>
      <w:r>
        <w:rPr>
          <w:w w:val="105"/>
        </w:rPr>
        <w:t>puede</w:t>
      </w:r>
      <w:r>
        <w:rPr>
          <w:spacing w:val="51"/>
          <w:w w:val="105"/>
        </w:rPr>
        <w:t> </w:t>
      </w:r>
      <w:r>
        <w:rPr>
          <w:w w:val="105"/>
        </w:rPr>
        <w:t>dar</w:t>
      </w:r>
      <w:r>
        <w:rPr>
          <w:spacing w:val="50"/>
          <w:w w:val="105"/>
        </w:rPr>
        <w:t> </w:t>
      </w:r>
      <w:r>
        <w:rPr>
          <w:w w:val="105"/>
        </w:rPr>
        <w:t>lugar</w:t>
      </w:r>
      <w:r>
        <w:rPr>
          <w:spacing w:val="50"/>
          <w:w w:val="105"/>
        </w:rPr>
        <w:t> </w:t>
      </w:r>
      <w:r>
        <w:rPr>
          <w:w w:val="105"/>
        </w:rPr>
        <w:t>a</w:t>
      </w:r>
      <w:r>
        <w:rPr>
          <w:spacing w:val="51"/>
          <w:w w:val="105"/>
        </w:rPr>
        <w:t> </w:t>
      </w:r>
      <w:r>
        <w:rPr>
          <w:w w:val="105"/>
        </w:rPr>
        <w:t>necrosis</w:t>
      </w:r>
      <w:r>
        <w:rPr>
          <w:spacing w:val="51"/>
          <w:w w:val="105"/>
        </w:rPr>
        <w:t> </w:t>
      </w:r>
      <w:r>
        <w:rPr>
          <w:w w:val="105"/>
        </w:rPr>
        <w:t>y</w:t>
      </w:r>
      <w:r>
        <w:rPr>
          <w:spacing w:val="51"/>
          <w:w w:val="105"/>
        </w:rPr>
        <w:t> </w:t>
      </w:r>
      <w:r>
        <w:rPr>
          <w:w w:val="105"/>
        </w:rPr>
        <w:t>edema</w:t>
      </w:r>
      <w:r>
        <w:rPr>
          <w:spacing w:val="51"/>
          <w:w w:val="105"/>
        </w:rPr>
        <w:t> </w:t>
      </w:r>
      <w:r>
        <w:rPr>
          <w:w w:val="105"/>
        </w:rPr>
        <w:t>que</w:t>
      </w:r>
      <w:r>
        <w:rPr>
          <w:spacing w:val="51"/>
          <w:w w:val="105"/>
        </w:rPr>
        <w:t> </w:t>
      </w:r>
      <w:r>
        <w:rPr>
          <w:w w:val="105"/>
        </w:rPr>
        <w:t>dificulten</w:t>
      </w:r>
      <w:r>
        <w:rPr>
          <w:spacing w:val="51"/>
          <w:w w:val="105"/>
        </w:rPr>
        <w:t> </w:t>
      </w:r>
      <w:r>
        <w:rPr>
          <w:w w:val="105"/>
        </w:rPr>
        <w:t>la</w:t>
      </w:r>
      <w:r>
        <w:rPr>
          <w:spacing w:val="51"/>
          <w:w w:val="105"/>
        </w:rPr>
        <w:t> </w:t>
      </w:r>
      <w:r>
        <w:rPr>
          <w:w w:val="105"/>
        </w:rPr>
        <w:t>disección</w:t>
      </w:r>
    </w:p>
    <w:p>
      <w:pPr>
        <w:pStyle w:val="BodyText"/>
        <w:spacing w:line="251" w:lineRule="exact"/>
        <w:ind w:left="108"/>
        <w:jc w:val="both"/>
      </w:pPr>
      <w:r>
        <w:rPr>
          <w:w w:val="105"/>
        </w:rPr>
        <w:t>quirúrgica; se esta no realiza el mismo día del procedimiento endovascular</w:t>
      </w:r>
      <w:r>
        <w:rPr>
          <w:w w:val="105"/>
          <w:position w:val="10"/>
          <w:sz w:val="14"/>
        </w:rPr>
        <w:t>10</w:t>
      </w:r>
      <w:r>
        <w:rPr>
          <w:w w:val="105"/>
        </w:rPr>
        <w:t>.</w:t>
      </w:r>
    </w:p>
    <w:p>
      <w:pPr>
        <w:pStyle w:val="BodyText"/>
        <w:spacing w:before="9"/>
        <w:rPr>
          <w:sz w:val="22"/>
        </w:rPr>
      </w:pPr>
    </w:p>
    <w:p>
      <w:pPr>
        <w:pStyle w:val="BodyText"/>
        <w:spacing w:line="494" w:lineRule="auto"/>
        <w:ind w:left="108" w:right="109"/>
        <w:jc w:val="both"/>
      </w:pPr>
      <w:r>
        <w:rPr>
          <w:w w:val="105"/>
        </w:rPr>
        <w:t>La resección quirúrgica de los tumores de cuerpo carotídeo presenta más dificultades en las etapas avanzadas (Shamblin III), siendo en algunos casos necesarios ligar las arterias para</w:t>
      </w:r>
      <w:r>
        <w:rPr>
          <w:spacing w:val="-14"/>
          <w:w w:val="105"/>
        </w:rPr>
        <w:t> </w:t>
      </w:r>
      <w:r>
        <w:rPr>
          <w:w w:val="105"/>
        </w:rPr>
        <w:t>facilitar</w:t>
      </w:r>
      <w:r>
        <w:rPr>
          <w:spacing w:val="-15"/>
          <w:w w:val="105"/>
        </w:rPr>
        <w:t> </w:t>
      </w:r>
      <w:r>
        <w:rPr>
          <w:w w:val="105"/>
        </w:rPr>
        <w:t>la</w:t>
      </w:r>
      <w:r>
        <w:rPr>
          <w:spacing w:val="-14"/>
          <w:w w:val="105"/>
        </w:rPr>
        <w:t> </w:t>
      </w:r>
      <w:r>
        <w:rPr>
          <w:w w:val="105"/>
        </w:rPr>
        <w:t>disección.</w:t>
      </w:r>
      <w:r>
        <w:rPr>
          <w:spacing w:val="-15"/>
          <w:w w:val="105"/>
        </w:rPr>
        <w:t> </w:t>
      </w:r>
      <w:r>
        <w:rPr>
          <w:w w:val="105"/>
        </w:rPr>
        <w:t>Wang</w:t>
      </w:r>
      <w:r>
        <w:rPr>
          <w:spacing w:val="-14"/>
          <w:w w:val="105"/>
        </w:rPr>
        <w:t> </w:t>
      </w:r>
      <w:r>
        <w:rPr>
          <w:w w:val="105"/>
        </w:rPr>
        <w:t>y</w:t>
      </w:r>
      <w:r>
        <w:rPr>
          <w:spacing w:val="-14"/>
          <w:w w:val="105"/>
        </w:rPr>
        <w:t> </w:t>
      </w:r>
      <w:r>
        <w:rPr>
          <w:w w:val="105"/>
        </w:rPr>
        <w:t>cols.</w:t>
      </w:r>
      <w:r>
        <w:rPr>
          <w:spacing w:val="-15"/>
          <w:w w:val="105"/>
        </w:rPr>
        <w:t> </w:t>
      </w:r>
      <w:r>
        <w:rPr>
          <w:w w:val="105"/>
        </w:rPr>
        <w:t>reportaron</w:t>
      </w:r>
      <w:r>
        <w:rPr>
          <w:spacing w:val="-14"/>
          <w:w w:val="105"/>
        </w:rPr>
        <w:t> </w:t>
      </w:r>
      <w:r>
        <w:rPr>
          <w:w w:val="105"/>
        </w:rPr>
        <w:t>una</w:t>
      </w:r>
      <w:r>
        <w:rPr>
          <w:spacing w:val="-14"/>
          <w:w w:val="105"/>
        </w:rPr>
        <w:t> </w:t>
      </w:r>
      <w:r>
        <w:rPr>
          <w:w w:val="105"/>
        </w:rPr>
        <w:t>experiencia</w:t>
      </w:r>
      <w:r>
        <w:rPr>
          <w:spacing w:val="-14"/>
          <w:w w:val="105"/>
        </w:rPr>
        <w:t> </w:t>
      </w:r>
      <w:r>
        <w:rPr>
          <w:w w:val="105"/>
        </w:rPr>
        <w:t>de</w:t>
      </w:r>
      <w:r>
        <w:rPr>
          <w:spacing w:val="-14"/>
          <w:w w:val="105"/>
        </w:rPr>
        <w:t> </w:t>
      </w:r>
      <w:r>
        <w:rPr>
          <w:w w:val="105"/>
        </w:rPr>
        <w:t>25</w:t>
      </w:r>
      <w:r>
        <w:rPr>
          <w:spacing w:val="-14"/>
          <w:w w:val="105"/>
        </w:rPr>
        <w:t> </w:t>
      </w:r>
      <w:r>
        <w:rPr>
          <w:w w:val="105"/>
        </w:rPr>
        <w:t>años,</w:t>
      </w:r>
      <w:r>
        <w:rPr>
          <w:spacing w:val="-15"/>
          <w:w w:val="105"/>
        </w:rPr>
        <w:t> </w:t>
      </w:r>
      <w:r>
        <w:rPr>
          <w:w w:val="105"/>
        </w:rPr>
        <w:t>consistiendo en</w:t>
      </w:r>
      <w:r>
        <w:rPr>
          <w:spacing w:val="-11"/>
          <w:w w:val="105"/>
        </w:rPr>
        <w:t> </w:t>
      </w:r>
      <w:r>
        <w:rPr>
          <w:w w:val="105"/>
        </w:rPr>
        <w:t>35</w:t>
      </w:r>
      <w:r>
        <w:rPr>
          <w:spacing w:val="-11"/>
          <w:w w:val="105"/>
        </w:rPr>
        <w:t> </w:t>
      </w:r>
      <w:r>
        <w:rPr>
          <w:w w:val="105"/>
        </w:rPr>
        <w:t>tumores</w:t>
      </w:r>
      <w:r>
        <w:rPr>
          <w:spacing w:val="-12"/>
          <w:w w:val="105"/>
        </w:rPr>
        <w:t> </w:t>
      </w:r>
      <w:r>
        <w:rPr>
          <w:w w:val="105"/>
        </w:rPr>
        <w:t>de</w:t>
      </w:r>
      <w:r>
        <w:rPr>
          <w:spacing w:val="-11"/>
          <w:w w:val="105"/>
        </w:rPr>
        <w:t> </w:t>
      </w:r>
      <w:r>
        <w:rPr>
          <w:w w:val="105"/>
        </w:rPr>
        <w:t>cuerpo</w:t>
      </w:r>
      <w:r>
        <w:rPr>
          <w:spacing w:val="-11"/>
          <w:w w:val="105"/>
        </w:rPr>
        <w:t> </w:t>
      </w:r>
      <w:r>
        <w:rPr>
          <w:w w:val="105"/>
        </w:rPr>
        <w:t>carotídeo</w:t>
      </w:r>
      <w:r>
        <w:rPr>
          <w:spacing w:val="-11"/>
          <w:w w:val="105"/>
        </w:rPr>
        <w:t> </w:t>
      </w:r>
      <w:r>
        <w:rPr>
          <w:w w:val="105"/>
        </w:rPr>
        <w:t>resecado</w:t>
      </w:r>
      <w:r>
        <w:rPr>
          <w:spacing w:val="-11"/>
          <w:w w:val="105"/>
        </w:rPr>
        <w:t> </w:t>
      </w:r>
      <w:r>
        <w:rPr>
          <w:w w:val="105"/>
        </w:rPr>
        <w:t>completamente,</w:t>
      </w:r>
      <w:r>
        <w:rPr>
          <w:spacing w:val="-13"/>
          <w:w w:val="105"/>
        </w:rPr>
        <w:t> </w:t>
      </w:r>
      <w:r>
        <w:rPr>
          <w:w w:val="105"/>
        </w:rPr>
        <w:t>sin</w:t>
      </w:r>
      <w:r>
        <w:rPr>
          <w:spacing w:val="-11"/>
          <w:w w:val="105"/>
        </w:rPr>
        <w:t> </w:t>
      </w:r>
      <w:r>
        <w:rPr>
          <w:w w:val="105"/>
        </w:rPr>
        <w:t>recidivas</w:t>
      </w:r>
      <w:r>
        <w:rPr>
          <w:spacing w:val="-12"/>
          <w:w w:val="105"/>
        </w:rPr>
        <w:t> </w:t>
      </w:r>
      <w:r>
        <w:rPr>
          <w:w w:val="105"/>
        </w:rPr>
        <w:t>en</w:t>
      </w:r>
      <w:r>
        <w:rPr>
          <w:spacing w:val="-11"/>
          <w:w w:val="105"/>
        </w:rPr>
        <w:t> </w:t>
      </w:r>
      <w:r>
        <w:rPr>
          <w:w w:val="105"/>
        </w:rPr>
        <w:t>el</w:t>
      </w:r>
      <w:r>
        <w:rPr>
          <w:spacing w:val="-13"/>
          <w:w w:val="105"/>
        </w:rPr>
        <w:t> </w:t>
      </w:r>
      <w:r>
        <w:rPr>
          <w:w w:val="105"/>
        </w:rPr>
        <w:t>período</w:t>
      </w:r>
      <w:r>
        <w:rPr>
          <w:spacing w:val="-11"/>
          <w:w w:val="105"/>
        </w:rPr>
        <w:t> </w:t>
      </w:r>
      <w:r>
        <w:rPr>
          <w:w w:val="105"/>
        </w:rPr>
        <w:t>de seguimiento</w:t>
      </w:r>
      <w:r>
        <w:rPr>
          <w:w w:val="105"/>
          <w:position w:val="10"/>
          <w:sz w:val="14"/>
        </w:rPr>
        <w:t>11,12,13</w:t>
      </w:r>
      <w:r>
        <w:rPr>
          <w:w w:val="105"/>
        </w:rPr>
        <w:t>.</w:t>
      </w:r>
    </w:p>
    <w:p>
      <w:pPr>
        <w:pStyle w:val="Heading3"/>
        <w:numPr>
          <w:ilvl w:val="3"/>
          <w:numId w:val="4"/>
        </w:numPr>
        <w:tabs>
          <w:tab w:pos="905" w:val="left" w:leader="none"/>
        </w:tabs>
        <w:spacing w:line="216" w:lineRule="exact" w:before="0" w:after="0"/>
        <w:ind w:left="904" w:right="0" w:hanging="796"/>
        <w:jc w:val="both"/>
      </w:pPr>
      <w:r>
        <w:rPr>
          <w:w w:val="105"/>
        </w:rPr>
        <w:t>Tratamientos</w:t>
      </w:r>
      <w:r>
        <w:rPr>
          <w:spacing w:val="-14"/>
          <w:w w:val="105"/>
        </w:rPr>
        <w:t> </w:t>
      </w:r>
      <w:r>
        <w:rPr>
          <w:w w:val="105"/>
        </w:rPr>
        <w:t>actuales</w:t>
      </w:r>
    </w:p>
    <w:p>
      <w:pPr>
        <w:pStyle w:val="BodyText"/>
        <w:spacing w:before="2"/>
        <w:rPr>
          <w:b/>
          <w:sz w:val="23"/>
        </w:rPr>
      </w:pPr>
    </w:p>
    <w:p>
      <w:pPr>
        <w:pStyle w:val="BodyText"/>
        <w:spacing w:line="491" w:lineRule="auto" w:before="1"/>
        <w:ind w:left="108" w:right="110"/>
        <w:jc w:val="both"/>
      </w:pPr>
      <w:r>
        <w:rPr>
          <w:w w:val="105"/>
        </w:rPr>
        <w:t>El tratamiento de elección de los paragangliomas de cabeza y cuello es la resección quirúrgica completa. La forma para describir las relaciones anatómicas a las cuales esta adherido el tumor y considerado la dificultad en su resección, es mediante la clasificación de Shamblim, descrita en la Clínica Mayo</w:t>
      </w:r>
      <w:r>
        <w:rPr>
          <w:w w:val="105"/>
          <w:position w:val="10"/>
          <w:sz w:val="14"/>
        </w:rPr>
        <w:t>13</w:t>
      </w:r>
      <w:r>
        <w:rPr>
          <w:w w:val="105"/>
        </w:rPr>
        <w:t>.</w:t>
      </w:r>
    </w:p>
    <w:p>
      <w:pPr>
        <w:pStyle w:val="BodyText"/>
        <w:spacing w:line="219" w:lineRule="exact"/>
        <w:ind w:left="108"/>
        <w:jc w:val="both"/>
      </w:pPr>
      <w:r>
        <w:rPr>
          <w:w w:val="105"/>
        </w:rPr>
        <w:t>Dado su comportamiento benigno en la mayoría de los casos, la extirpación de la lesión es</w:t>
      </w:r>
    </w:p>
    <w:p>
      <w:pPr>
        <w:pStyle w:val="BodyText"/>
        <w:spacing w:before="2"/>
        <w:rPr>
          <w:sz w:val="23"/>
        </w:rPr>
      </w:pPr>
    </w:p>
    <w:p>
      <w:pPr>
        <w:pStyle w:val="BodyText"/>
        <w:spacing w:line="501" w:lineRule="auto" w:before="1"/>
        <w:ind w:left="108" w:right="112"/>
        <w:jc w:val="both"/>
      </w:pPr>
      <w:r>
        <w:rPr>
          <w:w w:val="105"/>
        </w:rPr>
        <w:t>un</w:t>
      </w:r>
      <w:r>
        <w:rPr>
          <w:spacing w:val="-14"/>
          <w:w w:val="105"/>
        </w:rPr>
        <w:t> </w:t>
      </w:r>
      <w:r>
        <w:rPr>
          <w:w w:val="105"/>
        </w:rPr>
        <w:t>tratamiento</w:t>
      </w:r>
      <w:r>
        <w:rPr>
          <w:spacing w:val="-14"/>
          <w:w w:val="105"/>
        </w:rPr>
        <w:t> </w:t>
      </w:r>
      <w:r>
        <w:rPr>
          <w:w w:val="105"/>
        </w:rPr>
        <w:t>curativo</w:t>
      </w:r>
      <w:r>
        <w:rPr>
          <w:spacing w:val="-14"/>
          <w:w w:val="105"/>
        </w:rPr>
        <w:t> </w:t>
      </w:r>
      <w:r>
        <w:rPr>
          <w:w w:val="105"/>
        </w:rPr>
        <w:t>y</w:t>
      </w:r>
      <w:r>
        <w:rPr>
          <w:spacing w:val="-14"/>
          <w:w w:val="105"/>
        </w:rPr>
        <w:t> </w:t>
      </w:r>
      <w:r>
        <w:rPr>
          <w:w w:val="105"/>
        </w:rPr>
        <w:t>permite</w:t>
      </w:r>
      <w:r>
        <w:rPr>
          <w:spacing w:val="-14"/>
          <w:w w:val="105"/>
        </w:rPr>
        <w:t> </w:t>
      </w:r>
      <w:r>
        <w:rPr>
          <w:w w:val="105"/>
        </w:rPr>
        <w:t>controlar</w:t>
      </w:r>
      <w:r>
        <w:rPr>
          <w:spacing w:val="-15"/>
          <w:w w:val="105"/>
        </w:rPr>
        <w:t> </w:t>
      </w:r>
      <w:r>
        <w:rPr>
          <w:w w:val="105"/>
        </w:rPr>
        <w:t>la</w:t>
      </w:r>
      <w:r>
        <w:rPr>
          <w:spacing w:val="-14"/>
          <w:w w:val="105"/>
        </w:rPr>
        <w:t> </w:t>
      </w:r>
      <w:r>
        <w:rPr>
          <w:w w:val="105"/>
        </w:rPr>
        <w:t>mayoría</w:t>
      </w:r>
      <w:r>
        <w:rPr>
          <w:spacing w:val="-14"/>
          <w:w w:val="105"/>
        </w:rPr>
        <w:t> </w:t>
      </w:r>
      <w:r>
        <w:rPr>
          <w:w w:val="105"/>
        </w:rPr>
        <w:t>de</w:t>
      </w:r>
      <w:r>
        <w:rPr>
          <w:spacing w:val="-14"/>
          <w:w w:val="105"/>
        </w:rPr>
        <w:t> </w:t>
      </w:r>
      <w:r>
        <w:rPr>
          <w:w w:val="105"/>
        </w:rPr>
        <w:t>los</w:t>
      </w:r>
      <w:r>
        <w:rPr>
          <w:spacing w:val="-14"/>
          <w:w w:val="105"/>
        </w:rPr>
        <w:t> </w:t>
      </w:r>
      <w:r>
        <w:rPr>
          <w:w w:val="105"/>
        </w:rPr>
        <w:t>síntomas</w:t>
      </w:r>
      <w:r>
        <w:rPr>
          <w:spacing w:val="-15"/>
          <w:w w:val="105"/>
        </w:rPr>
        <w:t> </w:t>
      </w:r>
      <w:r>
        <w:rPr>
          <w:w w:val="105"/>
        </w:rPr>
        <w:t>atribuibles</w:t>
      </w:r>
      <w:r>
        <w:rPr>
          <w:spacing w:val="-15"/>
          <w:w w:val="105"/>
        </w:rPr>
        <w:t> </w:t>
      </w:r>
      <w:r>
        <w:rPr>
          <w:w w:val="105"/>
        </w:rPr>
        <w:t>a</w:t>
      </w:r>
      <w:r>
        <w:rPr>
          <w:spacing w:val="-14"/>
          <w:w w:val="105"/>
        </w:rPr>
        <w:t> </w:t>
      </w:r>
      <w:r>
        <w:rPr>
          <w:w w:val="105"/>
        </w:rPr>
        <w:t>la</w:t>
      </w:r>
      <w:r>
        <w:rPr>
          <w:spacing w:val="-14"/>
          <w:w w:val="105"/>
        </w:rPr>
        <w:t> </w:t>
      </w:r>
      <w:r>
        <w:rPr>
          <w:w w:val="105"/>
        </w:rPr>
        <w:t>lesión, salvo en el caso de lesiones nerviosas irreversibles. Por otro lado la resección tumoral permite prevenir complicaciones esperables por le crecimiento sostenido del tumor </w:t>
      </w:r>
      <w:r>
        <w:rPr>
          <w:spacing w:val="57"/>
          <w:w w:val="105"/>
        </w:rPr>
        <w:t> </w:t>
      </w:r>
      <w:r>
        <w:rPr>
          <w:w w:val="105"/>
        </w:rPr>
        <w:t>como</w:t>
      </w:r>
    </w:p>
    <w:p>
      <w:pPr>
        <w:spacing w:after="0" w:line="501" w:lineRule="auto"/>
        <w:jc w:val="both"/>
        <w:sectPr>
          <w:pgSz w:w="12240" w:h="15840"/>
          <w:pgMar w:header="0" w:footer="687" w:top="1380" w:bottom="940" w:left="1600" w:right="1580"/>
        </w:sectPr>
      </w:pPr>
    </w:p>
    <w:p>
      <w:pPr>
        <w:pStyle w:val="BodyText"/>
        <w:spacing w:line="470" w:lineRule="auto" w:before="50"/>
        <w:ind w:left="108" w:right="112"/>
        <w:jc w:val="both"/>
      </w:pPr>
      <w:r>
        <w:rPr>
          <w:w w:val="105"/>
        </w:rPr>
        <w:t>infiltración de pares craneales y de grandes vasos cervicales, invasión intracraneana, hemorragia, etc</w:t>
      </w:r>
      <w:r>
        <w:rPr>
          <w:w w:val="105"/>
          <w:position w:val="10"/>
          <w:sz w:val="14"/>
        </w:rPr>
        <w:t>12,13,14</w:t>
      </w:r>
      <w:r>
        <w:rPr>
          <w:w w:val="105"/>
        </w:rPr>
        <w:t>.</w:t>
      </w:r>
    </w:p>
    <w:p>
      <w:pPr>
        <w:pStyle w:val="BodyText"/>
        <w:spacing w:line="494" w:lineRule="auto" w:before="2"/>
        <w:ind w:left="108" w:right="110"/>
        <w:jc w:val="both"/>
      </w:pPr>
      <w:r>
        <w:rPr>
          <w:w w:val="105"/>
        </w:rPr>
        <w:t>Cuando un caso es considerado irresecable, o bien la morbilidad esperable por la cirugía es</w:t>
      </w:r>
      <w:r>
        <w:rPr>
          <w:spacing w:val="-16"/>
          <w:w w:val="105"/>
        </w:rPr>
        <w:t> </w:t>
      </w:r>
      <w:r>
        <w:rPr>
          <w:w w:val="105"/>
        </w:rPr>
        <w:t>inaceptable,</w:t>
      </w:r>
      <w:r>
        <w:rPr>
          <w:spacing w:val="-17"/>
          <w:w w:val="105"/>
        </w:rPr>
        <w:t> </w:t>
      </w:r>
      <w:r>
        <w:rPr>
          <w:w w:val="105"/>
        </w:rPr>
        <w:t>se</w:t>
      </w:r>
      <w:r>
        <w:rPr>
          <w:spacing w:val="-16"/>
          <w:w w:val="105"/>
        </w:rPr>
        <w:t> </w:t>
      </w:r>
      <w:r>
        <w:rPr>
          <w:w w:val="105"/>
        </w:rPr>
        <w:t>puede</w:t>
      </w:r>
      <w:r>
        <w:rPr>
          <w:spacing w:val="-16"/>
          <w:w w:val="105"/>
        </w:rPr>
        <w:t> </w:t>
      </w:r>
      <w:r>
        <w:rPr>
          <w:w w:val="105"/>
        </w:rPr>
        <w:t>plantear</w:t>
      </w:r>
      <w:r>
        <w:rPr>
          <w:spacing w:val="-17"/>
          <w:w w:val="105"/>
        </w:rPr>
        <w:t> </w:t>
      </w:r>
      <w:r>
        <w:rPr>
          <w:w w:val="105"/>
        </w:rPr>
        <w:t>un</w:t>
      </w:r>
      <w:r>
        <w:rPr>
          <w:spacing w:val="-16"/>
          <w:w w:val="105"/>
        </w:rPr>
        <w:t> </w:t>
      </w:r>
      <w:r>
        <w:rPr>
          <w:w w:val="105"/>
        </w:rPr>
        <w:t>manejo</w:t>
      </w:r>
      <w:r>
        <w:rPr>
          <w:spacing w:val="-16"/>
          <w:w w:val="105"/>
        </w:rPr>
        <w:t> </w:t>
      </w:r>
      <w:r>
        <w:rPr>
          <w:w w:val="105"/>
        </w:rPr>
        <w:t>mediante</w:t>
      </w:r>
      <w:r>
        <w:rPr>
          <w:spacing w:val="-16"/>
          <w:w w:val="105"/>
        </w:rPr>
        <w:t> </w:t>
      </w:r>
      <w:r>
        <w:rPr>
          <w:w w:val="105"/>
        </w:rPr>
        <w:t>radioterapia.</w:t>
      </w:r>
      <w:r>
        <w:rPr>
          <w:spacing w:val="-17"/>
          <w:w w:val="105"/>
        </w:rPr>
        <w:t> </w:t>
      </w:r>
      <w:r>
        <w:rPr>
          <w:w w:val="105"/>
        </w:rPr>
        <w:t>La</w:t>
      </w:r>
      <w:r>
        <w:rPr>
          <w:spacing w:val="-16"/>
          <w:w w:val="105"/>
        </w:rPr>
        <w:t> </w:t>
      </w:r>
      <w:r>
        <w:rPr>
          <w:w w:val="105"/>
        </w:rPr>
        <w:t>radioterapia</w:t>
      </w:r>
      <w:r>
        <w:rPr>
          <w:spacing w:val="-16"/>
          <w:w w:val="105"/>
        </w:rPr>
        <w:t> </w:t>
      </w:r>
      <w:r>
        <w:rPr>
          <w:w w:val="105"/>
        </w:rPr>
        <w:t>externa convencional, a dosis de 45 Gy en 25 fracciones, suele ser suficiente para controlar la mayoría</w:t>
      </w:r>
      <w:r>
        <w:rPr>
          <w:spacing w:val="-6"/>
          <w:w w:val="105"/>
        </w:rPr>
        <w:t> </w:t>
      </w:r>
      <w:r>
        <w:rPr>
          <w:w w:val="105"/>
        </w:rPr>
        <w:t>de</w:t>
      </w:r>
      <w:r>
        <w:rPr>
          <w:spacing w:val="-6"/>
          <w:w w:val="105"/>
        </w:rPr>
        <w:t> </w:t>
      </w:r>
      <w:r>
        <w:rPr>
          <w:w w:val="105"/>
        </w:rPr>
        <w:t>los</w:t>
      </w:r>
      <w:r>
        <w:rPr>
          <w:spacing w:val="-7"/>
          <w:w w:val="105"/>
        </w:rPr>
        <w:t> </w:t>
      </w:r>
      <w:r>
        <w:rPr>
          <w:w w:val="105"/>
        </w:rPr>
        <w:t>paragangliomas.</w:t>
      </w:r>
      <w:r>
        <w:rPr>
          <w:spacing w:val="-7"/>
          <w:w w:val="105"/>
        </w:rPr>
        <w:t> </w:t>
      </w:r>
      <w:r>
        <w:rPr>
          <w:w w:val="105"/>
        </w:rPr>
        <w:t>Si</w:t>
      </w:r>
      <w:r>
        <w:rPr>
          <w:spacing w:val="-8"/>
          <w:w w:val="105"/>
        </w:rPr>
        <w:t> </w:t>
      </w:r>
      <w:r>
        <w:rPr>
          <w:w w:val="105"/>
        </w:rPr>
        <w:t>bien</w:t>
      </w:r>
      <w:r>
        <w:rPr>
          <w:spacing w:val="-6"/>
          <w:w w:val="105"/>
        </w:rPr>
        <w:t> </w:t>
      </w:r>
      <w:r>
        <w:rPr>
          <w:w w:val="105"/>
        </w:rPr>
        <w:t>la</w:t>
      </w:r>
      <w:r>
        <w:rPr>
          <w:spacing w:val="-6"/>
          <w:w w:val="105"/>
        </w:rPr>
        <w:t> </w:t>
      </w:r>
      <w:r>
        <w:rPr>
          <w:w w:val="105"/>
        </w:rPr>
        <w:t>radiación</w:t>
      </w:r>
      <w:r>
        <w:rPr>
          <w:spacing w:val="-6"/>
          <w:w w:val="105"/>
        </w:rPr>
        <w:t> </w:t>
      </w:r>
      <w:r>
        <w:rPr>
          <w:w w:val="105"/>
        </w:rPr>
        <w:t>no</w:t>
      </w:r>
      <w:r>
        <w:rPr>
          <w:spacing w:val="-6"/>
          <w:w w:val="105"/>
        </w:rPr>
        <w:t> </w:t>
      </w:r>
      <w:r>
        <w:rPr>
          <w:w w:val="105"/>
        </w:rPr>
        <w:t>es</w:t>
      </w:r>
      <w:r>
        <w:rPr>
          <w:spacing w:val="-7"/>
          <w:w w:val="105"/>
        </w:rPr>
        <w:t> </w:t>
      </w:r>
      <w:r>
        <w:rPr>
          <w:w w:val="105"/>
        </w:rPr>
        <w:t>un</w:t>
      </w:r>
      <w:r>
        <w:rPr>
          <w:spacing w:val="-6"/>
          <w:w w:val="105"/>
        </w:rPr>
        <w:t> </w:t>
      </w:r>
      <w:r>
        <w:rPr>
          <w:w w:val="105"/>
        </w:rPr>
        <w:t>tratamiento</w:t>
      </w:r>
      <w:r>
        <w:rPr>
          <w:spacing w:val="-6"/>
          <w:w w:val="105"/>
        </w:rPr>
        <w:t> </w:t>
      </w:r>
      <w:r>
        <w:rPr>
          <w:w w:val="105"/>
        </w:rPr>
        <w:t>curativo</w:t>
      </w:r>
      <w:r>
        <w:rPr>
          <w:spacing w:val="-6"/>
          <w:w w:val="105"/>
        </w:rPr>
        <w:t> </w:t>
      </w:r>
      <w:r>
        <w:rPr>
          <w:w w:val="105"/>
        </w:rPr>
        <w:t>(el</w:t>
      </w:r>
      <w:r>
        <w:rPr>
          <w:spacing w:val="-8"/>
          <w:w w:val="105"/>
        </w:rPr>
        <w:t> </w:t>
      </w:r>
      <w:r>
        <w:rPr>
          <w:w w:val="105"/>
        </w:rPr>
        <w:t>tumor permanece</w:t>
      </w:r>
      <w:r>
        <w:rPr>
          <w:spacing w:val="-6"/>
          <w:w w:val="105"/>
        </w:rPr>
        <w:t> </w:t>
      </w:r>
      <w:r>
        <w:rPr>
          <w:w w:val="105"/>
        </w:rPr>
        <w:t>in-situ),</w:t>
      </w:r>
      <w:r>
        <w:rPr>
          <w:spacing w:val="-6"/>
          <w:w w:val="105"/>
        </w:rPr>
        <w:t> </w:t>
      </w:r>
      <w:r>
        <w:rPr>
          <w:w w:val="105"/>
        </w:rPr>
        <w:t>éste</w:t>
      </w:r>
      <w:r>
        <w:rPr>
          <w:spacing w:val="-5"/>
          <w:w w:val="105"/>
        </w:rPr>
        <w:t> </w:t>
      </w:r>
      <w:r>
        <w:rPr>
          <w:w w:val="105"/>
        </w:rPr>
        <w:t>permanece</w:t>
      </w:r>
      <w:r>
        <w:rPr>
          <w:spacing w:val="-5"/>
          <w:w w:val="105"/>
        </w:rPr>
        <w:t> </w:t>
      </w:r>
      <w:r>
        <w:rPr>
          <w:w w:val="105"/>
        </w:rPr>
        <w:t>estable</w:t>
      </w:r>
      <w:r>
        <w:rPr>
          <w:spacing w:val="-5"/>
          <w:w w:val="105"/>
        </w:rPr>
        <w:t> </w:t>
      </w:r>
      <w:r>
        <w:rPr>
          <w:w w:val="105"/>
        </w:rPr>
        <w:t>y</w:t>
      </w:r>
      <w:r>
        <w:rPr>
          <w:spacing w:val="-6"/>
          <w:w w:val="105"/>
        </w:rPr>
        <w:t> </w:t>
      </w:r>
      <w:r>
        <w:rPr>
          <w:w w:val="105"/>
        </w:rPr>
        <w:t>no</w:t>
      </w:r>
      <w:r>
        <w:rPr>
          <w:spacing w:val="-5"/>
          <w:w w:val="105"/>
        </w:rPr>
        <w:t> </w:t>
      </w:r>
      <w:r>
        <w:rPr>
          <w:w w:val="105"/>
        </w:rPr>
        <w:t>progresa</w:t>
      </w:r>
      <w:r>
        <w:rPr>
          <w:spacing w:val="-5"/>
          <w:w w:val="105"/>
        </w:rPr>
        <w:t> </w:t>
      </w:r>
      <w:r>
        <w:rPr>
          <w:w w:val="105"/>
        </w:rPr>
        <w:t>después</w:t>
      </w:r>
      <w:r>
        <w:rPr>
          <w:spacing w:val="-6"/>
          <w:w w:val="105"/>
        </w:rPr>
        <w:t> </w:t>
      </w:r>
      <w:r>
        <w:rPr>
          <w:w w:val="105"/>
        </w:rPr>
        <w:t>de</w:t>
      </w:r>
      <w:r>
        <w:rPr>
          <w:spacing w:val="-5"/>
          <w:w w:val="105"/>
        </w:rPr>
        <w:t> </w:t>
      </w:r>
      <w:r>
        <w:rPr>
          <w:w w:val="105"/>
        </w:rPr>
        <w:t>la</w:t>
      </w:r>
      <w:r>
        <w:rPr>
          <w:spacing w:val="-5"/>
          <w:w w:val="105"/>
        </w:rPr>
        <w:t> </w:t>
      </w:r>
      <w:r>
        <w:rPr>
          <w:w w:val="105"/>
        </w:rPr>
        <w:t>terapia</w:t>
      </w:r>
      <w:r>
        <w:rPr>
          <w:w w:val="105"/>
          <w:position w:val="10"/>
          <w:sz w:val="14"/>
        </w:rPr>
        <w:t>14,15</w:t>
      </w:r>
      <w:r>
        <w:rPr>
          <w:w w:val="105"/>
        </w:rPr>
        <w:t>.</w:t>
      </w:r>
    </w:p>
    <w:p>
      <w:pPr>
        <w:pStyle w:val="BodyText"/>
        <w:spacing w:line="216" w:lineRule="exact"/>
        <w:ind w:left="108"/>
        <w:jc w:val="both"/>
      </w:pPr>
      <w:r>
        <w:rPr>
          <w:w w:val="105"/>
        </w:rPr>
        <w:t>La radiocirugía estereotáxica parece ofrecer tasas similares de control local, pero con una</w:t>
      </w:r>
    </w:p>
    <w:p>
      <w:pPr>
        <w:pStyle w:val="BodyText"/>
        <w:spacing w:before="9"/>
        <w:rPr>
          <w:sz w:val="22"/>
        </w:rPr>
      </w:pPr>
    </w:p>
    <w:p>
      <w:pPr>
        <w:pStyle w:val="BodyText"/>
        <w:spacing w:line="487" w:lineRule="auto"/>
        <w:ind w:left="108" w:right="110"/>
        <w:jc w:val="both"/>
      </w:pPr>
      <w:r>
        <w:rPr>
          <w:w w:val="105"/>
        </w:rPr>
        <w:t>menor</w:t>
      </w:r>
      <w:r>
        <w:rPr>
          <w:spacing w:val="-12"/>
          <w:w w:val="105"/>
        </w:rPr>
        <w:t> </w:t>
      </w:r>
      <w:r>
        <w:rPr>
          <w:w w:val="105"/>
        </w:rPr>
        <w:t>incidencia</w:t>
      </w:r>
      <w:r>
        <w:rPr>
          <w:spacing w:val="-12"/>
          <w:w w:val="105"/>
        </w:rPr>
        <w:t> </w:t>
      </w:r>
      <w:r>
        <w:rPr>
          <w:w w:val="105"/>
        </w:rPr>
        <w:t>de</w:t>
      </w:r>
      <w:r>
        <w:rPr>
          <w:spacing w:val="-12"/>
          <w:w w:val="105"/>
        </w:rPr>
        <w:t> </w:t>
      </w:r>
      <w:r>
        <w:rPr>
          <w:w w:val="105"/>
        </w:rPr>
        <w:t>efectos</w:t>
      </w:r>
      <w:r>
        <w:rPr>
          <w:spacing w:val="-12"/>
          <w:w w:val="105"/>
        </w:rPr>
        <w:t> </w:t>
      </w:r>
      <w:r>
        <w:rPr>
          <w:w w:val="105"/>
        </w:rPr>
        <w:t>adversos</w:t>
      </w:r>
      <w:r>
        <w:rPr>
          <w:spacing w:val="-12"/>
          <w:w w:val="105"/>
        </w:rPr>
        <w:t> </w:t>
      </w:r>
      <w:r>
        <w:rPr>
          <w:w w:val="105"/>
        </w:rPr>
        <w:t>propios</w:t>
      </w:r>
      <w:r>
        <w:rPr>
          <w:spacing w:val="-12"/>
          <w:w w:val="105"/>
        </w:rPr>
        <w:t> </w:t>
      </w:r>
      <w:r>
        <w:rPr>
          <w:w w:val="105"/>
        </w:rPr>
        <w:t>de</w:t>
      </w:r>
      <w:r>
        <w:rPr>
          <w:spacing w:val="-12"/>
          <w:w w:val="105"/>
        </w:rPr>
        <w:t> </w:t>
      </w:r>
      <w:r>
        <w:rPr>
          <w:w w:val="105"/>
        </w:rPr>
        <w:t>la</w:t>
      </w:r>
      <w:r>
        <w:rPr>
          <w:spacing w:val="-12"/>
          <w:w w:val="105"/>
        </w:rPr>
        <w:t> </w:t>
      </w:r>
      <w:r>
        <w:rPr>
          <w:w w:val="105"/>
        </w:rPr>
        <w:t>radioterapia.</w:t>
      </w:r>
      <w:r>
        <w:rPr>
          <w:spacing w:val="-13"/>
          <w:w w:val="105"/>
        </w:rPr>
        <w:t> </w:t>
      </w:r>
      <w:r>
        <w:rPr>
          <w:w w:val="105"/>
        </w:rPr>
        <w:t>El</w:t>
      </w:r>
      <w:r>
        <w:rPr>
          <w:spacing w:val="-13"/>
          <w:w w:val="105"/>
        </w:rPr>
        <w:t> </w:t>
      </w:r>
      <w:r>
        <w:rPr>
          <w:w w:val="105"/>
        </w:rPr>
        <w:t>tratamiento</w:t>
      </w:r>
      <w:r>
        <w:rPr>
          <w:spacing w:val="-12"/>
          <w:w w:val="105"/>
        </w:rPr>
        <w:t> </w:t>
      </w:r>
      <w:r>
        <w:rPr>
          <w:w w:val="105"/>
        </w:rPr>
        <w:t>combinado, consistente en cirugía y radioterapia postoperatoria, debería reservarse para los raros casos de paragangliomas</w:t>
      </w:r>
      <w:r>
        <w:rPr>
          <w:spacing w:val="-30"/>
          <w:w w:val="105"/>
        </w:rPr>
        <w:t> </w:t>
      </w:r>
      <w:r>
        <w:rPr>
          <w:w w:val="105"/>
        </w:rPr>
        <w:t>malignos</w:t>
      </w:r>
      <w:r>
        <w:rPr>
          <w:w w:val="105"/>
          <w:position w:val="10"/>
          <w:sz w:val="14"/>
        </w:rPr>
        <w:t>6,7</w:t>
      </w:r>
      <w:r>
        <w:rPr>
          <w:w w:val="105"/>
        </w:rPr>
        <w:t>.</w:t>
      </w:r>
    </w:p>
    <w:p>
      <w:pPr>
        <w:pStyle w:val="Heading3"/>
        <w:numPr>
          <w:ilvl w:val="3"/>
          <w:numId w:val="4"/>
        </w:numPr>
        <w:tabs>
          <w:tab w:pos="905" w:val="left" w:leader="none"/>
        </w:tabs>
        <w:spacing w:line="229" w:lineRule="exact" w:before="0" w:after="0"/>
        <w:ind w:left="904" w:right="0" w:hanging="796"/>
        <w:jc w:val="both"/>
      </w:pPr>
      <w:r>
        <w:rPr>
          <w:w w:val="105"/>
        </w:rPr>
        <w:t>Complicaciones derivados del</w:t>
      </w:r>
      <w:r>
        <w:rPr>
          <w:spacing w:val="-24"/>
          <w:w w:val="105"/>
        </w:rPr>
        <w:t> </w:t>
      </w:r>
      <w:r>
        <w:rPr>
          <w:w w:val="105"/>
        </w:rPr>
        <w:t>tratamiento</w:t>
      </w:r>
    </w:p>
    <w:p>
      <w:pPr>
        <w:pStyle w:val="BodyText"/>
        <w:spacing w:before="9"/>
        <w:rPr>
          <w:b/>
          <w:sz w:val="22"/>
        </w:rPr>
      </w:pPr>
    </w:p>
    <w:p>
      <w:pPr>
        <w:pStyle w:val="BodyText"/>
        <w:spacing w:line="504" w:lineRule="auto"/>
        <w:ind w:left="108" w:right="108"/>
        <w:jc w:val="both"/>
      </w:pPr>
      <w:r>
        <w:rPr>
          <w:w w:val="105"/>
        </w:rPr>
        <w:t>Las</w:t>
      </w:r>
      <w:r>
        <w:rPr>
          <w:spacing w:val="-5"/>
          <w:w w:val="105"/>
        </w:rPr>
        <w:t> </w:t>
      </w:r>
      <w:r>
        <w:rPr>
          <w:w w:val="105"/>
        </w:rPr>
        <w:t>complicaciones</w:t>
      </w:r>
      <w:r>
        <w:rPr>
          <w:spacing w:val="-5"/>
          <w:w w:val="105"/>
        </w:rPr>
        <w:t> </w:t>
      </w:r>
      <w:r>
        <w:rPr>
          <w:w w:val="105"/>
        </w:rPr>
        <w:t>derivadas</w:t>
      </w:r>
      <w:r>
        <w:rPr>
          <w:spacing w:val="-5"/>
          <w:w w:val="105"/>
        </w:rPr>
        <w:t> </w:t>
      </w:r>
      <w:r>
        <w:rPr>
          <w:w w:val="105"/>
        </w:rPr>
        <w:t>de</w:t>
      </w:r>
      <w:r>
        <w:rPr>
          <w:spacing w:val="-5"/>
          <w:w w:val="105"/>
        </w:rPr>
        <w:t> </w:t>
      </w:r>
      <w:r>
        <w:rPr>
          <w:w w:val="105"/>
        </w:rPr>
        <w:t>la</w:t>
      </w:r>
      <w:r>
        <w:rPr>
          <w:spacing w:val="-5"/>
          <w:w w:val="105"/>
        </w:rPr>
        <w:t> </w:t>
      </w:r>
      <w:r>
        <w:rPr>
          <w:w w:val="105"/>
        </w:rPr>
        <w:t>cirugía</w:t>
      </w:r>
      <w:r>
        <w:rPr>
          <w:spacing w:val="-5"/>
          <w:w w:val="105"/>
        </w:rPr>
        <w:t> </w:t>
      </w:r>
      <w:r>
        <w:rPr>
          <w:w w:val="105"/>
        </w:rPr>
        <w:t>de</w:t>
      </w:r>
      <w:r>
        <w:rPr>
          <w:spacing w:val="-5"/>
          <w:w w:val="105"/>
        </w:rPr>
        <w:t> </w:t>
      </w:r>
      <w:r>
        <w:rPr>
          <w:w w:val="105"/>
        </w:rPr>
        <w:t>los</w:t>
      </w:r>
      <w:r>
        <w:rPr>
          <w:spacing w:val="-5"/>
          <w:w w:val="105"/>
        </w:rPr>
        <w:t> </w:t>
      </w:r>
      <w:r>
        <w:rPr>
          <w:w w:val="105"/>
        </w:rPr>
        <w:t>paragangliomas</w:t>
      </w:r>
      <w:r>
        <w:rPr>
          <w:spacing w:val="-5"/>
          <w:w w:val="105"/>
        </w:rPr>
        <w:t> </w:t>
      </w:r>
      <w:r>
        <w:rPr>
          <w:w w:val="105"/>
        </w:rPr>
        <w:t>están</w:t>
      </w:r>
      <w:r>
        <w:rPr>
          <w:spacing w:val="-5"/>
          <w:w w:val="105"/>
        </w:rPr>
        <w:t> </w:t>
      </w:r>
      <w:r>
        <w:rPr>
          <w:w w:val="105"/>
        </w:rPr>
        <w:t>determinadas</w:t>
      </w:r>
      <w:r>
        <w:rPr>
          <w:spacing w:val="-5"/>
          <w:w w:val="105"/>
        </w:rPr>
        <w:t> </w:t>
      </w:r>
      <w:r>
        <w:rPr>
          <w:spacing w:val="2"/>
          <w:w w:val="105"/>
        </w:rPr>
        <w:t>por </w:t>
      </w:r>
      <w:r>
        <w:rPr>
          <w:w w:val="105"/>
        </w:rPr>
        <w:t>su rica irrigación y su estrecha relación a estructuras nerviosas. En la cirugía de tumores del cuerpo carotídeo, se han descrito rupturas de los vasos carotídeos que, según su tamaño,</w:t>
      </w:r>
      <w:r>
        <w:rPr>
          <w:spacing w:val="-14"/>
          <w:w w:val="105"/>
        </w:rPr>
        <w:t> </w:t>
      </w:r>
      <w:r>
        <w:rPr>
          <w:w w:val="105"/>
        </w:rPr>
        <w:t>pueden</w:t>
      </w:r>
      <w:r>
        <w:rPr>
          <w:spacing w:val="-13"/>
          <w:w w:val="105"/>
        </w:rPr>
        <w:t> </w:t>
      </w:r>
      <w:r>
        <w:rPr>
          <w:w w:val="105"/>
        </w:rPr>
        <w:t>repararse</w:t>
      </w:r>
      <w:r>
        <w:rPr>
          <w:spacing w:val="-13"/>
          <w:w w:val="105"/>
        </w:rPr>
        <w:t> </w:t>
      </w:r>
      <w:r>
        <w:rPr>
          <w:w w:val="105"/>
        </w:rPr>
        <w:t>primariamente</w:t>
      </w:r>
      <w:r>
        <w:rPr>
          <w:spacing w:val="-13"/>
          <w:w w:val="105"/>
        </w:rPr>
        <w:t> </w:t>
      </w:r>
      <w:r>
        <w:rPr>
          <w:w w:val="105"/>
        </w:rPr>
        <w:t>o</w:t>
      </w:r>
      <w:r>
        <w:rPr>
          <w:spacing w:val="-13"/>
          <w:w w:val="105"/>
        </w:rPr>
        <w:t> </w:t>
      </w:r>
      <w:r>
        <w:rPr>
          <w:w w:val="105"/>
        </w:rPr>
        <w:t>bien</w:t>
      </w:r>
      <w:r>
        <w:rPr>
          <w:spacing w:val="-13"/>
          <w:w w:val="105"/>
        </w:rPr>
        <w:t> </w:t>
      </w:r>
      <w:r>
        <w:rPr>
          <w:w w:val="105"/>
        </w:rPr>
        <w:t>requerir</w:t>
      </w:r>
      <w:r>
        <w:rPr>
          <w:spacing w:val="-14"/>
          <w:w w:val="105"/>
        </w:rPr>
        <w:t> </w:t>
      </w:r>
      <w:r>
        <w:rPr>
          <w:w w:val="105"/>
        </w:rPr>
        <w:t>una</w:t>
      </w:r>
      <w:r>
        <w:rPr>
          <w:spacing w:val="-13"/>
          <w:w w:val="105"/>
        </w:rPr>
        <w:t> </w:t>
      </w:r>
      <w:r>
        <w:rPr>
          <w:w w:val="105"/>
        </w:rPr>
        <w:t>anastomosis</w:t>
      </w:r>
      <w:r>
        <w:rPr>
          <w:spacing w:val="-13"/>
          <w:w w:val="105"/>
        </w:rPr>
        <w:t> </w:t>
      </w:r>
      <w:r>
        <w:rPr>
          <w:w w:val="105"/>
        </w:rPr>
        <w:t>(con</w:t>
      </w:r>
      <w:r>
        <w:rPr>
          <w:spacing w:val="-13"/>
          <w:w w:val="105"/>
        </w:rPr>
        <w:t> </w:t>
      </w:r>
      <w:r>
        <w:rPr>
          <w:w w:val="105"/>
        </w:rPr>
        <w:t>o</w:t>
      </w:r>
      <w:r>
        <w:rPr>
          <w:spacing w:val="-13"/>
          <w:w w:val="105"/>
        </w:rPr>
        <w:t> </w:t>
      </w:r>
      <w:r>
        <w:rPr>
          <w:w w:val="105"/>
        </w:rPr>
        <w:t>sin</w:t>
      </w:r>
      <w:r>
        <w:rPr>
          <w:spacing w:val="-13"/>
          <w:w w:val="105"/>
        </w:rPr>
        <w:t> </w:t>
      </w:r>
      <w:r>
        <w:rPr>
          <w:w w:val="105"/>
        </w:rPr>
        <w:t>injerto vascular). La hemorragia intraoperatoria ha alcanzado los 4 500 ml, en casos sin embolización   preoperatoria,   y   es   frecuente   la   necesidad   de   transfusiones   en</w:t>
      </w:r>
      <w:r>
        <w:rPr>
          <w:spacing w:val="32"/>
          <w:w w:val="105"/>
        </w:rPr>
        <w:t> </w:t>
      </w:r>
      <w:r>
        <w:rPr>
          <w:w w:val="105"/>
        </w:rPr>
        <w:t>el</w:t>
      </w:r>
    </w:p>
    <w:p>
      <w:pPr>
        <w:pStyle w:val="BodyText"/>
        <w:spacing w:line="251" w:lineRule="exact"/>
        <w:ind w:left="108"/>
        <w:jc w:val="both"/>
      </w:pPr>
      <w:r>
        <w:rPr>
          <w:w w:val="105"/>
        </w:rPr>
        <w:t>postoperatorio (aun en casos embolizados previamente)</w:t>
      </w:r>
      <w:r>
        <w:rPr>
          <w:w w:val="105"/>
          <w:position w:val="10"/>
          <w:sz w:val="14"/>
        </w:rPr>
        <w:t>16,17</w:t>
      </w:r>
      <w:r>
        <w:rPr>
          <w:w w:val="105"/>
        </w:rPr>
        <w:t>.</w:t>
      </w:r>
    </w:p>
    <w:p>
      <w:pPr>
        <w:pStyle w:val="BodyText"/>
        <w:spacing w:before="9"/>
        <w:rPr>
          <w:sz w:val="22"/>
        </w:rPr>
      </w:pPr>
    </w:p>
    <w:p>
      <w:pPr>
        <w:pStyle w:val="BodyText"/>
        <w:spacing w:line="504" w:lineRule="auto"/>
        <w:ind w:left="108" w:right="109"/>
        <w:jc w:val="both"/>
      </w:pPr>
      <w:r>
        <w:rPr>
          <w:w w:val="105"/>
        </w:rPr>
        <w:t>Se reporta déficit neurológico postoperatorio en un 41-46% de los pacientes, incluyendo paresias y/o parálisis de pares craneanos y síndrome de Claude-Bernard Horner. La mayoría de estas neuropatías son temporales; sin embargo, los defectos neurológicos ya establecidos en el preoperatorio, por infiltración o compresión tumoral de los pares craneanos,</w:t>
      </w:r>
      <w:r>
        <w:rPr>
          <w:spacing w:val="-16"/>
          <w:w w:val="105"/>
        </w:rPr>
        <w:t> </w:t>
      </w:r>
      <w:r>
        <w:rPr>
          <w:w w:val="105"/>
        </w:rPr>
        <w:t>suelen</w:t>
      </w:r>
      <w:r>
        <w:rPr>
          <w:spacing w:val="-15"/>
          <w:w w:val="105"/>
        </w:rPr>
        <w:t> </w:t>
      </w:r>
      <w:r>
        <w:rPr>
          <w:w w:val="105"/>
        </w:rPr>
        <w:t>ser</w:t>
      </w:r>
      <w:r>
        <w:rPr>
          <w:spacing w:val="-15"/>
          <w:w w:val="105"/>
        </w:rPr>
        <w:t> </w:t>
      </w:r>
      <w:r>
        <w:rPr>
          <w:w w:val="105"/>
        </w:rPr>
        <w:t>irreversibles.</w:t>
      </w:r>
      <w:r>
        <w:rPr>
          <w:spacing w:val="-16"/>
          <w:w w:val="105"/>
        </w:rPr>
        <w:t> </w:t>
      </w:r>
      <w:r>
        <w:rPr>
          <w:w w:val="105"/>
        </w:rPr>
        <w:t>Eventos</w:t>
      </w:r>
      <w:r>
        <w:rPr>
          <w:spacing w:val="-15"/>
          <w:w w:val="105"/>
        </w:rPr>
        <w:t> </w:t>
      </w:r>
      <w:r>
        <w:rPr>
          <w:w w:val="105"/>
        </w:rPr>
        <w:t>tromboembólicos</w:t>
      </w:r>
      <w:r>
        <w:rPr>
          <w:spacing w:val="-15"/>
          <w:w w:val="105"/>
        </w:rPr>
        <w:t> </w:t>
      </w:r>
      <w:r>
        <w:rPr>
          <w:w w:val="105"/>
        </w:rPr>
        <w:t>han</w:t>
      </w:r>
      <w:r>
        <w:rPr>
          <w:spacing w:val="-15"/>
          <w:w w:val="105"/>
        </w:rPr>
        <w:t> </w:t>
      </w:r>
      <w:r>
        <w:rPr>
          <w:w w:val="105"/>
        </w:rPr>
        <w:t>derivados</w:t>
      </w:r>
      <w:r>
        <w:rPr>
          <w:spacing w:val="-15"/>
          <w:w w:val="105"/>
        </w:rPr>
        <w:t> </w:t>
      </w:r>
      <w:r>
        <w:rPr>
          <w:w w:val="105"/>
        </w:rPr>
        <w:t>en</w:t>
      </w:r>
      <w:r>
        <w:rPr>
          <w:spacing w:val="-15"/>
          <w:w w:val="105"/>
        </w:rPr>
        <w:t> </w:t>
      </w:r>
      <w:r>
        <w:rPr>
          <w:w w:val="105"/>
        </w:rPr>
        <w:t>accidentes</w:t>
      </w:r>
    </w:p>
    <w:p>
      <w:pPr>
        <w:pStyle w:val="BodyText"/>
        <w:spacing w:line="246" w:lineRule="exact"/>
        <w:ind w:left="108"/>
        <w:jc w:val="both"/>
      </w:pPr>
      <w:r>
        <w:rPr>
          <w:w w:val="105"/>
        </w:rPr>
        <w:t>isquémicos transitorios (7%) e incluso mortalidad (4%) en otras series</w:t>
      </w:r>
      <w:r>
        <w:rPr>
          <w:w w:val="105"/>
          <w:position w:val="10"/>
          <w:sz w:val="14"/>
        </w:rPr>
        <w:t>18,19,20</w:t>
      </w:r>
      <w:r>
        <w:rPr>
          <w:w w:val="105"/>
        </w:rPr>
        <w:t>.</w:t>
      </w:r>
    </w:p>
    <w:p>
      <w:pPr>
        <w:spacing w:after="0" w:line="246" w:lineRule="exact"/>
        <w:jc w:val="both"/>
        <w:sectPr>
          <w:pgSz w:w="12240" w:h="15840"/>
          <w:pgMar w:header="0" w:footer="687" w:top="1380" w:bottom="940" w:left="1600" w:right="1580"/>
        </w:sectPr>
      </w:pPr>
    </w:p>
    <w:p>
      <w:pPr>
        <w:pStyle w:val="Heading3"/>
        <w:numPr>
          <w:ilvl w:val="0"/>
          <w:numId w:val="3"/>
        </w:numPr>
        <w:tabs>
          <w:tab w:pos="293" w:val="left" w:leader="none"/>
        </w:tabs>
        <w:spacing w:line="240" w:lineRule="auto" w:before="50" w:after="0"/>
        <w:ind w:left="292" w:right="0" w:hanging="184"/>
        <w:jc w:val="both"/>
      </w:pPr>
      <w:r>
        <w:rPr>
          <w:spacing w:val="2"/>
          <w:w w:val="105"/>
        </w:rPr>
        <w:t>PLANTEAMIENTO</w:t>
      </w:r>
      <w:r>
        <w:rPr>
          <w:spacing w:val="-31"/>
          <w:w w:val="105"/>
        </w:rPr>
        <w:t> </w:t>
      </w:r>
      <w:r>
        <w:rPr>
          <w:w w:val="105"/>
        </w:rPr>
        <w:t>DEL</w:t>
      </w:r>
      <w:r>
        <w:rPr>
          <w:spacing w:val="-31"/>
          <w:w w:val="105"/>
        </w:rPr>
        <w:t> </w:t>
      </w:r>
      <w:r>
        <w:rPr>
          <w:spacing w:val="2"/>
          <w:w w:val="105"/>
        </w:rPr>
        <w:t>PROBLEMA</w:t>
      </w:r>
    </w:p>
    <w:p>
      <w:pPr>
        <w:pStyle w:val="BodyText"/>
        <w:spacing w:before="2"/>
        <w:rPr>
          <w:b/>
          <w:sz w:val="23"/>
        </w:rPr>
      </w:pPr>
    </w:p>
    <w:p>
      <w:pPr>
        <w:pStyle w:val="ListParagraph"/>
        <w:numPr>
          <w:ilvl w:val="1"/>
          <w:numId w:val="5"/>
        </w:numPr>
        <w:tabs>
          <w:tab w:pos="476" w:val="left" w:leader="none"/>
        </w:tabs>
        <w:spacing w:line="240" w:lineRule="auto" w:before="1" w:after="0"/>
        <w:ind w:left="475" w:right="0" w:hanging="367"/>
        <w:jc w:val="both"/>
        <w:rPr>
          <w:b/>
          <w:sz w:val="21"/>
        </w:rPr>
      </w:pPr>
      <w:r>
        <w:rPr>
          <w:b/>
          <w:w w:val="105"/>
          <w:sz w:val="21"/>
        </w:rPr>
        <w:t>Argumentos</w:t>
      </w:r>
    </w:p>
    <w:p>
      <w:pPr>
        <w:pStyle w:val="BodyText"/>
        <w:spacing w:before="9"/>
        <w:rPr>
          <w:b/>
          <w:sz w:val="22"/>
        </w:rPr>
      </w:pPr>
    </w:p>
    <w:p>
      <w:pPr>
        <w:pStyle w:val="BodyText"/>
        <w:spacing w:line="504" w:lineRule="auto"/>
        <w:ind w:left="108" w:right="112"/>
        <w:jc w:val="both"/>
      </w:pPr>
      <w:r>
        <w:rPr>
          <w:w w:val="105"/>
        </w:rPr>
        <w:t>No se cuenta con un registro de pacientes tratados en el Centro Medico ISSEMYM Toluca con diagnóstico de Tumor de Cuerpo Carotideo, así como la utilización de embolización, tratamiento quirúrgico convencional y la morbimortalidad.</w:t>
      </w:r>
    </w:p>
    <w:p>
      <w:pPr>
        <w:pStyle w:val="Heading3"/>
        <w:numPr>
          <w:ilvl w:val="1"/>
          <w:numId w:val="5"/>
        </w:numPr>
        <w:tabs>
          <w:tab w:pos="476" w:val="left" w:leader="none"/>
        </w:tabs>
        <w:spacing w:line="240" w:lineRule="auto" w:before="4" w:after="0"/>
        <w:ind w:left="475" w:right="0" w:hanging="367"/>
        <w:jc w:val="both"/>
      </w:pPr>
      <w:r>
        <w:rPr>
          <w:w w:val="105"/>
        </w:rPr>
        <w:t>Pregunta de</w:t>
      </w:r>
      <w:r>
        <w:rPr>
          <w:spacing w:val="-16"/>
          <w:w w:val="105"/>
        </w:rPr>
        <w:t> </w:t>
      </w:r>
      <w:r>
        <w:rPr>
          <w:w w:val="105"/>
        </w:rPr>
        <w:t>investigación</w:t>
      </w:r>
    </w:p>
    <w:p>
      <w:pPr>
        <w:pStyle w:val="BodyText"/>
        <w:spacing w:before="2"/>
        <w:rPr>
          <w:b/>
          <w:sz w:val="23"/>
        </w:rPr>
      </w:pPr>
    </w:p>
    <w:p>
      <w:pPr>
        <w:pStyle w:val="BodyText"/>
        <w:spacing w:line="501" w:lineRule="auto" w:before="1"/>
        <w:ind w:left="108" w:right="113"/>
        <w:jc w:val="both"/>
      </w:pPr>
      <w:r>
        <w:rPr>
          <w:w w:val="105"/>
        </w:rPr>
        <w:t>¿Cuál es el resultado de tratamiento de los pacientes con diagnóstico de tumor de cuerpo carotideo en el Centro Medico ISSEMYM Toluca?</w:t>
      </w:r>
    </w:p>
    <w:p>
      <w:pPr>
        <w:pStyle w:val="Heading3"/>
        <w:numPr>
          <w:ilvl w:val="0"/>
          <w:numId w:val="3"/>
        </w:numPr>
        <w:tabs>
          <w:tab w:pos="354" w:val="left" w:leader="none"/>
        </w:tabs>
        <w:spacing w:line="240" w:lineRule="auto" w:before="6" w:after="0"/>
        <w:ind w:left="353" w:right="0" w:hanging="245"/>
        <w:jc w:val="both"/>
      </w:pPr>
      <w:r>
        <w:rPr>
          <w:w w:val="105"/>
        </w:rPr>
        <w:t>JUSTIFICACION</w:t>
      </w:r>
    </w:p>
    <w:p>
      <w:pPr>
        <w:pStyle w:val="BodyText"/>
        <w:spacing w:before="2"/>
        <w:rPr>
          <w:b/>
          <w:sz w:val="23"/>
        </w:rPr>
      </w:pPr>
    </w:p>
    <w:p>
      <w:pPr>
        <w:pStyle w:val="ListParagraph"/>
        <w:numPr>
          <w:ilvl w:val="1"/>
          <w:numId w:val="6"/>
        </w:numPr>
        <w:tabs>
          <w:tab w:pos="537" w:val="left" w:leader="none"/>
        </w:tabs>
        <w:spacing w:line="240" w:lineRule="auto" w:before="1" w:after="0"/>
        <w:ind w:left="536" w:right="0" w:hanging="428"/>
        <w:jc w:val="both"/>
        <w:rPr>
          <w:b/>
          <w:sz w:val="21"/>
        </w:rPr>
      </w:pPr>
      <w:r>
        <w:rPr>
          <w:b/>
          <w:w w:val="105"/>
          <w:sz w:val="21"/>
        </w:rPr>
        <w:t>Académica</w:t>
      </w:r>
    </w:p>
    <w:p>
      <w:pPr>
        <w:pStyle w:val="BodyText"/>
        <w:spacing w:before="9"/>
        <w:rPr>
          <w:b/>
          <w:sz w:val="22"/>
        </w:rPr>
      </w:pPr>
    </w:p>
    <w:p>
      <w:pPr>
        <w:pStyle w:val="BodyText"/>
        <w:spacing w:line="504" w:lineRule="auto"/>
        <w:ind w:left="108" w:right="109"/>
        <w:jc w:val="both"/>
      </w:pPr>
      <w:r>
        <w:rPr>
          <w:w w:val="105"/>
        </w:rPr>
        <w:t>Los tumores de cuerpos carotídeo o parangliomas cervicales, es una patología quirúrgica poco frecuente; estos tumores se caracterizan por ser difíciles de resecar debido a lo abundante</w:t>
      </w:r>
      <w:r>
        <w:rPr>
          <w:spacing w:val="-7"/>
          <w:w w:val="105"/>
        </w:rPr>
        <w:t> </w:t>
      </w:r>
      <w:r>
        <w:rPr>
          <w:w w:val="105"/>
        </w:rPr>
        <w:t>e</w:t>
      </w:r>
      <w:r>
        <w:rPr>
          <w:spacing w:val="-7"/>
          <w:w w:val="105"/>
        </w:rPr>
        <w:t> </w:t>
      </w:r>
      <w:r>
        <w:rPr>
          <w:w w:val="105"/>
        </w:rPr>
        <w:t>impredecible</w:t>
      </w:r>
      <w:r>
        <w:rPr>
          <w:spacing w:val="-7"/>
          <w:w w:val="105"/>
        </w:rPr>
        <w:t> </w:t>
      </w:r>
      <w:r>
        <w:rPr>
          <w:w w:val="105"/>
        </w:rPr>
        <w:t>de</w:t>
      </w:r>
      <w:r>
        <w:rPr>
          <w:spacing w:val="-7"/>
          <w:w w:val="105"/>
        </w:rPr>
        <w:t> </w:t>
      </w:r>
      <w:r>
        <w:rPr>
          <w:w w:val="105"/>
        </w:rPr>
        <w:t>su</w:t>
      </w:r>
      <w:r>
        <w:rPr>
          <w:spacing w:val="-7"/>
          <w:w w:val="105"/>
        </w:rPr>
        <w:t> </w:t>
      </w:r>
      <w:r>
        <w:rPr>
          <w:w w:val="105"/>
        </w:rPr>
        <w:t>vascularidad,</w:t>
      </w:r>
      <w:r>
        <w:rPr>
          <w:spacing w:val="-8"/>
          <w:w w:val="105"/>
        </w:rPr>
        <w:t> </w:t>
      </w:r>
      <w:r>
        <w:rPr>
          <w:w w:val="105"/>
        </w:rPr>
        <w:t>adherencia</w:t>
      </w:r>
      <w:r>
        <w:rPr>
          <w:spacing w:val="-7"/>
          <w:w w:val="105"/>
        </w:rPr>
        <w:t> </w:t>
      </w:r>
      <w:r>
        <w:rPr>
          <w:w w:val="105"/>
        </w:rPr>
        <w:t>arterial</w:t>
      </w:r>
      <w:r>
        <w:rPr>
          <w:spacing w:val="-8"/>
          <w:w w:val="105"/>
        </w:rPr>
        <w:t> </w:t>
      </w:r>
      <w:r>
        <w:rPr>
          <w:w w:val="105"/>
        </w:rPr>
        <w:t>y</w:t>
      </w:r>
      <w:r>
        <w:rPr>
          <w:spacing w:val="-7"/>
          <w:w w:val="105"/>
        </w:rPr>
        <w:t> </w:t>
      </w:r>
      <w:r>
        <w:rPr>
          <w:w w:val="105"/>
        </w:rPr>
        <w:t>a</w:t>
      </w:r>
      <w:r>
        <w:rPr>
          <w:spacing w:val="-7"/>
          <w:w w:val="105"/>
        </w:rPr>
        <w:t> </w:t>
      </w:r>
      <w:r>
        <w:rPr>
          <w:w w:val="105"/>
        </w:rPr>
        <w:t>elementos</w:t>
      </w:r>
      <w:r>
        <w:rPr>
          <w:spacing w:val="-7"/>
          <w:w w:val="105"/>
        </w:rPr>
        <w:t> </w:t>
      </w:r>
      <w:r>
        <w:rPr>
          <w:w w:val="105"/>
        </w:rPr>
        <w:t>nerviosos. La literatura mundial reporta los puntos importantes y características de esta enfermedad, pero en nuestra población no siempre se cumplen y no es tan frecuente como parece. Además;</w:t>
      </w:r>
      <w:r>
        <w:rPr>
          <w:spacing w:val="-11"/>
          <w:w w:val="105"/>
        </w:rPr>
        <w:t> </w:t>
      </w:r>
      <w:r>
        <w:rPr>
          <w:w w:val="105"/>
        </w:rPr>
        <w:t>distintos</w:t>
      </w:r>
      <w:r>
        <w:rPr>
          <w:spacing w:val="-11"/>
          <w:w w:val="105"/>
        </w:rPr>
        <w:t> </w:t>
      </w:r>
      <w:r>
        <w:rPr>
          <w:w w:val="105"/>
        </w:rPr>
        <w:t>cirujanos</w:t>
      </w:r>
      <w:r>
        <w:rPr>
          <w:spacing w:val="-11"/>
          <w:w w:val="105"/>
        </w:rPr>
        <w:t> </w:t>
      </w:r>
      <w:r>
        <w:rPr>
          <w:w w:val="105"/>
        </w:rPr>
        <w:t>consideran</w:t>
      </w:r>
      <w:r>
        <w:rPr>
          <w:spacing w:val="-11"/>
          <w:w w:val="105"/>
        </w:rPr>
        <w:t> </w:t>
      </w:r>
      <w:r>
        <w:rPr>
          <w:w w:val="105"/>
        </w:rPr>
        <w:t>su</w:t>
      </w:r>
      <w:r>
        <w:rPr>
          <w:spacing w:val="-11"/>
          <w:w w:val="105"/>
        </w:rPr>
        <w:t> </w:t>
      </w:r>
      <w:r>
        <w:rPr>
          <w:w w:val="105"/>
        </w:rPr>
        <w:t>manejo,</w:t>
      </w:r>
      <w:r>
        <w:rPr>
          <w:spacing w:val="-11"/>
          <w:w w:val="105"/>
        </w:rPr>
        <w:t> </w:t>
      </w:r>
      <w:r>
        <w:rPr>
          <w:w w:val="105"/>
        </w:rPr>
        <w:t>sin</w:t>
      </w:r>
      <w:r>
        <w:rPr>
          <w:spacing w:val="-11"/>
          <w:w w:val="105"/>
        </w:rPr>
        <w:t> </w:t>
      </w:r>
      <w:r>
        <w:rPr>
          <w:w w:val="105"/>
        </w:rPr>
        <w:t>tener</w:t>
      </w:r>
      <w:r>
        <w:rPr>
          <w:spacing w:val="-11"/>
          <w:w w:val="105"/>
        </w:rPr>
        <w:t> </w:t>
      </w:r>
      <w:r>
        <w:rPr>
          <w:w w:val="105"/>
        </w:rPr>
        <w:t>siempre</w:t>
      </w:r>
      <w:r>
        <w:rPr>
          <w:spacing w:val="-11"/>
          <w:w w:val="105"/>
        </w:rPr>
        <w:t> </w:t>
      </w:r>
      <w:r>
        <w:rPr>
          <w:w w:val="105"/>
        </w:rPr>
        <w:t>los</w:t>
      </w:r>
      <w:r>
        <w:rPr>
          <w:spacing w:val="-11"/>
          <w:w w:val="105"/>
        </w:rPr>
        <w:t> </w:t>
      </w:r>
      <w:r>
        <w:rPr>
          <w:w w:val="105"/>
        </w:rPr>
        <w:t>conocimientos</w:t>
      </w:r>
      <w:r>
        <w:rPr>
          <w:spacing w:val="-11"/>
          <w:w w:val="105"/>
        </w:rPr>
        <w:t> </w:t>
      </w:r>
      <w:r>
        <w:rPr>
          <w:w w:val="105"/>
        </w:rPr>
        <w:t>y</w:t>
      </w:r>
      <w:r>
        <w:rPr>
          <w:spacing w:val="-11"/>
          <w:w w:val="105"/>
        </w:rPr>
        <w:t> </w:t>
      </w:r>
      <w:r>
        <w:rPr>
          <w:w w:val="105"/>
        </w:rPr>
        <w:t>la experiencia sobre la anatomía de cuello e incluso la preparación para enfrentar las complicaciones de tipo vascular, lo que aumenta la morbimortalidad de los</w:t>
      </w:r>
      <w:r>
        <w:rPr>
          <w:spacing w:val="-41"/>
          <w:w w:val="105"/>
        </w:rPr>
        <w:t> </w:t>
      </w:r>
      <w:r>
        <w:rPr>
          <w:w w:val="105"/>
        </w:rPr>
        <w:t>pacientes.</w:t>
      </w:r>
    </w:p>
    <w:p>
      <w:pPr>
        <w:pStyle w:val="Heading3"/>
        <w:numPr>
          <w:ilvl w:val="1"/>
          <w:numId w:val="6"/>
        </w:numPr>
        <w:tabs>
          <w:tab w:pos="537" w:val="left" w:leader="none"/>
        </w:tabs>
        <w:spacing w:line="240" w:lineRule="auto" w:before="9" w:after="0"/>
        <w:ind w:left="536" w:right="0" w:hanging="428"/>
        <w:jc w:val="both"/>
      </w:pPr>
      <w:r>
        <w:rPr>
          <w:w w:val="105"/>
        </w:rPr>
        <w:t>Epidemiológica</w:t>
      </w:r>
    </w:p>
    <w:p>
      <w:pPr>
        <w:pStyle w:val="BodyText"/>
        <w:spacing w:before="9"/>
        <w:rPr>
          <w:b/>
          <w:sz w:val="22"/>
        </w:rPr>
      </w:pPr>
    </w:p>
    <w:p>
      <w:pPr>
        <w:pStyle w:val="BodyText"/>
        <w:spacing w:line="501" w:lineRule="auto"/>
        <w:ind w:left="108" w:right="112"/>
        <w:jc w:val="both"/>
      </w:pPr>
      <w:r>
        <w:rPr>
          <w:w w:val="105"/>
        </w:rPr>
        <w:t>Consideramos importante analizar la frecuencia en nuestro medio, la experiencia clínica y manejo</w:t>
      </w:r>
      <w:r>
        <w:rPr>
          <w:spacing w:val="-15"/>
          <w:w w:val="105"/>
        </w:rPr>
        <w:t> </w:t>
      </w:r>
      <w:r>
        <w:rPr>
          <w:w w:val="105"/>
        </w:rPr>
        <w:t>terapéutico</w:t>
      </w:r>
      <w:r>
        <w:rPr>
          <w:spacing w:val="-15"/>
          <w:w w:val="105"/>
        </w:rPr>
        <w:t> </w:t>
      </w:r>
      <w:r>
        <w:rPr>
          <w:w w:val="105"/>
        </w:rPr>
        <w:t>acumulado;</w:t>
      </w:r>
      <w:r>
        <w:rPr>
          <w:spacing w:val="-16"/>
          <w:w w:val="105"/>
        </w:rPr>
        <w:t> </w:t>
      </w:r>
      <w:r>
        <w:rPr>
          <w:w w:val="105"/>
        </w:rPr>
        <w:t>con</w:t>
      </w:r>
      <w:r>
        <w:rPr>
          <w:spacing w:val="-15"/>
          <w:w w:val="105"/>
        </w:rPr>
        <w:t> </w:t>
      </w:r>
      <w:r>
        <w:rPr>
          <w:w w:val="105"/>
        </w:rPr>
        <w:t>la</w:t>
      </w:r>
      <w:r>
        <w:rPr>
          <w:spacing w:val="-15"/>
          <w:w w:val="105"/>
        </w:rPr>
        <w:t> </w:t>
      </w:r>
      <w:r>
        <w:rPr>
          <w:w w:val="105"/>
        </w:rPr>
        <w:t>finalidad</w:t>
      </w:r>
      <w:r>
        <w:rPr>
          <w:spacing w:val="-15"/>
          <w:w w:val="105"/>
        </w:rPr>
        <w:t> </w:t>
      </w:r>
      <w:r>
        <w:rPr>
          <w:w w:val="105"/>
        </w:rPr>
        <w:t>de</w:t>
      </w:r>
      <w:r>
        <w:rPr>
          <w:spacing w:val="-15"/>
          <w:w w:val="105"/>
        </w:rPr>
        <w:t> </w:t>
      </w:r>
      <w:r>
        <w:rPr>
          <w:w w:val="105"/>
        </w:rPr>
        <w:t>evaluar</w:t>
      </w:r>
      <w:r>
        <w:rPr>
          <w:spacing w:val="-16"/>
          <w:w w:val="105"/>
        </w:rPr>
        <w:t> </w:t>
      </w:r>
      <w:r>
        <w:rPr>
          <w:w w:val="105"/>
        </w:rPr>
        <w:t>nuestro</w:t>
      </w:r>
      <w:r>
        <w:rPr>
          <w:spacing w:val="-15"/>
          <w:w w:val="105"/>
        </w:rPr>
        <w:t> </w:t>
      </w:r>
      <w:r>
        <w:rPr>
          <w:w w:val="105"/>
        </w:rPr>
        <w:t>desempeño</w:t>
      </w:r>
      <w:r>
        <w:rPr>
          <w:spacing w:val="-15"/>
          <w:w w:val="105"/>
        </w:rPr>
        <w:t> </w:t>
      </w:r>
      <w:r>
        <w:rPr>
          <w:w w:val="105"/>
        </w:rPr>
        <w:t>y</w:t>
      </w:r>
      <w:r>
        <w:rPr>
          <w:spacing w:val="-15"/>
          <w:w w:val="105"/>
        </w:rPr>
        <w:t> </w:t>
      </w:r>
      <w:r>
        <w:rPr>
          <w:w w:val="105"/>
        </w:rPr>
        <w:t>considerar aportaciones e incluso replanteamientos en su manejo. Ya que el incremento de la incidencia durante las últimas décadas a</w:t>
      </w:r>
      <w:r>
        <w:rPr>
          <w:spacing w:val="-30"/>
          <w:w w:val="105"/>
        </w:rPr>
        <w:t> </w:t>
      </w:r>
      <w:r>
        <w:rPr>
          <w:w w:val="105"/>
        </w:rPr>
        <w:t>incrementado.</w:t>
      </w:r>
    </w:p>
    <w:p>
      <w:pPr>
        <w:spacing w:after="0" w:line="501" w:lineRule="auto"/>
        <w:jc w:val="both"/>
        <w:sectPr>
          <w:pgSz w:w="12240" w:h="15840"/>
          <w:pgMar w:header="0" w:footer="687" w:top="1380" w:bottom="940" w:left="1600" w:right="1580"/>
        </w:sectPr>
      </w:pPr>
    </w:p>
    <w:p>
      <w:pPr>
        <w:pStyle w:val="Heading3"/>
        <w:numPr>
          <w:ilvl w:val="1"/>
          <w:numId w:val="6"/>
        </w:numPr>
        <w:tabs>
          <w:tab w:pos="537" w:val="left" w:leader="none"/>
        </w:tabs>
        <w:spacing w:line="240" w:lineRule="auto" w:before="50" w:after="0"/>
        <w:ind w:left="536" w:right="0" w:hanging="428"/>
        <w:jc w:val="both"/>
      </w:pPr>
      <w:r>
        <w:rPr>
          <w:w w:val="105"/>
        </w:rPr>
        <w:t>Económica</w:t>
      </w:r>
    </w:p>
    <w:p>
      <w:pPr>
        <w:pStyle w:val="BodyText"/>
        <w:spacing w:before="2"/>
        <w:rPr>
          <w:b/>
          <w:sz w:val="23"/>
        </w:rPr>
      </w:pPr>
    </w:p>
    <w:p>
      <w:pPr>
        <w:pStyle w:val="BodyText"/>
        <w:spacing w:line="501" w:lineRule="auto" w:before="1"/>
        <w:ind w:left="108" w:right="111"/>
        <w:jc w:val="both"/>
      </w:pPr>
      <w:r>
        <w:rPr>
          <w:w w:val="105"/>
        </w:rPr>
        <w:t>La finalidad de tener un conocimiento sustentable de esta patología, es en un futuro tener herramientas para evitar complicaciones y ofrecer un tratamiento oportuno, reflejándose directamente en la reducción de la morbi-mortalidad de los pacientes portadores de esta patología.</w:t>
      </w:r>
    </w:p>
    <w:p>
      <w:pPr>
        <w:pStyle w:val="Heading3"/>
        <w:numPr>
          <w:ilvl w:val="1"/>
          <w:numId w:val="7"/>
        </w:numPr>
        <w:tabs>
          <w:tab w:pos="525" w:val="left" w:leader="none"/>
        </w:tabs>
        <w:spacing w:line="240" w:lineRule="auto" w:before="6" w:after="0"/>
        <w:ind w:left="524" w:right="0" w:hanging="416"/>
        <w:jc w:val="both"/>
      </w:pPr>
      <w:bookmarkStart w:name="_TOC_250018" w:id="6"/>
      <w:bookmarkEnd w:id="6"/>
      <w:r>
        <w:rPr>
          <w:spacing w:val="2"/>
          <w:w w:val="105"/>
        </w:rPr>
        <w:t>ARIABLES</w:t>
      </w:r>
    </w:p>
    <w:p>
      <w:pPr>
        <w:pStyle w:val="BodyText"/>
        <w:spacing w:before="2"/>
        <w:rPr>
          <w:b/>
          <w:sz w:val="23"/>
        </w:rPr>
      </w:pPr>
    </w:p>
    <w:p>
      <w:pPr>
        <w:pStyle w:val="BodyText"/>
        <w:spacing w:before="1"/>
        <w:ind w:left="108"/>
        <w:jc w:val="both"/>
      </w:pPr>
      <w:r>
        <w:rPr>
          <w:w w:val="105"/>
        </w:rPr>
        <w:t>Variables:</w:t>
      </w:r>
    </w:p>
    <w:p>
      <w:pPr>
        <w:pStyle w:val="BodyText"/>
        <w:spacing w:before="9"/>
        <w:rPr>
          <w:sz w:val="22"/>
        </w:rPr>
      </w:pPr>
    </w:p>
    <w:p>
      <w:pPr>
        <w:pStyle w:val="ListParagraph"/>
        <w:numPr>
          <w:ilvl w:val="2"/>
          <w:numId w:val="7"/>
        </w:numPr>
        <w:tabs>
          <w:tab w:pos="1549" w:val="left" w:leader="none"/>
        </w:tabs>
        <w:spacing w:line="240" w:lineRule="auto" w:before="0" w:after="0"/>
        <w:ind w:left="1548" w:right="0" w:hanging="360"/>
        <w:jc w:val="left"/>
        <w:rPr>
          <w:sz w:val="21"/>
        </w:rPr>
      </w:pPr>
      <w:r>
        <w:rPr>
          <w:w w:val="105"/>
          <w:sz w:val="21"/>
        </w:rPr>
        <w:t>Género.</w:t>
      </w:r>
    </w:p>
    <w:p>
      <w:pPr>
        <w:pStyle w:val="BodyText"/>
        <w:spacing w:before="9"/>
        <w:rPr>
          <w:sz w:val="22"/>
        </w:rPr>
      </w:pPr>
    </w:p>
    <w:p>
      <w:pPr>
        <w:pStyle w:val="ListParagraph"/>
        <w:numPr>
          <w:ilvl w:val="2"/>
          <w:numId w:val="7"/>
        </w:numPr>
        <w:tabs>
          <w:tab w:pos="1549" w:val="left" w:leader="none"/>
        </w:tabs>
        <w:spacing w:line="240" w:lineRule="auto" w:before="0" w:after="0"/>
        <w:ind w:left="1548" w:right="0" w:hanging="360"/>
        <w:jc w:val="left"/>
        <w:rPr>
          <w:sz w:val="21"/>
        </w:rPr>
      </w:pPr>
      <w:r>
        <w:rPr>
          <w:w w:val="105"/>
          <w:sz w:val="21"/>
        </w:rPr>
        <w:t>Ocupación.</w:t>
      </w:r>
    </w:p>
    <w:p>
      <w:pPr>
        <w:pStyle w:val="BodyText"/>
        <w:spacing w:before="2"/>
        <w:rPr>
          <w:sz w:val="23"/>
        </w:rPr>
      </w:pPr>
    </w:p>
    <w:p>
      <w:pPr>
        <w:pStyle w:val="ListParagraph"/>
        <w:numPr>
          <w:ilvl w:val="2"/>
          <w:numId w:val="7"/>
        </w:numPr>
        <w:tabs>
          <w:tab w:pos="1549" w:val="left" w:leader="none"/>
        </w:tabs>
        <w:spacing w:line="240" w:lineRule="auto" w:before="1" w:after="0"/>
        <w:ind w:left="1548" w:right="0" w:hanging="360"/>
        <w:jc w:val="left"/>
        <w:rPr>
          <w:sz w:val="21"/>
        </w:rPr>
      </w:pPr>
      <w:r>
        <w:rPr>
          <w:w w:val="105"/>
          <w:sz w:val="21"/>
        </w:rPr>
        <w:t>Síntoma</w:t>
      </w:r>
      <w:r>
        <w:rPr>
          <w:spacing w:val="-11"/>
          <w:w w:val="105"/>
          <w:sz w:val="21"/>
        </w:rPr>
        <w:t> </w:t>
      </w:r>
      <w:r>
        <w:rPr>
          <w:w w:val="105"/>
          <w:sz w:val="21"/>
        </w:rPr>
        <w:t>principal.</w:t>
      </w:r>
    </w:p>
    <w:p>
      <w:pPr>
        <w:pStyle w:val="BodyText"/>
        <w:spacing w:before="9"/>
        <w:rPr>
          <w:sz w:val="22"/>
        </w:rPr>
      </w:pPr>
    </w:p>
    <w:p>
      <w:pPr>
        <w:pStyle w:val="ListParagraph"/>
        <w:numPr>
          <w:ilvl w:val="2"/>
          <w:numId w:val="7"/>
        </w:numPr>
        <w:tabs>
          <w:tab w:pos="1549" w:val="left" w:leader="none"/>
        </w:tabs>
        <w:spacing w:line="240" w:lineRule="auto" w:before="0" w:after="0"/>
        <w:ind w:left="1548" w:right="0" w:hanging="360"/>
        <w:jc w:val="left"/>
        <w:rPr>
          <w:sz w:val="21"/>
        </w:rPr>
      </w:pPr>
      <w:r>
        <w:rPr>
          <w:w w:val="105"/>
          <w:sz w:val="21"/>
        </w:rPr>
        <w:t>Tiempo de</w:t>
      </w:r>
      <w:r>
        <w:rPr>
          <w:spacing w:val="-10"/>
          <w:w w:val="105"/>
          <w:sz w:val="21"/>
        </w:rPr>
        <w:t> </w:t>
      </w:r>
      <w:r>
        <w:rPr>
          <w:w w:val="105"/>
          <w:sz w:val="21"/>
        </w:rPr>
        <w:t>evolución.</w:t>
      </w:r>
    </w:p>
    <w:p>
      <w:pPr>
        <w:pStyle w:val="BodyText"/>
        <w:spacing w:before="2"/>
        <w:rPr>
          <w:sz w:val="23"/>
        </w:rPr>
      </w:pPr>
    </w:p>
    <w:p>
      <w:pPr>
        <w:pStyle w:val="ListParagraph"/>
        <w:numPr>
          <w:ilvl w:val="2"/>
          <w:numId w:val="7"/>
        </w:numPr>
        <w:tabs>
          <w:tab w:pos="1549" w:val="left" w:leader="none"/>
        </w:tabs>
        <w:spacing w:line="240" w:lineRule="auto" w:before="1" w:after="0"/>
        <w:ind w:left="1548" w:right="0" w:hanging="360"/>
        <w:jc w:val="left"/>
        <w:rPr>
          <w:sz w:val="21"/>
        </w:rPr>
      </w:pPr>
      <w:r>
        <w:rPr>
          <w:w w:val="105"/>
          <w:sz w:val="21"/>
        </w:rPr>
        <w:t>Ubicación del tumor a nivel cervical (derecha e</w:t>
      </w:r>
      <w:r>
        <w:rPr>
          <w:spacing w:val="-34"/>
          <w:w w:val="105"/>
          <w:sz w:val="21"/>
        </w:rPr>
        <w:t> </w:t>
      </w:r>
      <w:r>
        <w:rPr>
          <w:w w:val="105"/>
          <w:sz w:val="21"/>
        </w:rPr>
        <w:t>izquierda).</w:t>
      </w:r>
    </w:p>
    <w:p>
      <w:pPr>
        <w:pStyle w:val="BodyText"/>
        <w:spacing w:before="9"/>
        <w:rPr>
          <w:sz w:val="22"/>
        </w:rPr>
      </w:pPr>
    </w:p>
    <w:p>
      <w:pPr>
        <w:pStyle w:val="ListParagraph"/>
        <w:numPr>
          <w:ilvl w:val="2"/>
          <w:numId w:val="7"/>
        </w:numPr>
        <w:tabs>
          <w:tab w:pos="1548" w:val="left" w:leader="none"/>
          <w:tab w:pos="1549" w:val="left" w:leader="none"/>
        </w:tabs>
        <w:spacing w:line="240" w:lineRule="auto" w:before="0" w:after="0"/>
        <w:ind w:left="1548" w:right="0" w:hanging="360"/>
        <w:jc w:val="left"/>
        <w:rPr>
          <w:sz w:val="21"/>
        </w:rPr>
      </w:pPr>
      <w:r>
        <w:rPr>
          <w:w w:val="105"/>
          <w:sz w:val="21"/>
        </w:rPr>
        <w:t>Enfermedades concomitantes al diagnóstico de la</w:t>
      </w:r>
      <w:r>
        <w:rPr>
          <w:spacing w:val="-30"/>
          <w:w w:val="105"/>
          <w:sz w:val="21"/>
        </w:rPr>
        <w:t> </w:t>
      </w:r>
      <w:r>
        <w:rPr>
          <w:w w:val="105"/>
          <w:sz w:val="21"/>
        </w:rPr>
        <w:t>patología.</w:t>
      </w:r>
    </w:p>
    <w:p>
      <w:pPr>
        <w:pStyle w:val="BodyText"/>
        <w:spacing w:before="2"/>
        <w:rPr>
          <w:sz w:val="23"/>
        </w:rPr>
      </w:pPr>
    </w:p>
    <w:p>
      <w:pPr>
        <w:pStyle w:val="ListParagraph"/>
        <w:numPr>
          <w:ilvl w:val="2"/>
          <w:numId w:val="7"/>
        </w:numPr>
        <w:tabs>
          <w:tab w:pos="1549" w:val="left" w:leader="none"/>
        </w:tabs>
        <w:spacing w:line="240" w:lineRule="auto" w:before="1" w:after="0"/>
        <w:ind w:left="1548" w:right="0" w:hanging="360"/>
        <w:jc w:val="left"/>
        <w:rPr>
          <w:sz w:val="21"/>
        </w:rPr>
      </w:pPr>
      <w:r>
        <w:rPr>
          <w:w w:val="105"/>
          <w:sz w:val="21"/>
        </w:rPr>
        <w:t>Método diagnostico</w:t>
      </w:r>
      <w:r>
        <w:rPr>
          <w:spacing w:val="-16"/>
          <w:w w:val="105"/>
          <w:sz w:val="21"/>
        </w:rPr>
        <w:t> </w:t>
      </w:r>
      <w:r>
        <w:rPr>
          <w:w w:val="105"/>
          <w:sz w:val="21"/>
        </w:rPr>
        <w:t>utilizado.</w:t>
      </w:r>
    </w:p>
    <w:p>
      <w:pPr>
        <w:pStyle w:val="BodyText"/>
        <w:spacing w:before="9"/>
        <w:rPr>
          <w:sz w:val="22"/>
        </w:rPr>
      </w:pPr>
    </w:p>
    <w:p>
      <w:pPr>
        <w:pStyle w:val="ListParagraph"/>
        <w:numPr>
          <w:ilvl w:val="2"/>
          <w:numId w:val="7"/>
        </w:numPr>
        <w:tabs>
          <w:tab w:pos="1549" w:val="left" w:leader="none"/>
        </w:tabs>
        <w:spacing w:line="240" w:lineRule="auto" w:before="0" w:after="0"/>
        <w:ind w:left="1548" w:right="0" w:hanging="360"/>
        <w:jc w:val="left"/>
        <w:rPr>
          <w:sz w:val="21"/>
        </w:rPr>
      </w:pPr>
      <w:r>
        <w:rPr>
          <w:w w:val="105"/>
          <w:sz w:val="21"/>
        </w:rPr>
        <w:t>Tipo de abordaje</w:t>
      </w:r>
      <w:r>
        <w:rPr>
          <w:spacing w:val="-16"/>
          <w:w w:val="105"/>
          <w:sz w:val="21"/>
        </w:rPr>
        <w:t> </w:t>
      </w:r>
      <w:r>
        <w:rPr>
          <w:w w:val="105"/>
          <w:sz w:val="21"/>
        </w:rPr>
        <w:t>quirúrgico.</w:t>
      </w:r>
    </w:p>
    <w:p>
      <w:pPr>
        <w:pStyle w:val="BodyText"/>
        <w:spacing w:before="9"/>
        <w:rPr>
          <w:sz w:val="22"/>
        </w:rPr>
      </w:pPr>
    </w:p>
    <w:p>
      <w:pPr>
        <w:pStyle w:val="ListParagraph"/>
        <w:numPr>
          <w:ilvl w:val="2"/>
          <w:numId w:val="7"/>
        </w:numPr>
        <w:tabs>
          <w:tab w:pos="1548" w:val="left" w:leader="none"/>
          <w:tab w:pos="1549" w:val="left" w:leader="none"/>
        </w:tabs>
        <w:spacing w:line="240" w:lineRule="auto" w:before="0" w:after="0"/>
        <w:ind w:left="1548" w:right="0" w:hanging="360"/>
        <w:jc w:val="left"/>
        <w:rPr>
          <w:sz w:val="21"/>
        </w:rPr>
      </w:pPr>
      <w:r>
        <w:rPr>
          <w:w w:val="105"/>
          <w:sz w:val="21"/>
        </w:rPr>
        <w:t>Tamaño promedio del</w:t>
      </w:r>
      <w:r>
        <w:rPr>
          <w:spacing w:val="-14"/>
          <w:w w:val="105"/>
          <w:sz w:val="21"/>
        </w:rPr>
        <w:t> </w:t>
      </w:r>
      <w:r>
        <w:rPr>
          <w:w w:val="105"/>
          <w:sz w:val="21"/>
        </w:rPr>
        <w:t>tumor.</w:t>
      </w:r>
    </w:p>
    <w:p>
      <w:pPr>
        <w:pStyle w:val="BodyText"/>
        <w:spacing w:before="2"/>
        <w:rPr>
          <w:sz w:val="23"/>
        </w:rPr>
      </w:pPr>
    </w:p>
    <w:p>
      <w:pPr>
        <w:pStyle w:val="ListParagraph"/>
        <w:numPr>
          <w:ilvl w:val="2"/>
          <w:numId w:val="7"/>
        </w:numPr>
        <w:tabs>
          <w:tab w:pos="1548" w:val="left" w:leader="none"/>
          <w:tab w:pos="1549" w:val="left" w:leader="none"/>
        </w:tabs>
        <w:spacing w:line="501" w:lineRule="auto" w:before="1" w:after="0"/>
        <w:ind w:left="1548" w:right="111" w:hanging="360"/>
        <w:jc w:val="left"/>
        <w:rPr>
          <w:sz w:val="21"/>
        </w:rPr>
      </w:pPr>
      <w:r>
        <w:rPr>
          <w:w w:val="105"/>
          <w:sz w:val="21"/>
        </w:rPr>
        <w:t>Clasificación quirúrgica descriptiva para los tumores de cuerpo carotideo según Shamblim, de la clínica</w:t>
      </w:r>
      <w:r>
        <w:rPr>
          <w:spacing w:val="-18"/>
          <w:w w:val="105"/>
          <w:sz w:val="21"/>
        </w:rPr>
        <w:t> </w:t>
      </w:r>
      <w:r>
        <w:rPr>
          <w:w w:val="105"/>
          <w:sz w:val="21"/>
        </w:rPr>
        <w:t>Mayo.</w:t>
      </w:r>
    </w:p>
    <w:p>
      <w:pPr>
        <w:pStyle w:val="ListParagraph"/>
        <w:numPr>
          <w:ilvl w:val="2"/>
          <w:numId w:val="7"/>
        </w:numPr>
        <w:tabs>
          <w:tab w:pos="1549" w:val="left" w:leader="none"/>
        </w:tabs>
        <w:spacing w:line="240" w:lineRule="auto" w:before="11" w:after="0"/>
        <w:ind w:left="1548" w:right="0" w:hanging="360"/>
        <w:jc w:val="left"/>
        <w:rPr>
          <w:sz w:val="21"/>
        </w:rPr>
      </w:pPr>
      <w:r>
        <w:rPr>
          <w:w w:val="105"/>
          <w:sz w:val="21"/>
        </w:rPr>
        <w:t>Tiempo quirúrgico para la</w:t>
      </w:r>
      <w:r>
        <w:rPr>
          <w:spacing w:val="-19"/>
          <w:w w:val="105"/>
          <w:sz w:val="21"/>
        </w:rPr>
        <w:t> </w:t>
      </w:r>
      <w:r>
        <w:rPr>
          <w:w w:val="105"/>
          <w:sz w:val="21"/>
        </w:rPr>
        <w:t>resección.</w:t>
      </w:r>
    </w:p>
    <w:p>
      <w:pPr>
        <w:pStyle w:val="BodyText"/>
        <w:spacing w:before="9"/>
        <w:rPr>
          <w:sz w:val="22"/>
        </w:rPr>
      </w:pPr>
    </w:p>
    <w:p>
      <w:pPr>
        <w:pStyle w:val="ListParagraph"/>
        <w:numPr>
          <w:ilvl w:val="2"/>
          <w:numId w:val="7"/>
        </w:numPr>
        <w:tabs>
          <w:tab w:pos="1548" w:val="left" w:leader="none"/>
          <w:tab w:pos="1549" w:val="left" w:leader="none"/>
        </w:tabs>
        <w:spacing w:line="240" w:lineRule="auto" w:before="0" w:after="0"/>
        <w:ind w:left="1548" w:right="0" w:hanging="360"/>
        <w:jc w:val="left"/>
        <w:rPr>
          <w:sz w:val="21"/>
        </w:rPr>
      </w:pPr>
      <w:r>
        <w:rPr>
          <w:w w:val="105"/>
          <w:sz w:val="21"/>
        </w:rPr>
        <w:t>Complicaciones e incidentes durante la</w:t>
      </w:r>
      <w:r>
        <w:rPr>
          <w:spacing w:val="-29"/>
          <w:w w:val="105"/>
          <w:sz w:val="21"/>
        </w:rPr>
        <w:t> </w:t>
      </w:r>
      <w:r>
        <w:rPr>
          <w:w w:val="105"/>
          <w:sz w:val="21"/>
        </w:rPr>
        <w:t>cirugía.</w:t>
      </w:r>
    </w:p>
    <w:p>
      <w:pPr>
        <w:pStyle w:val="BodyText"/>
        <w:spacing w:before="9"/>
        <w:rPr>
          <w:sz w:val="22"/>
        </w:rPr>
      </w:pPr>
    </w:p>
    <w:p>
      <w:pPr>
        <w:pStyle w:val="ListParagraph"/>
        <w:numPr>
          <w:ilvl w:val="2"/>
          <w:numId w:val="7"/>
        </w:numPr>
        <w:tabs>
          <w:tab w:pos="1549" w:val="left" w:leader="none"/>
        </w:tabs>
        <w:spacing w:line="240" w:lineRule="auto" w:before="0" w:after="0"/>
        <w:ind w:left="1548" w:right="0" w:hanging="360"/>
        <w:jc w:val="left"/>
        <w:rPr>
          <w:sz w:val="21"/>
        </w:rPr>
      </w:pPr>
      <w:r>
        <w:rPr>
          <w:w w:val="105"/>
          <w:sz w:val="21"/>
        </w:rPr>
        <w:t>Sangrado</w:t>
      </w:r>
      <w:r>
        <w:rPr>
          <w:spacing w:val="-14"/>
          <w:w w:val="105"/>
          <w:sz w:val="21"/>
        </w:rPr>
        <w:t> </w:t>
      </w:r>
      <w:r>
        <w:rPr>
          <w:w w:val="105"/>
          <w:sz w:val="21"/>
        </w:rPr>
        <w:t>transoperatorio.</w:t>
      </w:r>
    </w:p>
    <w:p>
      <w:pPr>
        <w:pStyle w:val="BodyText"/>
        <w:spacing w:before="2"/>
        <w:rPr>
          <w:sz w:val="23"/>
        </w:rPr>
      </w:pPr>
    </w:p>
    <w:p>
      <w:pPr>
        <w:pStyle w:val="ListParagraph"/>
        <w:numPr>
          <w:ilvl w:val="2"/>
          <w:numId w:val="7"/>
        </w:numPr>
        <w:tabs>
          <w:tab w:pos="1549" w:val="left" w:leader="none"/>
        </w:tabs>
        <w:spacing w:line="240" w:lineRule="auto" w:before="1" w:after="0"/>
        <w:ind w:left="1548" w:right="0" w:hanging="360"/>
        <w:jc w:val="left"/>
        <w:rPr>
          <w:sz w:val="21"/>
        </w:rPr>
      </w:pPr>
      <w:r>
        <w:rPr>
          <w:w w:val="105"/>
          <w:sz w:val="21"/>
        </w:rPr>
        <w:t>Tiempo de</w:t>
      </w:r>
      <w:r>
        <w:rPr>
          <w:spacing w:val="-15"/>
          <w:w w:val="105"/>
          <w:sz w:val="21"/>
        </w:rPr>
        <w:t> </w:t>
      </w:r>
      <w:r>
        <w:rPr>
          <w:w w:val="105"/>
          <w:sz w:val="21"/>
        </w:rPr>
        <w:t>hospitalización.</w:t>
      </w:r>
    </w:p>
    <w:p>
      <w:pPr>
        <w:pStyle w:val="BodyText"/>
        <w:spacing w:before="9"/>
        <w:rPr>
          <w:sz w:val="22"/>
        </w:rPr>
      </w:pPr>
    </w:p>
    <w:p>
      <w:pPr>
        <w:pStyle w:val="ListParagraph"/>
        <w:numPr>
          <w:ilvl w:val="2"/>
          <w:numId w:val="7"/>
        </w:numPr>
        <w:tabs>
          <w:tab w:pos="1549" w:val="left" w:leader="none"/>
        </w:tabs>
        <w:spacing w:line="240" w:lineRule="auto" w:before="0" w:after="0"/>
        <w:ind w:left="1548" w:right="0" w:hanging="360"/>
        <w:jc w:val="left"/>
        <w:rPr>
          <w:sz w:val="21"/>
        </w:rPr>
      </w:pPr>
      <w:r>
        <w:rPr>
          <w:w w:val="105"/>
          <w:sz w:val="21"/>
        </w:rPr>
        <w:t>Reporte final de</w:t>
      </w:r>
      <w:r>
        <w:rPr>
          <w:spacing w:val="-16"/>
          <w:w w:val="105"/>
          <w:sz w:val="21"/>
        </w:rPr>
        <w:t> </w:t>
      </w:r>
      <w:r>
        <w:rPr>
          <w:w w:val="105"/>
          <w:sz w:val="21"/>
        </w:rPr>
        <w:t>patología.</w:t>
      </w:r>
    </w:p>
    <w:p>
      <w:pPr>
        <w:pStyle w:val="BodyText"/>
        <w:spacing w:before="2"/>
        <w:rPr>
          <w:sz w:val="23"/>
        </w:rPr>
      </w:pPr>
    </w:p>
    <w:p>
      <w:pPr>
        <w:pStyle w:val="ListParagraph"/>
        <w:numPr>
          <w:ilvl w:val="2"/>
          <w:numId w:val="7"/>
        </w:numPr>
        <w:tabs>
          <w:tab w:pos="1549" w:val="left" w:leader="none"/>
        </w:tabs>
        <w:spacing w:line="240" w:lineRule="auto" w:before="1" w:after="0"/>
        <w:ind w:left="1548" w:right="0" w:hanging="360"/>
        <w:jc w:val="left"/>
        <w:rPr>
          <w:sz w:val="21"/>
        </w:rPr>
      </w:pPr>
      <w:r>
        <w:rPr>
          <w:w w:val="105"/>
          <w:sz w:val="21"/>
        </w:rPr>
        <w:t>Presencia de complicación</w:t>
      </w:r>
      <w:r>
        <w:rPr>
          <w:spacing w:val="-24"/>
          <w:w w:val="105"/>
          <w:sz w:val="21"/>
        </w:rPr>
        <w:t> </w:t>
      </w:r>
      <w:r>
        <w:rPr>
          <w:w w:val="105"/>
          <w:sz w:val="21"/>
        </w:rPr>
        <w:t>postoperatorias.</w:t>
      </w:r>
    </w:p>
    <w:p>
      <w:pPr>
        <w:spacing w:after="0" w:line="240" w:lineRule="auto"/>
        <w:jc w:val="left"/>
        <w:rPr>
          <w:sz w:val="21"/>
        </w:rPr>
        <w:sectPr>
          <w:pgSz w:w="12240" w:h="15840"/>
          <w:pgMar w:header="0" w:footer="687" w:top="1380" w:bottom="940" w:left="1600" w:right="1580"/>
        </w:sectPr>
      </w:pPr>
    </w:p>
    <w:p>
      <w:pPr>
        <w:pStyle w:val="Heading3"/>
        <w:numPr>
          <w:ilvl w:val="0"/>
          <w:numId w:val="8"/>
        </w:numPr>
        <w:tabs>
          <w:tab w:pos="317" w:val="left" w:leader="none"/>
        </w:tabs>
        <w:spacing w:line="240" w:lineRule="auto" w:before="50" w:after="0"/>
        <w:ind w:left="316" w:right="0" w:hanging="208"/>
        <w:jc w:val="left"/>
      </w:pPr>
      <w:bookmarkStart w:name="_TOC_250017" w:id="7"/>
      <w:bookmarkEnd w:id="7"/>
      <w:r>
        <w:rPr>
          <w:w w:val="105"/>
        </w:rPr>
        <w:t>OBJETIVOS</w:t>
      </w:r>
    </w:p>
    <w:p>
      <w:pPr>
        <w:pStyle w:val="BodyText"/>
        <w:spacing w:before="2"/>
        <w:rPr>
          <w:b/>
          <w:sz w:val="23"/>
        </w:rPr>
      </w:pPr>
    </w:p>
    <w:p>
      <w:pPr>
        <w:pStyle w:val="Heading3"/>
        <w:numPr>
          <w:ilvl w:val="1"/>
          <w:numId w:val="8"/>
        </w:numPr>
        <w:tabs>
          <w:tab w:pos="501" w:val="left" w:leader="none"/>
        </w:tabs>
        <w:spacing w:line="240" w:lineRule="auto" w:before="1" w:after="0"/>
        <w:ind w:left="500" w:right="0" w:hanging="392"/>
        <w:jc w:val="left"/>
      </w:pPr>
      <w:bookmarkStart w:name="_TOC_250016" w:id="8"/>
      <w:bookmarkEnd w:id="8"/>
      <w:r>
        <w:rPr>
          <w:w w:val="105"/>
        </w:rPr>
        <w:t>GENERAL</w:t>
      </w:r>
    </w:p>
    <w:p>
      <w:pPr>
        <w:pStyle w:val="BodyText"/>
        <w:spacing w:before="9"/>
        <w:rPr>
          <w:b/>
          <w:sz w:val="22"/>
        </w:rPr>
      </w:pPr>
    </w:p>
    <w:p>
      <w:pPr>
        <w:pStyle w:val="ListParagraph"/>
        <w:numPr>
          <w:ilvl w:val="2"/>
          <w:numId w:val="8"/>
        </w:numPr>
        <w:tabs>
          <w:tab w:pos="829" w:val="left" w:leader="none"/>
        </w:tabs>
        <w:spacing w:line="487" w:lineRule="auto" w:before="0" w:after="0"/>
        <w:ind w:left="828" w:right="110" w:hanging="360"/>
        <w:jc w:val="both"/>
        <w:rPr>
          <w:sz w:val="21"/>
        </w:rPr>
      </w:pPr>
      <w:r>
        <w:rPr>
          <w:w w:val="105"/>
          <w:sz w:val="21"/>
        </w:rPr>
        <w:t>Analizar</w:t>
      </w:r>
      <w:r>
        <w:rPr>
          <w:spacing w:val="-12"/>
          <w:w w:val="105"/>
          <w:sz w:val="21"/>
        </w:rPr>
        <w:t> </w:t>
      </w:r>
      <w:r>
        <w:rPr>
          <w:w w:val="105"/>
          <w:sz w:val="21"/>
        </w:rPr>
        <w:t>los</w:t>
      </w:r>
      <w:r>
        <w:rPr>
          <w:spacing w:val="-11"/>
          <w:w w:val="105"/>
          <w:sz w:val="21"/>
        </w:rPr>
        <w:t> </w:t>
      </w:r>
      <w:r>
        <w:rPr>
          <w:w w:val="105"/>
          <w:sz w:val="21"/>
        </w:rPr>
        <w:t>resultados</w:t>
      </w:r>
      <w:r>
        <w:rPr>
          <w:spacing w:val="-11"/>
          <w:w w:val="105"/>
          <w:sz w:val="21"/>
        </w:rPr>
        <w:t> </w:t>
      </w:r>
      <w:r>
        <w:rPr>
          <w:w w:val="105"/>
          <w:sz w:val="21"/>
        </w:rPr>
        <w:t>del</w:t>
      </w:r>
      <w:r>
        <w:rPr>
          <w:spacing w:val="-12"/>
          <w:w w:val="105"/>
          <w:sz w:val="21"/>
        </w:rPr>
        <w:t> </w:t>
      </w:r>
      <w:r>
        <w:rPr>
          <w:w w:val="105"/>
          <w:sz w:val="21"/>
        </w:rPr>
        <w:t>tratamiento</w:t>
      </w:r>
      <w:r>
        <w:rPr>
          <w:spacing w:val="-11"/>
          <w:w w:val="105"/>
          <w:sz w:val="21"/>
        </w:rPr>
        <w:t> </w:t>
      </w:r>
      <w:r>
        <w:rPr>
          <w:w w:val="105"/>
          <w:sz w:val="21"/>
        </w:rPr>
        <w:t>de</w:t>
      </w:r>
      <w:r>
        <w:rPr>
          <w:spacing w:val="-11"/>
          <w:w w:val="105"/>
          <w:sz w:val="21"/>
        </w:rPr>
        <w:t> </w:t>
      </w:r>
      <w:r>
        <w:rPr>
          <w:w w:val="105"/>
          <w:sz w:val="21"/>
        </w:rPr>
        <w:t>los</w:t>
      </w:r>
      <w:r>
        <w:rPr>
          <w:spacing w:val="-11"/>
          <w:w w:val="105"/>
          <w:sz w:val="21"/>
        </w:rPr>
        <w:t> </w:t>
      </w:r>
      <w:r>
        <w:rPr>
          <w:w w:val="105"/>
          <w:sz w:val="21"/>
        </w:rPr>
        <w:t>pacientes</w:t>
      </w:r>
      <w:r>
        <w:rPr>
          <w:spacing w:val="-11"/>
          <w:w w:val="105"/>
          <w:sz w:val="21"/>
        </w:rPr>
        <w:t> </w:t>
      </w:r>
      <w:r>
        <w:rPr>
          <w:w w:val="105"/>
          <w:sz w:val="21"/>
        </w:rPr>
        <w:t>con</w:t>
      </w:r>
      <w:r>
        <w:rPr>
          <w:spacing w:val="-11"/>
          <w:w w:val="105"/>
          <w:sz w:val="21"/>
        </w:rPr>
        <w:t> </w:t>
      </w:r>
      <w:r>
        <w:rPr>
          <w:w w:val="105"/>
          <w:sz w:val="21"/>
        </w:rPr>
        <w:t>diagnóstico</w:t>
      </w:r>
      <w:r>
        <w:rPr>
          <w:spacing w:val="-11"/>
          <w:w w:val="105"/>
          <w:sz w:val="21"/>
        </w:rPr>
        <w:t> </w:t>
      </w:r>
      <w:r>
        <w:rPr>
          <w:w w:val="105"/>
          <w:sz w:val="21"/>
        </w:rPr>
        <w:t>de</w:t>
      </w:r>
      <w:r>
        <w:rPr>
          <w:spacing w:val="-11"/>
          <w:w w:val="105"/>
          <w:sz w:val="21"/>
        </w:rPr>
        <w:t> </w:t>
      </w:r>
      <w:r>
        <w:rPr>
          <w:w w:val="105"/>
          <w:sz w:val="21"/>
        </w:rPr>
        <w:t>tumor</w:t>
      </w:r>
      <w:r>
        <w:rPr>
          <w:spacing w:val="-12"/>
          <w:w w:val="105"/>
          <w:sz w:val="21"/>
        </w:rPr>
        <w:t> </w:t>
      </w:r>
      <w:r>
        <w:rPr>
          <w:w w:val="105"/>
          <w:sz w:val="21"/>
        </w:rPr>
        <w:t>de cuerpo carotideo, en el Centro Medico ISSEMyM</w:t>
      </w:r>
      <w:r>
        <w:rPr>
          <w:spacing w:val="-27"/>
          <w:w w:val="105"/>
          <w:sz w:val="21"/>
        </w:rPr>
        <w:t> </w:t>
      </w:r>
      <w:r>
        <w:rPr>
          <w:w w:val="105"/>
          <w:sz w:val="21"/>
        </w:rPr>
        <w:t>Toluca.</w:t>
      </w:r>
    </w:p>
    <w:p>
      <w:pPr>
        <w:pStyle w:val="Heading3"/>
        <w:numPr>
          <w:ilvl w:val="1"/>
          <w:numId w:val="8"/>
        </w:numPr>
        <w:tabs>
          <w:tab w:pos="501" w:val="left" w:leader="none"/>
        </w:tabs>
        <w:spacing w:line="240" w:lineRule="auto" w:before="21" w:after="0"/>
        <w:ind w:left="500" w:right="0" w:hanging="392"/>
        <w:jc w:val="left"/>
      </w:pPr>
      <w:r>
        <w:rPr>
          <w:w w:val="105"/>
        </w:rPr>
        <w:t>ESPECIFICOS</w:t>
      </w:r>
    </w:p>
    <w:p>
      <w:pPr>
        <w:pStyle w:val="BodyText"/>
        <w:spacing w:before="9"/>
        <w:rPr>
          <w:b/>
          <w:sz w:val="22"/>
        </w:rPr>
      </w:pPr>
    </w:p>
    <w:p>
      <w:pPr>
        <w:pStyle w:val="ListParagraph"/>
        <w:numPr>
          <w:ilvl w:val="0"/>
          <w:numId w:val="9"/>
        </w:numPr>
        <w:tabs>
          <w:tab w:pos="829" w:val="left" w:leader="none"/>
        </w:tabs>
        <w:spacing w:line="240" w:lineRule="auto" w:before="0" w:after="0"/>
        <w:ind w:left="828" w:right="0" w:hanging="360"/>
        <w:jc w:val="left"/>
        <w:rPr>
          <w:sz w:val="21"/>
        </w:rPr>
      </w:pPr>
      <w:r>
        <w:rPr>
          <w:w w:val="105"/>
          <w:sz w:val="21"/>
        </w:rPr>
        <w:t>Determinar la frecuencia de presentación por género y de acuerdo a</w:t>
      </w:r>
      <w:r>
        <w:rPr>
          <w:spacing w:val="-38"/>
          <w:w w:val="105"/>
          <w:sz w:val="21"/>
        </w:rPr>
        <w:t> </w:t>
      </w:r>
      <w:r>
        <w:rPr>
          <w:w w:val="105"/>
          <w:sz w:val="21"/>
        </w:rPr>
        <w:t>edad.</w:t>
      </w:r>
    </w:p>
    <w:p>
      <w:pPr>
        <w:pStyle w:val="BodyText"/>
        <w:spacing w:before="2"/>
        <w:rPr>
          <w:sz w:val="23"/>
        </w:rPr>
      </w:pPr>
    </w:p>
    <w:p>
      <w:pPr>
        <w:pStyle w:val="ListParagraph"/>
        <w:numPr>
          <w:ilvl w:val="0"/>
          <w:numId w:val="9"/>
        </w:numPr>
        <w:tabs>
          <w:tab w:pos="829" w:val="left" w:leader="none"/>
        </w:tabs>
        <w:spacing w:line="501" w:lineRule="auto" w:before="1" w:after="0"/>
        <w:ind w:left="828" w:right="113" w:hanging="360"/>
        <w:jc w:val="both"/>
        <w:rPr>
          <w:sz w:val="21"/>
        </w:rPr>
      </w:pPr>
      <w:r>
        <w:rPr>
          <w:w w:val="105"/>
          <w:sz w:val="21"/>
        </w:rPr>
        <w:t>Determinar la característica clínica mas frecuente de presentación en los</w:t>
      </w:r>
      <w:r>
        <w:rPr>
          <w:spacing w:val="-28"/>
          <w:w w:val="105"/>
          <w:sz w:val="21"/>
        </w:rPr>
        <w:t> </w:t>
      </w:r>
      <w:r>
        <w:rPr>
          <w:w w:val="105"/>
          <w:sz w:val="21"/>
        </w:rPr>
        <w:t>pacientes con tumor de cuerpo carotídeo, y el tiempo de</w:t>
      </w:r>
      <w:r>
        <w:rPr>
          <w:spacing w:val="-25"/>
          <w:w w:val="105"/>
          <w:sz w:val="21"/>
        </w:rPr>
        <w:t> </w:t>
      </w:r>
      <w:r>
        <w:rPr>
          <w:w w:val="105"/>
          <w:sz w:val="21"/>
        </w:rPr>
        <w:t>evolución.</w:t>
      </w:r>
    </w:p>
    <w:p>
      <w:pPr>
        <w:pStyle w:val="ListParagraph"/>
        <w:numPr>
          <w:ilvl w:val="0"/>
          <w:numId w:val="9"/>
        </w:numPr>
        <w:tabs>
          <w:tab w:pos="829" w:val="left" w:leader="none"/>
        </w:tabs>
        <w:spacing w:line="240" w:lineRule="auto" w:before="11" w:after="0"/>
        <w:ind w:left="828" w:right="0" w:hanging="360"/>
        <w:jc w:val="left"/>
        <w:rPr>
          <w:sz w:val="21"/>
        </w:rPr>
      </w:pPr>
      <w:r>
        <w:rPr>
          <w:w w:val="105"/>
          <w:sz w:val="21"/>
        </w:rPr>
        <w:t>Analizar su relación con otras</w:t>
      </w:r>
      <w:r>
        <w:rPr>
          <w:spacing w:val="-21"/>
          <w:w w:val="105"/>
          <w:sz w:val="21"/>
        </w:rPr>
        <w:t> </w:t>
      </w:r>
      <w:r>
        <w:rPr>
          <w:w w:val="105"/>
          <w:sz w:val="21"/>
        </w:rPr>
        <w:t>patologías.</w:t>
      </w:r>
    </w:p>
    <w:p>
      <w:pPr>
        <w:pStyle w:val="BodyText"/>
        <w:spacing w:before="9"/>
        <w:rPr>
          <w:sz w:val="22"/>
        </w:rPr>
      </w:pPr>
    </w:p>
    <w:p>
      <w:pPr>
        <w:pStyle w:val="ListParagraph"/>
        <w:numPr>
          <w:ilvl w:val="0"/>
          <w:numId w:val="9"/>
        </w:numPr>
        <w:tabs>
          <w:tab w:pos="829" w:val="left" w:leader="none"/>
        </w:tabs>
        <w:spacing w:line="240" w:lineRule="auto" w:before="0" w:after="0"/>
        <w:ind w:left="828" w:right="0" w:hanging="360"/>
        <w:jc w:val="left"/>
        <w:rPr>
          <w:sz w:val="21"/>
        </w:rPr>
      </w:pPr>
      <w:r>
        <w:rPr>
          <w:w w:val="105"/>
          <w:sz w:val="21"/>
        </w:rPr>
        <w:t>Reportar la metodología diagnostica en nuestro</w:t>
      </w:r>
      <w:r>
        <w:rPr>
          <w:spacing w:val="-32"/>
          <w:w w:val="105"/>
          <w:sz w:val="21"/>
        </w:rPr>
        <w:t> </w:t>
      </w:r>
      <w:r>
        <w:rPr>
          <w:w w:val="105"/>
          <w:sz w:val="21"/>
        </w:rPr>
        <w:t>servicio.</w:t>
      </w:r>
    </w:p>
    <w:p>
      <w:pPr>
        <w:pStyle w:val="BodyText"/>
        <w:spacing w:before="9"/>
        <w:rPr>
          <w:sz w:val="22"/>
        </w:rPr>
      </w:pPr>
    </w:p>
    <w:p>
      <w:pPr>
        <w:pStyle w:val="ListParagraph"/>
        <w:numPr>
          <w:ilvl w:val="0"/>
          <w:numId w:val="9"/>
        </w:numPr>
        <w:tabs>
          <w:tab w:pos="829" w:val="left" w:leader="none"/>
        </w:tabs>
        <w:spacing w:line="504" w:lineRule="auto" w:before="0" w:after="0"/>
        <w:ind w:left="828" w:right="109" w:hanging="360"/>
        <w:jc w:val="both"/>
        <w:rPr>
          <w:sz w:val="21"/>
        </w:rPr>
      </w:pPr>
      <w:r>
        <w:rPr>
          <w:w w:val="105"/>
          <w:sz w:val="21"/>
        </w:rPr>
        <w:t>Describir el tipo de abordaje quirúrgico utilizando, las consideraciones anatómicas, tamaño promedio de la pieza y su categorización considerando la escala de Shamblin, para el tumor de cuerpo</w:t>
      </w:r>
      <w:r>
        <w:rPr>
          <w:spacing w:val="-22"/>
          <w:w w:val="105"/>
          <w:sz w:val="21"/>
        </w:rPr>
        <w:t> </w:t>
      </w:r>
      <w:r>
        <w:rPr>
          <w:w w:val="105"/>
          <w:sz w:val="21"/>
        </w:rPr>
        <w:t>carotideo.</w:t>
      </w:r>
    </w:p>
    <w:p>
      <w:pPr>
        <w:pStyle w:val="ListParagraph"/>
        <w:numPr>
          <w:ilvl w:val="0"/>
          <w:numId w:val="9"/>
        </w:numPr>
        <w:tabs>
          <w:tab w:pos="829" w:val="left" w:leader="none"/>
        </w:tabs>
        <w:spacing w:line="501" w:lineRule="auto" w:before="9" w:after="0"/>
        <w:ind w:left="828" w:right="109" w:hanging="360"/>
        <w:jc w:val="both"/>
        <w:rPr>
          <w:sz w:val="21"/>
        </w:rPr>
      </w:pPr>
      <w:r>
        <w:rPr>
          <w:w w:val="105"/>
          <w:sz w:val="21"/>
        </w:rPr>
        <w:t>Analizar</w:t>
      </w:r>
      <w:r>
        <w:rPr>
          <w:spacing w:val="-10"/>
          <w:w w:val="105"/>
          <w:sz w:val="21"/>
        </w:rPr>
        <w:t> </w:t>
      </w:r>
      <w:r>
        <w:rPr>
          <w:w w:val="105"/>
          <w:sz w:val="21"/>
        </w:rPr>
        <w:t>los</w:t>
      </w:r>
      <w:r>
        <w:rPr>
          <w:spacing w:val="-10"/>
          <w:w w:val="105"/>
          <w:sz w:val="21"/>
        </w:rPr>
        <w:t> </w:t>
      </w:r>
      <w:r>
        <w:rPr>
          <w:w w:val="105"/>
          <w:sz w:val="21"/>
        </w:rPr>
        <w:t>resultados</w:t>
      </w:r>
      <w:r>
        <w:rPr>
          <w:spacing w:val="-10"/>
          <w:w w:val="105"/>
          <w:sz w:val="21"/>
        </w:rPr>
        <w:t> </w:t>
      </w:r>
      <w:r>
        <w:rPr>
          <w:w w:val="105"/>
          <w:sz w:val="21"/>
        </w:rPr>
        <w:t>postoperatorios</w:t>
      </w:r>
      <w:r>
        <w:rPr>
          <w:spacing w:val="-10"/>
          <w:w w:val="105"/>
          <w:sz w:val="21"/>
        </w:rPr>
        <w:t> </w:t>
      </w:r>
      <w:r>
        <w:rPr>
          <w:w w:val="105"/>
          <w:sz w:val="21"/>
        </w:rPr>
        <w:t>de</w:t>
      </w:r>
      <w:r>
        <w:rPr>
          <w:spacing w:val="-10"/>
          <w:w w:val="105"/>
          <w:sz w:val="21"/>
        </w:rPr>
        <w:t> </w:t>
      </w:r>
      <w:r>
        <w:rPr>
          <w:w w:val="105"/>
          <w:sz w:val="21"/>
        </w:rPr>
        <w:t>los</w:t>
      </w:r>
      <w:r>
        <w:rPr>
          <w:spacing w:val="-10"/>
          <w:w w:val="105"/>
          <w:sz w:val="21"/>
        </w:rPr>
        <w:t> </w:t>
      </w:r>
      <w:r>
        <w:rPr>
          <w:w w:val="105"/>
          <w:sz w:val="21"/>
        </w:rPr>
        <w:t>pacientes</w:t>
      </w:r>
      <w:r>
        <w:rPr>
          <w:spacing w:val="-10"/>
          <w:w w:val="105"/>
          <w:sz w:val="21"/>
        </w:rPr>
        <w:t> </w:t>
      </w:r>
      <w:r>
        <w:rPr>
          <w:w w:val="105"/>
          <w:sz w:val="21"/>
        </w:rPr>
        <w:t>que</w:t>
      </w:r>
      <w:r>
        <w:rPr>
          <w:spacing w:val="-10"/>
          <w:w w:val="105"/>
          <w:sz w:val="21"/>
        </w:rPr>
        <w:t> </w:t>
      </w:r>
      <w:r>
        <w:rPr>
          <w:w w:val="105"/>
          <w:sz w:val="21"/>
        </w:rPr>
        <w:t>se</w:t>
      </w:r>
      <w:r>
        <w:rPr>
          <w:spacing w:val="-10"/>
          <w:w w:val="105"/>
          <w:sz w:val="21"/>
        </w:rPr>
        <w:t> </w:t>
      </w:r>
      <w:r>
        <w:rPr>
          <w:w w:val="105"/>
          <w:sz w:val="21"/>
        </w:rPr>
        <w:t>llevaron</w:t>
      </w:r>
      <w:r>
        <w:rPr>
          <w:spacing w:val="-10"/>
          <w:w w:val="105"/>
          <w:sz w:val="21"/>
        </w:rPr>
        <w:t> </w:t>
      </w:r>
      <w:r>
        <w:rPr>
          <w:w w:val="105"/>
          <w:sz w:val="21"/>
        </w:rPr>
        <w:t>a</w:t>
      </w:r>
      <w:r>
        <w:rPr>
          <w:spacing w:val="-10"/>
          <w:w w:val="105"/>
          <w:sz w:val="21"/>
        </w:rPr>
        <w:t> </w:t>
      </w:r>
      <w:r>
        <w:rPr>
          <w:w w:val="105"/>
          <w:sz w:val="21"/>
        </w:rPr>
        <w:t>resección quirúrgica</w:t>
      </w:r>
      <w:r>
        <w:rPr>
          <w:spacing w:val="-5"/>
          <w:w w:val="105"/>
          <w:sz w:val="21"/>
        </w:rPr>
        <w:t> </w:t>
      </w:r>
      <w:r>
        <w:rPr>
          <w:w w:val="105"/>
          <w:sz w:val="21"/>
        </w:rPr>
        <w:t>con</w:t>
      </w:r>
      <w:r>
        <w:rPr>
          <w:spacing w:val="-5"/>
          <w:w w:val="105"/>
          <w:sz w:val="21"/>
        </w:rPr>
        <w:t> </w:t>
      </w:r>
      <w:r>
        <w:rPr>
          <w:w w:val="105"/>
          <w:sz w:val="21"/>
        </w:rPr>
        <w:t>diagnostico</w:t>
      </w:r>
      <w:r>
        <w:rPr>
          <w:spacing w:val="-5"/>
          <w:w w:val="105"/>
          <w:sz w:val="21"/>
        </w:rPr>
        <w:t> </w:t>
      </w:r>
      <w:r>
        <w:rPr>
          <w:w w:val="105"/>
          <w:sz w:val="21"/>
        </w:rPr>
        <w:t>de</w:t>
      </w:r>
      <w:r>
        <w:rPr>
          <w:spacing w:val="-5"/>
          <w:w w:val="105"/>
          <w:sz w:val="21"/>
        </w:rPr>
        <w:t> </w:t>
      </w:r>
      <w:r>
        <w:rPr>
          <w:w w:val="105"/>
          <w:sz w:val="21"/>
        </w:rPr>
        <w:t>tumor</w:t>
      </w:r>
      <w:r>
        <w:rPr>
          <w:spacing w:val="-5"/>
          <w:w w:val="105"/>
          <w:sz w:val="21"/>
        </w:rPr>
        <w:t> </w:t>
      </w:r>
      <w:r>
        <w:rPr>
          <w:w w:val="105"/>
          <w:sz w:val="21"/>
        </w:rPr>
        <w:t>de</w:t>
      </w:r>
      <w:r>
        <w:rPr>
          <w:spacing w:val="-5"/>
          <w:w w:val="105"/>
          <w:sz w:val="21"/>
        </w:rPr>
        <w:t> </w:t>
      </w:r>
      <w:r>
        <w:rPr>
          <w:w w:val="105"/>
          <w:sz w:val="21"/>
        </w:rPr>
        <w:t>cuerpo</w:t>
      </w:r>
      <w:r>
        <w:rPr>
          <w:spacing w:val="-5"/>
          <w:w w:val="105"/>
          <w:sz w:val="21"/>
        </w:rPr>
        <w:t> </w:t>
      </w:r>
      <w:r>
        <w:rPr>
          <w:w w:val="105"/>
          <w:sz w:val="21"/>
        </w:rPr>
        <w:t>carotídeo,</w:t>
      </w:r>
      <w:r>
        <w:rPr>
          <w:spacing w:val="-6"/>
          <w:w w:val="105"/>
          <w:sz w:val="21"/>
        </w:rPr>
        <w:t> </w:t>
      </w:r>
      <w:r>
        <w:rPr>
          <w:w w:val="105"/>
          <w:sz w:val="21"/>
        </w:rPr>
        <w:t>como</w:t>
      </w:r>
      <w:r>
        <w:rPr>
          <w:spacing w:val="-5"/>
          <w:w w:val="105"/>
          <w:sz w:val="21"/>
        </w:rPr>
        <w:t> </w:t>
      </w:r>
      <w:r>
        <w:rPr>
          <w:w w:val="105"/>
          <w:sz w:val="21"/>
        </w:rPr>
        <w:t>lo</w:t>
      </w:r>
      <w:r>
        <w:rPr>
          <w:spacing w:val="-5"/>
          <w:w w:val="105"/>
          <w:sz w:val="21"/>
        </w:rPr>
        <w:t> </w:t>
      </w:r>
      <w:r>
        <w:rPr>
          <w:w w:val="105"/>
          <w:sz w:val="21"/>
        </w:rPr>
        <w:t>son</w:t>
      </w:r>
      <w:r>
        <w:rPr>
          <w:spacing w:val="-5"/>
          <w:w w:val="105"/>
          <w:sz w:val="21"/>
        </w:rPr>
        <w:t> </w:t>
      </w:r>
      <w:r>
        <w:rPr>
          <w:w w:val="105"/>
          <w:sz w:val="21"/>
        </w:rPr>
        <w:t>presencia</w:t>
      </w:r>
      <w:r>
        <w:rPr>
          <w:spacing w:val="-5"/>
          <w:w w:val="105"/>
          <w:sz w:val="21"/>
        </w:rPr>
        <w:t> </w:t>
      </w:r>
      <w:r>
        <w:rPr>
          <w:w w:val="105"/>
          <w:sz w:val="21"/>
        </w:rPr>
        <w:t>de complicaciones, tiempo quirúrgico y de hospitalización, secuelas neurológicas y presencia de</w:t>
      </w:r>
      <w:r>
        <w:rPr>
          <w:spacing w:val="-14"/>
          <w:w w:val="105"/>
          <w:sz w:val="21"/>
        </w:rPr>
        <w:t> </w:t>
      </w:r>
      <w:r>
        <w:rPr>
          <w:w w:val="105"/>
          <w:sz w:val="21"/>
        </w:rPr>
        <w:t>malignidad.</w:t>
      </w:r>
    </w:p>
    <w:p>
      <w:pPr>
        <w:spacing w:after="0" w:line="501" w:lineRule="auto"/>
        <w:jc w:val="both"/>
        <w:rPr>
          <w:sz w:val="21"/>
        </w:rPr>
        <w:sectPr>
          <w:pgSz w:w="12240" w:h="15840"/>
          <w:pgMar w:header="0" w:footer="687" w:top="1380" w:bottom="940" w:left="1600" w:right="1580"/>
        </w:sectPr>
      </w:pPr>
    </w:p>
    <w:p>
      <w:pPr>
        <w:pStyle w:val="Heading3"/>
        <w:numPr>
          <w:ilvl w:val="0"/>
          <w:numId w:val="10"/>
        </w:numPr>
        <w:tabs>
          <w:tab w:pos="317" w:val="left" w:leader="none"/>
        </w:tabs>
        <w:spacing w:line="240" w:lineRule="auto" w:before="50" w:after="0"/>
        <w:ind w:left="316" w:right="0" w:hanging="208"/>
        <w:jc w:val="both"/>
      </w:pPr>
      <w:r>
        <w:rPr>
          <w:w w:val="105"/>
        </w:rPr>
        <w:t>OBJETIVOS</w:t>
      </w:r>
    </w:p>
    <w:p>
      <w:pPr>
        <w:pStyle w:val="BodyText"/>
        <w:spacing w:before="2"/>
        <w:rPr>
          <w:b/>
          <w:sz w:val="23"/>
        </w:rPr>
      </w:pPr>
    </w:p>
    <w:p>
      <w:pPr>
        <w:pStyle w:val="ListParagraph"/>
        <w:numPr>
          <w:ilvl w:val="1"/>
          <w:numId w:val="10"/>
        </w:numPr>
        <w:tabs>
          <w:tab w:pos="501" w:val="left" w:leader="none"/>
        </w:tabs>
        <w:spacing w:line="240" w:lineRule="auto" w:before="1" w:after="0"/>
        <w:ind w:left="500" w:right="0" w:hanging="392"/>
        <w:jc w:val="both"/>
        <w:rPr>
          <w:b/>
          <w:sz w:val="21"/>
        </w:rPr>
      </w:pPr>
      <w:r>
        <w:rPr>
          <w:b/>
          <w:spacing w:val="2"/>
          <w:w w:val="105"/>
          <w:sz w:val="21"/>
        </w:rPr>
        <w:t>GENERAL</w:t>
      </w:r>
    </w:p>
    <w:p>
      <w:pPr>
        <w:pStyle w:val="BodyText"/>
        <w:spacing w:before="9"/>
        <w:rPr>
          <w:b/>
          <w:sz w:val="22"/>
        </w:rPr>
      </w:pPr>
    </w:p>
    <w:p>
      <w:pPr>
        <w:pStyle w:val="ListParagraph"/>
        <w:numPr>
          <w:ilvl w:val="2"/>
          <w:numId w:val="10"/>
        </w:numPr>
        <w:tabs>
          <w:tab w:pos="828" w:val="left" w:leader="none"/>
          <w:tab w:pos="829" w:val="left" w:leader="none"/>
        </w:tabs>
        <w:spacing w:line="487" w:lineRule="auto" w:before="0" w:after="0"/>
        <w:ind w:left="828" w:right="110" w:hanging="360"/>
        <w:jc w:val="left"/>
        <w:rPr>
          <w:sz w:val="21"/>
        </w:rPr>
      </w:pPr>
      <w:r>
        <w:rPr>
          <w:w w:val="105"/>
          <w:sz w:val="21"/>
        </w:rPr>
        <w:t>Analizar</w:t>
      </w:r>
      <w:r>
        <w:rPr>
          <w:spacing w:val="-12"/>
          <w:w w:val="105"/>
          <w:sz w:val="21"/>
        </w:rPr>
        <w:t> </w:t>
      </w:r>
      <w:r>
        <w:rPr>
          <w:w w:val="105"/>
          <w:sz w:val="21"/>
        </w:rPr>
        <w:t>los</w:t>
      </w:r>
      <w:r>
        <w:rPr>
          <w:spacing w:val="-11"/>
          <w:w w:val="105"/>
          <w:sz w:val="21"/>
        </w:rPr>
        <w:t> </w:t>
      </w:r>
      <w:r>
        <w:rPr>
          <w:w w:val="105"/>
          <w:sz w:val="21"/>
        </w:rPr>
        <w:t>resultados</w:t>
      </w:r>
      <w:r>
        <w:rPr>
          <w:spacing w:val="-11"/>
          <w:w w:val="105"/>
          <w:sz w:val="21"/>
        </w:rPr>
        <w:t> </w:t>
      </w:r>
      <w:r>
        <w:rPr>
          <w:w w:val="105"/>
          <w:sz w:val="21"/>
        </w:rPr>
        <w:t>del</w:t>
      </w:r>
      <w:r>
        <w:rPr>
          <w:spacing w:val="-12"/>
          <w:w w:val="105"/>
          <w:sz w:val="21"/>
        </w:rPr>
        <w:t> </w:t>
      </w:r>
      <w:r>
        <w:rPr>
          <w:w w:val="105"/>
          <w:sz w:val="21"/>
        </w:rPr>
        <w:t>tratamiento</w:t>
      </w:r>
      <w:r>
        <w:rPr>
          <w:spacing w:val="-11"/>
          <w:w w:val="105"/>
          <w:sz w:val="21"/>
        </w:rPr>
        <w:t> </w:t>
      </w:r>
      <w:r>
        <w:rPr>
          <w:w w:val="105"/>
          <w:sz w:val="21"/>
        </w:rPr>
        <w:t>de</w:t>
      </w:r>
      <w:r>
        <w:rPr>
          <w:spacing w:val="-11"/>
          <w:w w:val="105"/>
          <w:sz w:val="21"/>
        </w:rPr>
        <w:t> </w:t>
      </w:r>
      <w:r>
        <w:rPr>
          <w:w w:val="105"/>
          <w:sz w:val="21"/>
        </w:rPr>
        <w:t>los</w:t>
      </w:r>
      <w:r>
        <w:rPr>
          <w:spacing w:val="-11"/>
          <w:w w:val="105"/>
          <w:sz w:val="21"/>
        </w:rPr>
        <w:t> </w:t>
      </w:r>
      <w:r>
        <w:rPr>
          <w:w w:val="105"/>
          <w:sz w:val="21"/>
        </w:rPr>
        <w:t>pacientes</w:t>
      </w:r>
      <w:r>
        <w:rPr>
          <w:spacing w:val="-11"/>
          <w:w w:val="105"/>
          <w:sz w:val="21"/>
        </w:rPr>
        <w:t> </w:t>
      </w:r>
      <w:r>
        <w:rPr>
          <w:w w:val="105"/>
          <w:sz w:val="21"/>
        </w:rPr>
        <w:t>con</w:t>
      </w:r>
      <w:r>
        <w:rPr>
          <w:spacing w:val="-11"/>
          <w:w w:val="105"/>
          <w:sz w:val="21"/>
        </w:rPr>
        <w:t> </w:t>
      </w:r>
      <w:r>
        <w:rPr>
          <w:w w:val="105"/>
          <w:sz w:val="21"/>
        </w:rPr>
        <w:t>diagnóstico</w:t>
      </w:r>
      <w:r>
        <w:rPr>
          <w:spacing w:val="-11"/>
          <w:w w:val="105"/>
          <w:sz w:val="21"/>
        </w:rPr>
        <w:t> </w:t>
      </w:r>
      <w:r>
        <w:rPr>
          <w:w w:val="105"/>
          <w:sz w:val="21"/>
        </w:rPr>
        <w:t>de</w:t>
      </w:r>
      <w:r>
        <w:rPr>
          <w:spacing w:val="-11"/>
          <w:w w:val="105"/>
          <w:sz w:val="21"/>
        </w:rPr>
        <w:t> </w:t>
      </w:r>
      <w:r>
        <w:rPr>
          <w:w w:val="105"/>
          <w:sz w:val="21"/>
        </w:rPr>
        <w:t>tumor</w:t>
      </w:r>
      <w:r>
        <w:rPr>
          <w:spacing w:val="-12"/>
          <w:w w:val="105"/>
          <w:sz w:val="21"/>
        </w:rPr>
        <w:t> </w:t>
      </w:r>
      <w:r>
        <w:rPr>
          <w:w w:val="105"/>
          <w:sz w:val="21"/>
        </w:rPr>
        <w:t>de cuerpo carotideo, en el Centro Medico ISSEMyM</w:t>
      </w:r>
      <w:r>
        <w:rPr>
          <w:spacing w:val="-27"/>
          <w:w w:val="105"/>
          <w:sz w:val="21"/>
        </w:rPr>
        <w:t> </w:t>
      </w:r>
      <w:r>
        <w:rPr>
          <w:w w:val="105"/>
          <w:sz w:val="21"/>
        </w:rPr>
        <w:t>Toluca.</w:t>
      </w:r>
    </w:p>
    <w:p>
      <w:pPr>
        <w:pStyle w:val="Heading3"/>
        <w:numPr>
          <w:ilvl w:val="1"/>
          <w:numId w:val="11"/>
        </w:numPr>
        <w:tabs>
          <w:tab w:pos="562" w:val="left" w:leader="none"/>
        </w:tabs>
        <w:spacing w:line="240" w:lineRule="auto" w:before="21" w:after="0"/>
        <w:ind w:left="561" w:right="0" w:hanging="453"/>
        <w:jc w:val="both"/>
      </w:pPr>
      <w:bookmarkStart w:name="_TOC_250015" w:id="9"/>
      <w:r>
        <w:rPr>
          <w:w w:val="105"/>
        </w:rPr>
        <w:t>Diseño del</w:t>
      </w:r>
      <w:r>
        <w:rPr>
          <w:spacing w:val="-12"/>
          <w:w w:val="105"/>
        </w:rPr>
        <w:t> </w:t>
      </w:r>
      <w:bookmarkEnd w:id="9"/>
      <w:r>
        <w:rPr>
          <w:w w:val="105"/>
        </w:rPr>
        <w:t>estudio</w:t>
      </w:r>
    </w:p>
    <w:p>
      <w:pPr>
        <w:pStyle w:val="BodyText"/>
        <w:spacing w:before="2"/>
        <w:rPr>
          <w:b/>
          <w:sz w:val="23"/>
        </w:rPr>
      </w:pPr>
    </w:p>
    <w:p>
      <w:pPr>
        <w:pStyle w:val="BodyText"/>
        <w:spacing w:line="376" w:lineRule="auto" w:before="1"/>
        <w:ind w:left="108" w:right="109"/>
        <w:jc w:val="both"/>
      </w:pPr>
      <w:r>
        <w:rPr>
          <w:w w:val="105"/>
        </w:rPr>
        <w:t>Se realizó una hoja piloto de recolección de datos, la cual se llenó durante un mes, tiempo en</w:t>
      </w:r>
      <w:r>
        <w:rPr>
          <w:spacing w:val="-6"/>
          <w:w w:val="105"/>
        </w:rPr>
        <w:t> </w:t>
      </w:r>
      <w:r>
        <w:rPr>
          <w:w w:val="105"/>
        </w:rPr>
        <w:t>el</w:t>
      </w:r>
      <w:r>
        <w:rPr>
          <w:spacing w:val="-7"/>
          <w:w w:val="105"/>
        </w:rPr>
        <w:t> </w:t>
      </w:r>
      <w:r>
        <w:rPr>
          <w:w w:val="105"/>
        </w:rPr>
        <w:t>que</w:t>
      </w:r>
      <w:r>
        <w:rPr>
          <w:spacing w:val="-6"/>
          <w:w w:val="105"/>
        </w:rPr>
        <w:t> </w:t>
      </w:r>
      <w:r>
        <w:rPr>
          <w:w w:val="105"/>
        </w:rPr>
        <w:t>se</w:t>
      </w:r>
      <w:r>
        <w:rPr>
          <w:spacing w:val="-6"/>
          <w:w w:val="105"/>
        </w:rPr>
        <w:t> </w:t>
      </w:r>
      <w:r>
        <w:rPr>
          <w:w w:val="105"/>
        </w:rPr>
        <w:t>realizaron</w:t>
      </w:r>
      <w:r>
        <w:rPr>
          <w:spacing w:val="-6"/>
          <w:w w:val="105"/>
        </w:rPr>
        <w:t> </w:t>
      </w:r>
      <w:r>
        <w:rPr>
          <w:w w:val="105"/>
        </w:rPr>
        <w:t>ajustes</w:t>
      </w:r>
      <w:r>
        <w:rPr>
          <w:spacing w:val="-6"/>
          <w:w w:val="105"/>
        </w:rPr>
        <w:t> </w:t>
      </w:r>
      <w:r>
        <w:rPr>
          <w:w w:val="105"/>
        </w:rPr>
        <w:t>en</w:t>
      </w:r>
      <w:r>
        <w:rPr>
          <w:spacing w:val="-6"/>
          <w:w w:val="105"/>
        </w:rPr>
        <w:t> </w:t>
      </w:r>
      <w:r>
        <w:rPr>
          <w:w w:val="105"/>
        </w:rPr>
        <w:t>el</w:t>
      </w:r>
      <w:r>
        <w:rPr>
          <w:spacing w:val="-7"/>
          <w:w w:val="105"/>
        </w:rPr>
        <w:t> </w:t>
      </w:r>
      <w:r>
        <w:rPr>
          <w:w w:val="105"/>
        </w:rPr>
        <w:t>orden</w:t>
      </w:r>
      <w:r>
        <w:rPr>
          <w:spacing w:val="-6"/>
          <w:w w:val="105"/>
        </w:rPr>
        <w:t> </w:t>
      </w:r>
      <w:r>
        <w:rPr>
          <w:w w:val="105"/>
        </w:rPr>
        <w:t>de</w:t>
      </w:r>
      <w:r>
        <w:rPr>
          <w:spacing w:val="-6"/>
          <w:w w:val="105"/>
        </w:rPr>
        <w:t> </w:t>
      </w:r>
      <w:r>
        <w:rPr>
          <w:w w:val="105"/>
        </w:rPr>
        <w:t>llenado</w:t>
      </w:r>
      <w:r>
        <w:rPr>
          <w:spacing w:val="-6"/>
          <w:w w:val="105"/>
        </w:rPr>
        <w:t> </w:t>
      </w:r>
      <w:r>
        <w:rPr>
          <w:w w:val="105"/>
        </w:rPr>
        <w:t>y</w:t>
      </w:r>
      <w:r>
        <w:rPr>
          <w:spacing w:val="-6"/>
          <w:w w:val="105"/>
        </w:rPr>
        <w:t> </w:t>
      </w:r>
      <w:r>
        <w:rPr>
          <w:w w:val="105"/>
        </w:rPr>
        <w:t>se</w:t>
      </w:r>
      <w:r>
        <w:rPr>
          <w:spacing w:val="-6"/>
          <w:w w:val="105"/>
        </w:rPr>
        <w:t> </w:t>
      </w:r>
      <w:r>
        <w:rPr>
          <w:w w:val="105"/>
        </w:rPr>
        <w:t>incorporaron</w:t>
      </w:r>
      <w:r>
        <w:rPr>
          <w:spacing w:val="-5"/>
          <w:w w:val="105"/>
        </w:rPr>
        <w:t> </w:t>
      </w:r>
      <w:r>
        <w:rPr>
          <w:w w:val="105"/>
        </w:rPr>
        <w:t>datos</w:t>
      </w:r>
      <w:r>
        <w:rPr>
          <w:spacing w:val="-6"/>
          <w:w w:val="105"/>
        </w:rPr>
        <w:t> </w:t>
      </w:r>
      <w:r>
        <w:rPr>
          <w:w w:val="105"/>
        </w:rPr>
        <w:t>útiles</w:t>
      </w:r>
      <w:r>
        <w:rPr>
          <w:spacing w:val="-6"/>
          <w:w w:val="105"/>
        </w:rPr>
        <w:t> </w:t>
      </w:r>
      <w:r>
        <w:rPr>
          <w:w w:val="105"/>
        </w:rPr>
        <w:t>para</w:t>
      </w:r>
      <w:r>
        <w:rPr>
          <w:spacing w:val="-6"/>
          <w:w w:val="105"/>
        </w:rPr>
        <w:t> </w:t>
      </w:r>
      <w:r>
        <w:rPr>
          <w:w w:val="105"/>
        </w:rPr>
        <w:t>el pronóstico del estudio. Una vez establecida la hoja de recolección de datos se procedió a recabar</w:t>
      </w:r>
      <w:r>
        <w:rPr>
          <w:spacing w:val="-9"/>
          <w:w w:val="105"/>
        </w:rPr>
        <w:t> </w:t>
      </w:r>
      <w:r>
        <w:rPr>
          <w:w w:val="105"/>
        </w:rPr>
        <w:t>información</w:t>
      </w:r>
      <w:r>
        <w:rPr>
          <w:spacing w:val="-9"/>
          <w:w w:val="105"/>
        </w:rPr>
        <w:t> </w:t>
      </w:r>
      <w:r>
        <w:rPr>
          <w:w w:val="105"/>
        </w:rPr>
        <w:t>contenida</w:t>
      </w:r>
      <w:r>
        <w:rPr>
          <w:spacing w:val="-9"/>
          <w:w w:val="105"/>
        </w:rPr>
        <w:t> </w:t>
      </w:r>
      <w:r>
        <w:rPr>
          <w:w w:val="105"/>
        </w:rPr>
        <w:t>en</w:t>
      </w:r>
      <w:r>
        <w:rPr>
          <w:spacing w:val="-9"/>
          <w:w w:val="105"/>
        </w:rPr>
        <w:t> </w:t>
      </w:r>
      <w:r>
        <w:rPr>
          <w:w w:val="105"/>
        </w:rPr>
        <w:t>expedientes</w:t>
      </w:r>
      <w:r>
        <w:rPr>
          <w:spacing w:val="-9"/>
          <w:w w:val="105"/>
        </w:rPr>
        <w:t> </w:t>
      </w:r>
      <w:r>
        <w:rPr>
          <w:w w:val="105"/>
        </w:rPr>
        <w:t>seleccionados</w:t>
      </w:r>
      <w:r>
        <w:rPr>
          <w:spacing w:val="-9"/>
          <w:w w:val="105"/>
        </w:rPr>
        <w:t> </w:t>
      </w:r>
      <w:r>
        <w:rPr>
          <w:w w:val="105"/>
        </w:rPr>
        <w:t>con</w:t>
      </w:r>
      <w:r>
        <w:rPr>
          <w:spacing w:val="-9"/>
          <w:w w:val="105"/>
        </w:rPr>
        <w:t> </w:t>
      </w:r>
      <w:r>
        <w:rPr>
          <w:w w:val="105"/>
        </w:rPr>
        <w:t>diagnóstico</w:t>
      </w:r>
      <w:r>
        <w:rPr>
          <w:spacing w:val="-9"/>
          <w:w w:val="105"/>
        </w:rPr>
        <w:t> </w:t>
      </w:r>
      <w:r>
        <w:rPr>
          <w:w w:val="105"/>
        </w:rPr>
        <w:t>de</w:t>
      </w:r>
      <w:r>
        <w:rPr>
          <w:spacing w:val="-9"/>
          <w:w w:val="105"/>
        </w:rPr>
        <w:t> </w:t>
      </w:r>
      <w:r>
        <w:rPr>
          <w:w w:val="105"/>
        </w:rPr>
        <w:t>pacientes con tumor de cuerpo</w:t>
      </w:r>
      <w:r>
        <w:rPr>
          <w:spacing w:val="-14"/>
          <w:w w:val="105"/>
        </w:rPr>
        <w:t> </w:t>
      </w:r>
      <w:r>
        <w:rPr>
          <w:w w:val="105"/>
        </w:rPr>
        <w:t>carotideo.</w:t>
      </w:r>
    </w:p>
    <w:p>
      <w:pPr>
        <w:pStyle w:val="BodyText"/>
        <w:rPr>
          <w:sz w:val="20"/>
        </w:rPr>
      </w:pPr>
    </w:p>
    <w:p>
      <w:pPr>
        <w:pStyle w:val="BodyText"/>
        <w:rPr>
          <w:sz w:val="20"/>
        </w:rPr>
      </w:pPr>
    </w:p>
    <w:p>
      <w:pPr>
        <w:pStyle w:val="BodyText"/>
        <w:rPr>
          <w:sz w:val="20"/>
        </w:rPr>
      </w:pPr>
    </w:p>
    <w:p>
      <w:pPr>
        <w:pStyle w:val="BodyText"/>
        <w:spacing w:before="10"/>
        <w:rPr>
          <w:sz w:val="12"/>
        </w:rPr>
      </w:pPr>
      <w:r>
        <w:rPr/>
        <w:pict>
          <v:group style="position:absolute;margin-left:139.660599pt;margin-top:9.391450pt;width:359.55pt;height:63.65pt;mso-position-horizontal-relative:page;mso-position-vertical-relative:paragraph;z-index:1072;mso-wrap-distance-left:0;mso-wrap-distance-right:0" coordorigin="2793,188" coordsize="7191,1273">
            <v:rect style="position:absolute;left:2798;top:898;width:7181;height:557" filled="false" stroked="true" strokeweight=".48pt" strokecolor="#5b9bd5"/>
            <v:shape style="position:absolute;left:3360;top:188;width:5842;height:1018" type="#_x0000_t75" stroked="false">
              <v:imagedata r:id="rId7" o:title=""/>
            </v:shape>
            <v:shape style="position:absolute;left:2793;top:188;width:7191;height:1272" type="#_x0000_t202" filled="false" stroked="false">
              <v:textbox inset="0,0,0,0">
                <w:txbxContent>
                  <w:p>
                    <w:pPr>
                      <w:spacing w:line="240" w:lineRule="auto" w:before="0"/>
                      <w:rPr>
                        <w:sz w:val="20"/>
                      </w:rPr>
                    </w:pPr>
                  </w:p>
                  <w:p>
                    <w:pPr>
                      <w:spacing w:before="136"/>
                      <w:ind w:left="1981" w:right="923" w:firstLine="0"/>
                      <w:jc w:val="left"/>
                      <w:rPr>
                        <w:rFonts w:ascii="Calibri"/>
                        <w:sz w:val="21"/>
                      </w:rPr>
                    </w:pPr>
                    <w:r>
                      <w:rPr>
                        <w:rFonts w:ascii="Calibri"/>
                        <w:sz w:val="21"/>
                      </w:rPr>
                      <w:t>Hoja piloto de recoleccion de datos</w:t>
                    </w:r>
                  </w:p>
                </w:txbxContent>
              </v:textbox>
              <w10:wrap type="none"/>
            </v:shape>
            <w10:wrap type="topAndBottom"/>
          </v:group>
        </w:pict>
      </w:r>
    </w:p>
    <w:p>
      <w:pPr>
        <w:pStyle w:val="BodyText"/>
        <w:spacing w:before="2"/>
        <w:rPr>
          <w:sz w:val="6"/>
        </w:rPr>
      </w:pPr>
    </w:p>
    <w:p>
      <w:pPr>
        <w:pStyle w:val="BodyText"/>
        <w:ind w:left="1193"/>
        <w:rPr>
          <w:sz w:val="20"/>
        </w:rPr>
      </w:pPr>
      <w:r>
        <w:rPr>
          <w:sz w:val="20"/>
        </w:rPr>
        <w:pict>
          <v:group style="width:359.55pt;height:61pt;mso-position-horizontal-relative:char;mso-position-vertical-relative:line" coordorigin="0,0" coordsize="7191,1220">
            <v:rect style="position:absolute;left:5;top:658;width:7181;height:557" filled="false" stroked="true" strokeweight=".48pt" strokecolor="#5b9bd5"/>
            <v:shape style="position:absolute;left:634;top:0;width:5779;height:998" type="#_x0000_t75" stroked="false">
              <v:imagedata r:id="rId8" o:title=""/>
            </v:shape>
            <v:shape style="position:absolute;left:0;top:0;width:7191;height:1220" type="#_x0000_t202" filled="false" stroked="false">
              <v:textbox inset="0,0,0,0">
                <w:txbxContent>
                  <w:p>
                    <w:pPr>
                      <w:spacing w:line="240" w:lineRule="auto" w:before="0"/>
                      <w:rPr>
                        <w:sz w:val="16"/>
                      </w:rPr>
                    </w:pPr>
                  </w:p>
                  <w:p>
                    <w:pPr>
                      <w:spacing w:line="172" w:lineRule="exact" w:before="136"/>
                      <w:ind w:left="3167" w:right="923" w:hanging="2194"/>
                      <w:jc w:val="left"/>
                      <w:rPr>
                        <w:rFonts w:ascii="Calibri"/>
                        <w:sz w:val="16"/>
                      </w:rPr>
                    </w:pPr>
                    <w:r>
                      <w:rPr>
                        <w:rFonts w:ascii="Calibri"/>
                        <w:sz w:val="16"/>
                      </w:rPr>
                      <w:t>Ajustes en el orden de llenado e incorporacion de datos utilis para el proposito del estudio</w:t>
                    </w:r>
                  </w:p>
                </w:txbxContent>
              </v:textbox>
              <w10:wrap type="none"/>
            </v:shape>
          </v:group>
        </w:pict>
      </w:r>
      <w:r>
        <w:rPr>
          <w:sz w:val="20"/>
        </w:rPr>
      </w:r>
    </w:p>
    <w:p>
      <w:pPr>
        <w:pStyle w:val="BodyText"/>
        <w:spacing w:before="4"/>
        <w:rPr>
          <w:sz w:val="9"/>
        </w:rPr>
      </w:pPr>
      <w:r>
        <w:rPr/>
        <w:pict>
          <v:group style="position:absolute;margin-left:139.660599pt;margin-top:7.3403pt;width:359.55pt;height:172.6pt;mso-position-horizontal-relative:page;mso-position-vertical-relative:paragraph;z-index:1216;mso-wrap-distance-left:0;mso-wrap-distance-right:0" coordorigin="2793,147" coordsize="7191,3452">
            <v:rect style="position:absolute;left:2798;top:680;width:7181;height:552" filled="false" stroked="true" strokeweight=".48pt" strokecolor="#5b9bd5"/>
            <v:shape style="position:absolute;left:3494;top:147;width:5698;height:946" type="#_x0000_t75" stroked="false">
              <v:imagedata r:id="rId9" o:title=""/>
            </v:shape>
            <v:rect style="position:absolute;left:2798;top:1817;width:7181;height:557" filled="false" stroked="true" strokeweight=".48pt" strokecolor="#5b9bd5"/>
            <v:shape style="position:absolute;left:3595;top:1294;width:5549;height:811" type="#_x0000_t75" stroked="false">
              <v:imagedata r:id="rId10" o:title=""/>
            </v:shape>
            <v:rect style="position:absolute;left:2798;top:3036;width:7181;height:557" filled="false" stroked="true" strokeweight=".48pt" strokecolor="#5b9bd5"/>
            <v:shape style="position:absolute;left:3965;top:2446;width:4939;height:893" type="#_x0000_t75" stroked="false">
              <v:imagedata r:id="rId11" o:title=""/>
            </v:shape>
            <v:shape style="position:absolute;left:3743;top:544;width:4097;height:159" type="#_x0000_t202" filled="false" stroked="false">
              <v:textbox inset="0,0,0,0">
                <w:txbxContent>
                  <w:p>
                    <w:pPr>
                      <w:spacing w:line="158" w:lineRule="exact" w:before="0"/>
                      <w:ind w:left="0" w:right="0" w:firstLine="0"/>
                      <w:jc w:val="left"/>
                      <w:rPr>
                        <w:rFonts w:ascii="Calibri"/>
                        <w:sz w:val="16"/>
                      </w:rPr>
                    </w:pPr>
                    <w:r>
                      <w:rPr>
                        <w:rFonts w:ascii="Calibri"/>
                        <w:sz w:val="16"/>
                      </w:rPr>
                      <w:t>Recabar informacion por 3 meses a partir de inicado el estudio</w:t>
                    </w:r>
                  </w:p>
                </w:txbxContent>
              </v:textbox>
              <w10:wrap type="none"/>
            </v:shape>
            <v:shape style="position:absolute;left:5353;top:1582;width:2029;height:240" type="#_x0000_t202" filled="false" stroked="false">
              <v:textbox inset="0,0,0,0">
                <w:txbxContent>
                  <w:p>
                    <w:pPr>
                      <w:spacing w:line="240" w:lineRule="exact" w:before="0"/>
                      <w:ind w:left="0" w:right="0" w:firstLine="0"/>
                      <w:jc w:val="left"/>
                      <w:rPr>
                        <w:rFonts w:ascii="Calibri"/>
                        <w:sz w:val="24"/>
                      </w:rPr>
                    </w:pPr>
                    <w:r>
                      <w:rPr>
                        <w:rFonts w:ascii="Calibri"/>
                        <w:spacing w:val="-3"/>
                        <w:sz w:val="24"/>
                      </w:rPr>
                      <w:t>Verificacion </w:t>
                    </w:r>
                    <w:r>
                      <w:rPr>
                        <w:rFonts w:ascii="Calibri"/>
                        <w:sz w:val="24"/>
                      </w:rPr>
                      <w:t>de datos</w:t>
                    </w:r>
                  </w:p>
                </w:txbxContent>
              </v:textbox>
              <w10:wrap type="none"/>
            </v:shape>
            <v:shape style="position:absolute;left:5071;top:2712;width:2724;height:360" type="#_x0000_t202" filled="false" stroked="false">
              <v:textbox inset="0,0,0,0">
                <w:txbxContent>
                  <w:p>
                    <w:pPr>
                      <w:spacing w:line="360" w:lineRule="exact" w:before="0"/>
                      <w:ind w:left="0" w:right="-15" w:firstLine="0"/>
                      <w:jc w:val="left"/>
                      <w:rPr>
                        <w:rFonts w:ascii="Calibri"/>
                        <w:sz w:val="36"/>
                      </w:rPr>
                    </w:pPr>
                    <w:r>
                      <w:rPr>
                        <w:rFonts w:ascii="Calibri"/>
                        <w:sz w:val="36"/>
                      </w:rPr>
                      <w:t>Analisis </w:t>
                    </w:r>
                    <w:r>
                      <w:rPr>
                        <w:rFonts w:ascii="Calibri"/>
                        <w:spacing w:val="-3"/>
                        <w:sz w:val="36"/>
                      </w:rPr>
                      <w:t>estadistico</w:t>
                    </w:r>
                  </w:p>
                </w:txbxContent>
              </v:textbox>
              <w10:wrap type="none"/>
            </v:shape>
            <w10:wrap type="topAndBottom"/>
          </v:group>
        </w:pict>
      </w:r>
    </w:p>
    <w:p>
      <w:pPr>
        <w:spacing w:after="0"/>
        <w:rPr>
          <w:sz w:val="9"/>
        </w:rPr>
        <w:sectPr>
          <w:pgSz w:w="12240" w:h="15840"/>
          <w:pgMar w:header="0" w:footer="687" w:top="1380" w:bottom="940" w:left="1600" w:right="1580"/>
        </w:sectPr>
      </w:pPr>
    </w:p>
    <w:p>
      <w:pPr>
        <w:pStyle w:val="BodyText"/>
        <w:rPr>
          <w:sz w:val="20"/>
        </w:rPr>
      </w:pPr>
    </w:p>
    <w:p>
      <w:pPr>
        <w:pStyle w:val="BodyText"/>
        <w:spacing w:before="7"/>
        <w:rPr>
          <w:sz w:val="17"/>
        </w:rPr>
      </w:pPr>
    </w:p>
    <w:p>
      <w:pPr>
        <w:pStyle w:val="Heading3"/>
        <w:numPr>
          <w:ilvl w:val="1"/>
          <w:numId w:val="11"/>
        </w:numPr>
        <w:tabs>
          <w:tab w:pos="1302" w:val="left" w:leader="none"/>
        </w:tabs>
        <w:spacing w:line="240" w:lineRule="auto" w:before="78" w:after="0"/>
        <w:ind w:left="1301" w:right="0" w:hanging="453"/>
        <w:jc w:val="left"/>
      </w:pPr>
      <w:r>
        <w:rPr>
          <w:w w:val="105"/>
        </w:rPr>
        <w:t>Operacionalización de las</w:t>
      </w:r>
      <w:r>
        <w:rPr>
          <w:spacing w:val="-19"/>
          <w:w w:val="105"/>
        </w:rPr>
        <w:t> </w:t>
      </w:r>
      <w:r>
        <w:rPr>
          <w:w w:val="105"/>
        </w:rPr>
        <w:t>variables</w:t>
      </w:r>
    </w:p>
    <w:p>
      <w:pPr>
        <w:pStyle w:val="BodyText"/>
        <w:spacing w:before="1"/>
        <w:rPr>
          <w:b/>
          <w:sz w:val="29"/>
        </w:rPr>
      </w:pPr>
    </w:p>
    <w:tbl>
      <w:tblPr>
        <w:tblW w:w="0" w:type="auto"/>
        <w:jc w:val="left"/>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2"/>
        <w:gridCol w:w="2458"/>
        <w:gridCol w:w="2458"/>
        <w:gridCol w:w="2285"/>
      </w:tblGrid>
      <w:tr>
        <w:trPr>
          <w:trHeight w:val="1186" w:hRule="exact"/>
        </w:trPr>
        <w:tc>
          <w:tcPr>
            <w:tcW w:w="2342" w:type="dxa"/>
            <w:shd w:val="clear" w:color="auto" w:fill="262626"/>
          </w:tcPr>
          <w:p>
            <w:pPr>
              <w:pStyle w:val="TableParagraph"/>
              <w:ind w:left="102" w:right="99"/>
              <w:rPr>
                <w:sz w:val="21"/>
              </w:rPr>
            </w:pPr>
            <w:r>
              <w:rPr>
                <w:color w:val="FFFFFF"/>
                <w:w w:val="105"/>
                <w:sz w:val="21"/>
              </w:rPr>
              <w:t>VARIABLE</w:t>
            </w:r>
          </w:p>
        </w:tc>
        <w:tc>
          <w:tcPr>
            <w:tcW w:w="2458" w:type="dxa"/>
            <w:shd w:val="clear" w:color="auto" w:fill="262626"/>
          </w:tcPr>
          <w:p>
            <w:pPr>
              <w:pStyle w:val="TableParagraph"/>
              <w:ind w:left="580"/>
              <w:jc w:val="left"/>
              <w:rPr>
                <w:sz w:val="21"/>
              </w:rPr>
            </w:pPr>
            <w:r>
              <w:rPr>
                <w:color w:val="FFFFFF"/>
                <w:w w:val="105"/>
                <w:sz w:val="21"/>
              </w:rPr>
              <w:t>DEFINICION</w:t>
            </w:r>
          </w:p>
        </w:tc>
        <w:tc>
          <w:tcPr>
            <w:tcW w:w="2458" w:type="dxa"/>
            <w:shd w:val="clear" w:color="auto" w:fill="262626"/>
          </w:tcPr>
          <w:p>
            <w:pPr>
              <w:pStyle w:val="TableParagraph"/>
              <w:spacing w:line="578" w:lineRule="auto"/>
              <w:ind w:left="421" w:firstLine="159"/>
              <w:jc w:val="left"/>
              <w:rPr>
                <w:sz w:val="21"/>
              </w:rPr>
            </w:pPr>
            <w:r>
              <w:rPr>
                <w:color w:val="FFFFFF"/>
                <w:w w:val="105"/>
                <w:sz w:val="21"/>
              </w:rPr>
              <w:t>DEFINICION </w:t>
            </w:r>
            <w:r>
              <w:rPr>
                <w:color w:val="FFFFFF"/>
                <w:sz w:val="21"/>
              </w:rPr>
              <w:t>OPERACIONAL</w:t>
            </w:r>
          </w:p>
        </w:tc>
        <w:tc>
          <w:tcPr>
            <w:tcW w:w="2285" w:type="dxa"/>
            <w:shd w:val="clear" w:color="auto" w:fill="262626"/>
          </w:tcPr>
          <w:p>
            <w:pPr>
              <w:pStyle w:val="TableParagraph"/>
              <w:spacing w:line="372" w:lineRule="auto" w:before="9"/>
              <w:ind w:left="581" w:hanging="68"/>
              <w:jc w:val="left"/>
              <w:rPr>
                <w:sz w:val="21"/>
              </w:rPr>
            </w:pPr>
            <w:r>
              <w:rPr>
                <w:color w:val="FFFFFF"/>
                <w:w w:val="105"/>
                <w:sz w:val="21"/>
              </w:rPr>
              <w:t>ESCALA DE MEDICION</w:t>
            </w:r>
          </w:p>
        </w:tc>
      </w:tr>
      <w:tr>
        <w:trPr>
          <w:trHeight w:val="2131" w:hRule="exact"/>
        </w:trPr>
        <w:tc>
          <w:tcPr>
            <w:tcW w:w="2342" w:type="dxa"/>
          </w:tcPr>
          <w:p>
            <w:pPr>
              <w:pStyle w:val="TableParagraph"/>
              <w:spacing w:line="374" w:lineRule="auto" w:before="14"/>
              <w:ind w:left="102" w:right="92" w:hanging="1"/>
              <w:rPr>
                <w:sz w:val="21"/>
              </w:rPr>
            </w:pPr>
            <w:r>
              <w:rPr>
                <w:w w:val="105"/>
                <w:sz w:val="21"/>
              </w:rPr>
              <w:t>Pacientes </w:t>
            </w:r>
            <w:r>
              <w:rPr>
                <w:spacing w:val="2"/>
                <w:w w:val="105"/>
                <w:sz w:val="21"/>
              </w:rPr>
              <w:t>con </w:t>
            </w:r>
            <w:r>
              <w:rPr>
                <w:w w:val="105"/>
                <w:sz w:val="21"/>
              </w:rPr>
              <w:t>diagnóstico de</w:t>
            </w:r>
            <w:r>
              <w:rPr>
                <w:spacing w:val="-20"/>
                <w:w w:val="105"/>
                <w:sz w:val="21"/>
              </w:rPr>
              <w:t> </w:t>
            </w:r>
            <w:r>
              <w:rPr>
                <w:spacing w:val="2"/>
                <w:w w:val="105"/>
                <w:sz w:val="21"/>
              </w:rPr>
              <w:t>Tumor </w:t>
            </w:r>
            <w:r>
              <w:rPr>
                <w:w w:val="105"/>
                <w:sz w:val="21"/>
              </w:rPr>
              <w:t>de Cuerpo Carotideo del</w:t>
            </w:r>
            <w:r>
              <w:rPr>
                <w:spacing w:val="-7"/>
                <w:w w:val="105"/>
                <w:sz w:val="21"/>
              </w:rPr>
              <w:t> </w:t>
            </w:r>
            <w:r>
              <w:rPr>
                <w:w w:val="105"/>
                <w:sz w:val="21"/>
              </w:rPr>
              <w:t>2013-2016</w:t>
            </w:r>
          </w:p>
        </w:tc>
        <w:tc>
          <w:tcPr>
            <w:tcW w:w="2458" w:type="dxa"/>
          </w:tcPr>
          <w:p>
            <w:pPr>
              <w:pStyle w:val="TableParagraph"/>
              <w:spacing w:line="376" w:lineRule="auto" w:before="14"/>
              <w:ind w:left="83" w:right="77"/>
              <w:rPr>
                <w:sz w:val="21"/>
              </w:rPr>
            </w:pPr>
            <w:r>
              <w:rPr>
                <w:w w:val="105"/>
                <w:sz w:val="21"/>
              </w:rPr>
              <w:t>Total de pacientes que presentaron la patología en 3 año en el Centro Medico ISSEMYM</w:t>
            </w:r>
          </w:p>
        </w:tc>
        <w:tc>
          <w:tcPr>
            <w:tcW w:w="2458" w:type="dxa"/>
          </w:tcPr>
          <w:p>
            <w:pPr>
              <w:pStyle w:val="TableParagraph"/>
              <w:spacing w:before="9"/>
              <w:ind w:left="77" w:right="77"/>
              <w:rPr>
                <w:sz w:val="21"/>
              </w:rPr>
            </w:pPr>
            <w:r>
              <w:rPr>
                <w:w w:val="105"/>
                <w:sz w:val="21"/>
              </w:rPr>
              <w:t>CUANTITATIVA</w:t>
            </w:r>
          </w:p>
        </w:tc>
        <w:tc>
          <w:tcPr>
            <w:tcW w:w="2285" w:type="dxa"/>
          </w:tcPr>
          <w:p>
            <w:pPr>
              <w:pStyle w:val="TableParagraph"/>
              <w:spacing w:before="9"/>
              <w:ind w:left="350" w:right="343"/>
              <w:rPr>
                <w:sz w:val="21"/>
              </w:rPr>
            </w:pPr>
            <w:r>
              <w:rPr>
                <w:w w:val="105"/>
                <w:sz w:val="21"/>
              </w:rPr>
              <w:t>DISCONTINUA</w:t>
            </w:r>
          </w:p>
        </w:tc>
      </w:tr>
      <w:tr>
        <w:trPr>
          <w:trHeight w:val="3264" w:hRule="exact"/>
        </w:trPr>
        <w:tc>
          <w:tcPr>
            <w:tcW w:w="2342" w:type="dxa"/>
          </w:tcPr>
          <w:p>
            <w:pPr>
              <w:pStyle w:val="TableParagraph"/>
              <w:ind w:left="102" w:right="98"/>
              <w:rPr>
                <w:sz w:val="21"/>
              </w:rPr>
            </w:pPr>
            <w:r>
              <w:rPr>
                <w:w w:val="105"/>
                <w:sz w:val="21"/>
              </w:rPr>
              <w:t>Genero</w:t>
            </w:r>
          </w:p>
        </w:tc>
        <w:tc>
          <w:tcPr>
            <w:tcW w:w="2458" w:type="dxa"/>
          </w:tcPr>
          <w:p>
            <w:pPr>
              <w:pStyle w:val="TableParagraph"/>
              <w:spacing w:line="376" w:lineRule="auto" w:before="9"/>
              <w:ind w:left="103" w:right="97" w:hanging="3"/>
              <w:rPr>
                <w:sz w:val="21"/>
              </w:rPr>
            </w:pPr>
            <w:r>
              <w:rPr>
                <w:w w:val="105"/>
                <w:sz w:val="21"/>
              </w:rPr>
              <w:t>Número de pacientes hombres y mujeres que presentaron</w:t>
            </w:r>
            <w:r>
              <w:rPr>
                <w:spacing w:val="-10"/>
                <w:w w:val="105"/>
                <w:sz w:val="21"/>
              </w:rPr>
              <w:t> </w:t>
            </w:r>
            <w:r>
              <w:rPr>
                <w:w w:val="105"/>
                <w:sz w:val="21"/>
              </w:rPr>
              <w:t>tumor de cuerpo carotideo en el centro medico ISSEMYM Toluca entre el año 2013- 2016</w:t>
            </w:r>
          </w:p>
        </w:tc>
        <w:tc>
          <w:tcPr>
            <w:tcW w:w="2458" w:type="dxa"/>
          </w:tcPr>
          <w:p>
            <w:pPr>
              <w:pStyle w:val="TableParagraph"/>
              <w:ind w:left="77" w:right="77"/>
              <w:rPr>
                <w:sz w:val="21"/>
              </w:rPr>
            </w:pPr>
            <w:r>
              <w:rPr>
                <w:color w:val="1C1C1C"/>
                <w:w w:val="105"/>
                <w:sz w:val="21"/>
              </w:rPr>
              <w:t>CUALITATIVA</w:t>
            </w:r>
          </w:p>
        </w:tc>
        <w:tc>
          <w:tcPr>
            <w:tcW w:w="2285" w:type="dxa"/>
          </w:tcPr>
          <w:p>
            <w:pPr>
              <w:pStyle w:val="TableParagraph"/>
              <w:ind w:left="348" w:right="344"/>
              <w:rPr>
                <w:sz w:val="21"/>
              </w:rPr>
            </w:pPr>
            <w:r>
              <w:rPr>
                <w:w w:val="105"/>
                <w:sz w:val="21"/>
              </w:rPr>
              <w:t>NOMINAL</w:t>
            </w:r>
          </w:p>
        </w:tc>
      </w:tr>
      <w:tr>
        <w:trPr>
          <w:trHeight w:val="1747" w:hRule="exact"/>
        </w:trPr>
        <w:tc>
          <w:tcPr>
            <w:tcW w:w="2342" w:type="dxa"/>
          </w:tcPr>
          <w:p>
            <w:pPr>
              <w:pStyle w:val="TableParagraph"/>
              <w:ind w:left="102" w:right="99"/>
              <w:rPr>
                <w:sz w:val="21"/>
              </w:rPr>
            </w:pPr>
            <w:r>
              <w:rPr>
                <w:w w:val="105"/>
                <w:sz w:val="21"/>
              </w:rPr>
              <w:t>Ocupación</w:t>
            </w:r>
          </w:p>
        </w:tc>
        <w:tc>
          <w:tcPr>
            <w:tcW w:w="2458" w:type="dxa"/>
          </w:tcPr>
          <w:p>
            <w:pPr>
              <w:pStyle w:val="TableParagraph"/>
              <w:spacing w:line="374" w:lineRule="auto" w:before="9"/>
              <w:ind w:left="139" w:right="136" w:hanging="1"/>
              <w:rPr>
                <w:sz w:val="21"/>
              </w:rPr>
            </w:pPr>
            <w:r>
              <w:rPr>
                <w:w w:val="105"/>
                <w:sz w:val="21"/>
              </w:rPr>
              <w:t>Factor de riesgo laboral para</w:t>
            </w:r>
            <w:r>
              <w:rPr>
                <w:spacing w:val="-12"/>
                <w:w w:val="105"/>
                <w:sz w:val="21"/>
              </w:rPr>
              <w:t> </w:t>
            </w:r>
            <w:r>
              <w:rPr>
                <w:w w:val="105"/>
                <w:sz w:val="21"/>
              </w:rPr>
              <w:t>presentar tumor de cuerpo carotideo.</w:t>
            </w:r>
          </w:p>
        </w:tc>
        <w:tc>
          <w:tcPr>
            <w:tcW w:w="2458" w:type="dxa"/>
          </w:tcPr>
          <w:p>
            <w:pPr>
              <w:pStyle w:val="TableParagraph"/>
              <w:ind w:left="77" w:right="77"/>
              <w:rPr>
                <w:sz w:val="21"/>
              </w:rPr>
            </w:pPr>
            <w:r>
              <w:rPr>
                <w:color w:val="1C1C1C"/>
                <w:w w:val="105"/>
                <w:sz w:val="21"/>
              </w:rPr>
              <w:t>CUALITATIVA</w:t>
            </w:r>
          </w:p>
        </w:tc>
        <w:tc>
          <w:tcPr>
            <w:tcW w:w="2285" w:type="dxa"/>
          </w:tcPr>
          <w:p>
            <w:pPr>
              <w:pStyle w:val="TableParagraph"/>
              <w:ind w:left="348" w:right="344"/>
              <w:rPr>
                <w:sz w:val="21"/>
              </w:rPr>
            </w:pPr>
            <w:r>
              <w:rPr>
                <w:w w:val="105"/>
                <w:sz w:val="21"/>
              </w:rPr>
              <w:t>NOMINAL</w:t>
            </w:r>
          </w:p>
        </w:tc>
      </w:tr>
      <w:tr>
        <w:trPr>
          <w:trHeight w:val="1747" w:hRule="exact"/>
        </w:trPr>
        <w:tc>
          <w:tcPr>
            <w:tcW w:w="2342" w:type="dxa"/>
          </w:tcPr>
          <w:p>
            <w:pPr>
              <w:pStyle w:val="TableParagraph"/>
              <w:ind w:left="102" w:right="97"/>
              <w:rPr>
                <w:sz w:val="21"/>
              </w:rPr>
            </w:pPr>
            <w:r>
              <w:rPr>
                <w:w w:val="105"/>
                <w:sz w:val="21"/>
              </w:rPr>
              <w:t>Síntoma Principal</w:t>
            </w:r>
          </w:p>
        </w:tc>
        <w:tc>
          <w:tcPr>
            <w:tcW w:w="2458" w:type="dxa"/>
          </w:tcPr>
          <w:p>
            <w:pPr>
              <w:pStyle w:val="TableParagraph"/>
              <w:spacing w:line="374" w:lineRule="auto" w:before="9"/>
              <w:ind w:left="173" w:right="170"/>
              <w:rPr>
                <w:sz w:val="21"/>
              </w:rPr>
            </w:pPr>
            <w:r>
              <w:rPr>
                <w:w w:val="105"/>
                <w:sz w:val="21"/>
              </w:rPr>
              <w:t>Principal manifestación clínica que presenta el paciente</w:t>
            </w:r>
          </w:p>
        </w:tc>
        <w:tc>
          <w:tcPr>
            <w:tcW w:w="2458" w:type="dxa"/>
          </w:tcPr>
          <w:p>
            <w:pPr>
              <w:pStyle w:val="TableParagraph"/>
              <w:ind w:left="77" w:right="77"/>
              <w:rPr>
                <w:sz w:val="21"/>
              </w:rPr>
            </w:pPr>
            <w:r>
              <w:rPr>
                <w:w w:val="105"/>
                <w:sz w:val="21"/>
              </w:rPr>
              <w:t>CUALITATIVA</w:t>
            </w:r>
          </w:p>
        </w:tc>
        <w:tc>
          <w:tcPr>
            <w:tcW w:w="2285" w:type="dxa"/>
          </w:tcPr>
          <w:p>
            <w:pPr>
              <w:pStyle w:val="TableParagraph"/>
              <w:ind w:left="348" w:right="344"/>
              <w:rPr>
                <w:sz w:val="21"/>
              </w:rPr>
            </w:pPr>
            <w:r>
              <w:rPr>
                <w:w w:val="105"/>
                <w:sz w:val="21"/>
              </w:rPr>
              <w:t>ORDINAL</w:t>
            </w:r>
          </w:p>
        </w:tc>
      </w:tr>
      <w:tr>
        <w:trPr>
          <w:trHeight w:val="1181" w:hRule="exact"/>
        </w:trPr>
        <w:tc>
          <w:tcPr>
            <w:tcW w:w="2342" w:type="dxa"/>
          </w:tcPr>
          <w:p>
            <w:pPr>
              <w:pStyle w:val="TableParagraph"/>
              <w:ind w:left="102" w:right="99"/>
              <w:rPr>
                <w:sz w:val="21"/>
              </w:rPr>
            </w:pPr>
            <w:r>
              <w:rPr>
                <w:w w:val="105"/>
                <w:sz w:val="21"/>
              </w:rPr>
              <w:t>Tiempo de Evolución</w:t>
            </w:r>
          </w:p>
        </w:tc>
        <w:tc>
          <w:tcPr>
            <w:tcW w:w="2458" w:type="dxa"/>
          </w:tcPr>
          <w:p>
            <w:pPr>
              <w:pStyle w:val="TableParagraph"/>
              <w:spacing w:line="379" w:lineRule="auto" w:before="9"/>
              <w:ind w:left="81" w:right="77"/>
              <w:rPr>
                <w:sz w:val="21"/>
              </w:rPr>
            </w:pPr>
            <w:r>
              <w:rPr>
                <w:w w:val="105"/>
                <w:sz w:val="21"/>
              </w:rPr>
              <w:t>Se mide desde que el paciente detecta los síntomas hasta su</w:t>
            </w:r>
          </w:p>
        </w:tc>
        <w:tc>
          <w:tcPr>
            <w:tcW w:w="2458" w:type="dxa"/>
          </w:tcPr>
          <w:p>
            <w:pPr>
              <w:pStyle w:val="TableParagraph"/>
              <w:ind w:left="77" w:right="77"/>
              <w:rPr>
                <w:sz w:val="21"/>
              </w:rPr>
            </w:pPr>
            <w:r>
              <w:rPr>
                <w:w w:val="105"/>
                <w:sz w:val="21"/>
              </w:rPr>
              <w:t>CUANTITATIVA</w:t>
            </w:r>
          </w:p>
        </w:tc>
        <w:tc>
          <w:tcPr>
            <w:tcW w:w="2285" w:type="dxa"/>
          </w:tcPr>
          <w:p>
            <w:pPr>
              <w:pStyle w:val="TableParagraph"/>
              <w:ind w:left="350" w:right="343"/>
              <w:rPr>
                <w:sz w:val="21"/>
              </w:rPr>
            </w:pPr>
            <w:r>
              <w:rPr>
                <w:w w:val="105"/>
                <w:sz w:val="21"/>
              </w:rPr>
              <w:t>DISCONTINUA</w:t>
            </w:r>
          </w:p>
        </w:tc>
      </w:tr>
    </w:tbl>
    <w:p>
      <w:pPr>
        <w:spacing w:after="0"/>
        <w:rPr>
          <w:sz w:val="21"/>
        </w:rPr>
        <w:sectPr>
          <w:pgSz w:w="12240" w:h="15840"/>
          <w:pgMar w:header="0" w:footer="687" w:top="1500" w:bottom="940" w:left="1580" w:right="860"/>
        </w:sectPr>
      </w:pPr>
    </w:p>
    <w:tbl>
      <w:tblPr>
        <w:tblW w:w="0" w:type="auto"/>
        <w:jc w:val="left"/>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2"/>
        <w:gridCol w:w="2458"/>
        <w:gridCol w:w="2458"/>
        <w:gridCol w:w="2285"/>
      </w:tblGrid>
      <w:tr>
        <w:trPr>
          <w:trHeight w:val="1181" w:hRule="exact"/>
        </w:trPr>
        <w:tc>
          <w:tcPr>
            <w:tcW w:w="2342" w:type="dxa"/>
          </w:tcPr>
          <w:p>
            <w:pPr/>
          </w:p>
        </w:tc>
        <w:tc>
          <w:tcPr>
            <w:tcW w:w="2458" w:type="dxa"/>
          </w:tcPr>
          <w:p>
            <w:pPr>
              <w:pStyle w:val="TableParagraph"/>
              <w:spacing w:line="376" w:lineRule="auto" w:before="9"/>
              <w:ind w:left="806" w:hanging="667"/>
              <w:jc w:val="left"/>
              <w:rPr>
                <w:sz w:val="21"/>
              </w:rPr>
            </w:pPr>
            <w:r>
              <w:rPr>
                <w:w w:val="105"/>
                <w:sz w:val="21"/>
              </w:rPr>
              <w:t>llegada a los servicios médicos</w:t>
            </w:r>
          </w:p>
        </w:tc>
        <w:tc>
          <w:tcPr>
            <w:tcW w:w="2458" w:type="dxa"/>
          </w:tcPr>
          <w:p>
            <w:pPr/>
          </w:p>
        </w:tc>
        <w:tc>
          <w:tcPr>
            <w:tcW w:w="2285" w:type="dxa"/>
          </w:tcPr>
          <w:p>
            <w:pPr/>
          </w:p>
        </w:tc>
      </w:tr>
      <w:tr>
        <w:trPr>
          <w:trHeight w:val="1747" w:hRule="exact"/>
        </w:trPr>
        <w:tc>
          <w:tcPr>
            <w:tcW w:w="2342" w:type="dxa"/>
          </w:tcPr>
          <w:p>
            <w:pPr>
              <w:pStyle w:val="TableParagraph"/>
              <w:spacing w:line="374" w:lineRule="auto" w:before="14"/>
              <w:ind w:left="93" w:right="88"/>
              <w:rPr>
                <w:sz w:val="21"/>
              </w:rPr>
            </w:pPr>
            <w:r>
              <w:rPr>
                <w:w w:val="105"/>
                <w:sz w:val="21"/>
              </w:rPr>
              <w:t>Ubicación del tumor a nivel cervical (derecha e izquierda)</w:t>
            </w:r>
          </w:p>
        </w:tc>
        <w:tc>
          <w:tcPr>
            <w:tcW w:w="2458" w:type="dxa"/>
          </w:tcPr>
          <w:p>
            <w:pPr>
              <w:pStyle w:val="TableParagraph"/>
              <w:spacing w:line="374" w:lineRule="auto" w:before="14"/>
              <w:ind w:left="213" w:right="209" w:hanging="1"/>
              <w:rPr>
                <w:sz w:val="21"/>
              </w:rPr>
            </w:pPr>
            <w:r>
              <w:rPr>
                <w:w w:val="105"/>
                <w:sz w:val="21"/>
              </w:rPr>
              <w:t>Determina la identificación del tumor en izquierdo</w:t>
            </w:r>
            <w:r>
              <w:rPr>
                <w:spacing w:val="-12"/>
                <w:w w:val="105"/>
                <w:sz w:val="21"/>
              </w:rPr>
              <w:t> </w:t>
            </w:r>
            <w:r>
              <w:rPr>
                <w:w w:val="105"/>
                <w:sz w:val="21"/>
              </w:rPr>
              <w:t>o derecho</w:t>
            </w:r>
          </w:p>
        </w:tc>
        <w:tc>
          <w:tcPr>
            <w:tcW w:w="2458" w:type="dxa"/>
          </w:tcPr>
          <w:p>
            <w:pPr>
              <w:pStyle w:val="TableParagraph"/>
              <w:spacing w:before="9"/>
              <w:ind w:left="77" w:right="77"/>
              <w:rPr>
                <w:sz w:val="21"/>
              </w:rPr>
            </w:pPr>
            <w:r>
              <w:rPr>
                <w:w w:val="105"/>
                <w:sz w:val="21"/>
              </w:rPr>
              <w:t>CUANTITATIVA</w:t>
            </w:r>
          </w:p>
        </w:tc>
        <w:tc>
          <w:tcPr>
            <w:tcW w:w="2285" w:type="dxa"/>
          </w:tcPr>
          <w:p>
            <w:pPr>
              <w:pStyle w:val="TableParagraph"/>
              <w:spacing w:before="9"/>
              <w:ind w:left="350" w:right="343"/>
              <w:rPr>
                <w:sz w:val="21"/>
              </w:rPr>
            </w:pPr>
            <w:r>
              <w:rPr>
                <w:w w:val="105"/>
                <w:sz w:val="21"/>
              </w:rPr>
              <w:t>DISCONTINUA</w:t>
            </w:r>
          </w:p>
        </w:tc>
      </w:tr>
      <w:tr>
        <w:trPr>
          <w:trHeight w:val="2131" w:hRule="exact"/>
        </w:trPr>
        <w:tc>
          <w:tcPr>
            <w:tcW w:w="2342" w:type="dxa"/>
          </w:tcPr>
          <w:p>
            <w:pPr>
              <w:pStyle w:val="TableParagraph"/>
              <w:spacing w:line="372" w:lineRule="auto" w:before="14"/>
              <w:ind w:left="450" w:hanging="7"/>
              <w:jc w:val="left"/>
              <w:rPr>
                <w:sz w:val="21"/>
              </w:rPr>
            </w:pPr>
            <w:r>
              <w:rPr>
                <w:sz w:val="21"/>
              </w:rPr>
              <w:t>Enfermedades concomitantes</w:t>
            </w:r>
          </w:p>
        </w:tc>
        <w:tc>
          <w:tcPr>
            <w:tcW w:w="2458" w:type="dxa"/>
          </w:tcPr>
          <w:p>
            <w:pPr>
              <w:pStyle w:val="TableParagraph"/>
              <w:spacing w:line="376" w:lineRule="auto" w:before="14"/>
              <w:ind w:left="152" w:right="148" w:firstLine="2"/>
              <w:rPr>
                <w:sz w:val="21"/>
              </w:rPr>
            </w:pPr>
            <w:r>
              <w:rPr>
                <w:w w:val="105"/>
                <w:sz w:val="21"/>
              </w:rPr>
              <w:t>Identificar enfermedades relacionadas con la tumoración de</w:t>
            </w:r>
            <w:r>
              <w:rPr>
                <w:spacing w:val="-13"/>
                <w:w w:val="105"/>
                <w:sz w:val="21"/>
              </w:rPr>
              <w:t> </w:t>
            </w:r>
            <w:r>
              <w:rPr>
                <w:w w:val="105"/>
                <w:sz w:val="21"/>
              </w:rPr>
              <w:t>cuerpo carotideo.</w:t>
            </w:r>
          </w:p>
        </w:tc>
        <w:tc>
          <w:tcPr>
            <w:tcW w:w="2458" w:type="dxa"/>
          </w:tcPr>
          <w:p>
            <w:pPr>
              <w:pStyle w:val="TableParagraph"/>
              <w:spacing w:before="9"/>
              <w:ind w:left="77" w:right="77"/>
              <w:rPr>
                <w:sz w:val="21"/>
              </w:rPr>
            </w:pPr>
            <w:r>
              <w:rPr>
                <w:color w:val="343434"/>
                <w:w w:val="105"/>
                <w:sz w:val="21"/>
              </w:rPr>
              <w:t>CUALITATIVAS</w:t>
            </w:r>
          </w:p>
        </w:tc>
        <w:tc>
          <w:tcPr>
            <w:tcW w:w="2285" w:type="dxa"/>
          </w:tcPr>
          <w:p>
            <w:pPr>
              <w:pStyle w:val="TableParagraph"/>
              <w:spacing w:before="9"/>
              <w:ind w:left="348" w:right="344"/>
              <w:rPr>
                <w:sz w:val="21"/>
              </w:rPr>
            </w:pPr>
            <w:r>
              <w:rPr>
                <w:w w:val="105"/>
                <w:sz w:val="21"/>
              </w:rPr>
              <w:t>ORDINAL</w:t>
            </w:r>
          </w:p>
        </w:tc>
      </w:tr>
      <w:tr>
        <w:trPr>
          <w:trHeight w:val="1368" w:hRule="exact"/>
        </w:trPr>
        <w:tc>
          <w:tcPr>
            <w:tcW w:w="2342" w:type="dxa"/>
          </w:tcPr>
          <w:p>
            <w:pPr>
              <w:pStyle w:val="TableParagraph"/>
              <w:ind w:left="206"/>
              <w:jc w:val="left"/>
              <w:rPr>
                <w:sz w:val="21"/>
              </w:rPr>
            </w:pPr>
            <w:r>
              <w:rPr>
                <w:w w:val="105"/>
                <w:sz w:val="21"/>
              </w:rPr>
              <w:t>Método diagnostico</w:t>
            </w:r>
          </w:p>
        </w:tc>
        <w:tc>
          <w:tcPr>
            <w:tcW w:w="2458" w:type="dxa"/>
          </w:tcPr>
          <w:p>
            <w:pPr>
              <w:pStyle w:val="TableParagraph"/>
              <w:spacing w:line="374" w:lineRule="auto" w:before="9"/>
              <w:ind w:left="121" w:right="116" w:hanging="3"/>
              <w:rPr>
                <w:sz w:val="21"/>
              </w:rPr>
            </w:pPr>
            <w:r>
              <w:rPr>
                <w:w w:val="105"/>
                <w:sz w:val="21"/>
              </w:rPr>
              <w:t>Ayuda a corroborar la presencia de tumor</w:t>
            </w:r>
            <w:r>
              <w:rPr>
                <w:spacing w:val="-11"/>
                <w:w w:val="105"/>
                <w:sz w:val="21"/>
              </w:rPr>
              <w:t> </w:t>
            </w:r>
            <w:r>
              <w:rPr>
                <w:w w:val="105"/>
                <w:sz w:val="21"/>
              </w:rPr>
              <w:t>de cuerpo</w:t>
            </w:r>
            <w:r>
              <w:rPr>
                <w:spacing w:val="-9"/>
                <w:w w:val="105"/>
                <w:sz w:val="21"/>
              </w:rPr>
              <w:t> </w:t>
            </w:r>
            <w:r>
              <w:rPr>
                <w:w w:val="105"/>
                <w:sz w:val="21"/>
              </w:rPr>
              <w:t>carotideo.</w:t>
            </w:r>
          </w:p>
        </w:tc>
        <w:tc>
          <w:tcPr>
            <w:tcW w:w="2458" w:type="dxa"/>
          </w:tcPr>
          <w:p>
            <w:pPr>
              <w:pStyle w:val="TableParagraph"/>
              <w:ind w:left="77" w:right="77"/>
              <w:rPr>
                <w:sz w:val="21"/>
              </w:rPr>
            </w:pPr>
            <w:r>
              <w:rPr>
                <w:w w:val="105"/>
                <w:sz w:val="21"/>
              </w:rPr>
              <w:t>CUANTITATIVA</w:t>
            </w:r>
          </w:p>
        </w:tc>
        <w:tc>
          <w:tcPr>
            <w:tcW w:w="2285" w:type="dxa"/>
          </w:tcPr>
          <w:p>
            <w:pPr>
              <w:pStyle w:val="TableParagraph"/>
              <w:ind w:left="350" w:right="343"/>
              <w:rPr>
                <w:sz w:val="21"/>
              </w:rPr>
            </w:pPr>
            <w:r>
              <w:rPr>
                <w:w w:val="105"/>
                <w:sz w:val="21"/>
              </w:rPr>
              <w:t>CONTINUA</w:t>
            </w:r>
          </w:p>
        </w:tc>
      </w:tr>
      <w:tr>
        <w:trPr>
          <w:trHeight w:val="1747" w:hRule="exact"/>
        </w:trPr>
        <w:tc>
          <w:tcPr>
            <w:tcW w:w="2342" w:type="dxa"/>
          </w:tcPr>
          <w:p>
            <w:pPr>
              <w:pStyle w:val="TableParagraph"/>
              <w:spacing w:line="372" w:lineRule="auto" w:before="9"/>
              <w:ind w:left="676" w:hanging="343"/>
              <w:jc w:val="left"/>
              <w:rPr>
                <w:sz w:val="21"/>
              </w:rPr>
            </w:pPr>
            <w:r>
              <w:rPr>
                <w:w w:val="105"/>
                <w:sz w:val="21"/>
              </w:rPr>
              <w:t>Tipo de abordaje quirúrgico</w:t>
            </w:r>
          </w:p>
        </w:tc>
        <w:tc>
          <w:tcPr>
            <w:tcW w:w="2458" w:type="dxa"/>
          </w:tcPr>
          <w:p>
            <w:pPr>
              <w:pStyle w:val="TableParagraph"/>
              <w:spacing w:line="374" w:lineRule="auto" w:before="9"/>
              <w:ind w:left="80" w:right="77"/>
              <w:rPr>
                <w:sz w:val="21"/>
              </w:rPr>
            </w:pPr>
            <w:r>
              <w:rPr>
                <w:w w:val="105"/>
                <w:sz w:val="21"/>
              </w:rPr>
              <w:t>Determina la mejor opción quirúrgica para la resección de tumor de cuerpo carotideo</w:t>
            </w:r>
          </w:p>
        </w:tc>
        <w:tc>
          <w:tcPr>
            <w:tcW w:w="2458" w:type="dxa"/>
          </w:tcPr>
          <w:p>
            <w:pPr>
              <w:pStyle w:val="TableParagraph"/>
              <w:ind w:left="77" w:right="77"/>
              <w:rPr>
                <w:sz w:val="21"/>
              </w:rPr>
            </w:pPr>
            <w:r>
              <w:rPr>
                <w:w w:val="105"/>
                <w:sz w:val="21"/>
              </w:rPr>
              <w:t>CUANTITATIVA</w:t>
            </w:r>
          </w:p>
        </w:tc>
        <w:tc>
          <w:tcPr>
            <w:tcW w:w="2285" w:type="dxa"/>
          </w:tcPr>
          <w:p>
            <w:pPr>
              <w:pStyle w:val="TableParagraph"/>
              <w:ind w:left="350" w:right="343"/>
              <w:rPr>
                <w:sz w:val="21"/>
              </w:rPr>
            </w:pPr>
            <w:r>
              <w:rPr>
                <w:w w:val="105"/>
                <w:sz w:val="21"/>
              </w:rPr>
              <w:t>DISCONTINUA</w:t>
            </w:r>
          </w:p>
        </w:tc>
      </w:tr>
      <w:tr>
        <w:trPr>
          <w:trHeight w:val="1181" w:hRule="exact"/>
        </w:trPr>
        <w:tc>
          <w:tcPr>
            <w:tcW w:w="2342" w:type="dxa"/>
          </w:tcPr>
          <w:p>
            <w:pPr>
              <w:pStyle w:val="TableParagraph"/>
              <w:spacing w:line="372" w:lineRule="auto" w:before="9"/>
              <w:ind w:left="878" w:hanging="765"/>
              <w:jc w:val="left"/>
              <w:rPr>
                <w:sz w:val="21"/>
              </w:rPr>
            </w:pPr>
            <w:r>
              <w:rPr>
                <w:w w:val="105"/>
                <w:sz w:val="21"/>
              </w:rPr>
              <w:t>Tamaño promedio de tumor</w:t>
            </w:r>
          </w:p>
        </w:tc>
        <w:tc>
          <w:tcPr>
            <w:tcW w:w="2458" w:type="dxa"/>
          </w:tcPr>
          <w:p>
            <w:pPr>
              <w:pStyle w:val="TableParagraph"/>
              <w:spacing w:line="372" w:lineRule="auto" w:before="9"/>
              <w:ind w:left="708" w:hanging="606"/>
              <w:jc w:val="left"/>
              <w:rPr>
                <w:sz w:val="21"/>
              </w:rPr>
            </w:pPr>
            <w:r>
              <w:rPr>
                <w:w w:val="105"/>
                <w:sz w:val="21"/>
              </w:rPr>
              <w:t>Comparación de mejor pronostico</w:t>
            </w:r>
          </w:p>
        </w:tc>
        <w:tc>
          <w:tcPr>
            <w:tcW w:w="2458" w:type="dxa"/>
          </w:tcPr>
          <w:p>
            <w:pPr>
              <w:pStyle w:val="TableParagraph"/>
              <w:ind w:left="77" w:right="77"/>
              <w:rPr>
                <w:sz w:val="21"/>
              </w:rPr>
            </w:pPr>
            <w:r>
              <w:rPr>
                <w:w w:val="105"/>
                <w:sz w:val="21"/>
              </w:rPr>
              <w:t>CUANTITATIVA</w:t>
            </w:r>
          </w:p>
        </w:tc>
        <w:tc>
          <w:tcPr>
            <w:tcW w:w="2285" w:type="dxa"/>
          </w:tcPr>
          <w:p>
            <w:pPr>
              <w:pStyle w:val="TableParagraph"/>
              <w:ind w:left="350" w:right="343"/>
              <w:rPr>
                <w:sz w:val="21"/>
              </w:rPr>
            </w:pPr>
            <w:r>
              <w:rPr>
                <w:w w:val="105"/>
                <w:sz w:val="21"/>
              </w:rPr>
              <w:t>CONTINUA</w:t>
            </w:r>
          </w:p>
        </w:tc>
      </w:tr>
      <w:tr>
        <w:trPr>
          <w:trHeight w:val="2885" w:hRule="exact"/>
        </w:trPr>
        <w:tc>
          <w:tcPr>
            <w:tcW w:w="2342" w:type="dxa"/>
          </w:tcPr>
          <w:p>
            <w:pPr>
              <w:pStyle w:val="TableParagraph"/>
              <w:spacing w:line="376" w:lineRule="auto" w:before="9"/>
              <w:ind w:left="120" w:right="115" w:hanging="1"/>
              <w:rPr>
                <w:sz w:val="21"/>
              </w:rPr>
            </w:pPr>
            <w:r>
              <w:rPr>
                <w:w w:val="105"/>
                <w:sz w:val="21"/>
              </w:rPr>
              <w:t>Clasificación quirúrgica</w:t>
            </w:r>
            <w:r>
              <w:rPr>
                <w:spacing w:val="-14"/>
                <w:w w:val="105"/>
                <w:sz w:val="21"/>
              </w:rPr>
              <w:t> </w:t>
            </w:r>
            <w:r>
              <w:rPr>
                <w:w w:val="105"/>
                <w:sz w:val="21"/>
              </w:rPr>
              <w:t>descriptiva para los tumores de cuerpo carotídeo según Shamblim, de la Clínica</w:t>
            </w:r>
            <w:r>
              <w:rPr>
                <w:spacing w:val="-11"/>
                <w:w w:val="105"/>
                <w:sz w:val="21"/>
              </w:rPr>
              <w:t> </w:t>
            </w:r>
            <w:r>
              <w:rPr>
                <w:w w:val="105"/>
                <w:sz w:val="21"/>
              </w:rPr>
              <w:t>Mayo</w:t>
            </w:r>
          </w:p>
        </w:tc>
        <w:tc>
          <w:tcPr>
            <w:tcW w:w="2458" w:type="dxa"/>
          </w:tcPr>
          <w:p>
            <w:pPr>
              <w:pStyle w:val="TableParagraph"/>
              <w:spacing w:line="376" w:lineRule="auto" w:before="9"/>
              <w:ind w:left="109" w:right="106" w:hanging="1"/>
              <w:rPr>
                <w:sz w:val="21"/>
              </w:rPr>
            </w:pPr>
            <w:r>
              <w:rPr>
                <w:w w:val="105"/>
                <w:sz w:val="21"/>
              </w:rPr>
              <w:t>Asignación de riesgo quirúrgico y planeación de la intervención</w:t>
            </w:r>
            <w:r>
              <w:rPr>
                <w:spacing w:val="-13"/>
                <w:w w:val="105"/>
                <w:sz w:val="21"/>
              </w:rPr>
              <w:t> </w:t>
            </w:r>
            <w:r>
              <w:rPr>
                <w:w w:val="105"/>
                <w:sz w:val="21"/>
              </w:rPr>
              <w:t>quirúrgica para resección </w:t>
            </w:r>
            <w:r>
              <w:rPr>
                <w:spacing w:val="2"/>
                <w:w w:val="105"/>
                <w:sz w:val="21"/>
              </w:rPr>
              <w:t>del </w:t>
            </w:r>
            <w:r>
              <w:rPr>
                <w:w w:val="105"/>
                <w:sz w:val="21"/>
              </w:rPr>
              <w:t>tumor de cuerpo carotideo.</w:t>
            </w:r>
          </w:p>
        </w:tc>
        <w:tc>
          <w:tcPr>
            <w:tcW w:w="2458" w:type="dxa"/>
          </w:tcPr>
          <w:p>
            <w:pPr>
              <w:pStyle w:val="TableParagraph"/>
              <w:ind w:left="77" w:right="77"/>
              <w:rPr>
                <w:sz w:val="21"/>
              </w:rPr>
            </w:pPr>
            <w:r>
              <w:rPr>
                <w:color w:val="1C1C1C"/>
                <w:w w:val="105"/>
                <w:sz w:val="21"/>
              </w:rPr>
              <w:t>CUANTITATIVA</w:t>
            </w:r>
          </w:p>
        </w:tc>
        <w:tc>
          <w:tcPr>
            <w:tcW w:w="2285" w:type="dxa"/>
          </w:tcPr>
          <w:p>
            <w:pPr>
              <w:pStyle w:val="TableParagraph"/>
              <w:ind w:left="350" w:right="343"/>
              <w:rPr>
                <w:sz w:val="21"/>
              </w:rPr>
            </w:pPr>
            <w:r>
              <w:rPr>
                <w:w w:val="105"/>
                <w:sz w:val="21"/>
              </w:rPr>
              <w:t>CONTINUA</w:t>
            </w:r>
          </w:p>
        </w:tc>
      </w:tr>
    </w:tbl>
    <w:p>
      <w:pPr>
        <w:spacing w:after="0"/>
        <w:rPr>
          <w:sz w:val="21"/>
        </w:rPr>
        <w:sectPr>
          <w:pgSz w:w="12240" w:h="15840"/>
          <w:pgMar w:header="0" w:footer="687" w:top="1420" w:bottom="880" w:left="1580" w:right="860"/>
        </w:sectPr>
      </w:pPr>
    </w:p>
    <w:tbl>
      <w:tblPr>
        <w:tblW w:w="0" w:type="auto"/>
        <w:jc w:val="left"/>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2"/>
        <w:gridCol w:w="2458"/>
        <w:gridCol w:w="2458"/>
        <w:gridCol w:w="2285"/>
      </w:tblGrid>
      <w:tr>
        <w:trPr>
          <w:trHeight w:val="343" w:hRule="exact"/>
        </w:trPr>
        <w:tc>
          <w:tcPr>
            <w:tcW w:w="2342" w:type="dxa"/>
            <w:tcBorders>
              <w:bottom w:val="nil"/>
            </w:tcBorders>
          </w:tcPr>
          <w:p>
            <w:pPr>
              <w:pStyle w:val="TableParagraph"/>
              <w:spacing w:before="9"/>
              <w:ind w:left="102" w:right="99"/>
              <w:rPr>
                <w:sz w:val="21"/>
              </w:rPr>
            </w:pPr>
            <w:r>
              <w:rPr>
                <w:w w:val="105"/>
                <w:sz w:val="21"/>
              </w:rPr>
              <w:t>Tiempo quirúrgico de</w:t>
            </w:r>
          </w:p>
        </w:tc>
        <w:tc>
          <w:tcPr>
            <w:tcW w:w="2458" w:type="dxa"/>
            <w:tcBorders>
              <w:bottom w:val="nil"/>
            </w:tcBorders>
          </w:tcPr>
          <w:p>
            <w:pPr>
              <w:pStyle w:val="TableParagraph"/>
              <w:spacing w:before="9"/>
              <w:ind w:left="610"/>
              <w:jc w:val="left"/>
              <w:rPr>
                <w:sz w:val="21"/>
              </w:rPr>
            </w:pPr>
            <w:r>
              <w:rPr>
                <w:w w:val="105"/>
                <w:sz w:val="21"/>
              </w:rPr>
              <w:t>Comparar la</w:t>
            </w:r>
          </w:p>
        </w:tc>
        <w:tc>
          <w:tcPr>
            <w:tcW w:w="2458" w:type="dxa"/>
            <w:tcBorders>
              <w:bottom w:val="nil"/>
            </w:tcBorders>
          </w:tcPr>
          <w:p>
            <w:pPr>
              <w:pStyle w:val="TableParagraph"/>
              <w:ind w:left="77" w:right="77"/>
              <w:rPr>
                <w:sz w:val="21"/>
              </w:rPr>
            </w:pPr>
            <w:r>
              <w:rPr>
                <w:w w:val="105"/>
                <w:sz w:val="21"/>
              </w:rPr>
              <w:t>CUANTITATIVA</w:t>
            </w:r>
          </w:p>
        </w:tc>
        <w:tc>
          <w:tcPr>
            <w:tcW w:w="2285" w:type="dxa"/>
            <w:tcBorders>
              <w:bottom w:val="nil"/>
            </w:tcBorders>
          </w:tcPr>
          <w:p>
            <w:pPr>
              <w:pStyle w:val="TableParagraph"/>
              <w:ind w:left="350" w:right="343"/>
              <w:rPr>
                <w:sz w:val="21"/>
              </w:rPr>
            </w:pPr>
            <w:r>
              <w:rPr>
                <w:w w:val="105"/>
                <w:sz w:val="21"/>
              </w:rPr>
              <w:t>DISCONTINUA</w:t>
            </w:r>
          </w:p>
        </w:tc>
      </w:tr>
      <w:tr>
        <w:trPr>
          <w:trHeight w:val="384" w:hRule="exact"/>
        </w:trPr>
        <w:tc>
          <w:tcPr>
            <w:tcW w:w="2342" w:type="dxa"/>
            <w:tcBorders>
              <w:top w:val="nil"/>
              <w:bottom w:val="nil"/>
            </w:tcBorders>
          </w:tcPr>
          <w:p>
            <w:pPr>
              <w:pStyle w:val="TableParagraph"/>
              <w:spacing w:before="59"/>
              <w:ind w:left="102" w:right="98"/>
              <w:rPr>
                <w:sz w:val="21"/>
              </w:rPr>
            </w:pPr>
            <w:r>
              <w:rPr>
                <w:w w:val="105"/>
                <w:sz w:val="21"/>
              </w:rPr>
              <w:t>la resección</w:t>
            </w:r>
          </w:p>
        </w:tc>
        <w:tc>
          <w:tcPr>
            <w:tcW w:w="2458" w:type="dxa"/>
            <w:tcBorders>
              <w:top w:val="nil"/>
              <w:bottom w:val="nil"/>
            </w:tcBorders>
          </w:tcPr>
          <w:p>
            <w:pPr>
              <w:pStyle w:val="TableParagraph"/>
              <w:spacing w:before="64"/>
              <w:ind w:left="482"/>
              <w:jc w:val="left"/>
              <w:rPr>
                <w:sz w:val="21"/>
              </w:rPr>
            </w:pPr>
            <w:r>
              <w:rPr>
                <w:w w:val="105"/>
                <w:sz w:val="21"/>
              </w:rPr>
              <w:t>disminución de</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left="671"/>
              <w:jc w:val="left"/>
              <w:rPr>
                <w:sz w:val="21"/>
              </w:rPr>
            </w:pPr>
            <w:r>
              <w:rPr>
                <w:w w:val="105"/>
                <w:sz w:val="21"/>
              </w:rPr>
              <w:t>sangrado y</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right="155"/>
              <w:jc w:val="right"/>
              <w:rPr>
                <w:sz w:val="21"/>
              </w:rPr>
            </w:pPr>
            <w:r>
              <w:rPr>
                <w:w w:val="105"/>
                <w:sz w:val="21"/>
              </w:rPr>
              <w:t>complicaciones en un</w:t>
            </w:r>
          </w:p>
        </w:tc>
        <w:tc>
          <w:tcPr>
            <w:tcW w:w="2458" w:type="dxa"/>
            <w:tcBorders>
              <w:top w:val="nil"/>
              <w:bottom w:val="nil"/>
            </w:tcBorders>
          </w:tcPr>
          <w:p>
            <w:pPr/>
          </w:p>
        </w:tc>
        <w:tc>
          <w:tcPr>
            <w:tcW w:w="2285" w:type="dxa"/>
            <w:tcBorders>
              <w:top w:val="nil"/>
              <w:bottom w:val="nil"/>
            </w:tcBorders>
          </w:tcPr>
          <w:p>
            <w:pPr/>
          </w:p>
        </w:tc>
      </w:tr>
      <w:tr>
        <w:trPr>
          <w:trHeight w:val="377" w:hRule="exact"/>
        </w:trPr>
        <w:tc>
          <w:tcPr>
            <w:tcW w:w="2342" w:type="dxa"/>
            <w:tcBorders>
              <w:top w:val="nil"/>
              <w:bottom w:val="nil"/>
            </w:tcBorders>
          </w:tcPr>
          <w:p>
            <w:pPr/>
          </w:p>
        </w:tc>
        <w:tc>
          <w:tcPr>
            <w:tcW w:w="2458" w:type="dxa"/>
            <w:tcBorders>
              <w:top w:val="nil"/>
              <w:bottom w:val="nil"/>
            </w:tcBorders>
          </w:tcPr>
          <w:p>
            <w:pPr>
              <w:pStyle w:val="TableParagraph"/>
              <w:spacing w:before="59"/>
              <w:ind w:right="130"/>
              <w:jc w:val="right"/>
              <w:rPr>
                <w:sz w:val="21"/>
              </w:rPr>
            </w:pPr>
            <w:r>
              <w:rPr>
                <w:w w:val="105"/>
                <w:sz w:val="21"/>
              </w:rPr>
              <w:t>tiempo quirúrgico mas</w:t>
            </w:r>
          </w:p>
        </w:tc>
        <w:tc>
          <w:tcPr>
            <w:tcW w:w="2458" w:type="dxa"/>
            <w:tcBorders>
              <w:top w:val="nil"/>
              <w:bottom w:val="nil"/>
            </w:tcBorders>
          </w:tcPr>
          <w:p>
            <w:pPr/>
          </w:p>
        </w:tc>
        <w:tc>
          <w:tcPr>
            <w:tcW w:w="2285" w:type="dxa"/>
            <w:tcBorders>
              <w:top w:val="nil"/>
              <w:bottom w:val="nil"/>
            </w:tcBorders>
          </w:tcPr>
          <w:p>
            <w:pPr/>
          </w:p>
        </w:tc>
      </w:tr>
      <w:tr>
        <w:trPr>
          <w:trHeight w:val="643" w:hRule="exact"/>
        </w:trPr>
        <w:tc>
          <w:tcPr>
            <w:tcW w:w="2342" w:type="dxa"/>
            <w:tcBorders>
              <w:top w:val="nil"/>
            </w:tcBorders>
          </w:tcPr>
          <w:p>
            <w:pPr/>
          </w:p>
        </w:tc>
        <w:tc>
          <w:tcPr>
            <w:tcW w:w="2458" w:type="dxa"/>
            <w:tcBorders>
              <w:top w:val="nil"/>
            </w:tcBorders>
          </w:tcPr>
          <w:p>
            <w:pPr>
              <w:pStyle w:val="TableParagraph"/>
              <w:spacing w:before="57"/>
              <w:ind w:left="78" w:right="77"/>
              <w:rPr>
                <w:sz w:val="21"/>
              </w:rPr>
            </w:pPr>
            <w:r>
              <w:rPr>
                <w:w w:val="105"/>
                <w:sz w:val="21"/>
              </w:rPr>
              <w:t>corto</w:t>
            </w:r>
          </w:p>
        </w:tc>
        <w:tc>
          <w:tcPr>
            <w:tcW w:w="2458" w:type="dxa"/>
            <w:tcBorders>
              <w:top w:val="nil"/>
            </w:tcBorders>
          </w:tcPr>
          <w:p>
            <w:pPr/>
          </w:p>
        </w:tc>
        <w:tc>
          <w:tcPr>
            <w:tcW w:w="2285" w:type="dxa"/>
            <w:tcBorders>
              <w:top w:val="nil"/>
            </w:tcBorders>
          </w:tcPr>
          <w:p>
            <w:pPr/>
          </w:p>
        </w:tc>
      </w:tr>
      <w:tr>
        <w:trPr>
          <w:trHeight w:val="348" w:hRule="exact"/>
        </w:trPr>
        <w:tc>
          <w:tcPr>
            <w:tcW w:w="2342" w:type="dxa"/>
            <w:tcBorders>
              <w:bottom w:val="nil"/>
            </w:tcBorders>
          </w:tcPr>
          <w:p>
            <w:pPr>
              <w:pStyle w:val="TableParagraph"/>
              <w:spacing w:before="14"/>
              <w:ind w:left="102" w:right="98"/>
              <w:rPr>
                <w:sz w:val="21"/>
              </w:rPr>
            </w:pPr>
            <w:r>
              <w:rPr>
                <w:w w:val="105"/>
                <w:sz w:val="21"/>
              </w:rPr>
              <w:t>Complicaciones e</w:t>
            </w:r>
          </w:p>
        </w:tc>
        <w:tc>
          <w:tcPr>
            <w:tcW w:w="2458" w:type="dxa"/>
            <w:tcBorders>
              <w:bottom w:val="nil"/>
            </w:tcBorders>
          </w:tcPr>
          <w:p>
            <w:pPr>
              <w:pStyle w:val="TableParagraph"/>
              <w:spacing w:before="14"/>
              <w:ind w:right="185"/>
              <w:jc w:val="right"/>
              <w:rPr>
                <w:sz w:val="21"/>
              </w:rPr>
            </w:pPr>
            <w:r>
              <w:rPr>
                <w:w w:val="105"/>
                <w:sz w:val="21"/>
              </w:rPr>
              <w:t>Identificar las causas</w:t>
            </w:r>
          </w:p>
        </w:tc>
        <w:tc>
          <w:tcPr>
            <w:tcW w:w="2458" w:type="dxa"/>
            <w:tcBorders>
              <w:bottom w:val="nil"/>
            </w:tcBorders>
          </w:tcPr>
          <w:p>
            <w:pPr>
              <w:pStyle w:val="TableParagraph"/>
              <w:spacing w:before="9"/>
              <w:ind w:left="77" w:right="77"/>
              <w:rPr>
                <w:sz w:val="21"/>
              </w:rPr>
            </w:pPr>
            <w:r>
              <w:rPr>
                <w:w w:val="105"/>
                <w:sz w:val="21"/>
              </w:rPr>
              <w:t>CUANTITATIVAS</w:t>
            </w:r>
          </w:p>
        </w:tc>
        <w:tc>
          <w:tcPr>
            <w:tcW w:w="2285" w:type="dxa"/>
            <w:tcBorders>
              <w:bottom w:val="nil"/>
            </w:tcBorders>
          </w:tcPr>
          <w:p>
            <w:pPr>
              <w:pStyle w:val="TableParagraph"/>
              <w:spacing w:before="9"/>
              <w:ind w:left="348" w:right="344"/>
              <w:rPr>
                <w:sz w:val="21"/>
              </w:rPr>
            </w:pPr>
            <w:r>
              <w:rPr>
                <w:w w:val="105"/>
                <w:sz w:val="21"/>
              </w:rPr>
              <w:t>DISCONTINUA</w:t>
            </w:r>
          </w:p>
        </w:tc>
      </w:tr>
      <w:tr>
        <w:trPr>
          <w:trHeight w:val="377" w:hRule="exact"/>
        </w:trPr>
        <w:tc>
          <w:tcPr>
            <w:tcW w:w="2342" w:type="dxa"/>
            <w:tcBorders>
              <w:top w:val="nil"/>
              <w:bottom w:val="nil"/>
            </w:tcBorders>
          </w:tcPr>
          <w:p>
            <w:pPr>
              <w:pStyle w:val="TableParagraph"/>
              <w:spacing w:before="59"/>
              <w:ind w:left="102" w:right="97"/>
              <w:rPr>
                <w:sz w:val="21"/>
              </w:rPr>
            </w:pPr>
            <w:r>
              <w:rPr>
                <w:w w:val="105"/>
                <w:sz w:val="21"/>
              </w:rPr>
              <w:t>incidentes durante la</w:t>
            </w:r>
          </w:p>
        </w:tc>
        <w:tc>
          <w:tcPr>
            <w:tcW w:w="2458" w:type="dxa"/>
            <w:tcBorders>
              <w:top w:val="nil"/>
              <w:bottom w:val="nil"/>
            </w:tcBorders>
          </w:tcPr>
          <w:p>
            <w:pPr>
              <w:pStyle w:val="TableParagraph"/>
              <w:spacing w:before="59"/>
              <w:ind w:left="249"/>
              <w:jc w:val="left"/>
              <w:rPr>
                <w:sz w:val="21"/>
              </w:rPr>
            </w:pPr>
            <w:r>
              <w:rPr>
                <w:w w:val="105"/>
                <w:sz w:val="21"/>
              </w:rPr>
              <w:t>mas frecuentes que</w:t>
            </w:r>
          </w:p>
        </w:tc>
        <w:tc>
          <w:tcPr>
            <w:tcW w:w="2458" w:type="dxa"/>
            <w:tcBorders>
              <w:top w:val="nil"/>
              <w:bottom w:val="nil"/>
            </w:tcBorders>
          </w:tcPr>
          <w:p>
            <w:pPr/>
          </w:p>
        </w:tc>
        <w:tc>
          <w:tcPr>
            <w:tcW w:w="2285" w:type="dxa"/>
            <w:tcBorders>
              <w:top w:val="nil"/>
              <w:bottom w:val="nil"/>
            </w:tcBorders>
          </w:tcPr>
          <w:p>
            <w:pPr/>
          </w:p>
        </w:tc>
      </w:tr>
      <w:tr>
        <w:trPr>
          <w:trHeight w:val="382" w:hRule="exact"/>
        </w:trPr>
        <w:tc>
          <w:tcPr>
            <w:tcW w:w="2342" w:type="dxa"/>
            <w:tcBorders>
              <w:top w:val="nil"/>
              <w:bottom w:val="nil"/>
            </w:tcBorders>
          </w:tcPr>
          <w:p>
            <w:pPr>
              <w:pStyle w:val="TableParagraph"/>
              <w:spacing w:before="57"/>
              <w:ind w:left="102" w:right="98"/>
              <w:rPr>
                <w:sz w:val="21"/>
              </w:rPr>
            </w:pPr>
            <w:r>
              <w:rPr>
                <w:w w:val="105"/>
                <w:sz w:val="21"/>
              </w:rPr>
              <w:t>cirugía</w:t>
            </w:r>
          </w:p>
        </w:tc>
        <w:tc>
          <w:tcPr>
            <w:tcW w:w="2458" w:type="dxa"/>
            <w:tcBorders>
              <w:top w:val="nil"/>
              <w:bottom w:val="nil"/>
            </w:tcBorders>
          </w:tcPr>
          <w:p>
            <w:pPr>
              <w:pStyle w:val="TableParagraph"/>
              <w:spacing w:before="62"/>
              <w:ind w:left="268"/>
              <w:jc w:val="left"/>
              <w:rPr>
                <w:sz w:val="21"/>
              </w:rPr>
            </w:pPr>
            <w:r>
              <w:rPr>
                <w:w w:val="105"/>
                <w:sz w:val="21"/>
              </w:rPr>
              <w:t>aumenten la morbi-</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left="549"/>
              <w:jc w:val="left"/>
              <w:rPr>
                <w:sz w:val="21"/>
              </w:rPr>
            </w:pPr>
            <w:r>
              <w:rPr>
                <w:w w:val="105"/>
                <w:sz w:val="21"/>
              </w:rPr>
              <w:t>mortalidad en</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left="537"/>
              <w:jc w:val="left"/>
              <w:rPr>
                <w:sz w:val="21"/>
              </w:rPr>
            </w:pPr>
            <w:r>
              <w:rPr>
                <w:w w:val="105"/>
                <w:sz w:val="21"/>
              </w:rPr>
              <w:t>pacientes con</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left="561"/>
              <w:jc w:val="left"/>
              <w:rPr>
                <w:sz w:val="21"/>
              </w:rPr>
            </w:pPr>
            <w:r>
              <w:rPr>
                <w:w w:val="105"/>
                <w:sz w:val="21"/>
              </w:rPr>
              <w:t>necesidad de</w:t>
            </w:r>
          </w:p>
        </w:tc>
        <w:tc>
          <w:tcPr>
            <w:tcW w:w="2458" w:type="dxa"/>
            <w:tcBorders>
              <w:top w:val="nil"/>
              <w:bottom w:val="nil"/>
            </w:tcBorders>
          </w:tcPr>
          <w:p>
            <w:pPr/>
          </w:p>
        </w:tc>
        <w:tc>
          <w:tcPr>
            <w:tcW w:w="2285" w:type="dxa"/>
            <w:tcBorders>
              <w:top w:val="nil"/>
              <w:bottom w:val="nil"/>
            </w:tcBorders>
          </w:tcPr>
          <w:p>
            <w:pPr/>
          </w:p>
        </w:tc>
      </w:tr>
      <w:tr>
        <w:trPr>
          <w:trHeight w:val="377" w:hRule="exact"/>
        </w:trPr>
        <w:tc>
          <w:tcPr>
            <w:tcW w:w="2342" w:type="dxa"/>
            <w:tcBorders>
              <w:top w:val="nil"/>
              <w:bottom w:val="nil"/>
            </w:tcBorders>
          </w:tcPr>
          <w:p>
            <w:pPr/>
          </w:p>
        </w:tc>
        <w:tc>
          <w:tcPr>
            <w:tcW w:w="2458" w:type="dxa"/>
            <w:tcBorders>
              <w:top w:val="nil"/>
              <w:bottom w:val="nil"/>
            </w:tcBorders>
          </w:tcPr>
          <w:p>
            <w:pPr>
              <w:pStyle w:val="TableParagraph"/>
              <w:spacing w:before="59"/>
              <w:ind w:right="125"/>
              <w:jc w:val="right"/>
              <w:rPr>
                <w:sz w:val="21"/>
              </w:rPr>
            </w:pPr>
            <w:r>
              <w:rPr>
                <w:w w:val="105"/>
                <w:sz w:val="21"/>
              </w:rPr>
              <w:t>resección de tumor de</w:t>
            </w:r>
          </w:p>
        </w:tc>
        <w:tc>
          <w:tcPr>
            <w:tcW w:w="2458" w:type="dxa"/>
            <w:tcBorders>
              <w:top w:val="nil"/>
              <w:bottom w:val="nil"/>
            </w:tcBorders>
          </w:tcPr>
          <w:p>
            <w:pPr/>
          </w:p>
        </w:tc>
        <w:tc>
          <w:tcPr>
            <w:tcW w:w="2285" w:type="dxa"/>
            <w:tcBorders>
              <w:top w:val="nil"/>
              <w:bottom w:val="nil"/>
            </w:tcBorders>
          </w:tcPr>
          <w:p>
            <w:pPr/>
          </w:p>
        </w:tc>
      </w:tr>
      <w:tr>
        <w:trPr>
          <w:trHeight w:val="648" w:hRule="exact"/>
        </w:trPr>
        <w:tc>
          <w:tcPr>
            <w:tcW w:w="2342" w:type="dxa"/>
            <w:tcBorders>
              <w:top w:val="nil"/>
            </w:tcBorders>
          </w:tcPr>
          <w:p>
            <w:pPr/>
          </w:p>
        </w:tc>
        <w:tc>
          <w:tcPr>
            <w:tcW w:w="2458" w:type="dxa"/>
            <w:tcBorders>
              <w:top w:val="nil"/>
            </w:tcBorders>
          </w:tcPr>
          <w:p>
            <w:pPr>
              <w:pStyle w:val="TableParagraph"/>
              <w:spacing w:before="57"/>
              <w:ind w:left="396"/>
              <w:jc w:val="left"/>
              <w:rPr>
                <w:sz w:val="21"/>
              </w:rPr>
            </w:pPr>
            <w:r>
              <w:rPr>
                <w:w w:val="105"/>
                <w:sz w:val="21"/>
              </w:rPr>
              <w:t>cuerpo carotideo</w:t>
            </w:r>
          </w:p>
        </w:tc>
        <w:tc>
          <w:tcPr>
            <w:tcW w:w="2458" w:type="dxa"/>
            <w:tcBorders>
              <w:top w:val="nil"/>
            </w:tcBorders>
          </w:tcPr>
          <w:p>
            <w:pPr/>
          </w:p>
        </w:tc>
        <w:tc>
          <w:tcPr>
            <w:tcW w:w="2285" w:type="dxa"/>
            <w:tcBorders>
              <w:top w:val="nil"/>
            </w:tcBorders>
          </w:tcPr>
          <w:p>
            <w:pPr/>
          </w:p>
        </w:tc>
      </w:tr>
      <w:tr>
        <w:trPr>
          <w:trHeight w:val="341" w:hRule="exact"/>
        </w:trPr>
        <w:tc>
          <w:tcPr>
            <w:tcW w:w="2342" w:type="dxa"/>
            <w:tcBorders>
              <w:bottom w:val="nil"/>
            </w:tcBorders>
          </w:tcPr>
          <w:p>
            <w:pPr>
              <w:pStyle w:val="TableParagraph"/>
              <w:spacing w:before="9"/>
              <w:ind w:left="102" w:right="98"/>
              <w:rPr>
                <w:sz w:val="21"/>
              </w:rPr>
            </w:pPr>
            <w:r>
              <w:rPr>
                <w:w w:val="105"/>
                <w:sz w:val="21"/>
              </w:rPr>
              <w:t>Sangrado</w:t>
            </w:r>
          </w:p>
        </w:tc>
        <w:tc>
          <w:tcPr>
            <w:tcW w:w="2458" w:type="dxa"/>
            <w:tcBorders>
              <w:bottom w:val="nil"/>
            </w:tcBorders>
          </w:tcPr>
          <w:p>
            <w:pPr>
              <w:pStyle w:val="TableParagraph"/>
              <w:spacing w:before="9"/>
              <w:ind w:right="172"/>
              <w:jc w:val="right"/>
              <w:rPr>
                <w:sz w:val="21"/>
              </w:rPr>
            </w:pPr>
            <w:r>
              <w:rPr>
                <w:w w:val="105"/>
                <w:sz w:val="21"/>
              </w:rPr>
              <w:t>Identificar la cantidad</w:t>
            </w:r>
          </w:p>
        </w:tc>
        <w:tc>
          <w:tcPr>
            <w:tcW w:w="2458" w:type="dxa"/>
            <w:tcBorders>
              <w:bottom w:val="nil"/>
            </w:tcBorders>
          </w:tcPr>
          <w:p>
            <w:pPr>
              <w:pStyle w:val="TableParagraph"/>
              <w:ind w:left="77" w:right="77"/>
              <w:rPr>
                <w:sz w:val="21"/>
              </w:rPr>
            </w:pPr>
            <w:r>
              <w:rPr>
                <w:w w:val="105"/>
                <w:sz w:val="21"/>
              </w:rPr>
              <w:t>CUANTITATIVA</w:t>
            </w:r>
          </w:p>
        </w:tc>
        <w:tc>
          <w:tcPr>
            <w:tcW w:w="2285" w:type="dxa"/>
            <w:tcBorders>
              <w:bottom w:val="nil"/>
            </w:tcBorders>
          </w:tcPr>
          <w:p>
            <w:pPr>
              <w:pStyle w:val="TableParagraph"/>
              <w:ind w:left="350" w:right="343"/>
              <w:rPr>
                <w:sz w:val="21"/>
              </w:rPr>
            </w:pPr>
            <w:r>
              <w:rPr>
                <w:w w:val="105"/>
                <w:sz w:val="21"/>
              </w:rPr>
              <w:t>CONTINUA</w:t>
            </w:r>
          </w:p>
        </w:tc>
      </w:tr>
      <w:tr>
        <w:trPr>
          <w:trHeight w:val="382" w:hRule="exact"/>
        </w:trPr>
        <w:tc>
          <w:tcPr>
            <w:tcW w:w="2342" w:type="dxa"/>
            <w:tcBorders>
              <w:top w:val="nil"/>
              <w:bottom w:val="nil"/>
            </w:tcBorders>
          </w:tcPr>
          <w:p>
            <w:pPr>
              <w:pStyle w:val="TableParagraph"/>
              <w:spacing w:before="57"/>
              <w:ind w:left="102" w:right="98"/>
              <w:rPr>
                <w:sz w:val="21"/>
              </w:rPr>
            </w:pPr>
            <w:r>
              <w:rPr>
                <w:w w:val="105"/>
                <w:sz w:val="21"/>
              </w:rPr>
              <w:t>transoperatorio</w:t>
            </w:r>
          </w:p>
        </w:tc>
        <w:tc>
          <w:tcPr>
            <w:tcW w:w="2458" w:type="dxa"/>
            <w:tcBorders>
              <w:top w:val="nil"/>
              <w:bottom w:val="nil"/>
            </w:tcBorders>
          </w:tcPr>
          <w:p>
            <w:pPr>
              <w:pStyle w:val="TableParagraph"/>
              <w:spacing w:before="62"/>
              <w:ind w:left="604"/>
              <w:jc w:val="left"/>
              <w:rPr>
                <w:sz w:val="21"/>
              </w:rPr>
            </w:pPr>
            <w:r>
              <w:rPr>
                <w:w w:val="105"/>
                <w:sz w:val="21"/>
              </w:rPr>
              <w:t>de sangrado</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left="476"/>
              <w:jc w:val="left"/>
              <w:rPr>
                <w:sz w:val="21"/>
              </w:rPr>
            </w:pPr>
            <w:r>
              <w:rPr>
                <w:w w:val="105"/>
                <w:sz w:val="21"/>
              </w:rPr>
              <w:t>transoperatorio</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left="463"/>
              <w:jc w:val="left"/>
              <w:rPr>
                <w:sz w:val="21"/>
              </w:rPr>
            </w:pPr>
            <w:r>
              <w:rPr>
                <w:w w:val="105"/>
                <w:sz w:val="21"/>
              </w:rPr>
              <w:t>empleado en la</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left="353"/>
              <w:jc w:val="left"/>
              <w:rPr>
                <w:sz w:val="21"/>
              </w:rPr>
            </w:pPr>
            <w:r>
              <w:rPr>
                <w:w w:val="105"/>
                <w:sz w:val="21"/>
              </w:rPr>
              <w:t>técnica quirúrgica</w:t>
            </w:r>
          </w:p>
        </w:tc>
        <w:tc>
          <w:tcPr>
            <w:tcW w:w="2458" w:type="dxa"/>
            <w:tcBorders>
              <w:top w:val="nil"/>
              <w:bottom w:val="nil"/>
            </w:tcBorders>
          </w:tcPr>
          <w:p>
            <w:pPr/>
          </w:p>
        </w:tc>
        <w:tc>
          <w:tcPr>
            <w:tcW w:w="2285" w:type="dxa"/>
            <w:tcBorders>
              <w:top w:val="nil"/>
              <w:bottom w:val="nil"/>
            </w:tcBorders>
          </w:tcPr>
          <w:p>
            <w:pPr/>
          </w:p>
        </w:tc>
      </w:tr>
      <w:tr>
        <w:trPr>
          <w:trHeight w:val="379" w:hRule="exact"/>
        </w:trPr>
        <w:tc>
          <w:tcPr>
            <w:tcW w:w="2342" w:type="dxa"/>
            <w:tcBorders>
              <w:top w:val="nil"/>
              <w:bottom w:val="nil"/>
            </w:tcBorders>
          </w:tcPr>
          <w:p>
            <w:pPr/>
          </w:p>
        </w:tc>
        <w:tc>
          <w:tcPr>
            <w:tcW w:w="2458" w:type="dxa"/>
            <w:tcBorders>
              <w:top w:val="nil"/>
              <w:bottom w:val="nil"/>
            </w:tcBorders>
          </w:tcPr>
          <w:p>
            <w:pPr>
              <w:pStyle w:val="TableParagraph"/>
              <w:spacing w:before="59"/>
              <w:ind w:left="365"/>
              <w:jc w:val="left"/>
              <w:rPr>
                <w:sz w:val="21"/>
              </w:rPr>
            </w:pPr>
            <w:r>
              <w:rPr>
                <w:w w:val="105"/>
                <w:sz w:val="21"/>
              </w:rPr>
              <w:t>empleada para la</w:t>
            </w:r>
          </w:p>
        </w:tc>
        <w:tc>
          <w:tcPr>
            <w:tcW w:w="2458" w:type="dxa"/>
            <w:tcBorders>
              <w:top w:val="nil"/>
              <w:bottom w:val="nil"/>
            </w:tcBorders>
          </w:tcPr>
          <w:p>
            <w:pPr/>
          </w:p>
        </w:tc>
        <w:tc>
          <w:tcPr>
            <w:tcW w:w="2285" w:type="dxa"/>
            <w:tcBorders>
              <w:top w:val="nil"/>
              <w:bottom w:val="nil"/>
            </w:tcBorders>
          </w:tcPr>
          <w:p>
            <w:pPr/>
          </w:p>
        </w:tc>
      </w:tr>
      <w:tr>
        <w:trPr>
          <w:trHeight w:val="377" w:hRule="exact"/>
        </w:trPr>
        <w:tc>
          <w:tcPr>
            <w:tcW w:w="2342" w:type="dxa"/>
            <w:tcBorders>
              <w:top w:val="nil"/>
              <w:bottom w:val="nil"/>
            </w:tcBorders>
          </w:tcPr>
          <w:p>
            <w:pPr/>
          </w:p>
        </w:tc>
        <w:tc>
          <w:tcPr>
            <w:tcW w:w="2458" w:type="dxa"/>
            <w:tcBorders>
              <w:top w:val="nil"/>
              <w:bottom w:val="nil"/>
            </w:tcBorders>
          </w:tcPr>
          <w:p>
            <w:pPr>
              <w:pStyle w:val="TableParagraph"/>
              <w:spacing w:before="59"/>
              <w:ind w:right="125"/>
              <w:jc w:val="right"/>
              <w:rPr>
                <w:sz w:val="21"/>
              </w:rPr>
            </w:pPr>
            <w:r>
              <w:rPr>
                <w:w w:val="105"/>
                <w:sz w:val="21"/>
              </w:rPr>
              <w:t>resección de tumor de</w:t>
            </w:r>
          </w:p>
        </w:tc>
        <w:tc>
          <w:tcPr>
            <w:tcW w:w="2458" w:type="dxa"/>
            <w:tcBorders>
              <w:top w:val="nil"/>
              <w:bottom w:val="nil"/>
            </w:tcBorders>
          </w:tcPr>
          <w:p>
            <w:pPr/>
          </w:p>
        </w:tc>
        <w:tc>
          <w:tcPr>
            <w:tcW w:w="2285" w:type="dxa"/>
            <w:tcBorders>
              <w:top w:val="nil"/>
              <w:bottom w:val="nil"/>
            </w:tcBorders>
          </w:tcPr>
          <w:p>
            <w:pPr/>
          </w:p>
        </w:tc>
      </w:tr>
      <w:tr>
        <w:trPr>
          <w:trHeight w:val="648" w:hRule="exact"/>
        </w:trPr>
        <w:tc>
          <w:tcPr>
            <w:tcW w:w="2342" w:type="dxa"/>
            <w:tcBorders>
              <w:top w:val="nil"/>
            </w:tcBorders>
          </w:tcPr>
          <w:p>
            <w:pPr/>
          </w:p>
        </w:tc>
        <w:tc>
          <w:tcPr>
            <w:tcW w:w="2458" w:type="dxa"/>
            <w:tcBorders>
              <w:top w:val="nil"/>
            </w:tcBorders>
          </w:tcPr>
          <w:p>
            <w:pPr>
              <w:pStyle w:val="TableParagraph"/>
              <w:spacing w:before="57"/>
              <w:ind w:left="396"/>
              <w:jc w:val="left"/>
              <w:rPr>
                <w:sz w:val="21"/>
              </w:rPr>
            </w:pPr>
            <w:r>
              <w:rPr>
                <w:w w:val="105"/>
                <w:sz w:val="21"/>
              </w:rPr>
              <w:t>cuerpo carotideo</w:t>
            </w:r>
          </w:p>
        </w:tc>
        <w:tc>
          <w:tcPr>
            <w:tcW w:w="2458" w:type="dxa"/>
            <w:tcBorders>
              <w:top w:val="nil"/>
            </w:tcBorders>
          </w:tcPr>
          <w:p>
            <w:pPr/>
          </w:p>
        </w:tc>
        <w:tc>
          <w:tcPr>
            <w:tcW w:w="2285" w:type="dxa"/>
            <w:tcBorders>
              <w:top w:val="nil"/>
            </w:tcBorders>
          </w:tcPr>
          <w:p>
            <w:pPr/>
          </w:p>
        </w:tc>
      </w:tr>
      <w:tr>
        <w:trPr>
          <w:trHeight w:val="341" w:hRule="exact"/>
        </w:trPr>
        <w:tc>
          <w:tcPr>
            <w:tcW w:w="2342" w:type="dxa"/>
            <w:tcBorders>
              <w:bottom w:val="nil"/>
            </w:tcBorders>
          </w:tcPr>
          <w:p>
            <w:pPr>
              <w:pStyle w:val="TableParagraph"/>
              <w:spacing w:before="9"/>
              <w:ind w:left="102" w:right="99"/>
              <w:rPr>
                <w:sz w:val="21"/>
              </w:rPr>
            </w:pPr>
            <w:r>
              <w:rPr>
                <w:w w:val="105"/>
                <w:sz w:val="21"/>
              </w:rPr>
              <w:t>Tiempo de</w:t>
            </w:r>
          </w:p>
        </w:tc>
        <w:tc>
          <w:tcPr>
            <w:tcW w:w="2458" w:type="dxa"/>
            <w:tcBorders>
              <w:bottom w:val="nil"/>
            </w:tcBorders>
          </w:tcPr>
          <w:p>
            <w:pPr>
              <w:pStyle w:val="TableParagraph"/>
              <w:spacing w:before="9"/>
              <w:ind w:right="167"/>
              <w:jc w:val="right"/>
              <w:rPr>
                <w:sz w:val="21"/>
              </w:rPr>
            </w:pPr>
            <w:r>
              <w:rPr>
                <w:w w:val="105"/>
                <w:sz w:val="21"/>
              </w:rPr>
              <w:t>Cuantificar el numero</w:t>
            </w:r>
          </w:p>
        </w:tc>
        <w:tc>
          <w:tcPr>
            <w:tcW w:w="2458" w:type="dxa"/>
            <w:tcBorders>
              <w:bottom w:val="nil"/>
            </w:tcBorders>
          </w:tcPr>
          <w:p>
            <w:pPr>
              <w:pStyle w:val="TableParagraph"/>
              <w:ind w:left="77" w:right="77"/>
              <w:rPr>
                <w:sz w:val="21"/>
              </w:rPr>
            </w:pPr>
            <w:r>
              <w:rPr>
                <w:w w:val="105"/>
                <w:sz w:val="21"/>
              </w:rPr>
              <w:t>CUANTITATIVA</w:t>
            </w:r>
          </w:p>
        </w:tc>
        <w:tc>
          <w:tcPr>
            <w:tcW w:w="2285" w:type="dxa"/>
            <w:tcBorders>
              <w:bottom w:val="nil"/>
            </w:tcBorders>
          </w:tcPr>
          <w:p>
            <w:pPr>
              <w:pStyle w:val="TableParagraph"/>
              <w:ind w:left="350" w:right="343"/>
              <w:rPr>
                <w:sz w:val="21"/>
              </w:rPr>
            </w:pPr>
            <w:r>
              <w:rPr>
                <w:w w:val="105"/>
                <w:sz w:val="21"/>
              </w:rPr>
              <w:t>DISCONTINUA</w:t>
            </w:r>
          </w:p>
        </w:tc>
      </w:tr>
      <w:tr>
        <w:trPr>
          <w:trHeight w:val="384" w:hRule="exact"/>
        </w:trPr>
        <w:tc>
          <w:tcPr>
            <w:tcW w:w="2342" w:type="dxa"/>
            <w:tcBorders>
              <w:top w:val="nil"/>
              <w:bottom w:val="nil"/>
            </w:tcBorders>
          </w:tcPr>
          <w:p>
            <w:pPr>
              <w:pStyle w:val="TableParagraph"/>
              <w:spacing w:before="57"/>
              <w:ind w:left="102" w:right="96"/>
              <w:rPr>
                <w:sz w:val="21"/>
              </w:rPr>
            </w:pPr>
            <w:r>
              <w:rPr>
                <w:w w:val="105"/>
                <w:sz w:val="21"/>
              </w:rPr>
              <w:t>hospitalización</w:t>
            </w:r>
          </w:p>
        </w:tc>
        <w:tc>
          <w:tcPr>
            <w:tcW w:w="2458" w:type="dxa"/>
            <w:tcBorders>
              <w:top w:val="nil"/>
              <w:bottom w:val="nil"/>
            </w:tcBorders>
          </w:tcPr>
          <w:p>
            <w:pPr>
              <w:pStyle w:val="TableParagraph"/>
              <w:spacing w:before="62"/>
              <w:ind w:left="286"/>
              <w:jc w:val="left"/>
              <w:rPr>
                <w:sz w:val="21"/>
              </w:rPr>
            </w:pPr>
            <w:r>
              <w:rPr>
                <w:w w:val="105"/>
                <w:sz w:val="21"/>
              </w:rPr>
              <w:t>de días empleados</w:t>
            </w:r>
          </w:p>
        </w:tc>
        <w:tc>
          <w:tcPr>
            <w:tcW w:w="2458" w:type="dxa"/>
            <w:tcBorders>
              <w:top w:val="nil"/>
              <w:bottom w:val="nil"/>
            </w:tcBorders>
          </w:tcPr>
          <w:p>
            <w:pPr/>
          </w:p>
        </w:tc>
        <w:tc>
          <w:tcPr>
            <w:tcW w:w="2285" w:type="dxa"/>
            <w:tcBorders>
              <w:top w:val="nil"/>
              <w:bottom w:val="nil"/>
            </w:tcBorders>
          </w:tcPr>
          <w:p>
            <w:pPr/>
          </w:p>
        </w:tc>
      </w:tr>
      <w:tr>
        <w:trPr>
          <w:trHeight w:val="382" w:hRule="exact"/>
        </w:trPr>
        <w:tc>
          <w:tcPr>
            <w:tcW w:w="2342" w:type="dxa"/>
            <w:tcBorders>
              <w:top w:val="nil"/>
              <w:bottom w:val="nil"/>
            </w:tcBorders>
          </w:tcPr>
          <w:p>
            <w:pPr/>
          </w:p>
        </w:tc>
        <w:tc>
          <w:tcPr>
            <w:tcW w:w="2458" w:type="dxa"/>
            <w:tcBorders>
              <w:top w:val="nil"/>
              <w:bottom w:val="nil"/>
            </w:tcBorders>
          </w:tcPr>
          <w:p>
            <w:pPr>
              <w:pStyle w:val="TableParagraph"/>
              <w:spacing w:before="62"/>
              <w:ind w:right="179"/>
              <w:jc w:val="right"/>
              <w:rPr>
                <w:sz w:val="21"/>
              </w:rPr>
            </w:pPr>
            <w:r>
              <w:rPr>
                <w:w w:val="105"/>
                <w:sz w:val="21"/>
              </w:rPr>
              <w:t>para su tratamiento y</w:t>
            </w:r>
          </w:p>
        </w:tc>
        <w:tc>
          <w:tcPr>
            <w:tcW w:w="2458" w:type="dxa"/>
            <w:tcBorders>
              <w:top w:val="nil"/>
              <w:bottom w:val="nil"/>
            </w:tcBorders>
          </w:tcPr>
          <w:p>
            <w:pPr/>
          </w:p>
        </w:tc>
        <w:tc>
          <w:tcPr>
            <w:tcW w:w="2285" w:type="dxa"/>
            <w:tcBorders>
              <w:top w:val="nil"/>
              <w:bottom w:val="nil"/>
            </w:tcBorders>
          </w:tcPr>
          <w:p>
            <w:pPr/>
          </w:p>
        </w:tc>
      </w:tr>
      <w:tr>
        <w:trPr>
          <w:trHeight w:val="377" w:hRule="exact"/>
        </w:trPr>
        <w:tc>
          <w:tcPr>
            <w:tcW w:w="2342" w:type="dxa"/>
            <w:tcBorders>
              <w:top w:val="nil"/>
              <w:bottom w:val="nil"/>
            </w:tcBorders>
          </w:tcPr>
          <w:p>
            <w:pPr/>
          </w:p>
        </w:tc>
        <w:tc>
          <w:tcPr>
            <w:tcW w:w="2458" w:type="dxa"/>
            <w:tcBorders>
              <w:top w:val="nil"/>
              <w:bottom w:val="nil"/>
            </w:tcBorders>
          </w:tcPr>
          <w:p>
            <w:pPr>
              <w:pStyle w:val="TableParagraph"/>
              <w:spacing w:before="59"/>
              <w:ind w:left="732"/>
              <w:jc w:val="left"/>
              <w:rPr>
                <w:sz w:val="21"/>
              </w:rPr>
            </w:pPr>
            <w:r>
              <w:rPr>
                <w:w w:val="105"/>
                <w:sz w:val="21"/>
              </w:rPr>
              <w:t>probables</w:t>
            </w:r>
          </w:p>
        </w:tc>
        <w:tc>
          <w:tcPr>
            <w:tcW w:w="2458" w:type="dxa"/>
            <w:tcBorders>
              <w:top w:val="nil"/>
              <w:bottom w:val="nil"/>
            </w:tcBorders>
          </w:tcPr>
          <w:p>
            <w:pPr/>
          </w:p>
        </w:tc>
        <w:tc>
          <w:tcPr>
            <w:tcW w:w="2285" w:type="dxa"/>
            <w:tcBorders>
              <w:top w:val="nil"/>
              <w:bottom w:val="nil"/>
            </w:tcBorders>
          </w:tcPr>
          <w:p>
            <w:pPr/>
          </w:p>
        </w:tc>
      </w:tr>
      <w:tr>
        <w:trPr>
          <w:trHeight w:val="643" w:hRule="exact"/>
        </w:trPr>
        <w:tc>
          <w:tcPr>
            <w:tcW w:w="2342" w:type="dxa"/>
            <w:tcBorders>
              <w:top w:val="nil"/>
            </w:tcBorders>
          </w:tcPr>
          <w:p>
            <w:pPr/>
          </w:p>
        </w:tc>
        <w:tc>
          <w:tcPr>
            <w:tcW w:w="2458" w:type="dxa"/>
            <w:tcBorders>
              <w:top w:val="nil"/>
            </w:tcBorders>
          </w:tcPr>
          <w:p>
            <w:pPr>
              <w:pStyle w:val="TableParagraph"/>
              <w:spacing w:before="57"/>
              <w:ind w:left="463"/>
              <w:jc w:val="left"/>
              <w:rPr>
                <w:sz w:val="21"/>
              </w:rPr>
            </w:pPr>
            <w:r>
              <w:rPr>
                <w:w w:val="105"/>
                <w:sz w:val="21"/>
              </w:rPr>
              <w:t>complicaciones</w:t>
            </w:r>
          </w:p>
        </w:tc>
        <w:tc>
          <w:tcPr>
            <w:tcW w:w="2458" w:type="dxa"/>
            <w:tcBorders>
              <w:top w:val="nil"/>
            </w:tcBorders>
          </w:tcPr>
          <w:p>
            <w:pPr/>
          </w:p>
        </w:tc>
        <w:tc>
          <w:tcPr>
            <w:tcW w:w="2285" w:type="dxa"/>
            <w:tcBorders>
              <w:top w:val="nil"/>
            </w:tcBorders>
          </w:tcPr>
          <w:p>
            <w:pPr/>
          </w:p>
        </w:tc>
      </w:tr>
      <w:tr>
        <w:trPr>
          <w:trHeight w:val="346" w:hRule="exact"/>
        </w:trPr>
        <w:tc>
          <w:tcPr>
            <w:tcW w:w="2342" w:type="dxa"/>
            <w:tcBorders>
              <w:bottom w:val="nil"/>
            </w:tcBorders>
          </w:tcPr>
          <w:p>
            <w:pPr>
              <w:pStyle w:val="TableParagraph"/>
              <w:spacing w:before="14"/>
              <w:ind w:left="102" w:right="99"/>
              <w:rPr>
                <w:sz w:val="21"/>
              </w:rPr>
            </w:pPr>
            <w:r>
              <w:rPr>
                <w:w w:val="105"/>
                <w:sz w:val="21"/>
              </w:rPr>
              <w:t>Reporte final de</w:t>
            </w:r>
          </w:p>
        </w:tc>
        <w:tc>
          <w:tcPr>
            <w:tcW w:w="2458" w:type="dxa"/>
            <w:tcBorders>
              <w:bottom w:val="nil"/>
            </w:tcBorders>
          </w:tcPr>
          <w:p>
            <w:pPr>
              <w:pStyle w:val="TableParagraph"/>
              <w:spacing w:before="14"/>
              <w:ind w:right="179"/>
              <w:jc w:val="right"/>
              <w:rPr>
                <w:sz w:val="21"/>
              </w:rPr>
            </w:pPr>
            <w:r>
              <w:rPr>
                <w:w w:val="105"/>
                <w:sz w:val="21"/>
              </w:rPr>
              <w:t>Clasificar el tumor de</w:t>
            </w:r>
          </w:p>
        </w:tc>
        <w:tc>
          <w:tcPr>
            <w:tcW w:w="2458" w:type="dxa"/>
            <w:tcBorders>
              <w:bottom w:val="nil"/>
            </w:tcBorders>
          </w:tcPr>
          <w:p>
            <w:pPr>
              <w:pStyle w:val="TableParagraph"/>
              <w:spacing w:before="9"/>
              <w:ind w:left="77" w:right="77"/>
              <w:rPr>
                <w:sz w:val="21"/>
              </w:rPr>
            </w:pPr>
            <w:r>
              <w:rPr>
                <w:w w:val="105"/>
                <w:sz w:val="21"/>
              </w:rPr>
              <w:t>CUANTITATIVA</w:t>
            </w:r>
          </w:p>
        </w:tc>
        <w:tc>
          <w:tcPr>
            <w:tcW w:w="2285" w:type="dxa"/>
            <w:tcBorders>
              <w:bottom w:val="nil"/>
            </w:tcBorders>
          </w:tcPr>
          <w:p>
            <w:pPr>
              <w:pStyle w:val="TableParagraph"/>
              <w:spacing w:before="9"/>
              <w:ind w:left="350" w:right="343"/>
              <w:rPr>
                <w:sz w:val="21"/>
              </w:rPr>
            </w:pPr>
            <w:r>
              <w:rPr>
                <w:w w:val="105"/>
                <w:sz w:val="21"/>
              </w:rPr>
              <w:t>DISCONTINUA</w:t>
            </w:r>
          </w:p>
        </w:tc>
      </w:tr>
      <w:tr>
        <w:trPr>
          <w:trHeight w:val="382" w:hRule="exact"/>
        </w:trPr>
        <w:tc>
          <w:tcPr>
            <w:tcW w:w="2342" w:type="dxa"/>
            <w:tcBorders>
              <w:top w:val="nil"/>
              <w:bottom w:val="nil"/>
            </w:tcBorders>
          </w:tcPr>
          <w:p>
            <w:pPr>
              <w:pStyle w:val="TableParagraph"/>
              <w:spacing w:before="57"/>
              <w:ind w:left="102" w:right="98"/>
              <w:rPr>
                <w:sz w:val="21"/>
              </w:rPr>
            </w:pPr>
            <w:r>
              <w:rPr>
                <w:w w:val="105"/>
                <w:sz w:val="21"/>
              </w:rPr>
              <w:t>patología</w:t>
            </w:r>
          </w:p>
        </w:tc>
        <w:tc>
          <w:tcPr>
            <w:tcW w:w="2458" w:type="dxa"/>
            <w:tcBorders>
              <w:top w:val="nil"/>
              <w:bottom w:val="nil"/>
            </w:tcBorders>
          </w:tcPr>
          <w:p>
            <w:pPr>
              <w:pStyle w:val="TableParagraph"/>
              <w:spacing w:before="62"/>
              <w:ind w:right="203"/>
              <w:jc w:val="right"/>
              <w:rPr>
                <w:sz w:val="21"/>
              </w:rPr>
            </w:pPr>
            <w:r>
              <w:rPr>
                <w:w w:val="105"/>
                <w:sz w:val="21"/>
              </w:rPr>
              <w:t>cuerpo carotideo por</w:t>
            </w:r>
          </w:p>
        </w:tc>
        <w:tc>
          <w:tcPr>
            <w:tcW w:w="2458" w:type="dxa"/>
            <w:tcBorders>
              <w:top w:val="nil"/>
              <w:bottom w:val="nil"/>
            </w:tcBorders>
          </w:tcPr>
          <w:p>
            <w:pPr/>
          </w:p>
        </w:tc>
        <w:tc>
          <w:tcPr>
            <w:tcW w:w="2285" w:type="dxa"/>
            <w:tcBorders>
              <w:top w:val="nil"/>
              <w:bottom w:val="nil"/>
            </w:tcBorders>
          </w:tcPr>
          <w:p>
            <w:pPr/>
          </w:p>
        </w:tc>
      </w:tr>
      <w:tr>
        <w:trPr>
          <w:trHeight w:val="377" w:hRule="exact"/>
        </w:trPr>
        <w:tc>
          <w:tcPr>
            <w:tcW w:w="2342" w:type="dxa"/>
            <w:tcBorders>
              <w:top w:val="nil"/>
              <w:bottom w:val="nil"/>
            </w:tcBorders>
          </w:tcPr>
          <w:p>
            <w:pPr/>
          </w:p>
        </w:tc>
        <w:tc>
          <w:tcPr>
            <w:tcW w:w="2458" w:type="dxa"/>
            <w:tcBorders>
              <w:top w:val="nil"/>
              <w:bottom w:val="nil"/>
            </w:tcBorders>
          </w:tcPr>
          <w:p>
            <w:pPr>
              <w:pStyle w:val="TableParagraph"/>
              <w:spacing w:before="59"/>
              <w:ind w:left="512"/>
              <w:jc w:val="left"/>
              <w:rPr>
                <w:sz w:val="21"/>
              </w:rPr>
            </w:pPr>
            <w:r>
              <w:rPr>
                <w:w w:val="105"/>
                <w:sz w:val="21"/>
              </w:rPr>
              <w:t>las diferencias</w:t>
            </w:r>
          </w:p>
        </w:tc>
        <w:tc>
          <w:tcPr>
            <w:tcW w:w="2458" w:type="dxa"/>
            <w:tcBorders>
              <w:top w:val="nil"/>
              <w:bottom w:val="nil"/>
            </w:tcBorders>
          </w:tcPr>
          <w:p>
            <w:pPr/>
          </w:p>
        </w:tc>
        <w:tc>
          <w:tcPr>
            <w:tcW w:w="2285" w:type="dxa"/>
            <w:tcBorders>
              <w:top w:val="nil"/>
              <w:bottom w:val="nil"/>
            </w:tcBorders>
          </w:tcPr>
          <w:p>
            <w:pPr/>
          </w:p>
        </w:tc>
      </w:tr>
      <w:tr>
        <w:trPr>
          <w:trHeight w:val="648" w:hRule="exact"/>
        </w:trPr>
        <w:tc>
          <w:tcPr>
            <w:tcW w:w="2342" w:type="dxa"/>
            <w:tcBorders>
              <w:top w:val="nil"/>
            </w:tcBorders>
          </w:tcPr>
          <w:p>
            <w:pPr/>
          </w:p>
        </w:tc>
        <w:tc>
          <w:tcPr>
            <w:tcW w:w="2458" w:type="dxa"/>
            <w:tcBorders>
              <w:top w:val="nil"/>
            </w:tcBorders>
          </w:tcPr>
          <w:p>
            <w:pPr>
              <w:pStyle w:val="TableParagraph"/>
              <w:spacing w:before="57"/>
              <w:ind w:left="610"/>
              <w:jc w:val="left"/>
              <w:rPr>
                <w:sz w:val="21"/>
              </w:rPr>
            </w:pPr>
            <w:r>
              <w:rPr>
                <w:w w:val="105"/>
                <w:sz w:val="21"/>
              </w:rPr>
              <w:t>histológicas.</w:t>
            </w:r>
          </w:p>
        </w:tc>
        <w:tc>
          <w:tcPr>
            <w:tcW w:w="2458" w:type="dxa"/>
            <w:tcBorders>
              <w:top w:val="nil"/>
            </w:tcBorders>
          </w:tcPr>
          <w:p>
            <w:pPr/>
          </w:p>
        </w:tc>
        <w:tc>
          <w:tcPr>
            <w:tcW w:w="2285" w:type="dxa"/>
            <w:tcBorders>
              <w:top w:val="nil"/>
            </w:tcBorders>
          </w:tcPr>
          <w:p>
            <w:pPr/>
          </w:p>
        </w:tc>
      </w:tr>
    </w:tbl>
    <w:p>
      <w:pPr>
        <w:spacing w:after="0"/>
        <w:sectPr>
          <w:pgSz w:w="12240" w:h="15840"/>
          <w:pgMar w:header="0" w:footer="687" w:top="1420" w:bottom="880" w:left="1580" w:right="860"/>
        </w:sectPr>
      </w:pPr>
    </w:p>
    <w:tbl>
      <w:tblPr>
        <w:tblW w:w="0" w:type="auto"/>
        <w:jc w:val="left"/>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2"/>
        <w:gridCol w:w="2458"/>
        <w:gridCol w:w="2458"/>
        <w:gridCol w:w="2285"/>
      </w:tblGrid>
      <w:tr>
        <w:trPr>
          <w:trHeight w:val="1373" w:hRule="exact"/>
        </w:trPr>
        <w:tc>
          <w:tcPr>
            <w:tcW w:w="2342" w:type="dxa"/>
          </w:tcPr>
          <w:p>
            <w:pPr>
              <w:pStyle w:val="TableParagraph"/>
              <w:spacing w:line="376" w:lineRule="auto" w:before="9"/>
              <w:ind w:left="401" w:right="358" w:hanging="37"/>
              <w:jc w:val="both"/>
              <w:rPr>
                <w:sz w:val="21"/>
              </w:rPr>
            </w:pPr>
            <w:r>
              <w:rPr>
                <w:w w:val="105"/>
                <w:sz w:val="21"/>
              </w:rPr>
              <w:t>Presentación</w:t>
            </w:r>
            <w:r>
              <w:rPr>
                <w:spacing w:val="-9"/>
                <w:w w:val="105"/>
                <w:sz w:val="21"/>
              </w:rPr>
              <w:t> </w:t>
            </w:r>
            <w:r>
              <w:rPr>
                <w:w w:val="105"/>
                <w:sz w:val="21"/>
              </w:rPr>
              <w:t>de complicaciones postoperatorias</w:t>
            </w:r>
          </w:p>
        </w:tc>
        <w:tc>
          <w:tcPr>
            <w:tcW w:w="2458" w:type="dxa"/>
          </w:tcPr>
          <w:p>
            <w:pPr>
              <w:pStyle w:val="TableParagraph"/>
              <w:spacing w:line="376" w:lineRule="auto" w:before="9"/>
              <w:ind w:left="121" w:right="116" w:hanging="2"/>
              <w:rPr>
                <w:sz w:val="21"/>
              </w:rPr>
            </w:pPr>
            <w:r>
              <w:rPr>
                <w:w w:val="105"/>
                <w:sz w:val="21"/>
              </w:rPr>
              <w:t>Identificar las lesiones secundarias al tratamiento</w:t>
            </w:r>
            <w:r>
              <w:rPr>
                <w:spacing w:val="-14"/>
                <w:w w:val="105"/>
                <w:sz w:val="21"/>
              </w:rPr>
              <w:t> </w:t>
            </w:r>
            <w:r>
              <w:rPr>
                <w:w w:val="105"/>
                <w:sz w:val="21"/>
              </w:rPr>
              <w:t>quirúrgico.</w:t>
            </w:r>
          </w:p>
        </w:tc>
        <w:tc>
          <w:tcPr>
            <w:tcW w:w="2458" w:type="dxa"/>
          </w:tcPr>
          <w:p>
            <w:pPr>
              <w:pStyle w:val="TableParagraph"/>
              <w:ind w:left="421"/>
              <w:jc w:val="left"/>
              <w:rPr>
                <w:sz w:val="21"/>
              </w:rPr>
            </w:pPr>
            <w:r>
              <w:rPr>
                <w:w w:val="105"/>
                <w:sz w:val="21"/>
              </w:rPr>
              <w:t>CUANTITATIVA</w:t>
            </w:r>
          </w:p>
        </w:tc>
        <w:tc>
          <w:tcPr>
            <w:tcW w:w="2285" w:type="dxa"/>
          </w:tcPr>
          <w:p>
            <w:pPr>
              <w:pStyle w:val="TableParagraph"/>
              <w:ind w:left="373"/>
              <w:jc w:val="left"/>
              <w:rPr>
                <w:sz w:val="21"/>
              </w:rPr>
            </w:pPr>
            <w:r>
              <w:rPr>
                <w:w w:val="105"/>
                <w:sz w:val="21"/>
              </w:rPr>
              <w:t>DISCONTINUA</w:t>
            </w:r>
          </w:p>
        </w:tc>
      </w:tr>
    </w:tbl>
    <w:p>
      <w:pPr>
        <w:pStyle w:val="Heading3"/>
        <w:numPr>
          <w:ilvl w:val="1"/>
          <w:numId w:val="11"/>
        </w:numPr>
        <w:tabs>
          <w:tab w:pos="582" w:val="left" w:leader="none"/>
        </w:tabs>
        <w:spacing w:line="240" w:lineRule="auto" w:before="10" w:after="0"/>
        <w:ind w:left="581" w:right="0" w:hanging="453"/>
        <w:jc w:val="both"/>
      </w:pPr>
      <w:bookmarkStart w:name="_TOC_250014" w:id="10"/>
      <w:r>
        <w:rPr>
          <w:w w:val="105"/>
        </w:rPr>
        <w:t>Universo de</w:t>
      </w:r>
      <w:r>
        <w:rPr>
          <w:spacing w:val="-13"/>
          <w:w w:val="105"/>
        </w:rPr>
        <w:t> </w:t>
      </w:r>
      <w:bookmarkEnd w:id="10"/>
      <w:r>
        <w:rPr>
          <w:w w:val="105"/>
        </w:rPr>
        <w:t>trabajo</w:t>
      </w:r>
    </w:p>
    <w:p>
      <w:pPr>
        <w:pStyle w:val="BodyText"/>
        <w:spacing w:before="9"/>
        <w:rPr>
          <w:b/>
          <w:sz w:val="22"/>
        </w:rPr>
      </w:pPr>
    </w:p>
    <w:p>
      <w:pPr>
        <w:pStyle w:val="BodyText"/>
        <w:spacing w:line="501" w:lineRule="auto"/>
        <w:ind w:left="128" w:right="830"/>
        <w:jc w:val="both"/>
      </w:pPr>
      <w:r>
        <w:rPr>
          <w:w w:val="105"/>
        </w:rPr>
        <w:t>Expedientes</w:t>
      </w:r>
      <w:r>
        <w:rPr>
          <w:spacing w:val="-16"/>
          <w:w w:val="105"/>
        </w:rPr>
        <w:t> </w:t>
      </w:r>
      <w:r>
        <w:rPr>
          <w:w w:val="105"/>
        </w:rPr>
        <w:t>clínicos</w:t>
      </w:r>
      <w:r>
        <w:rPr>
          <w:spacing w:val="-16"/>
          <w:w w:val="105"/>
        </w:rPr>
        <w:t> </w:t>
      </w:r>
      <w:r>
        <w:rPr>
          <w:w w:val="105"/>
        </w:rPr>
        <w:t>de</w:t>
      </w:r>
      <w:r>
        <w:rPr>
          <w:spacing w:val="-16"/>
          <w:w w:val="105"/>
        </w:rPr>
        <w:t> </w:t>
      </w:r>
      <w:r>
        <w:rPr>
          <w:w w:val="105"/>
        </w:rPr>
        <w:t>pacientes</w:t>
      </w:r>
      <w:r>
        <w:rPr>
          <w:spacing w:val="-16"/>
          <w:w w:val="105"/>
        </w:rPr>
        <w:t> </w:t>
      </w:r>
      <w:r>
        <w:rPr>
          <w:w w:val="105"/>
        </w:rPr>
        <w:t>que</w:t>
      </w:r>
      <w:r>
        <w:rPr>
          <w:spacing w:val="-16"/>
          <w:w w:val="105"/>
        </w:rPr>
        <w:t> </w:t>
      </w:r>
      <w:r>
        <w:rPr>
          <w:w w:val="105"/>
        </w:rPr>
        <w:t>hayan</w:t>
      </w:r>
      <w:r>
        <w:rPr>
          <w:spacing w:val="-16"/>
          <w:w w:val="105"/>
        </w:rPr>
        <w:t> </w:t>
      </w:r>
      <w:r>
        <w:rPr>
          <w:w w:val="105"/>
        </w:rPr>
        <w:t>ingresado</w:t>
      </w:r>
      <w:r>
        <w:rPr>
          <w:spacing w:val="-16"/>
          <w:w w:val="105"/>
        </w:rPr>
        <w:t> </w:t>
      </w:r>
      <w:r>
        <w:rPr>
          <w:w w:val="105"/>
        </w:rPr>
        <w:t>con</w:t>
      </w:r>
      <w:r>
        <w:rPr>
          <w:spacing w:val="-16"/>
          <w:w w:val="105"/>
        </w:rPr>
        <w:t> </w:t>
      </w:r>
      <w:r>
        <w:rPr>
          <w:w w:val="105"/>
        </w:rPr>
        <w:t>diagnóstico</w:t>
      </w:r>
      <w:r>
        <w:rPr>
          <w:spacing w:val="-16"/>
          <w:w w:val="105"/>
        </w:rPr>
        <w:t> </w:t>
      </w:r>
      <w:r>
        <w:rPr>
          <w:w w:val="105"/>
        </w:rPr>
        <w:t>de</w:t>
      </w:r>
      <w:r>
        <w:rPr>
          <w:spacing w:val="-16"/>
          <w:w w:val="105"/>
        </w:rPr>
        <w:t> </w:t>
      </w:r>
      <w:r>
        <w:rPr>
          <w:w w:val="105"/>
        </w:rPr>
        <w:t>tumor</w:t>
      </w:r>
      <w:r>
        <w:rPr>
          <w:spacing w:val="-17"/>
          <w:w w:val="105"/>
        </w:rPr>
        <w:t> </w:t>
      </w:r>
      <w:r>
        <w:rPr>
          <w:w w:val="105"/>
        </w:rPr>
        <w:t>de</w:t>
      </w:r>
      <w:r>
        <w:rPr>
          <w:spacing w:val="-16"/>
          <w:w w:val="105"/>
        </w:rPr>
        <w:t> </w:t>
      </w:r>
      <w:r>
        <w:rPr>
          <w:w w:val="105"/>
        </w:rPr>
        <w:t>cuerpo carotideo al servicio de Angiología y Cirugía Vascular, como el archivo del servicio de patología</w:t>
      </w:r>
      <w:r>
        <w:rPr>
          <w:spacing w:val="-16"/>
          <w:w w:val="105"/>
        </w:rPr>
        <w:t> </w:t>
      </w:r>
      <w:r>
        <w:rPr>
          <w:w w:val="105"/>
        </w:rPr>
        <w:t>del</w:t>
      </w:r>
      <w:r>
        <w:rPr>
          <w:spacing w:val="-17"/>
          <w:w w:val="105"/>
        </w:rPr>
        <w:t> </w:t>
      </w:r>
      <w:r>
        <w:rPr>
          <w:w w:val="105"/>
        </w:rPr>
        <w:t>Centro</w:t>
      </w:r>
      <w:r>
        <w:rPr>
          <w:spacing w:val="-16"/>
          <w:w w:val="105"/>
        </w:rPr>
        <w:t> </w:t>
      </w:r>
      <w:r>
        <w:rPr>
          <w:w w:val="105"/>
        </w:rPr>
        <w:t>Medico</w:t>
      </w:r>
      <w:r>
        <w:rPr>
          <w:spacing w:val="-16"/>
          <w:w w:val="105"/>
        </w:rPr>
        <w:t> </w:t>
      </w:r>
      <w:r>
        <w:rPr>
          <w:w w:val="105"/>
        </w:rPr>
        <w:t>ISSEMyM</w:t>
      </w:r>
      <w:r>
        <w:rPr>
          <w:spacing w:val="-15"/>
          <w:w w:val="105"/>
        </w:rPr>
        <w:t> </w:t>
      </w:r>
      <w:r>
        <w:rPr>
          <w:w w:val="105"/>
        </w:rPr>
        <w:t>Toluca,</w:t>
      </w:r>
      <w:r>
        <w:rPr>
          <w:spacing w:val="-17"/>
          <w:w w:val="105"/>
        </w:rPr>
        <w:t> </w:t>
      </w:r>
      <w:r>
        <w:rPr>
          <w:w w:val="105"/>
        </w:rPr>
        <w:t>en</w:t>
      </w:r>
      <w:r>
        <w:rPr>
          <w:spacing w:val="-16"/>
          <w:w w:val="105"/>
        </w:rPr>
        <w:t> </w:t>
      </w:r>
      <w:r>
        <w:rPr>
          <w:w w:val="105"/>
        </w:rPr>
        <w:t>el</w:t>
      </w:r>
      <w:r>
        <w:rPr>
          <w:spacing w:val="-17"/>
          <w:w w:val="105"/>
        </w:rPr>
        <w:t> </w:t>
      </w:r>
      <w:r>
        <w:rPr>
          <w:w w:val="105"/>
        </w:rPr>
        <w:t>periodo</w:t>
      </w:r>
      <w:r>
        <w:rPr>
          <w:spacing w:val="-16"/>
          <w:w w:val="105"/>
        </w:rPr>
        <w:t> </w:t>
      </w:r>
      <w:r>
        <w:rPr>
          <w:w w:val="105"/>
        </w:rPr>
        <w:t>comprendido</w:t>
      </w:r>
      <w:r>
        <w:rPr>
          <w:spacing w:val="-16"/>
          <w:w w:val="105"/>
        </w:rPr>
        <w:t> </w:t>
      </w:r>
      <w:r>
        <w:rPr>
          <w:w w:val="105"/>
        </w:rPr>
        <w:t>de</w:t>
      </w:r>
      <w:r>
        <w:rPr>
          <w:spacing w:val="-16"/>
          <w:w w:val="105"/>
        </w:rPr>
        <w:t> </w:t>
      </w:r>
      <w:r>
        <w:rPr>
          <w:w w:val="105"/>
        </w:rPr>
        <w:t>abril</w:t>
      </w:r>
      <w:r>
        <w:rPr>
          <w:spacing w:val="-17"/>
          <w:w w:val="105"/>
        </w:rPr>
        <w:t> </w:t>
      </w:r>
      <w:r>
        <w:rPr>
          <w:w w:val="105"/>
        </w:rPr>
        <w:t>del</w:t>
      </w:r>
      <w:r>
        <w:rPr>
          <w:spacing w:val="-17"/>
          <w:w w:val="105"/>
        </w:rPr>
        <w:t> </w:t>
      </w:r>
      <w:r>
        <w:rPr>
          <w:w w:val="105"/>
        </w:rPr>
        <w:t>2013- abril2016.</w:t>
      </w:r>
    </w:p>
    <w:p>
      <w:pPr>
        <w:pStyle w:val="Heading3"/>
        <w:numPr>
          <w:ilvl w:val="2"/>
          <w:numId w:val="11"/>
        </w:numPr>
        <w:tabs>
          <w:tab w:pos="765" w:val="left" w:leader="none"/>
        </w:tabs>
        <w:spacing w:line="240" w:lineRule="auto" w:before="11" w:after="0"/>
        <w:ind w:left="764" w:right="0" w:hanging="636"/>
        <w:jc w:val="both"/>
      </w:pPr>
      <w:bookmarkStart w:name="_TOC_250013" w:id="11"/>
      <w:r>
        <w:rPr>
          <w:w w:val="105"/>
        </w:rPr>
        <w:t>Criterios de</w:t>
      </w:r>
      <w:r>
        <w:rPr>
          <w:spacing w:val="-13"/>
          <w:w w:val="105"/>
        </w:rPr>
        <w:t> </w:t>
      </w:r>
      <w:bookmarkEnd w:id="11"/>
      <w:r>
        <w:rPr>
          <w:w w:val="105"/>
        </w:rPr>
        <w:t>inclusión.</w:t>
      </w:r>
    </w:p>
    <w:p>
      <w:pPr>
        <w:pStyle w:val="BodyText"/>
        <w:spacing w:before="9"/>
        <w:rPr>
          <w:b/>
          <w:sz w:val="22"/>
        </w:rPr>
      </w:pPr>
    </w:p>
    <w:p>
      <w:pPr>
        <w:pStyle w:val="BodyText"/>
        <w:spacing w:line="501" w:lineRule="auto"/>
        <w:ind w:left="128" w:right="363"/>
      </w:pPr>
      <w:r>
        <w:rPr>
          <w:w w:val="105"/>
        </w:rPr>
        <w:t>Todos los pacientes con diagnóstico de tumor de cuerpo carotideo, que ingresaron a la consulta externa del servicio de Angiología y Cirugía Vascular.</w:t>
      </w:r>
    </w:p>
    <w:p>
      <w:pPr>
        <w:pStyle w:val="Heading3"/>
        <w:numPr>
          <w:ilvl w:val="2"/>
          <w:numId w:val="11"/>
        </w:numPr>
        <w:tabs>
          <w:tab w:pos="765" w:val="left" w:leader="none"/>
        </w:tabs>
        <w:spacing w:line="240" w:lineRule="auto" w:before="11" w:after="0"/>
        <w:ind w:left="764" w:right="0" w:hanging="636"/>
        <w:jc w:val="both"/>
      </w:pPr>
      <w:bookmarkStart w:name="_TOC_250012" w:id="12"/>
      <w:r>
        <w:rPr>
          <w:w w:val="105"/>
        </w:rPr>
        <w:t>Criterios de</w:t>
      </w:r>
      <w:r>
        <w:rPr>
          <w:spacing w:val="-14"/>
          <w:w w:val="105"/>
        </w:rPr>
        <w:t> </w:t>
      </w:r>
      <w:bookmarkEnd w:id="12"/>
      <w:r>
        <w:rPr>
          <w:w w:val="105"/>
        </w:rPr>
        <w:t>exclusión</w:t>
      </w:r>
    </w:p>
    <w:p>
      <w:pPr>
        <w:pStyle w:val="BodyText"/>
        <w:spacing w:before="9"/>
        <w:rPr>
          <w:b/>
          <w:sz w:val="22"/>
        </w:rPr>
      </w:pPr>
    </w:p>
    <w:p>
      <w:pPr>
        <w:pStyle w:val="BodyText"/>
        <w:spacing w:line="506" w:lineRule="auto"/>
        <w:ind w:left="128" w:right="363"/>
      </w:pPr>
      <w:r>
        <w:rPr>
          <w:w w:val="105"/>
        </w:rPr>
        <w:t>Todos los pacientes con expedientes incompletos y sin diagnóstico de tumor del cuerpo carotídeo.</w:t>
      </w:r>
    </w:p>
    <w:p>
      <w:pPr>
        <w:pStyle w:val="Heading3"/>
        <w:numPr>
          <w:ilvl w:val="1"/>
          <w:numId w:val="12"/>
        </w:numPr>
        <w:tabs>
          <w:tab w:pos="582" w:val="left" w:leader="none"/>
        </w:tabs>
        <w:spacing w:line="240" w:lineRule="auto" w:before="2" w:after="0"/>
        <w:ind w:left="581" w:right="0" w:hanging="453"/>
        <w:jc w:val="both"/>
      </w:pPr>
      <w:bookmarkStart w:name="_TOC_250011" w:id="13"/>
      <w:r>
        <w:rPr>
          <w:w w:val="105"/>
        </w:rPr>
        <w:t>Instrumentos de</w:t>
      </w:r>
      <w:r>
        <w:rPr>
          <w:spacing w:val="-18"/>
          <w:w w:val="105"/>
        </w:rPr>
        <w:t> </w:t>
      </w:r>
      <w:bookmarkEnd w:id="13"/>
      <w:r>
        <w:rPr>
          <w:w w:val="105"/>
        </w:rPr>
        <w:t>investigación</w:t>
      </w:r>
    </w:p>
    <w:p>
      <w:pPr>
        <w:pStyle w:val="BodyText"/>
        <w:spacing w:before="9"/>
        <w:rPr>
          <w:b/>
          <w:sz w:val="22"/>
        </w:rPr>
      </w:pPr>
    </w:p>
    <w:p>
      <w:pPr>
        <w:pStyle w:val="BodyText"/>
        <w:ind w:left="128"/>
        <w:jc w:val="both"/>
      </w:pPr>
      <w:r>
        <w:rPr>
          <w:w w:val="105"/>
        </w:rPr>
        <w:t>Hoja de recolección de datos.</w:t>
      </w:r>
    </w:p>
    <w:p>
      <w:pPr>
        <w:pStyle w:val="BodyText"/>
        <w:spacing w:before="2"/>
        <w:rPr>
          <w:sz w:val="23"/>
        </w:rPr>
      </w:pPr>
    </w:p>
    <w:p>
      <w:pPr>
        <w:pStyle w:val="Heading3"/>
        <w:numPr>
          <w:ilvl w:val="1"/>
          <w:numId w:val="12"/>
        </w:numPr>
        <w:tabs>
          <w:tab w:pos="582" w:val="left" w:leader="none"/>
        </w:tabs>
        <w:spacing w:line="240" w:lineRule="auto" w:before="1" w:after="0"/>
        <w:ind w:left="581" w:right="0" w:hanging="453"/>
        <w:jc w:val="both"/>
      </w:pPr>
      <w:bookmarkStart w:name="_TOC_250010" w:id="14"/>
      <w:r>
        <w:rPr>
          <w:w w:val="105"/>
        </w:rPr>
        <w:t>Límite de</w:t>
      </w:r>
      <w:r>
        <w:rPr>
          <w:spacing w:val="-11"/>
          <w:w w:val="105"/>
        </w:rPr>
        <w:t> </w:t>
      </w:r>
      <w:bookmarkEnd w:id="14"/>
      <w:r>
        <w:rPr>
          <w:w w:val="105"/>
        </w:rPr>
        <w:t>espacio</w:t>
      </w:r>
    </w:p>
    <w:p>
      <w:pPr>
        <w:pStyle w:val="BodyText"/>
        <w:spacing w:before="9"/>
        <w:rPr>
          <w:b/>
          <w:sz w:val="22"/>
        </w:rPr>
      </w:pPr>
    </w:p>
    <w:p>
      <w:pPr>
        <w:pStyle w:val="BodyText"/>
        <w:spacing w:line="501" w:lineRule="auto"/>
        <w:ind w:left="128" w:right="830"/>
        <w:jc w:val="both"/>
      </w:pPr>
      <w:r>
        <w:rPr>
          <w:w w:val="105"/>
        </w:rPr>
        <w:t>Se analizaron todos los expedientes clínicos de pacientes que hayan ingresado con diagnóstico</w:t>
      </w:r>
      <w:r>
        <w:rPr>
          <w:spacing w:val="-17"/>
          <w:w w:val="105"/>
        </w:rPr>
        <w:t> </w:t>
      </w:r>
      <w:r>
        <w:rPr>
          <w:w w:val="105"/>
        </w:rPr>
        <w:t>de</w:t>
      </w:r>
      <w:r>
        <w:rPr>
          <w:spacing w:val="-17"/>
          <w:w w:val="105"/>
        </w:rPr>
        <w:t> </w:t>
      </w:r>
      <w:r>
        <w:rPr>
          <w:w w:val="105"/>
        </w:rPr>
        <w:t>tumor</w:t>
      </w:r>
      <w:r>
        <w:rPr>
          <w:spacing w:val="-18"/>
          <w:w w:val="105"/>
        </w:rPr>
        <w:t> </w:t>
      </w:r>
      <w:r>
        <w:rPr>
          <w:w w:val="105"/>
        </w:rPr>
        <w:t>de</w:t>
      </w:r>
      <w:r>
        <w:rPr>
          <w:spacing w:val="-17"/>
          <w:w w:val="105"/>
        </w:rPr>
        <w:t> </w:t>
      </w:r>
      <w:r>
        <w:rPr>
          <w:w w:val="105"/>
        </w:rPr>
        <w:t>cuerpo</w:t>
      </w:r>
      <w:r>
        <w:rPr>
          <w:spacing w:val="-17"/>
          <w:w w:val="105"/>
        </w:rPr>
        <w:t> </w:t>
      </w:r>
      <w:r>
        <w:rPr>
          <w:w w:val="105"/>
        </w:rPr>
        <w:t>carotideo</w:t>
      </w:r>
      <w:r>
        <w:rPr>
          <w:spacing w:val="-17"/>
          <w:w w:val="105"/>
        </w:rPr>
        <w:t> </w:t>
      </w:r>
      <w:r>
        <w:rPr>
          <w:w w:val="105"/>
        </w:rPr>
        <w:t>al</w:t>
      </w:r>
      <w:r>
        <w:rPr>
          <w:spacing w:val="-18"/>
          <w:w w:val="105"/>
        </w:rPr>
        <w:t> </w:t>
      </w:r>
      <w:r>
        <w:rPr>
          <w:w w:val="105"/>
        </w:rPr>
        <w:t>servicio</w:t>
      </w:r>
      <w:r>
        <w:rPr>
          <w:spacing w:val="-17"/>
          <w:w w:val="105"/>
        </w:rPr>
        <w:t> </w:t>
      </w:r>
      <w:r>
        <w:rPr>
          <w:w w:val="105"/>
        </w:rPr>
        <w:t>de</w:t>
      </w:r>
      <w:r>
        <w:rPr>
          <w:spacing w:val="-17"/>
          <w:w w:val="105"/>
        </w:rPr>
        <w:t> </w:t>
      </w:r>
      <w:r>
        <w:rPr>
          <w:w w:val="105"/>
        </w:rPr>
        <w:t>Angiología</w:t>
      </w:r>
      <w:r>
        <w:rPr>
          <w:spacing w:val="-17"/>
          <w:w w:val="105"/>
        </w:rPr>
        <w:t> </w:t>
      </w:r>
      <w:r>
        <w:rPr>
          <w:w w:val="105"/>
        </w:rPr>
        <w:t>y</w:t>
      </w:r>
      <w:r>
        <w:rPr>
          <w:spacing w:val="-17"/>
          <w:w w:val="105"/>
        </w:rPr>
        <w:t> </w:t>
      </w:r>
      <w:r>
        <w:rPr>
          <w:w w:val="105"/>
        </w:rPr>
        <w:t>Cirugía</w:t>
      </w:r>
      <w:r>
        <w:rPr>
          <w:spacing w:val="-17"/>
          <w:w w:val="105"/>
        </w:rPr>
        <w:t> </w:t>
      </w:r>
      <w:r>
        <w:rPr>
          <w:w w:val="105"/>
        </w:rPr>
        <w:t>Vascular,</w:t>
      </w:r>
      <w:r>
        <w:rPr>
          <w:spacing w:val="-18"/>
          <w:w w:val="105"/>
        </w:rPr>
        <w:t> </w:t>
      </w:r>
      <w:r>
        <w:rPr>
          <w:w w:val="105"/>
        </w:rPr>
        <w:t>como el archivo del servicio de patología del Centro Medico ISSEMyM Toluca., ubicado en Av. Baja</w:t>
      </w:r>
      <w:r>
        <w:rPr>
          <w:spacing w:val="-18"/>
          <w:w w:val="105"/>
        </w:rPr>
        <w:t> </w:t>
      </w:r>
      <w:r>
        <w:rPr>
          <w:w w:val="105"/>
        </w:rPr>
        <w:t>Velocidad</w:t>
      </w:r>
      <w:r>
        <w:rPr>
          <w:spacing w:val="-18"/>
          <w:w w:val="105"/>
        </w:rPr>
        <w:t> </w:t>
      </w:r>
      <w:r>
        <w:rPr>
          <w:w w:val="105"/>
        </w:rPr>
        <w:t>284,</w:t>
      </w:r>
      <w:r>
        <w:rPr>
          <w:spacing w:val="-19"/>
          <w:w w:val="105"/>
        </w:rPr>
        <w:t> </w:t>
      </w:r>
      <w:r>
        <w:rPr>
          <w:w w:val="105"/>
        </w:rPr>
        <w:t>Col.</w:t>
      </w:r>
      <w:r>
        <w:rPr>
          <w:spacing w:val="-19"/>
          <w:w w:val="105"/>
        </w:rPr>
        <w:t> </w:t>
      </w:r>
      <w:r>
        <w:rPr>
          <w:w w:val="105"/>
        </w:rPr>
        <w:t>San</w:t>
      </w:r>
      <w:r>
        <w:rPr>
          <w:spacing w:val="-18"/>
          <w:w w:val="105"/>
        </w:rPr>
        <w:t> </w:t>
      </w:r>
      <w:r>
        <w:rPr>
          <w:w w:val="105"/>
        </w:rPr>
        <w:t>Jerónimo</w:t>
      </w:r>
      <w:r>
        <w:rPr>
          <w:spacing w:val="-18"/>
          <w:w w:val="105"/>
        </w:rPr>
        <w:t> </w:t>
      </w:r>
      <w:r>
        <w:rPr>
          <w:w w:val="105"/>
        </w:rPr>
        <w:t>Chicahualco,</w:t>
      </w:r>
      <w:r>
        <w:rPr>
          <w:spacing w:val="-19"/>
          <w:w w:val="105"/>
        </w:rPr>
        <w:t> </w:t>
      </w:r>
      <w:r>
        <w:rPr>
          <w:w w:val="105"/>
        </w:rPr>
        <w:t>Municipio</w:t>
      </w:r>
      <w:r>
        <w:rPr>
          <w:spacing w:val="-18"/>
          <w:w w:val="105"/>
        </w:rPr>
        <w:t> </w:t>
      </w:r>
      <w:r>
        <w:rPr>
          <w:w w:val="105"/>
        </w:rPr>
        <w:t>Metepec,</w:t>
      </w:r>
      <w:r>
        <w:rPr>
          <w:spacing w:val="-19"/>
          <w:w w:val="105"/>
        </w:rPr>
        <w:t> </w:t>
      </w:r>
      <w:r>
        <w:rPr>
          <w:w w:val="105"/>
        </w:rPr>
        <w:t>Estado</w:t>
      </w:r>
      <w:r>
        <w:rPr>
          <w:spacing w:val="-18"/>
          <w:w w:val="105"/>
        </w:rPr>
        <w:t> </w:t>
      </w:r>
      <w:r>
        <w:rPr>
          <w:w w:val="105"/>
        </w:rPr>
        <w:t>de</w:t>
      </w:r>
      <w:r>
        <w:rPr>
          <w:spacing w:val="-18"/>
          <w:w w:val="105"/>
        </w:rPr>
        <w:t> </w:t>
      </w:r>
      <w:r>
        <w:rPr>
          <w:w w:val="105"/>
        </w:rPr>
        <w:t>México.</w:t>
      </w:r>
    </w:p>
    <w:p>
      <w:pPr>
        <w:pStyle w:val="Heading3"/>
        <w:numPr>
          <w:ilvl w:val="1"/>
          <w:numId w:val="12"/>
        </w:numPr>
        <w:tabs>
          <w:tab w:pos="582" w:val="left" w:leader="none"/>
        </w:tabs>
        <w:spacing w:line="240" w:lineRule="auto" w:before="11" w:after="0"/>
        <w:ind w:left="581" w:right="0" w:hanging="453"/>
        <w:jc w:val="both"/>
      </w:pPr>
      <w:bookmarkStart w:name="_TOC_250009" w:id="15"/>
      <w:r>
        <w:rPr>
          <w:w w:val="105"/>
        </w:rPr>
        <w:t>Límite de</w:t>
      </w:r>
      <w:r>
        <w:rPr>
          <w:spacing w:val="-11"/>
          <w:w w:val="105"/>
        </w:rPr>
        <w:t> </w:t>
      </w:r>
      <w:bookmarkEnd w:id="15"/>
      <w:r>
        <w:rPr>
          <w:w w:val="105"/>
        </w:rPr>
        <w:t>tiempo</w:t>
      </w:r>
    </w:p>
    <w:p>
      <w:pPr>
        <w:pStyle w:val="BodyText"/>
        <w:spacing w:before="9"/>
        <w:rPr>
          <w:b/>
          <w:sz w:val="22"/>
        </w:rPr>
      </w:pPr>
    </w:p>
    <w:p>
      <w:pPr>
        <w:pStyle w:val="BodyText"/>
        <w:ind w:left="128"/>
        <w:jc w:val="both"/>
      </w:pPr>
      <w:r>
        <w:rPr>
          <w:w w:val="105"/>
        </w:rPr>
        <w:t>Periodo comprendido entre Abril del 2013 y Abril del 2016.</w:t>
      </w:r>
    </w:p>
    <w:p>
      <w:pPr>
        <w:pStyle w:val="BodyText"/>
        <w:spacing w:before="2"/>
        <w:rPr>
          <w:sz w:val="23"/>
        </w:rPr>
      </w:pPr>
    </w:p>
    <w:p>
      <w:pPr>
        <w:pStyle w:val="Heading3"/>
        <w:numPr>
          <w:ilvl w:val="1"/>
          <w:numId w:val="12"/>
        </w:numPr>
        <w:tabs>
          <w:tab w:pos="582" w:val="left" w:leader="none"/>
        </w:tabs>
        <w:spacing w:line="240" w:lineRule="auto" w:before="1" w:after="0"/>
        <w:ind w:left="581" w:right="0" w:hanging="453"/>
        <w:jc w:val="both"/>
      </w:pPr>
      <w:bookmarkStart w:name="_TOC_250008" w:id="16"/>
      <w:r>
        <w:rPr>
          <w:w w:val="105"/>
        </w:rPr>
        <w:t>Análisis</w:t>
      </w:r>
      <w:r>
        <w:rPr>
          <w:spacing w:val="-12"/>
          <w:w w:val="105"/>
        </w:rPr>
        <w:t> </w:t>
      </w:r>
      <w:bookmarkEnd w:id="16"/>
      <w:r>
        <w:rPr>
          <w:w w:val="105"/>
        </w:rPr>
        <w:t>estadístico</w:t>
      </w:r>
    </w:p>
    <w:p>
      <w:pPr>
        <w:spacing w:after="0" w:line="240" w:lineRule="auto"/>
        <w:jc w:val="both"/>
        <w:sectPr>
          <w:pgSz w:w="12240" w:h="15840"/>
          <w:pgMar w:header="0" w:footer="687" w:top="1420" w:bottom="880" w:left="1580" w:right="860"/>
        </w:sectPr>
      </w:pPr>
    </w:p>
    <w:p>
      <w:pPr>
        <w:pStyle w:val="BodyText"/>
        <w:spacing w:line="504" w:lineRule="auto" w:before="50"/>
        <w:ind w:left="108" w:right="111"/>
        <w:jc w:val="both"/>
      </w:pPr>
      <w:r>
        <w:rPr>
          <w:w w:val="105"/>
        </w:rPr>
        <w:t>Para el análisis de la información se empleó estadística descriptiva, las variables se expresaron en porcentajes de acuerdo a la característica de la variable y su comportamiento.</w:t>
      </w:r>
    </w:p>
    <w:p>
      <w:pPr>
        <w:pStyle w:val="BodyText"/>
        <w:rPr>
          <w:sz w:val="22"/>
        </w:rPr>
      </w:pPr>
    </w:p>
    <w:p>
      <w:pPr>
        <w:pStyle w:val="BodyText"/>
        <w:spacing w:before="7"/>
        <w:rPr>
          <w:sz w:val="22"/>
        </w:rPr>
      </w:pPr>
    </w:p>
    <w:p>
      <w:pPr>
        <w:pStyle w:val="Heading3"/>
        <w:ind w:left="108" w:firstLine="0"/>
      </w:pPr>
      <w:bookmarkStart w:name="_TOC_250007" w:id="17"/>
      <w:bookmarkEnd w:id="17"/>
      <w:r>
        <w:rPr>
          <w:w w:val="105"/>
        </w:rPr>
        <w:t>VII. Aspectos éticos</w:t>
      </w:r>
    </w:p>
    <w:p>
      <w:pPr>
        <w:pStyle w:val="BodyText"/>
        <w:spacing w:before="2"/>
        <w:rPr>
          <w:b/>
          <w:sz w:val="23"/>
        </w:rPr>
      </w:pPr>
    </w:p>
    <w:p>
      <w:pPr>
        <w:pStyle w:val="BodyText"/>
        <w:spacing w:line="374" w:lineRule="auto" w:before="1"/>
        <w:ind w:left="108" w:right="110"/>
        <w:jc w:val="both"/>
      </w:pPr>
      <w:r>
        <w:rPr>
          <w:w w:val="105"/>
        </w:rPr>
        <w:t>La información se realizó de carácter confidencial, sin utilizar los nombres propios que contengan los expedientes elegidos. La aplicación del instrumento para este estudio se realizó en las instalaciones de centro médico ISSEMyM específicamente en el Cirugía Vascular y Angiología, previa autorización correspondiente.</w:t>
      </w:r>
    </w:p>
    <w:p>
      <w:pPr>
        <w:pStyle w:val="BodyText"/>
        <w:spacing w:before="5"/>
        <w:rPr>
          <w:sz w:val="18"/>
        </w:rPr>
      </w:pPr>
    </w:p>
    <w:p>
      <w:pPr>
        <w:pStyle w:val="BodyText"/>
        <w:spacing w:line="372" w:lineRule="auto"/>
        <w:ind w:left="108" w:firstLine="708"/>
      </w:pPr>
      <w:r>
        <w:rPr>
          <w:w w:val="105"/>
        </w:rPr>
        <w:t>Por</w:t>
      </w:r>
      <w:r>
        <w:rPr>
          <w:spacing w:val="-11"/>
          <w:w w:val="105"/>
        </w:rPr>
        <w:t> </w:t>
      </w:r>
      <w:r>
        <w:rPr>
          <w:w w:val="105"/>
        </w:rPr>
        <w:t>tratarse</w:t>
      </w:r>
      <w:r>
        <w:rPr>
          <w:spacing w:val="-10"/>
          <w:w w:val="105"/>
        </w:rPr>
        <w:t> </w:t>
      </w:r>
      <w:r>
        <w:rPr>
          <w:w w:val="105"/>
        </w:rPr>
        <w:t>de</w:t>
      </w:r>
      <w:r>
        <w:rPr>
          <w:spacing w:val="-10"/>
          <w:w w:val="105"/>
        </w:rPr>
        <w:t> </w:t>
      </w:r>
      <w:r>
        <w:rPr>
          <w:w w:val="105"/>
        </w:rPr>
        <w:t>un</w:t>
      </w:r>
      <w:r>
        <w:rPr>
          <w:spacing w:val="-10"/>
          <w:w w:val="105"/>
        </w:rPr>
        <w:t> </w:t>
      </w:r>
      <w:r>
        <w:rPr>
          <w:w w:val="105"/>
        </w:rPr>
        <w:t>estudio</w:t>
      </w:r>
      <w:r>
        <w:rPr>
          <w:spacing w:val="-10"/>
          <w:w w:val="105"/>
        </w:rPr>
        <w:t> </w:t>
      </w:r>
      <w:r>
        <w:rPr>
          <w:w w:val="105"/>
        </w:rPr>
        <w:t>observacional,</w:t>
      </w:r>
      <w:r>
        <w:rPr>
          <w:spacing w:val="-11"/>
          <w:w w:val="105"/>
        </w:rPr>
        <w:t> </w:t>
      </w:r>
      <w:r>
        <w:rPr>
          <w:w w:val="105"/>
        </w:rPr>
        <w:t>sin</w:t>
      </w:r>
      <w:r>
        <w:rPr>
          <w:spacing w:val="-10"/>
          <w:w w:val="105"/>
        </w:rPr>
        <w:t> </w:t>
      </w:r>
      <w:r>
        <w:rPr>
          <w:w w:val="105"/>
        </w:rPr>
        <w:t>ningún</w:t>
      </w:r>
      <w:r>
        <w:rPr>
          <w:spacing w:val="-10"/>
          <w:w w:val="105"/>
        </w:rPr>
        <w:t> </w:t>
      </w:r>
      <w:r>
        <w:rPr>
          <w:w w:val="105"/>
        </w:rPr>
        <w:t>tipo</w:t>
      </w:r>
      <w:r>
        <w:rPr>
          <w:spacing w:val="-10"/>
          <w:w w:val="105"/>
        </w:rPr>
        <w:t> </w:t>
      </w:r>
      <w:r>
        <w:rPr>
          <w:w w:val="105"/>
        </w:rPr>
        <w:t>de</w:t>
      </w:r>
      <w:r>
        <w:rPr>
          <w:spacing w:val="-10"/>
          <w:w w:val="105"/>
        </w:rPr>
        <w:t> </w:t>
      </w:r>
      <w:r>
        <w:rPr>
          <w:w w:val="105"/>
        </w:rPr>
        <w:t>intervención,</w:t>
      </w:r>
      <w:r>
        <w:rPr>
          <w:spacing w:val="-11"/>
          <w:w w:val="105"/>
        </w:rPr>
        <w:t> </w:t>
      </w:r>
      <w:r>
        <w:rPr>
          <w:w w:val="105"/>
        </w:rPr>
        <w:t>no</w:t>
      </w:r>
      <w:r>
        <w:rPr>
          <w:spacing w:val="-10"/>
          <w:w w:val="105"/>
        </w:rPr>
        <w:t> </w:t>
      </w:r>
      <w:r>
        <w:rPr>
          <w:w w:val="105"/>
        </w:rPr>
        <w:t>requirió de consentimiento</w:t>
      </w:r>
      <w:r>
        <w:rPr>
          <w:spacing w:val="-15"/>
          <w:w w:val="105"/>
        </w:rPr>
        <w:t> </w:t>
      </w:r>
      <w:r>
        <w:rPr>
          <w:w w:val="105"/>
        </w:rPr>
        <w:t>informado.</w:t>
      </w:r>
    </w:p>
    <w:p>
      <w:pPr>
        <w:pStyle w:val="BodyText"/>
        <w:rPr>
          <w:sz w:val="22"/>
        </w:rPr>
      </w:pPr>
    </w:p>
    <w:p>
      <w:pPr>
        <w:pStyle w:val="BodyText"/>
        <w:rPr>
          <w:sz w:val="22"/>
        </w:rPr>
      </w:pPr>
    </w:p>
    <w:p>
      <w:pPr>
        <w:pStyle w:val="BodyText"/>
        <w:spacing w:before="9"/>
        <w:rPr>
          <w:sz w:val="24"/>
        </w:rPr>
      </w:pPr>
    </w:p>
    <w:p>
      <w:pPr>
        <w:pStyle w:val="Heading3"/>
        <w:ind w:left="108" w:firstLine="0"/>
      </w:pPr>
      <w:bookmarkStart w:name="_TOC_250006" w:id="18"/>
      <w:bookmarkEnd w:id="18"/>
      <w:r>
        <w:rPr>
          <w:w w:val="105"/>
        </w:rPr>
        <w:t>VIII.- ORGANIZACIÓN:</w:t>
      </w:r>
    </w:p>
    <w:p>
      <w:pPr>
        <w:pStyle w:val="BodyText"/>
        <w:spacing w:before="3"/>
        <w:rPr>
          <w:b/>
          <w:sz w:val="28"/>
        </w:rPr>
      </w:pPr>
    </w:p>
    <w:p>
      <w:pPr>
        <w:spacing w:line="480" w:lineRule="auto" w:before="0"/>
        <w:ind w:left="108" w:right="4809" w:firstLine="0"/>
        <w:jc w:val="left"/>
        <w:rPr>
          <w:sz w:val="24"/>
        </w:rPr>
      </w:pPr>
      <w:r>
        <w:rPr>
          <w:sz w:val="24"/>
        </w:rPr>
        <w:t>Trabajo de investigación realizado por: Tesista: Salvador Moya Jimenez</w:t>
      </w:r>
    </w:p>
    <w:p>
      <w:pPr>
        <w:spacing w:line="480" w:lineRule="auto" w:before="8"/>
        <w:ind w:left="108" w:right="3075" w:firstLine="0"/>
        <w:jc w:val="left"/>
        <w:rPr>
          <w:sz w:val="24"/>
        </w:rPr>
      </w:pPr>
      <w:r>
        <w:rPr>
          <w:sz w:val="24"/>
        </w:rPr>
        <w:t>Director clínico de tesis: Dr. Hugo Carrasco González Director Metodológico: Dr. Fernando Rodríguez Ortega</w:t>
      </w:r>
    </w:p>
    <w:p>
      <w:pPr>
        <w:spacing w:after="0" w:line="480" w:lineRule="auto"/>
        <w:jc w:val="left"/>
        <w:rPr>
          <w:sz w:val="24"/>
        </w:rPr>
        <w:sectPr>
          <w:pgSz w:w="12240" w:h="15840"/>
          <w:pgMar w:header="0" w:footer="687" w:top="1380" w:bottom="940" w:left="1600" w:right="1580"/>
        </w:sectPr>
      </w:pPr>
    </w:p>
    <w:p>
      <w:pPr>
        <w:pStyle w:val="BodyText"/>
        <w:rPr>
          <w:sz w:val="20"/>
        </w:rPr>
      </w:pPr>
    </w:p>
    <w:p>
      <w:pPr>
        <w:pStyle w:val="BodyText"/>
        <w:spacing w:before="1"/>
        <w:rPr>
          <w:sz w:val="18"/>
        </w:rPr>
      </w:pPr>
    </w:p>
    <w:p>
      <w:pPr>
        <w:pStyle w:val="Heading3"/>
        <w:numPr>
          <w:ilvl w:val="0"/>
          <w:numId w:val="13"/>
        </w:numPr>
        <w:tabs>
          <w:tab w:pos="439" w:val="left" w:leader="none"/>
        </w:tabs>
        <w:spacing w:line="240" w:lineRule="auto" w:before="1" w:after="0"/>
        <w:ind w:left="438" w:right="0" w:hanging="330"/>
        <w:jc w:val="both"/>
      </w:pPr>
      <w:bookmarkStart w:name="_TOC_250005" w:id="19"/>
      <w:bookmarkEnd w:id="19"/>
      <w:r>
        <w:rPr>
          <w:w w:val="105"/>
        </w:rPr>
        <w:t>RESULTADOS</w:t>
      </w:r>
    </w:p>
    <w:p>
      <w:pPr>
        <w:pStyle w:val="BodyText"/>
        <w:spacing w:before="9"/>
        <w:rPr>
          <w:b/>
          <w:sz w:val="22"/>
        </w:rPr>
      </w:pPr>
    </w:p>
    <w:p>
      <w:pPr>
        <w:pStyle w:val="BodyText"/>
        <w:spacing w:line="501" w:lineRule="auto"/>
        <w:ind w:left="108" w:right="111"/>
        <w:jc w:val="both"/>
      </w:pPr>
      <w:r>
        <w:rPr>
          <w:w w:val="105"/>
        </w:rPr>
        <w:t>Fueron reunidos 15 expedientes, se excluyo uno. Consideramos entonces 14 registros de pacientes, de los cuales 13 fueron de sexo femenino, y uno de sexo masculino, la edad comprendida fue entre los 31 y los 56 años de edad, con una media de 46.92 años (Ver Grafica 1).</w:t>
      </w:r>
    </w:p>
    <w:p>
      <w:pPr>
        <w:pStyle w:val="BodyText"/>
        <w:spacing w:line="501" w:lineRule="auto" w:before="11"/>
        <w:ind w:left="108" w:right="115"/>
        <w:jc w:val="both"/>
      </w:pPr>
      <w:r>
        <w:rPr>
          <w:w w:val="105"/>
        </w:rPr>
        <w:t>Al cuestionar sobre la ocupación la mayoría fue ama de casa en un 71.42 % (n=10), y</w:t>
      </w:r>
      <w:r>
        <w:rPr>
          <w:spacing w:val="-38"/>
          <w:w w:val="105"/>
        </w:rPr>
        <w:t> </w:t>
      </w:r>
      <w:r>
        <w:rPr>
          <w:w w:val="105"/>
        </w:rPr>
        <w:t>solo el 28.57 % (n=4), contaba con el registro de empleado derechohabiente</w:t>
      </w:r>
      <w:r>
        <w:rPr>
          <w:spacing w:val="-41"/>
          <w:w w:val="105"/>
        </w:rPr>
        <w:t> </w:t>
      </w:r>
      <w:r>
        <w:rPr>
          <w:w w:val="105"/>
        </w:rPr>
        <w:t>directo.</w:t>
      </w:r>
    </w:p>
    <w:p>
      <w:pPr>
        <w:pStyle w:val="BodyText"/>
        <w:spacing w:line="504" w:lineRule="auto" w:before="6"/>
        <w:ind w:left="108" w:right="109"/>
        <w:jc w:val="both"/>
      </w:pPr>
      <w:r>
        <w:rPr>
          <w:w w:val="105"/>
        </w:rPr>
        <w:t>En el 100% de los pacientes el dato clínico mas importante fue incremento de volumen a nivel cervical. Predominantemente del lado derecho con un 78.57 % de los casos (n=11), y</w:t>
      </w:r>
      <w:r>
        <w:rPr>
          <w:spacing w:val="-4"/>
          <w:w w:val="105"/>
        </w:rPr>
        <w:t> </w:t>
      </w:r>
      <w:r>
        <w:rPr>
          <w:w w:val="105"/>
        </w:rPr>
        <w:t>para</w:t>
      </w:r>
      <w:r>
        <w:rPr>
          <w:spacing w:val="-4"/>
          <w:w w:val="105"/>
        </w:rPr>
        <w:t> </w:t>
      </w:r>
      <w:r>
        <w:rPr>
          <w:w w:val="105"/>
        </w:rPr>
        <w:t>el</w:t>
      </w:r>
      <w:r>
        <w:rPr>
          <w:spacing w:val="-5"/>
          <w:w w:val="105"/>
        </w:rPr>
        <w:t> </w:t>
      </w:r>
      <w:r>
        <w:rPr>
          <w:w w:val="105"/>
        </w:rPr>
        <w:t>lado</w:t>
      </w:r>
      <w:r>
        <w:rPr>
          <w:spacing w:val="-4"/>
          <w:w w:val="105"/>
        </w:rPr>
        <w:t> </w:t>
      </w:r>
      <w:r>
        <w:rPr>
          <w:w w:val="105"/>
        </w:rPr>
        <w:t>izquierdo</w:t>
      </w:r>
      <w:r>
        <w:rPr>
          <w:spacing w:val="-4"/>
          <w:w w:val="105"/>
        </w:rPr>
        <w:t> </w:t>
      </w:r>
      <w:r>
        <w:rPr>
          <w:w w:val="105"/>
        </w:rPr>
        <w:t>un</w:t>
      </w:r>
      <w:r>
        <w:rPr>
          <w:spacing w:val="-4"/>
          <w:w w:val="105"/>
        </w:rPr>
        <w:t> </w:t>
      </w:r>
      <w:r>
        <w:rPr>
          <w:w w:val="105"/>
        </w:rPr>
        <w:t>21.42</w:t>
      </w:r>
      <w:r>
        <w:rPr>
          <w:spacing w:val="-4"/>
          <w:w w:val="105"/>
        </w:rPr>
        <w:t> </w:t>
      </w:r>
      <w:r>
        <w:rPr>
          <w:w w:val="105"/>
        </w:rPr>
        <w:t>%</w:t>
      </w:r>
      <w:r>
        <w:rPr>
          <w:spacing w:val="-2"/>
          <w:w w:val="105"/>
        </w:rPr>
        <w:t> </w:t>
      </w:r>
      <w:r>
        <w:rPr>
          <w:w w:val="105"/>
        </w:rPr>
        <w:t>(n=3).</w:t>
      </w:r>
      <w:r>
        <w:rPr>
          <w:spacing w:val="-5"/>
          <w:w w:val="105"/>
        </w:rPr>
        <w:t> </w:t>
      </w:r>
      <w:r>
        <w:rPr>
          <w:w w:val="105"/>
        </w:rPr>
        <w:t>Con</w:t>
      </w:r>
      <w:r>
        <w:rPr>
          <w:spacing w:val="-4"/>
          <w:w w:val="105"/>
        </w:rPr>
        <w:t> </w:t>
      </w:r>
      <w:r>
        <w:rPr>
          <w:w w:val="105"/>
        </w:rPr>
        <w:t>un</w:t>
      </w:r>
      <w:r>
        <w:rPr>
          <w:spacing w:val="-4"/>
          <w:w w:val="105"/>
        </w:rPr>
        <w:t> </w:t>
      </w:r>
      <w:r>
        <w:rPr>
          <w:w w:val="105"/>
        </w:rPr>
        <w:t>rango</w:t>
      </w:r>
      <w:r>
        <w:rPr>
          <w:spacing w:val="-4"/>
          <w:w w:val="105"/>
        </w:rPr>
        <w:t> </w:t>
      </w:r>
      <w:r>
        <w:rPr>
          <w:w w:val="105"/>
        </w:rPr>
        <w:t>de</w:t>
      </w:r>
      <w:r>
        <w:rPr>
          <w:spacing w:val="-4"/>
          <w:w w:val="105"/>
        </w:rPr>
        <w:t> </w:t>
      </w:r>
      <w:r>
        <w:rPr>
          <w:w w:val="105"/>
        </w:rPr>
        <w:t>evolución</w:t>
      </w:r>
      <w:r>
        <w:rPr>
          <w:spacing w:val="-4"/>
          <w:w w:val="105"/>
        </w:rPr>
        <w:t> </w:t>
      </w:r>
      <w:r>
        <w:rPr>
          <w:w w:val="105"/>
        </w:rPr>
        <w:t>mínimo</w:t>
      </w:r>
      <w:r>
        <w:rPr>
          <w:spacing w:val="-4"/>
          <w:w w:val="105"/>
        </w:rPr>
        <w:t> </w:t>
      </w:r>
      <w:r>
        <w:rPr>
          <w:w w:val="105"/>
        </w:rPr>
        <w:t>en</w:t>
      </w:r>
      <w:r>
        <w:rPr>
          <w:spacing w:val="-4"/>
          <w:w w:val="105"/>
        </w:rPr>
        <w:t> </w:t>
      </w:r>
      <w:r>
        <w:rPr>
          <w:w w:val="105"/>
        </w:rPr>
        <w:t>el</w:t>
      </w:r>
      <w:r>
        <w:rPr>
          <w:spacing w:val="-5"/>
          <w:w w:val="105"/>
        </w:rPr>
        <w:t> </w:t>
      </w:r>
      <w:r>
        <w:rPr>
          <w:w w:val="105"/>
        </w:rPr>
        <w:t>cual</w:t>
      </w:r>
      <w:r>
        <w:rPr>
          <w:spacing w:val="-5"/>
          <w:w w:val="105"/>
        </w:rPr>
        <w:t> </w:t>
      </w:r>
      <w:r>
        <w:rPr>
          <w:w w:val="105"/>
        </w:rPr>
        <w:t>se considero</w:t>
      </w:r>
      <w:r>
        <w:rPr>
          <w:spacing w:val="-6"/>
          <w:w w:val="105"/>
        </w:rPr>
        <w:t> </w:t>
      </w:r>
      <w:r>
        <w:rPr>
          <w:w w:val="105"/>
        </w:rPr>
        <w:t>cuando</w:t>
      </w:r>
      <w:r>
        <w:rPr>
          <w:spacing w:val="-6"/>
          <w:w w:val="105"/>
        </w:rPr>
        <w:t> </w:t>
      </w:r>
      <w:r>
        <w:rPr>
          <w:w w:val="105"/>
        </w:rPr>
        <w:t>identifico</w:t>
      </w:r>
      <w:r>
        <w:rPr>
          <w:spacing w:val="-6"/>
          <w:w w:val="105"/>
        </w:rPr>
        <w:t> </w:t>
      </w:r>
      <w:r>
        <w:rPr>
          <w:w w:val="105"/>
        </w:rPr>
        <w:t>por</w:t>
      </w:r>
      <w:r>
        <w:rPr>
          <w:spacing w:val="-7"/>
          <w:w w:val="105"/>
        </w:rPr>
        <w:t> </w:t>
      </w:r>
      <w:r>
        <w:rPr>
          <w:w w:val="105"/>
        </w:rPr>
        <w:t>primera</w:t>
      </w:r>
      <w:r>
        <w:rPr>
          <w:spacing w:val="-6"/>
          <w:w w:val="105"/>
        </w:rPr>
        <w:t> </w:t>
      </w:r>
      <w:r>
        <w:rPr>
          <w:w w:val="105"/>
        </w:rPr>
        <w:t>el</w:t>
      </w:r>
      <w:r>
        <w:rPr>
          <w:spacing w:val="-8"/>
          <w:w w:val="105"/>
        </w:rPr>
        <w:t> </w:t>
      </w:r>
      <w:r>
        <w:rPr>
          <w:w w:val="105"/>
        </w:rPr>
        <w:t>tumor</w:t>
      </w:r>
      <w:r>
        <w:rPr>
          <w:spacing w:val="-7"/>
          <w:w w:val="105"/>
        </w:rPr>
        <w:t> </w:t>
      </w:r>
      <w:r>
        <w:rPr>
          <w:w w:val="105"/>
        </w:rPr>
        <w:t>de</w:t>
      </w:r>
      <w:r>
        <w:rPr>
          <w:spacing w:val="-6"/>
          <w:w w:val="105"/>
        </w:rPr>
        <w:t> </w:t>
      </w:r>
      <w:r>
        <w:rPr>
          <w:w w:val="105"/>
        </w:rPr>
        <w:t>6</w:t>
      </w:r>
      <w:r>
        <w:rPr>
          <w:spacing w:val="-6"/>
          <w:w w:val="105"/>
        </w:rPr>
        <w:t> </w:t>
      </w:r>
      <w:r>
        <w:rPr>
          <w:w w:val="105"/>
        </w:rPr>
        <w:t>meses,</w:t>
      </w:r>
      <w:r>
        <w:rPr>
          <w:spacing w:val="-8"/>
          <w:w w:val="105"/>
        </w:rPr>
        <w:t> </w:t>
      </w:r>
      <w:r>
        <w:rPr>
          <w:w w:val="105"/>
        </w:rPr>
        <w:t>y</w:t>
      </w:r>
      <w:r>
        <w:rPr>
          <w:spacing w:val="-7"/>
          <w:w w:val="105"/>
        </w:rPr>
        <w:t> </w:t>
      </w:r>
      <w:r>
        <w:rPr>
          <w:w w:val="105"/>
        </w:rPr>
        <w:t>un</w:t>
      </w:r>
      <w:r>
        <w:rPr>
          <w:spacing w:val="-6"/>
          <w:w w:val="105"/>
        </w:rPr>
        <w:t> </w:t>
      </w:r>
      <w:r>
        <w:rPr>
          <w:w w:val="105"/>
        </w:rPr>
        <w:t>máximo</w:t>
      </w:r>
      <w:r>
        <w:rPr>
          <w:spacing w:val="-6"/>
          <w:w w:val="105"/>
        </w:rPr>
        <w:t> </w:t>
      </w:r>
      <w:r>
        <w:rPr>
          <w:w w:val="105"/>
        </w:rPr>
        <w:t>de</w:t>
      </w:r>
      <w:r>
        <w:rPr>
          <w:spacing w:val="-6"/>
          <w:w w:val="105"/>
        </w:rPr>
        <w:t> </w:t>
      </w:r>
      <w:r>
        <w:rPr>
          <w:w w:val="105"/>
        </w:rPr>
        <w:t>6</w:t>
      </w:r>
      <w:r>
        <w:rPr>
          <w:spacing w:val="-6"/>
          <w:w w:val="105"/>
        </w:rPr>
        <w:t> </w:t>
      </w:r>
      <w:r>
        <w:rPr>
          <w:w w:val="105"/>
        </w:rPr>
        <w:t>años</w:t>
      </w:r>
      <w:r>
        <w:rPr>
          <w:spacing w:val="-7"/>
          <w:w w:val="105"/>
        </w:rPr>
        <w:t> </w:t>
      </w:r>
      <w:r>
        <w:rPr>
          <w:w w:val="105"/>
        </w:rPr>
        <w:t>hasta que</w:t>
      </w:r>
      <w:r>
        <w:rPr>
          <w:spacing w:val="-4"/>
          <w:w w:val="105"/>
        </w:rPr>
        <w:t> </w:t>
      </w:r>
      <w:r>
        <w:rPr>
          <w:w w:val="105"/>
        </w:rPr>
        <w:t>decide</w:t>
      </w:r>
      <w:r>
        <w:rPr>
          <w:spacing w:val="-4"/>
          <w:w w:val="105"/>
        </w:rPr>
        <w:t> </w:t>
      </w:r>
      <w:r>
        <w:rPr>
          <w:w w:val="105"/>
        </w:rPr>
        <w:t>recibir</w:t>
      </w:r>
      <w:r>
        <w:rPr>
          <w:spacing w:val="-4"/>
          <w:w w:val="105"/>
        </w:rPr>
        <w:t> </w:t>
      </w:r>
      <w:r>
        <w:rPr>
          <w:w w:val="105"/>
        </w:rPr>
        <w:t>tratamiento.</w:t>
      </w:r>
      <w:r>
        <w:rPr>
          <w:spacing w:val="-5"/>
          <w:w w:val="105"/>
        </w:rPr>
        <w:t> </w:t>
      </w:r>
      <w:r>
        <w:rPr>
          <w:w w:val="105"/>
        </w:rPr>
        <w:t>El</w:t>
      </w:r>
      <w:r>
        <w:rPr>
          <w:spacing w:val="-5"/>
          <w:w w:val="105"/>
        </w:rPr>
        <w:t> </w:t>
      </w:r>
      <w:r>
        <w:rPr>
          <w:w w:val="105"/>
        </w:rPr>
        <w:t>promedio</w:t>
      </w:r>
      <w:r>
        <w:rPr>
          <w:spacing w:val="-4"/>
          <w:w w:val="105"/>
        </w:rPr>
        <w:t> </w:t>
      </w:r>
      <w:r>
        <w:rPr>
          <w:w w:val="105"/>
        </w:rPr>
        <w:t>corresponde</w:t>
      </w:r>
      <w:r>
        <w:rPr>
          <w:spacing w:val="-4"/>
          <w:w w:val="105"/>
        </w:rPr>
        <w:t> </w:t>
      </w:r>
      <w:r>
        <w:rPr>
          <w:w w:val="105"/>
        </w:rPr>
        <w:t>a</w:t>
      </w:r>
      <w:r>
        <w:rPr>
          <w:spacing w:val="-4"/>
          <w:w w:val="105"/>
        </w:rPr>
        <w:t> </w:t>
      </w:r>
      <w:r>
        <w:rPr>
          <w:w w:val="105"/>
        </w:rPr>
        <w:t>17.66</w:t>
      </w:r>
      <w:r>
        <w:rPr>
          <w:spacing w:val="-4"/>
          <w:w w:val="105"/>
        </w:rPr>
        <w:t> </w:t>
      </w:r>
      <w:r>
        <w:rPr>
          <w:w w:val="105"/>
        </w:rPr>
        <w:t>meses</w:t>
      </w:r>
      <w:r>
        <w:rPr>
          <w:spacing w:val="-4"/>
          <w:w w:val="105"/>
        </w:rPr>
        <w:t> </w:t>
      </w:r>
      <w:r>
        <w:rPr>
          <w:w w:val="105"/>
        </w:rPr>
        <w:t>de</w:t>
      </w:r>
      <w:r>
        <w:rPr>
          <w:spacing w:val="-4"/>
          <w:w w:val="105"/>
        </w:rPr>
        <w:t> </w:t>
      </w:r>
      <w:r>
        <w:rPr>
          <w:w w:val="105"/>
        </w:rPr>
        <w:t>evolución.</w:t>
      </w:r>
    </w:p>
    <w:p>
      <w:pPr>
        <w:pStyle w:val="BodyText"/>
        <w:spacing w:line="501" w:lineRule="auto" w:before="9"/>
        <w:ind w:left="108" w:right="112"/>
        <w:jc w:val="both"/>
      </w:pPr>
      <w:r>
        <w:rPr>
          <w:w w:val="105"/>
        </w:rPr>
        <w:t>Respecto</w:t>
      </w:r>
      <w:r>
        <w:rPr>
          <w:spacing w:val="-16"/>
          <w:w w:val="105"/>
        </w:rPr>
        <w:t> </w:t>
      </w:r>
      <w:r>
        <w:rPr>
          <w:w w:val="105"/>
        </w:rPr>
        <w:t>al</w:t>
      </w:r>
      <w:r>
        <w:rPr>
          <w:spacing w:val="-17"/>
          <w:w w:val="105"/>
        </w:rPr>
        <w:t> </w:t>
      </w:r>
      <w:r>
        <w:rPr>
          <w:w w:val="105"/>
        </w:rPr>
        <w:t>lugar</w:t>
      </w:r>
      <w:r>
        <w:rPr>
          <w:spacing w:val="-17"/>
          <w:w w:val="105"/>
        </w:rPr>
        <w:t> </w:t>
      </w:r>
      <w:r>
        <w:rPr>
          <w:w w:val="105"/>
        </w:rPr>
        <w:t>de</w:t>
      </w:r>
      <w:r>
        <w:rPr>
          <w:spacing w:val="-16"/>
          <w:w w:val="105"/>
        </w:rPr>
        <w:t> </w:t>
      </w:r>
      <w:r>
        <w:rPr>
          <w:w w:val="105"/>
        </w:rPr>
        <w:t>residencia</w:t>
      </w:r>
      <w:r>
        <w:rPr>
          <w:spacing w:val="-16"/>
          <w:w w:val="105"/>
        </w:rPr>
        <w:t> </w:t>
      </w:r>
      <w:r>
        <w:rPr>
          <w:w w:val="105"/>
        </w:rPr>
        <w:t>encontramos</w:t>
      </w:r>
      <w:r>
        <w:rPr>
          <w:spacing w:val="-16"/>
          <w:w w:val="105"/>
        </w:rPr>
        <w:t> </w:t>
      </w:r>
      <w:r>
        <w:rPr>
          <w:w w:val="105"/>
        </w:rPr>
        <w:t>que</w:t>
      </w:r>
      <w:r>
        <w:rPr>
          <w:spacing w:val="-16"/>
          <w:w w:val="105"/>
        </w:rPr>
        <w:t> </w:t>
      </w:r>
      <w:r>
        <w:rPr>
          <w:w w:val="105"/>
        </w:rPr>
        <w:t>el</w:t>
      </w:r>
      <w:r>
        <w:rPr>
          <w:spacing w:val="-17"/>
          <w:w w:val="105"/>
        </w:rPr>
        <w:t> </w:t>
      </w:r>
      <w:r>
        <w:rPr>
          <w:w w:val="105"/>
        </w:rPr>
        <w:t>100%</w:t>
      </w:r>
      <w:r>
        <w:rPr>
          <w:spacing w:val="-15"/>
          <w:w w:val="105"/>
        </w:rPr>
        <w:t> </w:t>
      </w:r>
      <w:r>
        <w:rPr>
          <w:w w:val="105"/>
        </w:rPr>
        <w:t>pertenecían</w:t>
      </w:r>
      <w:r>
        <w:rPr>
          <w:spacing w:val="-16"/>
          <w:w w:val="105"/>
        </w:rPr>
        <w:t> </w:t>
      </w:r>
      <w:r>
        <w:rPr>
          <w:w w:val="105"/>
        </w:rPr>
        <w:t>al</w:t>
      </w:r>
      <w:r>
        <w:rPr>
          <w:spacing w:val="-17"/>
          <w:w w:val="105"/>
        </w:rPr>
        <w:t> </w:t>
      </w:r>
      <w:r>
        <w:rPr>
          <w:w w:val="105"/>
        </w:rPr>
        <w:t>estado</w:t>
      </w:r>
      <w:r>
        <w:rPr>
          <w:spacing w:val="-16"/>
          <w:w w:val="105"/>
        </w:rPr>
        <w:t> </w:t>
      </w:r>
      <w:r>
        <w:rPr>
          <w:w w:val="105"/>
        </w:rPr>
        <w:t>de</w:t>
      </w:r>
      <w:r>
        <w:rPr>
          <w:spacing w:val="-16"/>
          <w:w w:val="105"/>
        </w:rPr>
        <w:t> </w:t>
      </w:r>
      <w:r>
        <w:rPr>
          <w:w w:val="105"/>
        </w:rPr>
        <w:t>México, la mayoría un 64.28% (n=9) de los casos radica en Toluca, 21.42% (n=3) en el valle de Chalco y solo en 14.28% (n=2) en Atlacomulco (Ver Tabla</w:t>
      </w:r>
      <w:r>
        <w:rPr>
          <w:spacing w:val="-36"/>
          <w:w w:val="105"/>
        </w:rPr>
        <w:t> </w:t>
      </w:r>
      <w:r>
        <w:rPr>
          <w:w w:val="105"/>
        </w:rPr>
        <w:t>1).</w:t>
      </w:r>
    </w:p>
    <w:p>
      <w:pPr>
        <w:pStyle w:val="BodyText"/>
        <w:spacing w:line="501" w:lineRule="auto" w:before="11"/>
        <w:ind w:left="108" w:right="111"/>
        <w:jc w:val="both"/>
      </w:pPr>
      <w:r>
        <w:rPr>
          <w:w w:val="105"/>
        </w:rPr>
        <w:t>Dentro</w:t>
      </w:r>
      <w:r>
        <w:rPr>
          <w:spacing w:val="-18"/>
          <w:w w:val="105"/>
        </w:rPr>
        <w:t> </w:t>
      </w:r>
      <w:r>
        <w:rPr>
          <w:w w:val="105"/>
        </w:rPr>
        <w:t>de</w:t>
      </w:r>
      <w:r>
        <w:rPr>
          <w:spacing w:val="-18"/>
          <w:w w:val="105"/>
        </w:rPr>
        <w:t> </w:t>
      </w:r>
      <w:r>
        <w:rPr>
          <w:w w:val="105"/>
        </w:rPr>
        <w:t>las</w:t>
      </w:r>
      <w:r>
        <w:rPr>
          <w:spacing w:val="-19"/>
          <w:w w:val="105"/>
        </w:rPr>
        <w:t> </w:t>
      </w:r>
      <w:r>
        <w:rPr>
          <w:w w:val="105"/>
        </w:rPr>
        <w:t>enfermedades</w:t>
      </w:r>
      <w:r>
        <w:rPr>
          <w:spacing w:val="-19"/>
          <w:w w:val="105"/>
        </w:rPr>
        <w:t> </w:t>
      </w:r>
      <w:r>
        <w:rPr>
          <w:w w:val="105"/>
        </w:rPr>
        <w:t>concomitantes</w:t>
      </w:r>
      <w:r>
        <w:rPr>
          <w:spacing w:val="-19"/>
          <w:w w:val="105"/>
        </w:rPr>
        <w:t> </w:t>
      </w:r>
      <w:r>
        <w:rPr>
          <w:w w:val="105"/>
        </w:rPr>
        <w:t>relacionadas,</w:t>
      </w:r>
      <w:r>
        <w:rPr>
          <w:spacing w:val="-20"/>
          <w:w w:val="105"/>
        </w:rPr>
        <w:t> </w:t>
      </w:r>
      <w:r>
        <w:rPr>
          <w:w w:val="105"/>
        </w:rPr>
        <w:t>dos</w:t>
      </w:r>
      <w:r>
        <w:rPr>
          <w:spacing w:val="-19"/>
          <w:w w:val="105"/>
        </w:rPr>
        <w:t> </w:t>
      </w:r>
      <w:r>
        <w:rPr>
          <w:w w:val="105"/>
        </w:rPr>
        <w:t>casos</w:t>
      </w:r>
      <w:r>
        <w:rPr>
          <w:spacing w:val="-19"/>
          <w:w w:val="105"/>
        </w:rPr>
        <w:t> </w:t>
      </w:r>
      <w:r>
        <w:rPr>
          <w:w w:val="105"/>
        </w:rPr>
        <w:t>(14.28%)</w:t>
      </w:r>
      <w:r>
        <w:rPr>
          <w:spacing w:val="-19"/>
          <w:w w:val="105"/>
        </w:rPr>
        <w:t> </w:t>
      </w:r>
      <w:r>
        <w:rPr>
          <w:w w:val="105"/>
        </w:rPr>
        <w:t>con</w:t>
      </w:r>
      <w:r>
        <w:rPr>
          <w:spacing w:val="-18"/>
          <w:w w:val="105"/>
        </w:rPr>
        <w:t> </w:t>
      </w:r>
      <w:r>
        <w:rPr>
          <w:w w:val="105"/>
        </w:rPr>
        <w:t>Diabetes Mellitus Tipo 2 (DM 2), tres casos (21.42 %) Hipertensión arterial sistémica , 3 pacientes (21.42%) con HAS y diabetes mellitus tipo 2 (DM 2) y finalmente 6 pacientes (42.85%) sin antecedente de patología agregada (Ver Tabla</w:t>
      </w:r>
      <w:r>
        <w:rPr>
          <w:spacing w:val="-27"/>
          <w:w w:val="105"/>
        </w:rPr>
        <w:t> </w:t>
      </w:r>
      <w:r>
        <w:rPr>
          <w:w w:val="105"/>
        </w:rPr>
        <w:t>2).</w:t>
      </w:r>
    </w:p>
    <w:p>
      <w:pPr>
        <w:pStyle w:val="BodyText"/>
        <w:spacing w:line="376" w:lineRule="auto" w:before="11"/>
        <w:ind w:left="108" w:right="111"/>
        <w:jc w:val="both"/>
      </w:pPr>
      <w:r>
        <w:rPr>
          <w:w w:val="105"/>
        </w:rPr>
        <w:t>El método común de diagnostico fue la arteriografía (Arteriog) para todos, apoyados en ultrasonido doppler-duplex (DD) y tomografía axial computada (TAC). En 7 pacientes   (50</w:t>
      </w:r>
    </w:p>
    <w:p>
      <w:pPr>
        <w:pStyle w:val="BodyText"/>
        <w:spacing w:line="381" w:lineRule="auto" w:before="4"/>
        <w:ind w:left="108" w:right="109"/>
        <w:jc w:val="both"/>
      </w:pPr>
      <w:r>
        <w:rPr>
          <w:w w:val="105"/>
        </w:rPr>
        <w:t>%) se realizo Arteriog, DD y TAC , 5 de ellos (35.71%) Arteriog y TAC, finalmente 3 pacientes (14.28%) Arteriog y DD (Ver Tabla 3 y Gráfica 2).</w:t>
      </w:r>
    </w:p>
    <w:p>
      <w:pPr>
        <w:pStyle w:val="BodyText"/>
        <w:spacing w:line="376" w:lineRule="auto"/>
        <w:ind w:left="108" w:right="112"/>
        <w:jc w:val="both"/>
      </w:pPr>
      <w:r>
        <w:rPr>
          <w:w w:val="105"/>
        </w:rPr>
        <w:t>El tratamiento empleado en todos los pacientes fue resección subadventicial del tumor, mediante exploración cervical anterior. De acuerdo a la clasificación de Shamblim el 71.42</w:t>
      </w:r>
    </w:p>
    <w:p>
      <w:pPr>
        <w:spacing w:after="0" w:line="376" w:lineRule="auto"/>
        <w:jc w:val="both"/>
        <w:sectPr>
          <w:pgSz w:w="12240" w:h="15840"/>
          <w:pgMar w:header="0" w:footer="687" w:top="1500" w:bottom="940" w:left="1600" w:right="1580"/>
        </w:sectPr>
      </w:pPr>
    </w:p>
    <w:p>
      <w:pPr>
        <w:pStyle w:val="BodyText"/>
        <w:spacing w:line="376" w:lineRule="auto" w:before="55"/>
        <w:ind w:left="108" w:right="114"/>
        <w:jc w:val="both"/>
      </w:pPr>
      <w:r>
        <w:rPr>
          <w:w w:val="105"/>
        </w:rPr>
        <w:t>%</w:t>
      </w:r>
      <w:r>
        <w:rPr>
          <w:spacing w:val="-2"/>
          <w:w w:val="105"/>
        </w:rPr>
        <w:t> </w:t>
      </w:r>
      <w:r>
        <w:rPr>
          <w:w w:val="105"/>
        </w:rPr>
        <w:t>(n=10)</w:t>
      </w:r>
      <w:r>
        <w:rPr>
          <w:spacing w:val="-5"/>
          <w:w w:val="105"/>
        </w:rPr>
        <w:t> </w:t>
      </w:r>
      <w:r>
        <w:rPr>
          <w:w w:val="105"/>
        </w:rPr>
        <w:t>de</w:t>
      </w:r>
      <w:r>
        <w:rPr>
          <w:spacing w:val="-4"/>
          <w:w w:val="105"/>
        </w:rPr>
        <w:t> </w:t>
      </w:r>
      <w:r>
        <w:rPr>
          <w:w w:val="105"/>
        </w:rPr>
        <w:t>los</w:t>
      </w:r>
      <w:r>
        <w:rPr>
          <w:spacing w:val="-4"/>
          <w:w w:val="105"/>
        </w:rPr>
        <w:t> </w:t>
      </w:r>
      <w:r>
        <w:rPr>
          <w:w w:val="105"/>
        </w:rPr>
        <w:t>pacientes</w:t>
      </w:r>
      <w:r>
        <w:rPr>
          <w:spacing w:val="-4"/>
          <w:w w:val="105"/>
        </w:rPr>
        <w:t> </w:t>
      </w:r>
      <w:r>
        <w:rPr>
          <w:w w:val="105"/>
        </w:rPr>
        <w:t>fueron</w:t>
      </w:r>
      <w:r>
        <w:rPr>
          <w:spacing w:val="-4"/>
          <w:w w:val="105"/>
        </w:rPr>
        <w:t> </w:t>
      </w:r>
      <w:r>
        <w:rPr>
          <w:w w:val="105"/>
        </w:rPr>
        <w:t>Grado</w:t>
      </w:r>
      <w:r>
        <w:rPr>
          <w:spacing w:val="-4"/>
          <w:w w:val="105"/>
        </w:rPr>
        <w:t> </w:t>
      </w:r>
      <w:r>
        <w:rPr>
          <w:w w:val="105"/>
        </w:rPr>
        <w:t>II</w:t>
      </w:r>
      <w:r>
        <w:rPr>
          <w:spacing w:val="-5"/>
          <w:w w:val="105"/>
        </w:rPr>
        <w:t> </w:t>
      </w:r>
      <w:r>
        <w:rPr>
          <w:w w:val="105"/>
        </w:rPr>
        <w:t>y</w:t>
      </w:r>
      <w:r>
        <w:rPr>
          <w:spacing w:val="-4"/>
          <w:w w:val="105"/>
        </w:rPr>
        <w:t> </w:t>
      </w:r>
      <w:r>
        <w:rPr>
          <w:w w:val="105"/>
        </w:rPr>
        <w:t>el</w:t>
      </w:r>
      <w:r>
        <w:rPr>
          <w:spacing w:val="-5"/>
          <w:w w:val="105"/>
        </w:rPr>
        <w:t> </w:t>
      </w:r>
      <w:r>
        <w:rPr>
          <w:w w:val="105"/>
        </w:rPr>
        <w:t>28.57%</w:t>
      </w:r>
      <w:r>
        <w:rPr>
          <w:spacing w:val="-2"/>
          <w:w w:val="105"/>
        </w:rPr>
        <w:t> </w:t>
      </w:r>
      <w:r>
        <w:rPr>
          <w:w w:val="105"/>
        </w:rPr>
        <w:t>(n=4)</w:t>
      </w:r>
      <w:r>
        <w:rPr>
          <w:spacing w:val="-5"/>
          <w:w w:val="105"/>
        </w:rPr>
        <w:t> </w:t>
      </w:r>
      <w:r>
        <w:rPr>
          <w:w w:val="105"/>
        </w:rPr>
        <w:t>de</w:t>
      </w:r>
      <w:r>
        <w:rPr>
          <w:spacing w:val="-4"/>
          <w:w w:val="105"/>
        </w:rPr>
        <w:t> </w:t>
      </w:r>
      <w:r>
        <w:rPr>
          <w:w w:val="105"/>
        </w:rPr>
        <w:t>los</w:t>
      </w:r>
      <w:r>
        <w:rPr>
          <w:spacing w:val="-4"/>
          <w:w w:val="105"/>
        </w:rPr>
        <w:t> </w:t>
      </w:r>
      <w:r>
        <w:rPr>
          <w:w w:val="105"/>
        </w:rPr>
        <w:t>pacientes</w:t>
      </w:r>
      <w:r>
        <w:rPr>
          <w:spacing w:val="-4"/>
          <w:w w:val="105"/>
        </w:rPr>
        <w:t> </w:t>
      </w:r>
      <w:r>
        <w:rPr>
          <w:w w:val="105"/>
        </w:rPr>
        <w:t>fueron</w:t>
      </w:r>
      <w:r>
        <w:rPr>
          <w:spacing w:val="-4"/>
          <w:w w:val="105"/>
        </w:rPr>
        <w:t> </w:t>
      </w:r>
      <w:r>
        <w:rPr>
          <w:w w:val="105"/>
        </w:rPr>
        <w:t>grado III, no registramos ningún grado I (Ver Gráfica</w:t>
      </w:r>
      <w:r>
        <w:rPr>
          <w:spacing w:val="-27"/>
          <w:w w:val="105"/>
        </w:rPr>
        <w:t> </w:t>
      </w:r>
      <w:r>
        <w:rPr>
          <w:w w:val="105"/>
        </w:rPr>
        <w:t>3).</w:t>
      </w:r>
    </w:p>
    <w:p>
      <w:pPr>
        <w:pStyle w:val="BodyText"/>
        <w:spacing w:line="376" w:lineRule="auto" w:before="4"/>
        <w:ind w:left="108" w:right="115"/>
        <w:jc w:val="both"/>
      </w:pPr>
      <w:r>
        <w:rPr>
          <w:w w:val="105"/>
        </w:rPr>
        <w:t>El</w:t>
      </w:r>
      <w:r>
        <w:rPr>
          <w:spacing w:val="-13"/>
          <w:w w:val="105"/>
        </w:rPr>
        <w:t> </w:t>
      </w:r>
      <w:r>
        <w:rPr>
          <w:w w:val="105"/>
        </w:rPr>
        <w:t>tiempo</w:t>
      </w:r>
      <w:r>
        <w:rPr>
          <w:spacing w:val="-11"/>
          <w:w w:val="105"/>
        </w:rPr>
        <w:t> </w:t>
      </w:r>
      <w:r>
        <w:rPr>
          <w:w w:val="105"/>
        </w:rPr>
        <w:t>promedio</w:t>
      </w:r>
      <w:r>
        <w:rPr>
          <w:spacing w:val="-11"/>
          <w:w w:val="105"/>
        </w:rPr>
        <w:t> </w:t>
      </w:r>
      <w:r>
        <w:rPr>
          <w:w w:val="105"/>
        </w:rPr>
        <w:t>de</w:t>
      </w:r>
      <w:r>
        <w:rPr>
          <w:spacing w:val="-11"/>
          <w:w w:val="105"/>
        </w:rPr>
        <w:t> </w:t>
      </w:r>
      <w:r>
        <w:rPr>
          <w:w w:val="105"/>
        </w:rPr>
        <w:t>cirugía</w:t>
      </w:r>
      <w:r>
        <w:rPr>
          <w:spacing w:val="-11"/>
          <w:w w:val="105"/>
        </w:rPr>
        <w:t> </w:t>
      </w:r>
      <w:r>
        <w:rPr>
          <w:w w:val="105"/>
        </w:rPr>
        <w:t>para</w:t>
      </w:r>
      <w:r>
        <w:rPr>
          <w:spacing w:val="-11"/>
          <w:w w:val="105"/>
        </w:rPr>
        <w:t> </w:t>
      </w:r>
      <w:r>
        <w:rPr>
          <w:w w:val="105"/>
        </w:rPr>
        <w:t>la</w:t>
      </w:r>
      <w:r>
        <w:rPr>
          <w:spacing w:val="-11"/>
          <w:w w:val="105"/>
        </w:rPr>
        <w:t> </w:t>
      </w:r>
      <w:r>
        <w:rPr>
          <w:w w:val="105"/>
        </w:rPr>
        <w:t>resección</w:t>
      </w:r>
      <w:r>
        <w:rPr>
          <w:spacing w:val="-11"/>
          <w:w w:val="105"/>
        </w:rPr>
        <w:t> </w:t>
      </w:r>
      <w:r>
        <w:rPr>
          <w:w w:val="105"/>
        </w:rPr>
        <w:t>fue</w:t>
      </w:r>
      <w:r>
        <w:rPr>
          <w:spacing w:val="-11"/>
          <w:w w:val="105"/>
        </w:rPr>
        <w:t> </w:t>
      </w:r>
      <w:r>
        <w:rPr>
          <w:w w:val="105"/>
        </w:rPr>
        <w:t>de</w:t>
      </w:r>
      <w:r>
        <w:rPr>
          <w:spacing w:val="-11"/>
          <w:w w:val="105"/>
        </w:rPr>
        <w:t> </w:t>
      </w:r>
      <w:r>
        <w:rPr>
          <w:w w:val="105"/>
        </w:rPr>
        <w:t>1</w:t>
      </w:r>
      <w:r>
        <w:rPr>
          <w:spacing w:val="-11"/>
          <w:w w:val="105"/>
        </w:rPr>
        <w:t> </w:t>
      </w:r>
      <w:r>
        <w:rPr>
          <w:w w:val="105"/>
        </w:rPr>
        <w:t>hora</w:t>
      </w:r>
      <w:r>
        <w:rPr>
          <w:spacing w:val="-11"/>
          <w:w w:val="105"/>
        </w:rPr>
        <w:t> </w:t>
      </w:r>
      <w:r>
        <w:rPr>
          <w:w w:val="105"/>
        </w:rPr>
        <w:t>y</w:t>
      </w:r>
      <w:r>
        <w:rPr>
          <w:spacing w:val="-12"/>
          <w:w w:val="105"/>
        </w:rPr>
        <w:t> </w:t>
      </w:r>
      <w:r>
        <w:rPr>
          <w:w w:val="105"/>
        </w:rPr>
        <w:t>48</w:t>
      </w:r>
      <w:r>
        <w:rPr>
          <w:spacing w:val="-11"/>
          <w:w w:val="105"/>
        </w:rPr>
        <w:t> </w:t>
      </w:r>
      <w:r>
        <w:rPr>
          <w:w w:val="105"/>
        </w:rPr>
        <w:t>minutos.</w:t>
      </w:r>
      <w:r>
        <w:rPr>
          <w:spacing w:val="-12"/>
          <w:w w:val="105"/>
        </w:rPr>
        <w:t> </w:t>
      </w:r>
      <w:r>
        <w:rPr>
          <w:w w:val="105"/>
        </w:rPr>
        <w:t>Teniendo</w:t>
      </w:r>
      <w:r>
        <w:rPr>
          <w:spacing w:val="-11"/>
          <w:w w:val="105"/>
        </w:rPr>
        <w:t> </w:t>
      </w:r>
      <w:r>
        <w:rPr>
          <w:w w:val="105"/>
        </w:rPr>
        <w:t>como tiempo mínimo registrado de una hora y como un máximo de tres horas y</w:t>
      </w:r>
      <w:r>
        <w:rPr>
          <w:spacing w:val="-40"/>
          <w:w w:val="105"/>
        </w:rPr>
        <w:t> </w:t>
      </w:r>
      <w:r>
        <w:rPr>
          <w:w w:val="105"/>
        </w:rPr>
        <w:t>media.</w:t>
      </w:r>
    </w:p>
    <w:p>
      <w:pPr>
        <w:pStyle w:val="BodyText"/>
        <w:spacing w:line="376" w:lineRule="auto" w:before="4"/>
        <w:ind w:left="108" w:right="110"/>
        <w:jc w:val="both"/>
      </w:pPr>
      <w:r>
        <w:rPr>
          <w:w w:val="105"/>
        </w:rPr>
        <w:t>El</w:t>
      </w:r>
      <w:r>
        <w:rPr>
          <w:spacing w:val="-9"/>
          <w:w w:val="105"/>
        </w:rPr>
        <w:t> </w:t>
      </w:r>
      <w:r>
        <w:rPr>
          <w:w w:val="105"/>
        </w:rPr>
        <w:t>volumen</w:t>
      </w:r>
      <w:r>
        <w:rPr>
          <w:spacing w:val="-7"/>
          <w:w w:val="105"/>
        </w:rPr>
        <w:t> </w:t>
      </w:r>
      <w:r>
        <w:rPr>
          <w:w w:val="105"/>
        </w:rPr>
        <w:t>de</w:t>
      </w:r>
      <w:r>
        <w:rPr>
          <w:spacing w:val="-7"/>
          <w:w w:val="105"/>
        </w:rPr>
        <w:t> </w:t>
      </w:r>
      <w:r>
        <w:rPr>
          <w:w w:val="105"/>
        </w:rPr>
        <w:t>sangrado</w:t>
      </w:r>
      <w:r>
        <w:rPr>
          <w:spacing w:val="-7"/>
          <w:w w:val="105"/>
        </w:rPr>
        <w:t> </w:t>
      </w:r>
      <w:r>
        <w:rPr>
          <w:w w:val="105"/>
        </w:rPr>
        <w:t>en</w:t>
      </w:r>
      <w:r>
        <w:rPr>
          <w:spacing w:val="-7"/>
          <w:w w:val="105"/>
        </w:rPr>
        <w:t> </w:t>
      </w:r>
      <w:r>
        <w:rPr>
          <w:w w:val="105"/>
        </w:rPr>
        <w:t>el</w:t>
      </w:r>
      <w:r>
        <w:rPr>
          <w:spacing w:val="-9"/>
          <w:w w:val="105"/>
        </w:rPr>
        <w:t> </w:t>
      </w:r>
      <w:r>
        <w:rPr>
          <w:w w:val="105"/>
        </w:rPr>
        <w:t>transoperatorio</w:t>
      </w:r>
      <w:r>
        <w:rPr>
          <w:spacing w:val="-7"/>
          <w:w w:val="105"/>
        </w:rPr>
        <w:t> </w:t>
      </w:r>
      <w:r>
        <w:rPr>
          <w:w w:val="105"/>
        </w:rPr>
        <w:t>se</w:t>
      </w:r>
      <w:r>
        <w:rPr>
          <w:spacing w:val="-7"/>
          <w:w w:val="105"/>
        </w:rPr>
        <w:t> </w:t>
      </w:r>
      <w:r>
        <w:rPr>
          <w:w w:val="105"/>
        </w:rPr>
        <w:t>encontró</w:t>
      </w:r>
      <w:r>
        <w:rPr>
          <w:spacing w:val="-7"/>
          <w:w w:val="105"/>
        </w:rPr>
        <w:t> </w:t>
      </w:r>
      <w:r>
        <w:rPr>
          <w:w w:val="105"/>
        </w:rPr>
        <w:t>en</w:t>
      </w:r>
      <w:r>
        <w:rPr>
          <w:spacing w:val="-7"/>
          <w:w w:val="105"/>
        </w:rPr>
        <w:t> </w:t>
      </w:r>
      <w:r>
        <w:rPr>
          <w:w w:val="105"/>
        </w:rPr>
        <w:t>un</w:t>
      </w:r>
      <w:r>
        <w:rPr>
          <w:spacing w:val="-7"/>
          <w:w w:val="105"/>
        </w:rPr>
        <w:t> </w:t>
      </w:r>
      <w:r>
        <w:rPr>
          <w:w w:val="105"/>
        </w:rPr>
        <w:t>rango</w:t>
      </w:r>
      <w:r>
        <w:rPr>
          <w:spacing w:val="-7"/>
          <w:w w:val="105"/>
        </w:rPr>
        <w:t> </w:t>
      </w:r>
      <w:r>
        <w:rPr>
          <w:w w:val="105"/>
        </w:rPr>
        <w:t>de</w:t>
      </w:r>
      <w:r>
        <w:rPr>
          <w:spacing w:val="-7"/>
          <w:w w:val="105"/>
        </w:rPr>
        <w:t> </w:t>
      </w:r>
      <w:r>
        <w:rPr>
          <w:w w:val="105"/>
        </w:rPr>
        <w:t>entre</w:t>
      </w:r>
      <w:r>
        <w:rPr>
          <w:spacing w:val="-7"/>
          <w:w w:val="105"/>
        </w:rPr>
        <w:t> </w:t>
      </w:r>
      <w:r>
        <w:rPr>
          <w:w w:val="105"/>
        </w:rPr>
        <w:t>200</w:t>
      </w:r>
      <w:r>
        <w:rPr>
          <w:spacing w:val="-7"/>
          <w:w w:val="105"/>
        </w:rPr>
        <w:t> </w:t>
      </w:r>
      <w:r>
        <w:rPr>
          <w:w w:val="105"/>
        </w:rPr>
        <w:t>y</w:t>
      </w:r>
      <w:r>
        <w:rPr>
          <w:spacing w:val="-8"/>
          <w:w w:val="105"/>
        </w:rPr>
        <w:t> </w:t>
      </w:r>
      <w:r>
        <w:rPr>
          <w:w w:val="105"/>
        </w:rPr>
        <w:t>1600 c.c., con un volumen de sangrado promedio de 486.66</w:t>
      </w:r>
      <w:r>
        <w:rPr>
          <w:spacing w:val="-21"/>
          <w:w w:val="105"/>
        </w:rPr>
        <w:t> </w:t>
      </w:r>
      <w:r>
        <w:rPr>
          <w:w w:val="105"/>
        </w:rPr>
        <w:t>c.c.</w:t>
      </w:r>
    </w:p>
    <w:p>
      <w:pPr>
        <w:pStyle w:val="BodyText"/>
        <w:spacing w:line="376" w:lineRule="auto" w:before="8"/>
        <w:ind w:left="108" w:right="109"/>
        <w:jc w:val="both"/>
      </w:pPr>
      <w:r>
        <w:rPr>
          <w:w w:val="105"/>
        </w:rPr>
        <w:t>Fueron registradas complicaciones durante el procedimiento en el 21.42 % (n=3) de los pacientes, de tipo vascular predominantemente, una lesión de la arteria carótida interna proximal (7.14 %) (la cual fue reparada reimplantando esta en la arteria carótida externa), y una lesión a nivel de la bifurcación carotidea ( 7.14%) (Reparada mediante sutura</w:t>
      </w:r>
      <w:r>
        <w:rPr>
          <w:spacing w:val="-40"/>
          <w:w w:val="105"/>
        </w:rPr>
        <w:t> </w:t>
      </w:r>
      <w:r>
        <w:rPr>
          <w:w w:val="105"/>
        </w:rPr>
        <w:t>simple en sitio de lesión) (Ver Gráfica</w:t>
      </w:r>
      <w:r>
        <w:rPr>
          <w:spacing w:val="-20"/>
          <w:w w:val="105"/>
        </w:rPr>
        <w:t> </w:t>
      </w:r>
      <w:r>
        <w:rPr>
          <w:w w:val="105"/>
        </w:rPr>
        <w:t>4).</w:t>
      </w:r>
    </w:p>
    <w:p>
      <w:pPr>
        <w:pStyle w:val="BodyText"/>
        <w:spacing w:line="376" w:lineRule="auto" w:before="4"/>
        <w:ind w:left="108" w:right="111"/>
        <w:jc w:val="both"/>
      </w:pPr>
      <w:r>
        <w:rPr>
          <w:w w:val="105"/>
        </w:rPr>
        <w:t>Durante</w:t>
      </w:r>
      <w:r>
        <w:rPr>
          <w:spacing w:val="-7"/>
          <w:w w:val="105"/>
        </w:rPr>
        <w:t> </w:t>
      </w:r>
      <w:r>
        <w:rPr>
          <w:w w:val="105"/>
        </w:rPr>
        <w:t>la</w:t>
      </w:r>
      <w:r>
        <w:rPr>
          <w:spacing w:val="-7"/>
          <w:w w:val="105"/>
        </w:rPr>
        <w:t> </w:t>
      </w:r>
      <w:r>
        <w:rPr>
          <w:w w:val="105"/>
        </w:rPr>
        <w:t>disección</w:t>
      </w:r>
      <w:r>
        <w:rPr>
          <w:spacing w:val="-7"/>
          <w:w w:val="105"/>
        </w:rPr>
        <w:t> </w:t>
      </w:r>
      <w:r>
        <w:rPr>
          <w:w w:val="105"/>
        </w:rPr>
        <w:t>en</w:t>
      </w:r>
      <w:r>
        <w:rPr>
          <w:spacing w:val="-7"/>
          <w:w w:val="105"/>
        </w:rPr>
        <w:t> </w:t>
      </w:r>
      <w:r>
        <w:rPr>
          <w:w w:val="105"/>
        </w:rPr>
        <w:t>5</w:t>
      </w:r>
      <w:r>
        <w:rPr>
          <w:spacing w:val="-7"/>
          <w:w w:val="105"/>
        </w:rPr>
        <w:t> </w:t>
      </w:r>
      <w:r>
        <w:rPr>
          <w:w w:val="105"/>
        </w:rPr>
        <w:t>casos</w:t>
      </w:r>
      <w:r>
        <w:rPr>
          <w:spacing w:val="-7"/>
          <w:w w:val="105"/>
        </w:rPr>
        <w:t> </w:t>
      </w:r>
      <w:r>
        <w:rPr>
          <w:w w:val="105"/>
        </w:rPr>
        <w:t>35.71%,</w:t>
      </w:r>
      <w:r>
        <w:rPr>
          <w:spacing w:val="-8"/>
          <w:w w:val="105"/>
        </w:rPr>
        <w:t> </w:t>
      </w:r>
      <w:r>
        <w:rPr>
          <w:w w:val="105"/>
        </w:rPr>
        <w:t>el</w:t>
      </w:r>
      <w:r>
        <w:rPr>
          <w:spacing w:val="-8"/>
          <w:w w:val="105"/>
        </w:rPr>
        <w:t> </w:t>
      </w:r>
      <w:r>
        <w:rPr>
          <w:w w:val="105"/>
        </w:rPr>
        <w:t>tumor</w:t>
      </w:r>
      <w:r>
        <w:rPr>
          <w:spacing w:val="-7"/>
          <w:w w:val="105"/>
        </w:rPr>
        <w:t> </w:t>
      </w:r>
      <w:r>
        <w:rPr>
          <w:w w:val="105"/>
        </w:rPr>
        <w:t>fue</w:t>
      </w:r>
      <w:r>
        <w:rPr>
          <w:spacing w:val="-7"/>
          <w:w w:val="105"/>
        </w:rPr>
        <w:t> </w:t>
      </w:r>
      <w:r>
        <w:rPr>
          <w:w w:val="105"/>
        </w:rPr>
        <w:t>resecado,</w:t>
      </w:r>
      <w:r>
        <w:rPr>
          <w:spacing w:val="-8"/>
          <w:w w:val="105"/>
        </w:rPr>
        <w:t> </w:t>
      </w:r>
      <w:r>
        <w:rPr>
          <w:w w:val="105"/>
        </w:rPr>
        <w:t>respetando</w:t>
      </w:r>
      <w:r>
        <w:rPr>
          <w:spacing w:val="-7"/>
          <w:w w:val="105"/>
        </w:rPr>
        <w:t> </w:t>
      </w:r>
      <w:r>
        <w:rPr>
          <w:w w:val="105"/>
        </w:rPr>
        <w:t>e</w:t>
      </w:r>
      <w:r>
        <w:rPr>
          <w:spacing w:val="-7"/>
          <w:w w:val="105"/>
        </w:rPr>
        <w:t> </w:t>
      </w:r>
      <w:r>
        <w:rPr>
          <w:w w:val="105"/>
        </w:rPr>
        <w:t>identificando todas las estructuras anatómicas, en 3 casos ( 21.42%) fue necesario separar el tumor de abundantes</w:t>
      </w:r>
      <w:r>
        <w:rPr>
          <w:spacing w:val="-5"/>
          <w:w w:val="105"/>
        </w:rPr>
        <w:t> </w:t>
      </w:r>
      <w:r>
        <w:rPr>
          <w:w w:val="105"/>
        </w:rPr>
        <w:t>elementos</w:t>
      </w:r>
      <w:r>
        <w:rPr>
          <w:spacing w:val="-5"/>
          <w:w w:val="105"/>
        </w:rPr>
        <w:t> </w:t>
      </w:r>
      <w:r>
        <w:rPr>
          <w:w w:val="105"/>
        </w:rPr>
        <w:t>ganglionares,</w:t>
      </w:r>
      <w:r>
        <w:rPr>
          <w:spacing w:val="-6"/>
          <w:w w:val="105"/>
        </w:rPr>
        <w:t> </w:t>
      </w:r>
      <w:r>
        <w:rPr>
          <w:w w:val="105"/>
        </w:rPr>
        <w:t>en</w:t>
      </w:r>
      <w:r>
        <w:rPr>
          <w:spacing w:val="-5"/>
          <w:w w:val="105"/>
        </w:rPr>
        <w:t> </w:t>
      </w:r>
      <w:r>
        <w:rPr>
          <w:w w:val="105"/>
        </w:rPr>
        <w:t>5</w:t>
      </w:r>
      <w:r>
        <w:rPr>
          <w:spacing w:val="-5"/>
          <w:w w:val="105"/>
        </w:rPr>
        <w:t> </w:t>
      </w:r>
      <w:r>
        <w:rPr>
          <w:w w:val="105"/>
        </w:rPr>
        <w:t>pacientes</w:t>
      </w:r>
      <w:r>
        <w:rPr>
          <w:spacing w:val="-5"/>
          <w:w w:val="105"/>
        </w:rPr>
        <w:t> </w:t>
      </w:r>
      <w:r>
        <w:rPr>
          <w:w w:val="105"/>
        </w:rPr>
        <w:t>(</w:t>
      </w:r>
      <w:r>
        <w:rPr>
          <w:spacing w:val="-6"/>
          <w:w w:val="105"/>
        </w:rPr>
        <w:t> </w:t>
      </w:r>
      <w:r>
        <w:rPr>
          <w:w w:val="105"/>
        </w:rPr>
        <w:t>35.71%)</w:t>
      </w:r>
      <w:r>
        <w:rPr>
          <w:spacing w:val="-5"/>
          <w:w w:val="105"/>
        </w:rPr>
        <w:t> </w:t>
      </w:r>
      <w:r>
        <w:rPr>
          <w:w w:val="105"/>
        </w:rPr>
        <w:t>el</w:t>
      </w:r>
      <w:r>
        <w:rPr>
          <w:spacing w:val="-6"/>
          <w:w w:val="105"/>
        </w:rPr>
        <w:t> </w:t>
      </w:r>
      <w:r>
        <w:rPr>
          <w:w w:val="105"/>
        </w:rPr>
        <w:t>tumor</w:t>
      </w:r>
      <w:r>
        <w:rPr>
          <w:spacing w:val="-6"/>
          <w:w w:val="105"/>
        </w:rPr>
        <w:t> </w:t>
      </w:r>
      <w:r>
        <w:rPr>
          <w:w w:val="105"/>
        </w:rPr>
        <w:t>fue</w:t>
      </w:r>
      <w:r>
        <w:rPr>
          <w:spacing w:val="-5"/>
          <w:w w:val="105"/>
        </w:rPr>
        <w:t> </w:t>
      </w:r>
      <w:r>
        <w:rPr>
          <w:w w:val="105"/>
        </w:rPr>
        <w:t>separado</w:t>
      </w:r>
      <w:r>
        <w:rPr>
          <w:spacing w:val="-5"/>
          <w:w w:val="105"/>
        </w:rPr>
        <w:t> </w:t>
      </w:r>
      <w:r>
        <w:rPr>
          <w:w w:val="105"/>
        </w:rPr>
        <w:t>de</w:t>
      </w:r>
      <w:r>
        <w:rPr>
          <w:spacing w:val="-5"/>
          <w:w w:val="105"/>
        </w:rPr>
        <w:t> </w:t>
      </w:r>
      <w:r>
        <w:rPr>
          <w:w w:val="105"/>
        </w:rPr>
        <w:t>la fascia cervical profunda, elementos nerviosos y circunferencia de los vasos carotídeos, en 1</w:t>
      </w:r>
      <w:r>
        <w:rPr>
          <w:spacing w:val="-4"/>
          <w:w w:val="105"/>
        </w:rPr>
        <w:t> </w:t>
      </w:r>
      <w:r>
        <w:rPr>
          <w:w w:val="105"/>
        </w:rPr>
        <w:t>pacientes</w:t>
      </w:r>
      <w:r>
        <w:rPr>
          <w:spacing w:val="-4"/>
          <w:w w:val="105"/>
        </w:rPr>
        <w:t> </w:t>
      </w:r>
      <w:r>
        <w:rPr>
          <w:w w:val="105"/>
        </w:rPr>
        <w:t>(7.14%)</w:t>
      </w:r>
      <w:r>
        <w:rPr>
          <w:spacing w:val="-4"/>
          <w:w w:val="105"/>
        </w:rPr>
        <w:t> </w:t>
      </w:r>
      <w:r>
        <w:rPr>
          <w:w w:val="105"/>
        </w:rPr>
        <w:t>se</w:t>
      </w:r>
      <w:r>
        <w:rPr>
          <w:spacing w:val="-4"/>
          <w:w w:val="105"/>
        </w:rPr>
        <w:t> </w:t>
      </w:r>
      <w:r>
        <w:rPr>
          <w:w w:val="105"/>
        </w:rPr>
        <w:t>requirió</w:t>
      </w:r>
      <w:r>
        <w:rPr>
          <w:spacing w:val="-4"/>
          <w:w w:val="105"/>
        </w:rPr>
        <w:t> </w:t>
      </w:r>
      <w:r>
        <w:rPr>
          <w:w w:val="105"/>
        </w:rPr>
        <w:t>ligar</w:t>
      </w:r>
      <w:r>
        <w:rPr>
          <w:spacing w:val="-4"/>
          <w:w w:val="105"/>
        </w:rPr>
        <w:t> </w:t>
      </w:r>
      <w:r>
        <w:rPr>
          <w:w w:val="105"/>
        </w:rPr>
        <w:t>y</w:t>
      </w:r>
      <w:r>
        <w:rPr>
          <w:spacing w:val="-4"/>
          <w:w w:val="105"/>
        </w:rPr>
        <w:t> </w:t>
      </w:r>
      <w:r>
        <w:rPr>
          <w:w w:val="105"/>
        </w:rPr>
        <w:t>cortar</w:t>
      </w:r>
      <w:r>
        <w:rPr>
          <w:spacing w:val="-4"/>
          <w:w w:val="105"/>
        </w:rPr>
        <w:t> </w:t>
      </w:r>
      <w:r>
        <w:rPr>
          <w:w w:val="105"/>
        </w:rPr>
        <w:t>la</w:t>
      </w:r>
      <w:r>
        <w:rPr>
          <w:spacing w:val="-4"/>
          <w:w w:val="105"/>
        </w:rPr>
        <w:t> </w:t>
      </w:r>
      <w:r>
        <w:rPr>
          <w:w w:val="105"/>
        </w:rPr>
        <w:t>arteria</w:t>
      </w:r>
      <w:r>
        <w:rPr>
          <w:spacing w:val="-4"/>
          <w:w w:val="105"/>
        </w:rPr>
        <w:t> </w:t>
      </w:r>
      <w:r>
        <w:rPr>
          <w:w w:val="105"/>
        </w:rPr>
        <w:t>tiroidea</w:t>
      </w:r>
      <w:r>
        <w:rPr>
          <w:spacing w:val="-4"/>
          <w:w w:val="105"/>
        </w:rPr>
        <w:t> </w:t>
      </w:r>
      <w:r>
        <w:rPr>
          <w:w w:val="105"/>
        </w:rPr>
        <w:t>superior.</w:t>
      </w:r>
    </w:p>
    <w:p>
      <w:pPr>
        <w:pStyle w:val="BodyText"/>
        <w:spacing w:line="376" w:lineRule="auto" w:before="4"/>
        <w:ind w:left="108" w:right="108"/>
        <w:jc w:val="both"/>
      </w:pPr>
      <w:r>
        <w:rPr>
          <w:w w:val="105"/>
        </w:rPr>
        <w:t>Para</w:t>
      </w:r>
      <w:r>
        <w:rPr>
          <w:spacing w:val="-18"/>
          <w:w w:val="105"/>
        </w:rPr>
        <w:t> </w:t>
      </w:r>
      <w:r>
        <w:rPr>
          <w:w w:val="105"/>
        </w:rPr>
        <w:t>el</w:t>
      </w:r>
      <w:r>
        <w:rPr>
          <w:spacing w:val="-18"/>
          <w:w w:val="105"/>
        </w:rPr>
        <w:t> </w:t>
      </w:r>
      <w:r>
        <w:rPr>
          <w:w w:val="105"/>
        </w:rPr>
        <w:t>tratamiento</w:t>
      </w:r>
      <w:r>
        <w:rPr>
          <w:spacing w:val="-18"/>
          <w:w w:val="105"/>
        </w:rPr>
        <w:t> </w:t>
      </w:r>
      <w:r>
        <w:rPr>
          <w:w w:val="105"/>
        </w:rPr>
        <w:t>durante</w:t>
      </w:r>
      <w:r>
        <w:rPr>
          <w:spacing w:val="-18"/>
          <w:w w:val="105"/>
        </w:rPr>
        <w:t> </w:t>
      </w:r>
      <w:r>
        <w:rPr>
          <w:w w:val="105"/>
        </w:rPr>
        <w:t>el</w:t>
      </w:r>
      <w:r>
        <w:rPr>
          <w:spacing w:val="-18"/>
          <w:w w:val="105"/>
        </w:rPr>
        <w:t> </w:t>
      </w:r>
      <w:r>
        <w:rPr>
          <w:w w:val="105"/>
        </w:rPr>
        <w:t>postoperatorio</w:t>
      </w:r>
      <w:r>
        <w:rPr>
          <w:spacing w:val="-18"/>
          <w:w w:val="105"/>
        </w:rPr>
        <w:t> </w:t>
      </w:r>
      <w:r>
        <w:rPr>
          <w:w w:val="105"/>
        </w:rPr>
        <w:t>inmediato</w:t>
      </w:r>
      <w:r>
        <w:rPr>
          <w:spacing w:val="-18"/>
          <w:w w:val="105"/>
        </w:rPr>
        <w:t> </w:t>
      </w:r>
      <w:r>
        <w:rPr>
          <w:w w:val="105"/>
        </w:rPr>
        <w:t>fue</w:t>
      </w:r>
      <w:r>
        <w:rPr>
          <w:spacing w:val="-18"/>
          <w:w w:val="105"/>
        </w:rPr>
        <w:t> </w:t>
      </w:r>
      <w:r>
        <w:rPr>
          <w:w w:val="105"/>
        </w:rPr>
        <w:t>a</w:t>
      </w:r>
      <w:r>
        <w:rPr>
          <w:spacing w:val="-18"/>
          <w:w w:val="105"/>
        </w:rPr>
        <w:t> </w:t>
      </w:r>
      <w:r>
        <w:rPr>
          <w:w w:val="105"/>
        </w:rPr>
        <w:t>base</w:t>
      </w:r>
      <w:r>
        <w:rPr>
          <w:spacing w:val="-18"/>
          <w:w w:val="105"/>
        </w:rPr>
        <w:t> </w:t>
      </w:r>
      <w:r>
        <w:rPr>
          <w:w w:val="105"/>
        </w:rPr>
        <w:t>de</w:t>
      </w:r>
      <w:r>
        <w:rPr>
          <w:spacing w:val="-18"/>
          <w:w w:val="105"/>
        </w:rPr>
        <w:t> </w:t>
      </w:r>
      <w:r>
        <w:rPr>
          <w:w w:val="105"/>
        </w:rPr>
        <w:t>analgésico,</w:t>
      </w:r>
      <w:r>
        <w:rPr>
          <w:spacing w:val="-18"/>
          <w:w w:val="105"/>
        </w:rPr>
        <w:t> </w:t>
      </w:r>
      <w:r>
        <w:rPr>
          <w:w w:val="105"/>
        </w:rPr>
        <w:t>antibiótico profiláctico;</w:t>
      </w:r>
      <w:r>
        <w:rPr>
          <w:spacing w:val="-19"/>
          <w:w w:val="105"/>
        </w:rPr>
        <w:t> </w:t>
      </w:r>
      <w:r>
        <w:rPr>
          <w:w w:val="105"/>
        </w:rPr>
        <w:t>no</w:t>
      </w:r>
      <w:r>
        <w:rPr>
          <w:spacing w:val="-18"/>
          <w:w w:val="105"/>
        </w:rPr>
        <w:t> </w:t>
      </w:r>
      <w:r>
        <w:rPr>
          <w:w w:val="105"/>
        </w:rPr>
        <w:t>en</w:t>
      </w:r>
      <w:r>
        <w:rPr>
          <w:spacing w:val="-18"/>
          <w:w w:val="105"/>
        </w:rPr>
        <w:t> </w:t>
      </w:r>
      <w:r>
        <w:rPr>
          <w:w w:val="105"/>
        </w:rPr>
        <w:t>todos</w:t>
      </w:r>
      <w:r>
        <w:rPr>
          <w:spacing w:val="-18"/>
          <w:w w:val="105"/>
        </w:rPr>
        <w:t> </w:t>
      </w:r>
      <w:r>
        <w:rPr>
          <w:w w:val="105"/>
        </w:rPr>
        <w:t>los</w:t>
      </w:r>
      <w:r>
        <w:rPr>
          <w:spacing w:val="-18"/>
          <w:w w:val="105"/>
        </w:rPr>
        <w:t> </w:t>
      </w:r>
      <w:r>
        <w:rPr>
          <w:w w:val="105"/>
        </w:rPr>
        <w:t>casos</w:t>
      </w:r>
      <w:r>
        <w:rPr>
          <w:spacing w:val="-18"/>
          <w:w w:val="105"/>
        </w:rPr>
        <w:t> </w:t>
      </w:r>
      <w:r>
        <w:rPr>
          <w:w w:val="105"/>
        </w:rPr>
        <w:t>se</w:t>
      </w:r>
      <w:r>
        <w:rPr>
          <w:spacing w:val="-18"/>
          <w:w w:val="105"/>
        </w:rPr>
        <w:t> </w:t>
      </w:r>
      <w:r>
        <w:rPr>
          <w:w w:val="105"/>
        </w:rPr>
        <w:t>requirió</w:t>
      </w:r>
      <w:r>
        <w:rPr>
          <w:spacing w:val="-18"/>
          <w:w w:val="105"/>
        </w:rPr>
        <w:t> </w:t>
      </w:r>
      <w:r>
        <w:rPr>
          <w:w w:val="105"/>
        </w:rPr>
        <w:t>transfusión</w:t>
      </w:r>
      <w:r>
        <w:rPr>
          <w:spacing w:val="-18"/>
          <w:w w:val="105"/>
        </w:rPr>
        <w:t> </w:t>
      </w:r>
      <w:r>
        <w:rPr>
          <w:w w:val="105"/>
        </w:rPr>
        <w:t>sanguínea</w:t>
      </w:r>
      <w:r>
        <w:rPr>
          <w:spacing w:val="-18"/>
          <w:w w:val="105"/>
        </w:rPr>
        <w:t> </w:t>
      </w:r>
      <w:r>
        <w:rPr>
          <w:w w:val="105"/>
        </w:rPr>
        <w:t>por</w:t>
      </w:r>
      <w:r>
        <w:rPr>
          <w:spacing w:val="-19"/>
          <w:w w:val="105"/>
        </w:rPr>
        <w:t> </w:t>
      </w:r>
      <w:r>
        <w:rPr>
          <w:w w:val="105"/>
        </w:rPr>
        <w:t>hemoglobina</w:t>
      </w:r>
      <w:r>
        <w:rPr>
          <w:spacing w:val="-18"/>
          <w:w w:val="105"/>
        </w:rPr>
        <w:t> </w:t>
      </w:r>
      <w:r>
        <w:rPr>
          <w:spacing w:val="2"/>
          <w:w w:val="105"/>
        </w:rPr>
        <w:t>menor </w:t>
      </w:r>
      <w:r>
        <w:rPr>
          <w:w w:val="105"/>
        </w:rPr>
        <w:t>de 10 g/dl, y recuperación hemodinámica, solo documentados en 2</w:t>
      </w:r>
      <w:r>
        <w:rPr>
          <w:spacing w:val="-41"/>
          <w:w w:val="105"/>
        </w:rPr>
        <w:t> </w:t>
      </w:r>
      <w:r>
        <w:rPr>
          <w:w w:val="105"/>
        </w:rPr>
        <w:t>casos.</w:t>
      </w:r>
    </w:p>
    <w:p>
      <w:pPr>
        <w:pStyle w:val="BodyText"/>
        <w:spacing w:line="376" w:lineRule="auto" w:before="4"/>
        <w:ind w:left="108" w:right="111"/>
        <w:jc w:val="both"/>
      </w:pPr>
      <w:r>
        <w:rPr>
          <w:w w:val="105"/>
        </w:rPr>
        <w:t>Dentro de las complicaciones reportadas en las primeras 24 horas a la cirugía, fue hematoma sobre la herida 14.28% (n=2), los cuales fueron drenados, en un caso (7.14 %) isquemia hemisférica con secuelas neurológicas permanente.</w:t>
      </w:r>
    </w:p>
    <w:p>
      <w:pPr>
        <w:pStyle w:val="BodyText"/>
        <w:spacing w:line="376" w:lineRule="auto" w:before="4"/>
        <w:ind w:left="108" w:right="111"/>
        <w:jc w:val="both"/>
      </w:pPr>
      <w:r>
        <w:rPr>
          <w:w w:val="105"/>
        </w:rPr>
        <w:t>El</w:t>
      </w:r>
      <w:r>
        <w:rPr>
          <w:spacing w:val="-9"/>
          <w:w w:val="105"/>
        </w:rPr>
        <w:t> </w:t>
      </w:r>
      <w:r>
        <w:rPr>
          <w:w w:val="105"/>
        </w:rPr>
        <w:t>tiempo</w:t>
      </w:r>
      <w:r>
        <w:rPr>
          <w:spacing w:val="-8"/>
          <w:w w:val="105"/>
        </w:rPr>
        <w:t> </w:t>
      </w:r>
      <w:r>
        <w:rPr>
          <w:w w:val="105"/>
        </w:rPr>
        <w:t>de</w:t>
      </w:r>
      <w:r>
        <w:rPr>
          <w:spacing w:val="-8"/>
          <w:w w:val="105"/>
        </w:rPr>
        <w:t> </w:t>
      </w:r>
      <w:r>
        <w:rPr>
          <w:w w:val="105"/>
        </w:rPr>
        <w:t>estancia</w:t>
      </w:r>
      <w:r>
        <w:rPr>
          <w:spacing w:val="-8"/>
          <w:w w:val="105"/>
        </w:rPr>
        <w:t> </w:t>
      </w:r>
      <w:r>
        <w:rPr>
          <w:w w:val="105"/>
        </w:rPr>
        <w:t>hospitalaria</w:t>
      </w:r>
      <w:r>
        <w:rPr>
          <w:spacing w:val="-8"/>
          <w:w w:val="105"/>
        </w:rPr>
        <w:t> </w:t>
      </w:r>
      <w:r>
        <w:rPr>
          <w:w w:val="105"/>
        </w:rPr>
        <w:t>fluctuó</w:t>
      </w:r>
      <w:r>
        <w:rPr>
          <w:spacing w:val="-8"/>
          <w:w w:val="105"/>
        </w:rPr>
        <w:t> </w:t>
      </w:r>
      <w:r>
        <w:rPr>
          <w:w w:val="105"/>
        </w:rPr>
        <w:t>entre</w:t>
      </w:r>
      <w:r>
        <w:rPr>
          <w:spacing w:val="-8"/>
          <w:w w:val="105"/>
        </w:rPr>
        <w:t> </w:t>
      </w:r>
      <w:r>
        <w:rPr>
          <w:w w:val="105"/>
        </w:rPr>
        <w:t>3</w:t>
      </w:r>
      <w:r>
        <w:rPr>
          <w:spacing w:val="-8"/>
          <w:w w:val="105"/>
        </w:rPr>
        <w:t> </w:t>
      </w:r>
      <w:r>
        <w:rPr>
          <w:w w:val="105"/>
        </w:rPr>
        <w:t>y</w:t>
      </w:r>
      <w:r>
        <w:rPr>
          <w:spacing w:val="-9"/>
          <w:w w:val="105"/>
        </w:rPr>
        <w:t> </w:t>
      </w:r>
      <w:r>
        <w:rPr>
          <w:w w:val="105"/>
        </w:rPr>
        <w:t>15</w:t>
      </w:r>
      <w:r>
        <w:rPr>
          <w:spacing w:val="-8"/>
          <w:w w:val="105"/>
        </w:rPr>
        <w:t> </w:t>
      </w:r>
      <w:r>
        <w:rPr>
          <w:w w:val="105"/>
        </w:rPr>
        <w:t>días</w:t>
      </w:r>
      <w:r>
        <w:rPr>
          <w:spacing w:val="-9"/>
          <w:w w:val="105"/>
        </w:rPr>
        <w:t> </w:t>
      </w:r>
      <w:r>
        <w:rPr>
          <w:w w:val="105"/>
        </w:rPr>
        <w:t>con</w:t>
      </w:r>
      <w:r>
        <w:rPr>
          <w:spacing w:val="-8"/>
          <w:w w:val="105"/>
        </w:rPr>
        <w:t> </w:t>
      </w:r>
      <w:r>
        <w:rPr>
          <w:w w:val="105"/>
        </w:rPr>
        <w:t>un</w:t>
      </w:r>
      <w:r>
        <w:rPr>
          <w:spacing w:val="-8"/>
          <w:w w:val="105"/>
        </w:rPr>
        <w:t> </w:t>
      </w:r>
      <w:r>
        <w:rPr>
          <w:w w:val="105"/>
        </w:rPr>
        <w:t>tiempo</w:t>
      </w:r>
      <w:r>
        <w:rPr>
          <w:spacing w:val="-8"/>
          <w:w w:val="105"/>
        </w:rPr>
        <w:t> </w:t>
      </w:r>
      <w:r>
        <w:rPr>
          <w:w w:val="105"/>
        </w:rPr>
        <w:t>promedio</w:t>
      </w:r>
      <w:r>
        <w:rPr>
          <w:spacing w:val="-8"/>
          <w:w w:val="105"/>
        </w:rPr>
        <w:t> </w:t>
      </w:r>
      <w:r>
        <w:rPr>
          <w:w w:val="105"/>
        </w:rPr>
        <w:t>de</w:t>
      </w:r>
      <w:r>
        <w:rPr>
          <w:spacing w:val="-8"/>
          <w:w w:val="105"/>
        </w:rPr>
        <w:t> </w:t>
      </w:r>
      <w:r>
        <w:rPr>
          <w:w w:val="105"/>
        </w:rPr>
        <w:t>4.46 días.</w:t>
      </w:r>
    </w:p>
    <w:p>
      <w:pPr>
        <w:pStyle w:val="BodyText"/>
        <w:spacing w:line="376" w:lineRule="auto" w:before="8"/>
        <w:ind w:left="108" w:right="111"/>
        <w:jc w:val="both"/>
      </w:pPr>
      <w:r>
        <w:rPr>
          <w:w w:val="105"/>
        </w:rPr>
        <w:t>En nuestro estudio el mayor tiempo de hospitalización se desencadeno por una complicación neurológica por isquemia hemisférica generalizada, fue hasta la delimitación completa del daño y estabilidad de la paciente que se egreso, con apoyo por parte de rehabilitación.</w:t>
      </w:r>
    </w:p>
    <w:p>
      <w:pPr>
        <w:pStyle w:val="BodyText"/>
        <w:spacing w:line="376" w:lineRule="auto" w:before="4"/>
        <w:ind w:left="108" w:right="112"/>
        <w:jc w:val="both"/>
      </w:pPr>
      <w:r>
        <w:rPr>
          <w:w w:val="105"/>
        </w:rPr>
        <w:t>Dentro de las dimensiones del tumor encontramos un rango mínimo de 3 x 3 cm y un máximo</w:t>
      </w:r>
      <w:r>
        <w:rPr>
          <w:spacing w:val="-13"/>
          <w:w w:val="105"/>
        </w:rPr>
        <w:t> </w:t>
      </w:r>
      <w:r>
        <w:rPr>
          <w:w w:val="105"/>
        </w:rPr>
        <w:t>de</w:t>
      </w:r>
      <w:r>
        <w:rPr>
          <w:spacing w:val="-13"/>
          <w:w w:val="105"/>
        </w:rPr>
        <w:t> </w:t>
      </w:r>
      <w:r>
        <w:rPr>
          <w:w w:val="105"/>
        </w:rPr>
        <w:t>4x5</w:t>
      </w:r>
      <w:r>
        <w:rPr>
          <w:spacing w:val="-13"/>
          <w:w w:val="105"/>
        </w:rPr>
        <w:t> </w:t>
      </w:r>
      <w:r>
        <w:rPr>
          <w:w w:val="105"/>
        </w:rPr>
        <w:t>cm,</w:t>
      </w:r>
      <w:r>
        <w:rPr>
          <w:spacing w:val="-14"/>
          <w:w w:val="105"/>
        </w:rPr>
        <w:t> </w:t>
      </w:r>
      <w:r>
        <w:rPr>
          <w:w w:val="105"/>
        </w:rPr>
        <w:t>con</w:t>
      </w:r>
      <w:r>
        <w:rPr>
          <w:spacing w:val="-13"/>
          <w:w w:val="105"/>
        </w:rPr>
        <w:t> </w:t>
      </w:r>
      <w:r>
        <w:rPr>
          <w:w w:val="105"/>
        </w:rPr>
        <w:t>un</w:t>
      </w:r>
      <w:r>
        <w:rPr>
          <w:spacing w:val="-13"/>
          <w:w w:val="105"/>
        </w:rPr>
        <w:t> </w:t>
      </w:r>
      <w:r>
        <w:rPr>
          <w:w w:val="105"/>
        </w:rPr>
        <w:t>promedio</w:t>
      </w:r>
      <w:r>
        <w:rPr>
          <w:spacing w:val="-13"/>
          <w:w w:val="105"/>
        </w:rPr>
        <w:t> </w:t>
      </w:r>
      <w:r>
        <w:rPr>
          <w:w w:val="105"/>
        </w:rPr>
        <w:t>de</w:t>
      </w:r>
      <w:r>
        <w:rPr>
          <w:spacing w:val="-13"/>
          <w:w w:val="105"/>
        </w:rPr>
        <w:t> </w:t>
      </w:r>
      <w:r>
        <w:rPr>
          <w:w w:val="105"/>
        </w:rPr>
        <w:t>3.6x</w:t>
      </w:r>
      <w:r>
        <w:rPr>
          <w:spacing w:val="-13"/>
          <w:w w:val="105"/>
        </w:rPr>
        <w:t> </w:t>
      </w:r>
      <w:r>
        <w:rPr>
          <w:w w:val="105"/>
        </w:rPr>
        <w:t>4.4</w:t>
      </w:r>
      <w:r>
        <w:rPr>
          <w:spacing w:val="-13"/>
          <w:w w:val="105"/>
        </w:rPr>
        <w:t> </w:t>
      </w:r>
      <w:r>
        <w:rPr>
          <w:w w:val="105"/>
        </w:rPr>
        <w:t>cm</w:t>
      </w:r>
      <w:r>
        <w:rPr>
          <w:spacing w:val="-12"/>
          <w:w w:val="105"/>
        </w:rPr>
        <w:t> </w:t>
      </w:r>
      <w:r>
        <w:rPr>
          <w:w w:val="105"/>
        </w:rPr>
        <w:t>,</w:t>
      </w:r>
      <w:r>
        <w:rPr>
          <w:spacing w:val="-14"/>
          <w:w w:val="105"/>
        </w:rPr>
        <w:t> </w:t>
      </w:r>
      <w:r>
        <w:rPr>
          <w:w w:val="105"/>
        </w:rPr>
        <w:t>considerando</w:t>
      </w:r>
      <w:r>
        <w:rPr>
          <w:spacing w:val="-13"/>
          <w:w w:val="105"/>
        </w:rPr>
        <w:t> </w:t>
      </w:r>
      <w:r>
        <w:rPr>
          <w:w w:val="105"/>
        </w:rPr>
        <w:t>los</w:t>
      </w:r>
      <w:r>
        <w:rPr>
          <w:spacing w:val="-13"/>
          <w:w w:val="105"/>
        </w:rPr>
        <w:t> </w:t>
      </w:r>
      <w:r>
        <w:rPr>
          <w:w w:val="105"/>
        </w:rPr>
        <w:t>ejes</w:t>
      </w:r>
      <w:r>
        <w:rPr>
          <w:spacing w:val="-13"/>
          <w:w w:val="105"/>
        </w:rPr>
        <w:t> </w:t>
      </w:r>
      <w:r>
        <w:rPr>
          <w:w w:val="105"/>
        </w:rPr>
        <w:t>mayor</w:t>
      </w:r>
      <w:r>
        <w:rPr>
          <w:spacing w:val="-14"/>
          <w:w w:val="105"/>
        </w:rPr>
        <w:t> </w:t>
      </w:r>
      <w:r>
        <w:rPr>
          <w:w w:val="105"/>
        </w:rPr>
        <w:t>y</w:t>
      </w:r>
      <w:r>
        <w:rPr>
          <w:spacing w:val="-13"/>
          <w:w w:val="105"/>
        </w:rPr>
        <w:t> </w:t>
      </w:r>
      <w:r>
        <w:rPr>
          <w:w w:val="105"/>
        </w:rPr>
        <w:t>menor. El reporte definitivo de patología, no fue posible documentar en la totalidad de los casos y solo fueron registrados 9 resultados que confirmaron la estirpe benigna del paraganglioma carotídeo con ganglio linfático sin</w:t>
      </w:r>
      <w:r>
        <w:rPr>
          <w:spacing w:val="-22"/>
          <w:w w:val="105"/>
        </w:rPr>
        <w:t> </w:t>
      </w:r>
      <w:r>
        <w:rPr>
          <w:w w:val="105"/>
        </w:rPr>
        <w:t>alteraciones.</w:t>
      </w:r>
    </w:p>
    <w:p>
      <w:pPr>
        <w:spacing w:after="0" w:line="376" w:lineRule="auto"/>
        <w:jc w:val="both"/>
        <w:sectPr>
          <w:pgSz w:w="12240" w:h="15840"/>
          <w:pgMar w:header="0" w:footer="687" w:top="1380" w:bottom="940" w:left="1600" w:right="1580"/>
        </w:sectPr>
      </w:pPr>
    </w:p>
    <w:p>
      <w:pPr>
        <w:pStyle w:val="BodyText"/>
        <w:spacing w:line="376" w:lineRule="auto" w:before="55"/>
        <w:ind w:left="108" w:right="111"/>
        <w:jc w:val="both"/>
      </w:pPr>
      <w:r>
        <w:rPr>
          <w:w w:val="105"/>
        </w:rPr>
        <w:t>No fueron documentadas recidivas en 3 meses de observación; y no fue posible dar seguimiento por distintas causas como: falta de información en los expedientes, los pacientes no acudieron al seguimiento o fueron dados de alta para control en su localidad.</w:t>
      </w:r>
    </w:p>
    <w:p>
      <w:pPr>
        <w:pStyle w:val="BodyText"/>
        <w:rPr>
          <w:sz w:val="22"/>
        </w:rPr>
      </w:pPr>
    </w:p>
    <w:p>
      <w:pPr>
        <w:pStyle w:val="Heading3"/>
        <w:numPr>
          <w:ilvl w:val="0"/>
          <w:numId w:val="13"/>
        </w:numPr>
        <w:tabs>
          <w:tab w:pos="378" w:val="left" w:leader="none"/>
        </w:tabs>
        <w:spacing w:line="240" w:lineRule="auto" w:before="130" w:after="0"/>
        <w:ind w:left="377" w:right="0" w:hanging="269"/>
        <w:jc w:val="both"/>
      </w:pPr>
      <w:bookmarkStart w:name="_TOC_250004" w:id="20"/>
      <w:r>
        <w:rPr>
          <w:w w:val="105"/>
        </w:rPr>
        <w:t>TABLAS Y</w:t>
      </w:r>
      <w:r>
        <w:rPr>
          <w:spacing w:val="-17"/>
          <w:w w:val="105"/>
        </w:rPr>
        <w:t> </w:t>
      </w:r>
      <w:bookmarkEnd w:id="20"/>
      <w:r>
        <w:rPr>
          <w:w w:val="105"/>
        </w:rPr>
        <w:t>GRAFICAS</w:t>
      </w:r>
    </w:p>
    <w:p>
      <w:pPr>
        <w:pStyle w:val="BodyText"/>
        <w:rPr>
          <w:b/>
          <w:sz w:val="22"/>
        </w:rPr>
      </w:pPr>
    </w:p>
    <w:p>
      <w:pPr>
        <w:pStyle w:val="BodyText"/>
        <w:spacing w:before="10"/>
        <w:rPr>
          <w:b/>
          <w:sz w:val="22"/>
        </w:rPr>
      </w:pPr>
    </w:p>
    <w:p>
      <w:pPr>
        <w:pStyle w:val="BodyText"/>
        <w:spacing w:before="1"/>
        <w:ind w:left="108"/>
        <w:jc w:val="both"/>
      </w:pPr>
      <w:r>
        <w:rPr>
          <w:w w:val="105"/>
        </w:rPr>
        <w:t>Tabla 1. RESIDENCIA DE PACINETES CON TUMOR DE CUERPO CAROTIDEO.</w:t>
      </w:r>
    </w:p>
    <w:p>
      <w:pPr>
        <w:pStyle w:val="BodyText"/>
        <w:spacing w:before="4" w:after="1"/>
        <w:rPr>
          <w:sz w:val="22"/>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3"/>
        <w:gridCol w:w="4243"/>
      </w:tblGrid>
      <w:tr>
        <w:trPr>
          <w:trHeight w:val="514" w:hRule="exact"/>
        </w:trPr>
        <w:tc>
          <w:tcPr>
            <w:tcW w:w="4253" w:type="dxa"/>
          </w:tcPr>
          <w:p>
            <w:pPr>
              <w:pStyle w:val="TableParagraph"/>
              <w:ind w:left="1201" w:right="1199"/>
              <w:rPr>
                <w:sz w:val="21"/>
              </w:rPr>
            </w:pPr>
            <w:r>
              <w:rPr>
                <w:w w:val="105"/>
                <w:sz w:val="21"/>
              </w:rPr>
              <w:t>MUNICIPIO</w:t>
            </w:r>
          </w:p>
        </w:tc>
        <w:tc>
          <w:tcPr>
            <w:tcW w:w="4243" w:type="dxa"/>
          </w:tcPr>
          <w:p>
            <w:pPr>
              <w:pStyle w:val="TableParagraph"/>
              <w:ind w:left="1238" w:right="1238"/>
              <w:rPr>
                <w:sz w:val="21"/>
              </w:rPr>
            </w:pPr>
            <w:r>
              <w:rPr>
                <w:w w:val="105"/>
                <w:sz w:val="21"/>
              </w:rPr>
              <w:t>No. De Pacientes</w:t>
            </w:r>
          </w:p>
        </w:tc>
      </w:tr>
      <w:tr>
        <w:trPr>
          <w:trHeight w:val="518" w:hRule="exact"/>
        </w:trPr>
        <w:tc>
          <w:tcPr>
            <w:tcW w:w="4253" w:type="dxa"/>
          </w:tcPr>
          <w:p>
            <w:pPr>
              <w:pStyle w:val="TableParagraph"/>
              <w:spacing w:before="9"/>
              <w:ind w:left="1201" w:right="1199"/>
              <w:rPr>
                <w:sz w:val="21"/>
              </w:rPr>
            </w:pPr>
            <w:r>
              <w:rPr>
                <w:w w:val="105"/>
                <w:sz w:val="21"/>
              </w:rPr>
              <w:t>Toluca</w:t>
            </w:r>
          </w:p>
        </w:tc>
        <w:tc>
          <w:tcPr>
            <w:tcW w:w="4243" w:type="dxa"/>
          </w:tcPr>
          <w:p>
            <w:pPr>
              <w:pStyle w:val="TableParagraph"/>
              <w:spacing w:before="9"/>
              <w:rPr>
                <w:sz w:val="21"/>
              </w:rPr>
            </w:pPr>
            <w:r>
              <w:rPr>
                <w:w w:val="102"/>
                <w:sz w:val="21"/>
              </w:rPr>
              <w:t>9</w:t>
            </w:r>
          </w:p>
        </w:tc>
      </w:tr>
      <w:tr>
        <w:trPr>
          <w:trHeight w:val="514" w:hRule="exact"/>
        </w:trPr>
        <w:tc>
          <w:tcPr>
            <w:tcW w:w="4253" w:type="dxa"/>
          </w:tcPr>
          <w:p>
            <w:pPr>
              <w:pStyle w:val="TableParagraph"/>
              <w:ind w:left="1201" w:right="1199"/>
              <w:rPr>
                <w:sz w:val="21"/>
              </w:rPr>
            </w:pPr>
            <w:r>
              <w:rPr>
                <w:w w:val="105"/>
                <w:sz w:val="21"/>
              </w:rPr>
              <w:t>Valle de Chalco</w:t>
            </w:r>
          </w:p>
        </w:tc>
        <w:tc>
          <w:tcPr>
            <w:tcW w:w="4243" w:type="dxa"/>
          </w:tcPr>
          <w:p>
            <w:pPr>
              <w:pStyle w:val="TableParagraph"/>
              <w:rPr>
                <w:sz w:val="21"/>
              </w:rPr>
            </w:pPr>
            <w:r>
              <w:rPr>
                <w:w w:val="102"/>
                <w:sz w:val="21"/>
              </w:rPr>
              <w:t>3</w:t>
            </w:r>
          </w:p>
        </w:tc>
      </w:tr>
      <w:tr>
        <w:trPr>
          <w:trHeight w:val="518" w:hRule="exact"/>
        </w:trPr>
        <w:tc>
          <w:tcPr>
            <w:tcW w:w="4253" w:type="dxa"/>
          </w:tcPr>
          <w:p>
            <w:pPr>
              <w:pStyle w:val="TableParagraph"/>
              <w:spacing w:before="9"/>
              <w:ind w:left="1201" w:right="1199"/>
              <w:rPr>
                <w:sz w:val="21"/>
              </w:rPr>
            </w:pPr>
            <w:r>
              <w:rPr>
                <w:w w:val="105"/>
                <w:sz w:val="21"/>
              </w:rPr>
              <w:t>Atlacomulco</w:t>
            </w:r>
          </w:p>
        </w:tc>
        <w:tc>
          <w:tcPr>
            <w:tcW w:w="4243" w:type="dxa"/>
          </w:tcPr>
          <w:p>
            <w:pPr>
              <w:pStyle w:val="TableParagraph"/>
              <w:spacing w:before="9"/>
              <w:rPr>
                <w:sz w:val="21"/>
              </w:rPr>
            </w:pPr>
            <w:r>
              <w:rPr>
                <w:w w:val="102"/>
                <w:sz w:val="21"/>
              </w:rPr>
              <w:t>2</w:t>
            </w:r>
          </w:p>
        </w:tc>
      </w:tr>
      <w:tr>
        <w:trPr>
          <w:trHeight w:val="514" w:hRule="exact"/>
        </w:trPr>
        <w:tc>
          <w:tcPr>
            <w:tcW w:w="4253" w:type="dxa"/>
          </w:tcPr>
          <w:p>
            <w:pPr>
              <w:pStyle w:val="TableParagraph"/>
              <w:ind w:left="1201" w:right="1199"/>
              <w:rPr>
                <w:sz w:val="21"/>
              </w:rPr>
            </w:pPr>
            <w:r>
              <w:rPr>
                <w:w w:val="105"/>
                <w:sz w:val="21"/>
              </w:rPr>
              <w:t>Total de pacientes</w:t>
            </w:r>
          </w:p>
        </w:tc>
        <w:tc>
          <w:tcPr>
            <w:tcW w:w="4243" w:type="dxa"/>
          </w:tcPr>
          <w:p>
            <w:pPr>
              <w:pStyle w:val="TableParagraph"/>
              <w:ind w:left="1238" w:right="1236"/>
              <w:rPr>
                <w:sz w:val="21"/>
              </w:rPr>
            </w:pPr>
            <w:r>
              <w:rPr>
                <w:w w:val="105"/>
                <w:sz w:val="21"/>
              </w:rPr>
              <w:t>14</w:t>
            </w:r>
          </w:p>
        </w:tc>
      </w:tr>
    </w:tbl>
    <w:p>
      <w:pPr>
        <w:pStyle w:val="BodyText"/>
        <w:spacing w:before="4"/>
        <w:ind w:left="108" w:right="3095"/>
      </w:pPr>
      <w:r>
        <w:rPr>
          <w:w w:val="105"/>
        </w:rPr>
        <w:t>Fuente Centro Medico ISSEMYM TOLUCA.</w:t>
      </w:r>
    </w:p>
    <w:p>
      <w:pPr>
        <w:pStyle w:val="BodyText"/>
        <w:spacing w:before="2"/>
        <w:rPr>
          <w:sz w:val="23"/>
        </w:rPr>
      </w:pPr>
    </w:p>
    <w:p>
      <w:pPr>
        <w:pStyle w:val="BodyText"/>
        <w:spacing w:before="1"/>
        <w:ind w:left="108"/>
      </w:pPr>
      <w:r>
        <w:rPr>
          <w:w w:val="105"/>
        </w:rPr>
        <w:t>Tabla 2. RELACIÓN DE ENFERMEDADES CONCOMITANTES.</w:t>
      </w:r>
    </w:p>
    <w:p>
      <w:pPr>
        <w:pStyle w:val="BodyText"/>
        <w:spacing w:before="4" w:after="1"/>
        <w:rPr>
          <w:sz w:val="22"/>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6"/>
        <w:gridCol w:w="4411"/>
      </w:tblGrid>
      <w:tr>
        <w:trPr>
          <w:trHeight w:val="518" w:hRule="exact"/>
        </w:trPr>
        <w:tc>
          <w:tcPr>
            <w:tcW w:w="4416" w:type="dxa"/>
          </w:tcPr>
          <w:p>
            <w:pPr>
              <w:pStyle w:val="TableParagraph"/>
              <w:ind w:left="1196" w:right="1196"/>
              <w:rPr>
                <w:sz w:val="21"/>
              </w:rPr>
            </w:pPr>
            <w:r>
              <w:rPr>
                <w:w w:val="105"/>
                <w:sz w:val="21"/>
              </w:rPr>
              <w:t>Tipo de enfermedad</w:t>
            </w:r>
          </w:p>
        </w:tc>
        <w:tc>
          <w:tcPr>
            <w:tcW w:w="4411" w:type="dxa"/>
          </w:tcPr>
          <w:p>
            <w:pPr>
              <w:pStyle w:val="TableParagraph"/>
              <w:ind w:left="1334" w:right="1336"/>
              <w:rPr>
                <w:sz w:val="21"/>
              </w:rPr>
            </w:pPr>
            <w:r>
              <w:rPr>
                <w:w w:val="105"/>
                <w:sz w:val="21"/>
              </w:rPr>
              <w:t>No. De pacientes</w:t>
            </w:r>
          </w:p>
        </w:tc>
      </w:tr>
      <w:tr>
        <w:trPr>
          <w:trHeight w:val="514" w:hRule="exact"/>
        </w:trPr>
        <w:tc>
          <w:tcPr>
            <w:tcW w:w="4416" w:type="dxa"/>
          </w:tcPr>
          <w:p>
            <w:pPr>
              <w:pStyle w:val="TableParagraph"/>
              <w:ind w:left="1196" w:right="1196"/>
              <w:rPr>
                <w:sz w:val="21"/>
              </w:rPr>
            </w:pPr>
            <w:r>
              <w:rPr>
                <w:w w:val="105"/>
                <w:sz w:val="21"/>
              </w:rPr>
              <w:t>DM 2</w:t>
            </w:r>
          </w:p>
        </w:tc>
        <w:tc>
          <w:tcPr>
            <w:tcW w:w="4411" w:type="dxa"/>
          </w:tcPr>
          <w:p>
            <w:pPr>
              <w:pStyle w:val="TableParagraph"/>
              <w:ind w:right="2"/>
              <w:rPr>
                <w:sz w:val="21"/>
              </w:rPr>
            </w:pPr>
            <w:r>
              <w:rPr>
                <w:w w:val="102"/>
                <w:sz w:val="21"/>
              </w:rPr>
              <w:t>2</w:t>
            </w:r>
          </w:p>
        </w:tc>
      </w:tr>
      <w:tr>
        <w:trPr>
          <w:trHeight w:val="518" w:hRule="exact"/>
        </w:trPr>
        <w:tc>
          <w:tcPr>
            <w:tcW w:w="4416" w:type="dxa"/>
          </w:tcPr>
          <w:p>
            <w:pPr>
              <w:pStyle w:val="TableParagraph"/>
              <w:ind w:left="1196" w:right="1196"/>
              <w:rPr>
                <w:sz w:val="21"/>
              </w:rPr>
            </w:pPr>
            <w:r>
              <w:rPr>
                <w:w w:val="105"/>
                <w:sz w:val="21"/>
              </w:rPr>
              <w:t>HAS</w:t>
            </w:r>
          </w:p>
        </w:tc>
        <w:tc>
          <w:tcPr>
            <w:tcW w:w="4411" w:type="dxa"/>
          </w:tcPr>
          <w:p>
            <w:pPr>
              <w:pStyle w:val="TableParagraph"/>
              <w:ind w:right="2"/>
              <w:rPr>
                <w:sz w:val="21"/>
              </w:rPr>
            </w:pPr>
            <w:r>
              <w:rPr>
                <w:w w:val="102"/>
                <w:sz w:val="21"/>
              </w:rPr>
              <w:t>3</w:t>
            </w:r>
          </w:p>
        </w:tc>
      </w:tr>
      <w:tr>
        <w:trPr>
          <w:trHeight w:val="514" w:hRule="exact"/>
        </w:trPr>
        <w:tc>
          <w:tcPr>
            <w:tcW w:w="4416" w:type="dxa"/>
          </w:tcPr>
          <w:p>
            <w:pPr>
              <w:pStyle w:val="TableParagraph"/>
              <w:ind w:left="1196" w:right="1196"/>
              <w:rPr>
                <w:sz w:val="21"/>
              </w:rPr>
            </w:pPr>
            <w:r>
              <w:rPr>
                <w:w w:val="105"/>
                <w:sz w:val="21"/>
              </w:rPr>
              <w:t>DM 2 HAS</w:t>
            </w:r>
          </w:p>
        </w:tc>
        <w:tc>
          <w:tcPr>
            <w:tcW w:w="4411" w:type="dxa"/>
          </w:tcPr>
          <w:p>
            <w:pPr>
              <w:pStyle w:val="TableParagraph"/>
              <w:ind w:right="2"/>
              <w:rPr>
                <w:sz w:val="21"/>
              </w:rPr>
            </w:pPr>
            <w:r>
              <w:rPr>
                <w:w w:val="102"/>
                <w:sz w:val="21"/>
              </w:rPr>
              <w:t>3</w:t>
            </w:r>
          </w:p>
        </w:tc>
      </w:tr>
      <w:tr>
        <w:trPr>
          <w:trHeight w:val="518" w:hRule="exact"/>
        </w:trPr>
        <w:tc>
          <w:tcPr>
            <w:tcW w:w="4416" w:type="dxa"/>
          </w:tcPr>
          <w:p>
            <w:pPr>
              <w:pStyle w:val="TableParagraph"/>
              <w:ind w:left="1196" w:right="1196"/>
              <w:rPr>
                <w:sz w:val="21"/>
              </w:rPr>
            </w:pPr>
            <w:r>
              <w:rPr>
                <w:w w:val="105"/>
                <w:sz w:val="21"/>
              </w:rPr>
              <w:t>S/P</w:t>
            </w:r>
          </w:p>
        </w:tc>
        <w:tc>
          <w:tcPr>
            <w:tcW w:w="4411" w:type="dxa"/>
          </w:tcPr>
          <w:p>
            <w:pPr>
              <w:pStyle w:val="TableParagraph"/>
              <w:ind w:right="2"/>
              <w:rPr>
                <w:sz w:val="21"/>
              </w:rPr>
            </w:pPr>
            <w:r>
              <w:rPr>
                <w:w w:val="102"/>
                <w:sz w:val="21"/>
              </w:rPr>
              <w:t>6</w:t>
            </w:r>
          </w:p>
        </w:tc>
      </w:tr>
      <w:tr>
        <w:trPr>
          <w:trHeight w:val="514" w:hRule="exact"/>
        </w:trPr>
        <w:tc>
          <w:tcPr>
            <w:tcW w:w="4416" w:type="dxa"/>
          </w:tcPr>
          <w:p>
            <w:pPr>
              <w:pStyle w:val="TableParagraph"/>
              <w:ind w:left="1196" w:right="1195"/>
              <w:rPr>
                <w:sz w:val="21"/>
              </w:rPr>
            </w:pPr>
            <w:r>
              <w:rPr>
                <w:w w:val="105"/>
                <w:sz w:val="21"/>
              </w:rPr>
              <w:t>Total de pacientes</w:t>
            </w:r>
          </w:p>
        </w:tc>
        <w:tc>
          <w:tcPr>
            <w:tcW w:w="4411" w:type="dxa"/>
          </w:tcPr>
          <w:p>
            <w:pPr>
              <w:pStyle w:val="TableParagraph"/>
              <w:ind w:left="1334" w:right="1335"/>
              <w:rPr>
                <w:sz w:val="21"/>
              </w:rPr>
            </w:pPr>
            <w:r>
              <w:rPr>
                <w:w w:val="105"/>
                <w:sz w:val="21"/>
              </w:rPr>
              <w:t>14</w:t>
            </w:r>
          </w:p>
        </w:tc>
      </w:tr>
    </w:tbl>
    <w:p>
      <w:pPr>
        <w:pStyle w:val="BodyText"/>
        <w:spacing w:line="252" w:lineRule="auto" w:before="4"/>
        <w:ind w:left="108" w:right="5300"/>
      </w:pPr>
      <w:r>
        <w:rPr>
          <w:w w:val="105"/>
        </w:rPr>
        <w:t>DM 2= Diabetes Mellitus tipo 2. HAS= Hipertensión arterial</w:t>
      </w:r>
      <w:r>
        <w:rPr>
          <w:spacing w:val="-22"/>
          <w:w w:val="105"/>
        </w:rPr>
        <w:t> </w:t>
      </w:r>
      <w:r>
        <w:rPr>
          <w:w w:val="105"/>
        </w:rPr>
        <w:t>sistémica. S/P=Sin patología</w:t>
      </w:r>
      <w:r>
        <w:rPr>
          <w:spacing w:val="-17"/>
          <w:w w:val="105"/>
        </w:rPr>
        <w:t> </w:t>
      </w:r>
      <w:r>
        <w:rPr>
          <w:w w:val="105"/>
        </w:rPr>
        <w:t>documentada.</w:t>
      </w:r>
    </w:p>
    <w:p>
      <w:pPr>
        <w:pStyle w:val="BodyText"/>
        <w:spacing w:line="238" w:lineRule="exact"/>
        <w:ind w:left="108" w:right="3095"/>
      </w:pPr>
      <w:r>
        <w:rPr>
          <w:w w:val="105"/>
        </w:rPr>
        <w:t>Fuente Centro Medico ISSEMYM</w:t>
      </w:r>
    </w:p>
    <w:p>
      <w:pPr>
        <w:pStyle w:val="BodyText"/>
        <w:spacing w:before="2"/>
        <w:rPr>
          <w:sz w:val="23"/>
        </w:rPr>
      </w:pPr>
    </w:p>
    <w:p>
      <w:pPr>
        <w:pStyle w:val="BodyText"/>
        <w:spacing w:before="1"/>
        <w:ind w:left="108"/>
      </w:pPr>
      <w:r>
        <w:rPr>
          <w:w w:val="105"/>
        </w:rPr>
        <w:t>Tabla 3.RELACIÓN DE METODOS DIAGNÓSTICOS EMPLEADOS.</w:t>
      </w:r>
    </w:p>
    <w:p>
      <w:pPr>
        <w:pStyle w:val="BodyText"/>
        <w:spacing w:before="4" w:after="1"/>
        <w:rPr>
          <w:sz w:val="22"/>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6"/>
        <w:gridCol w:w="4411"/>
      </w:tblGrid>
      <w:tr>
        <w:trPr>
          <w:trHeight w:val="264" w:hRule="exact"/>
        </w:trPr>
        <w:tc>
          <w:tcPr>
            <w:tcW w:w="4416" w:type="dxa"/>
          </w:tcPr>
          <w:p>
            <w:pPr>
              <w:pStyle w:val="TableParagraph"/>
              <w:ind w:left="1196" w:right="1196"/>
              <w:rPr>
                <w:sz w:val="21"/>
              </w:rPr>
            </w:pPr>
            <w:r>
              <w:rPr>
                <w:w w:val="105"/>
                <w:sz w:val="21"/>
              </w:rPr>
              <w:t>Estudio practicado</w:t>
            </w:r>
          </w:p>
        </w:tc>
        <w:tc>
          <w:tcPr>
            <w:tcW w:w="4411" w:type="dxa"/>
          </w:tcPr>
          <w:p>
            <w:pPr>
              <w:pStyle w:val="TableParagraph"/>
              <w:ind w:left="1334" w:right="1336"/>
              <w:rPr>
                <w:sz w:val="21"/>
              </w:rPr>
            </w:pPr>
            <w:r>
              <w:rPr>
                <w:w w:val="105"/>
                <w:sz w:val="21"/>
              </w:rPr>
              <w:t>No. De pacientes</w:t>
            </w:r>
          </w:p>
        </w:tc>
      </w:tr>
      <w:tr>
        <w:trPr>
          <w:trHeight w:val="264" w:hRule="exact"/>
        </w:trPr>
        <w:tc>
          <w:tcPr>
            <w:tcW w:w="4416" w:type="dxa"/>
          </w:tcPr>
          <w:p>
            <w:pPr>
              <w:pStyle w:val="TableParagraph"/>
              <w:ind w:left="1196" w:right="1196"/>
              <w:rPr>
                <w:sz w:val="21"/>
              </w:rPr>
            </w:pPr>
            <w:r>
              <w:rPr>
                <w:w w:val="105"/>
                <w:sz w:val="21"/>
              </w:rPr>
              <w:t>Arteriog+DD+TAC</w:t>
            </w:r>
          </w:p>
        </w:tc>
        <w:tc>
          <w:tcPr>
            <w:tcW w:w="4411" w:type="dxa"/>
          </w:tcPr>
          <w:p>
            <w:pPr>
              <w:pStyle w:val="TableParagraph"/>
              <w:ind w:right="2"/>
              <w:rPr>
                <w:sz w:val="21"/>
              </w:rPr>
            </w:pPr>
            <w:r>
              <w:rPr>
                <w:w w:val="102"/>
                <w:sz w:val="21"/>
              </w:rPr>
              <w:t>7</w:t>
            </w:r>
          </w:p>
        </w:tc>
      </w:tr>
      <w:tr>
        <w:trPr>
          <w:trHeight w:val="264" w:hRule="exact"/>
        </w:trPr>
        <w:tc>
          <w:tcPr>
            <w:tcW w:w="4416" w:type="dxa"/>
          </w:tcPr>
          <w:p>
            <w:pPr>
              <w:pStyle w:val="TableParagraph"/>
              <w:ind w:left="1196" w:right="1194"/>
              <w:rPr>
                <w:sz w:val="21"/>
              </w:rPr>
            </w:pPr>
            <w:r>
              <w:rPr>
                <w:w w:val="105"/>
                <w:sz w:val="21"/>
              </w:rPr>
              <w:t>Arteriog+TAC</w:t>
            </w:r>
          </w:p>
        </w:tc>
        <w:tc>
          <w:tcPr>
            <w:tcW w:w="4411" w:type="dxa"/>
          </w:tcPr>
          <w:p>
            <w:pPr>
              <w:pStyle w:val="TableParagraph"/>
              <w:ind w:right="2"/>
              <w:rPr>
                <w:sz w:val="21"/>
              </w:rPr>
            </w:pPr>
            <w:r>
              <w:rPr>
                <w:w w:val="102"/>
                <w:sz w:val="21"/>
              </w:rPr>
              <w:t>5</w:t>
            </w:r>
          </w:p>
        </w:tc>
      </w:tr>
      <w:tr>
        <w:trPr>
          <w:trHeight w:val="341" w:hRule="exact"/>
        </w:trPr>
        <w:tc>
          <w:tcPr>
            <w:tcW w:w="4416" w:type="dxa"/>
          </w:tcPr>
          <w:p>
            <w:pPr>
              <w:pStyle w:val="TableParagraph"/>
              <w:ind w:left="1196" w:right="1196"/>
              <w:rPr>
                <w:sz w:val="21"/>
              </w:rPr>
            </w:pPr>
            <w:r>
              <w:rPr>
                <w:w w:val="105"/>
                <w:sz w:val="21"/>
              </w:rPr>
              <w:t>Arteriog+DD</w:t>
            </w:r>
          </w:p>
        </w:tc>
        <w:tc>
          <w:tcPr>
            <w:tcW w:w="4411" w:type="dxa"/>
          </w:tcPr>
          <w:p>
            <w:pPr>
              <w:pStyle w:val="TableParagraph"/>
              <w:ind w:right="2"/>
              <w:rPr>
                <w:sz w:val="21"/>
              </w:rPr>
            </w:pPr>
            <w:r>
              <w:rPr>
                <w:w w:val="102"/>
                <w:sz w:val="21"/>
              </w:rPr>
              <w:t>2</w:t>
            </w:r>
          </w:p>
        </w:tc>
      </w:tr>
      <w:tr>
        <w:trPr>
          <w:trHeight w:val="264" w:hRule="exact"/>
        </w:trPr>
        <w:tc>
          <w:tcPr>
            <w:tcW w:w="4416" w:type="dxa"/>
          </w:tcPr>
          <w:p>
            <w:pPr>
              <w:pStyle w:val="TableParagraph"/>
              <w:ind w:left="1196" w:right="1196"/>
              <w:rPr>
                <w:sz w:val="21"/>
              </w:rPr>
            </w:pPr>
            <w:r>
              <w:rPr>
                <w:w w:val="105"/>
                <w:sz w:val="21"/>
              </w:rPr>
              <w:t>Total de pacientes</w:t>
            </w:r>
          </w:p>
        </w:tc>
        <w:tc>
          <w:tcPr>
            <w:tcW w:w="4411" w:type="dxa"/>
          </w:tcPr>
          <w:p>
            <w:pPr>
              <w:pStyle w:val="TableParagraph"/>
              <w:ind w:left="1334" w:right="1335"/>
              <w:rPr>
                <w:sz w:val="21"/>
              </w:rPr>
            </w:pPr>
            <w:r>
              <w:rPr>
                <w:w w:val="105"/>
                <w:sz w:val="21"/>
              </w:rPr>
              <w:t>14</w:t>
            </w:r>
          </w:p>
        </w:tc>
      </w:tr>
    </w:tbl>
    <w:p>
      <w:pPr>
        <w:pStyle w:val="BodyText"/>
        <w:spacing w:before="4"/>
        <w:ind w:left="108" w:right="3095"/>
      </w:pPr>
      <w:r>
        <w:rPr>
          <w:w w:val="105"/>
        </w:rPr>
        <w:t>Arteriog=arteriografía.</w:t>
      </w:r>
    </w:p>
    <w:p>
      <w:pPr>
        <w:spacing w:after="0"/>
        <w:sectPr>
          <w:pgSz w:w="12240" w:h="15840"/>
          <w:pgMar w:header="0" w:footer="687" w:top="1380" w:bottom="940" w:left="1600" w:right="1580"/>
        </w:sectPr>
      </w:pPr>
    </w:p>
    <w:p>
      <w:pPr>
        <w:pStyle w:val="BodyText"/>
        <w:spacing w:line="252" w:lineRule="auto" w:before="50"/>
        <w:ind w:left="108" w:right="5380"/>
      </w:pPr>
      <w:r>
        <w:rPr>
          <w:w w:val="105"/>
        </w:rPr>
        <w:t>DD=doppler-duplex. TAC=tomografía axial computada.</w:t>
      </w:r>
    </w:p>
    <w:p>
      <w:pPr>
        <w:pStyle w:val="BodyText"/>
        <w:spacing w:before="1"/>
        <w:ind w:left="108" w:right="3095"/>
      </w:pPr>
      <w:r>
        <w:rPr>
          <w:w w:val="105"/>
        </w:rPr>
        <w:t>Fuente Centro Medico ISSEMYM Toluca.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2"/>
        </w:rPr>
      </w:pPr>
    </w:p>
    <w:p>
      <w:pPr>
        <w:pStyle w:val="BodyText"/>
        <w:spacing w:before="1"/>
        <w:ind w:left="108" w:right="3095"/>
      </w:pPr>
      <w:r>
        <w:rPr>
          <w:w w:val="105"/>
        </w:rPr>
        <w:t>GRAFICA 1.</w:t>
      </w:r>
    </w:p>
    <w:p>
      <w:pPr>
        <w:pStyle w:val="BodyText"/>
        <w:spacing w:before="2"/>
        <w:rPr>
          <w:sz w:val="23"/>
        </w:rPr>
      </w:pPr>
    </w:p>
    <w:p>
      <w:pPr>
        <w:pStyle w:val="BodyText"/>
        <w:spacing w:line="501" w:lineRule="auto" w:before="1"/>
        <w:ind w:left="3543" w:hanging="2904"/>
      </w:pPr>
      <w:r>
        <w:rPr>
          <w:w w:val="105"/>
        </w:rPr>
        <w:t>TUMOR DE CUERPO CAROTIDEO, EXPERIENCIA EN EL CENTRO MEDICO ISSEMYM TOLUCA</w:t>
      </w:r>
    </w:p>
    <w:p>
      <w:pPr>
        <w:pStyle w:val="BodyText"/>
        <w:rPr>
          <w:sz w:val="20"/>
        </w:rPr>
      </w:pPr>
    </w:p>
    <w:p>
      <w:pPr>
        <w:pStyle w:val="BodyText"/>
        <w:spacing w:before="2"/>
        <w:rPr>
          <w:sz w:val="20"/>
        </w:rPr>
      </w:pPr>
      <w:r>
        <w:rPr/>
        <w:pict>
          <v:group style="position:absolute;margin-left:90.215645pt;margin-top:13.554671pt;width:432.55pt;height:252.75pt;mso-position-horizontal-relative:page;mso-position-vertical-relative:paragraph;z-index:1312;mso-wrap-distance-left:0;mso-wrap-distance-right:0" coordorigin="1804,271" coordsize="8651,5055">
            <v:shape style="position:absolute;left:2865;top:1102;width:5981;height:3960" type="#_x0000_t75" stroked="false">
              <v:imagedata r:id="rId12" o:title=""/>
            </v:shape>
            <v:rect style="position:absolute;left:9317;top:2844;width:101;height:96" filled="true" fillcolor="#70ad47" stroked="false">
              <v:fill type="solid"/>
            </v:rect>
            <v:rect style="position:absolute;left:9317;top:3223;width:101;height:96" filled="true" fillcolor="#4472c4" stroked="false">
              <v:fill type="solid"/>
            </v:rect>
            <v:rect style="position:absolute;left:1812;top:279;width:8635;height:5040" filled="false" stroked="true" strokeweight=".72pt" strokecolor="#d9d9d9"/>
            <v:shape style="position:absolute;left:4524;top:523;width:3208;height:279" type="#_x0000_t202" filled="false" stroked="false">
              <v:textbox inset="0,0,0,0">
                <w:txbxContent>
                  <w:p>
                    <w:pPr>
                      <w:spacing w:line="278" w:lineRule="exact" w:before="0"/>
                      <w:ind w:left="0" w:right="-20" w:firstLine="0"/>
                      <w:jc w:val="left"/>
                      <w:rPr>
                        <w:rFonts w:ascii="Calibri"/>
                        <w:sz w:val="28"/>
                      </w:rPr>
                    </w:pPr>
                    <w:r>
                      <w:rPr>
                        <w:rFonts w:ascii="Calibri"/>
                        <w:color w:val="595959"/>
                        <w:sz w:val="28"/>
                      </w:rPr>
                      <w:t>DISTRIBUCION POR </w:t>
                    </w:r>
                    <w:r>
                      <w:rPr>
                        <w:rFonts w:ascii="Calibri"/>
                        <w:color w:val="595959"/>
                        <w:spacing w:val="-3"/>
                        <w:sz w:val="28"/>
                      </w:rPr>
                      <w:t>GENERO</w:t>
                    </w:r>
                  </w:p>
                </w:txbxContent>
              </v:textbox>
              <w10:wrap type="none"/>
            </v:shape>
            <v:shape style="position:absolute;left:2079;top:1783;width:658;height:3346" type="#_x0000_t202" filled="false" stroked="false">
              <v:textbox inset="0,0,0,0">
                <w:txbxContent>
                  <w:p>
                    <w:pPr>
                      <w:spacing w:line="186" w:lineRule="exact" w:before="0"/>
                      <w:ind w:left="0" w:right="1" w:firstLine="0"/>
                      <w:jc w:val="center"/>
                      <w:rPr>
                        <w:rFonts w:ascii="Times New Roman"/>
                        <w:sz w:val="18"/>
                      </w:rPr>
                    </w:pPr>
                    <w:r>
                      <w:rPr>
                        <w:rFonts w:ascii="Times New Roman"/>
                        <w:color w:val="595959"/>
                        <w:sz w:val="18"/>
                      </w:rPr>
                      <w:t>100.00%</w:t>
                    </w:r>
                  </w:p>
                  <w:p>
                    <w:pPr>
                      <w:spacing w:before="109"/>
                      <w:ind w:left="93" w:right="-10" w:firstLine="0"/>
                      <w:jc w:val="left"/>
                      <w:rPr>
                        <w:rFonts w:ascii="Times New Roman"/>
                        <w:sz w:val="18"/>
                      </w:rPr>
                    </w:pPr>
                    <w:r>
                      <w:rPr>
                        <w:rFonts w:ascii="Times New Roman"/>
                        <w:color w:val="595959"/>
                        <w:sz w:val="18"/>
                      </w:rPr>
                      <w:t>90.00%</w:t>
                    </w:r>
                  </w:p>
                  <w:p>
                    <w:pPr>
                      <w:spacing w:before="109"/>
                      <w:ind w:left="93" w:right="-10" w:firstLine="0"/>
                      <w:jc w:val="left"/>
                      <w:rPr>
                        <w:rFonts w:ascii="Times New Roman"/>
                        <w:sz w:val="18"/>
                      </w:rPr>
                    </w:pPr>
                    <w:r>
                      <w:rPr>
                        <w:rFonts w:ascii="Times New Roman"/>
                        <w:color w:val="595959"/>
                        <w:sz w:val="18"/>
                      </w:rPr>
                      <w:t>80.00%</w:t>
                    </w:r>
                  </w:p>
                  <w:p>
                    <w:pPr>
                      <w:spacing w:before="109"/>
                      <w:ind w:left="93" w:right="-10" w:firstLine="0"/>
                      <w:jc w:val="left"/>
                      <w:rPr>
                        <w:rFonts w:ascii="Times New Roman"/>
                        <w:sz w:val="18"/>
                      </w:rPr>
                    </w:pPr>
                    <w:r>
                      <w:rPr>
                        <w:rFonts w:ascii="Times New Roman"/>
                        <w:color w:val="595959"/>
                        <w:sz w:val="18"/>
                      </w:rPr>
                      <w:t>70.00%</w:t>
                    </w:r>
                  </w:p>
                  <w:p>
                    <w:pPr>
                      <w:spacing w:before="109"/>
                      <w:ind w:left="93" w:right="-10" w:firstLine="0"/>
                      <w:jc w:val="left"/>
                      <w:rPr>
                        <w:rFonts w:ascii="Times New Roman"/>
                        <w:sz w:val="18"/>
                      </w:rPr>
                    </w:pPr>
                    <w:r>
                      <w:rPr>
                        <w:rFonts w:ascii="Times New Roman"/>
                        <w:color w:val="595959"/>
                        <w:sz w:val="18"/>
                      </w:rPr>
                      <w:t>60.00%</w:t>
                    </w:r>
                  </w:p>
                  <w:p>
                    <w:pPr>
                      <w:spacing w:before="109"/>
                      <w:ind w:left="93" w:right="-10" w:firstLine="0"/>
                      <w:jc w:val="left"/>
                      <w:rPr>
                        <w:rFonts w:ascii="Times New Roman"/>
                        <w:sz w:val="18"/>
                      </w:rPr>
                    </w:pPr>
                    <w:r>
                      <w:rPr>
                        <w:rFonts w:ascii="Times New Roman"/>
                        <w:color w:val="595959"/>
                        <w:sz w:val="18"/>
                      </w:rPr>
                      <w:t>50.00%</w:t>
                    </w:r>
                  </w:p>
                  <w:p>
                    <w:pPr>
                      <w:spacing w:before="109"/>
                      <w:ind w:left="93" w:right="-10" w:firstLine="0"/>
                      <w:jc w:val="left"/>
                      <w:rPr>
                        <w:rFonts w:ascii="Times New Roman"/>
                        <w:sz w:val="18"/>
                      </w:rPr>
                    </w:pPr>
                    <w:r>
                      <w:rPr>
                        <w:rFonts w:ascii="Times New Roman"/>
                        <w:color w:val="595959"/>
                        <w:sz w:val="18"/>
                      </w:rPr>
                      <w:t>40.00%</w:t>
                    </w:r>
                  </w:p>
                  <w:p>
                    <w:pPr>
                      <w:spacing w:before="109"/>
                      <w:ind w:left="93" w:right="-10" w:firstLine="0"/>
                      <w:jc w:val="left"/>
                      <w:rPr>
                        <w:rFonts w:ascii="Times New Roman"/>
                        <w:sz w:val="18"/>
                      </w:rPr>
                    </w:pPr>
                    <w:r>
                      <w:rPr>
                        <w:rFonts w:ascii="Times New Roman"/>
                        <w:color w:val="595959"/>
                        <w:sz w:val="18"/>
                      </w:rPr>
                      <w:t>30.00%</w:t>
                    </w:r>
                  </w:p>
                  <w:p>
                    <w:pPr>
                      <w:spacing w:before="109"/>
                      <w:ind w:left="93" w:right="-10" w:firstLine="0"/>
                      <w:jc w:val="left"/>
                      <w:rPr>
                        <w:rFonts w:ascii="Times New Roman"/>
                        <w:sz w:val="18"/>
                      </w:rPr>
                    </w:pPr>
                    <w:r>
                      <w:rPr>
                        <w:rFonts w:ascii="Times New Roman"/>
                        <w:color w:val="595959"/>
                        <w:sz w:val="18"/>
                      </w:rPr>
                      <w:t>20.00%</w:t>
                    </w:r>
                  </w:p>
                  <w:p>
                    <w:pPr>
                      <w:spacing w:before="109"/>
                      <w:ind w:left="93" w:right="-10" w:firstLine="0"/>
                      <w:jc w:val="left"/>
                      <w:rPr>
                        <w:rFonts w:ascii="Times New Roman"/>
                        <w:sz w:val="18"/>
                      </w:rPr>
                    </w:pPr>
                    <w:r>
                      <w:rPr>
                        <w:rFonts w:ascii="Times New Roman"/>
                        <w:color w:val="595959"/>
                        <w:sz w:val="18"/>
                      </w:rPr>
                      <w:t>10.00%</w:t>
                    </w:r>
                  </w:p>
                  <w:p>
                    <w:pPr>
                      <w:spacing w:line="204" w:lineRule="exact" w:before="109"/>
                      <w:ind w:left="178" w:right="0" w:firstLine="0"/>
                      <w:jc w:val="center"/>
                      <w:rPr>
                        <w:rFonts w:ascii="Times New Roman"/>
                        <w:sz w:val="18"/>
                      </w:rPr>
                    </w:pPr>
                    <w:r>
                      <w:rPr>
                        <w:rFonts w:ascii="Times New Roman"/>
                        <w:color w:val="595959"/>
                        <w:sz w:val="18"/>
                      </w:rPr>
                      <w:t>0.00%</w:t>
                    </w:r>
                  </w:p>
                </w:txbxContent>
              </v:textbox>
              <w10:wrap type="none"/>
            </v:shape>
            <v:shape style="position:absolute;left:9456;top:2814;width:694;height:560" type="#_x0000_t202" filled="false" stroked="false">
              <v:textbox inset="0,0,0,0">
                <w:txbxContent>
                  <w:p>
                    <w:pPr>
                      <w:spacing w:line="191" w:lineRule="exact" w:before="0"/>
                      <w:ind w:left="0" w:right="-9" w:firstLine="0"/>
                      <w:jc w:val="left"/>
                      <w:rPr>
                        <w:rFonts w:ascii="Calibri"/>
                        <w:sz w:val="18"/>
                      </w:rPr>
                    </w:pPr>
                    <w:r>
                      <w:rPr>
                        <w:rFonts w:ascii="Calibri"/>
                        <w:color w:val="595959"/>
                        <w:sz w:val="18"/>
                      </w:rPr>
                      <w:t>HOMBRE</w:t>
                    </w:r>
                  </w:p>
                  <w:p>
                    <w:pPr>
                      <w:spacing w:line="212" w:lineRule="exact" w:before="157"/>
                      <w:ind w:left="0" w:right="-9" w:firstLine="0"/>
                      <w:jc w:val="left"/>
                      <w:rPr>
                        <w:rFonts w:ascii="Calibri"/>
                        <w:sz w:val="18"/>
                      </w:rPr>
                    </w:pPr>
                    <w:r>
                      <w:rPr>
                        <w:rFonts w:ascii="Calibri"/>
                        <w:color w:val="595959"/>
                        <w:sz w:val="18"/>
                      </w:rPr>
                      <w:t>MUJERES</w:t>
                    </w:r>
                  </w:p>
                </w:txbxContent>
              </v:textbox>
              <w10:wrap type="none"/>
            </v:shape>
            <w10:wrap type="topAndBottom"/>
          </v:group>
        </w:pict>
      </w:r>
    </w:p>
    <w:p>
      <w:pPr>
        <w:pStyle w:val="BodyText"/>
        <w:rPr>
          <w:sz w:val="19"/>
        </w:rPr>
      </w:pPr>
    </w:p>
    <w:p>
      <w:pPr>
        <w:spacing w:before="0"/>
        <w:ind w:left="2142" w:right="0" w:firstLine="0"/>
        <w:jc w:val="left"/>
        <w:rPr>
          <w:i/>
          <w:sz w:val="16"/>
        </w:rPr>
      </w:pPr>
      <w:r>
        <w:rPr>
          <w:i/>
          <w:sz w:val="16"/>
        </w:rPr>
        <w:t>Fuente: expedientes clínicos del Centro Medico ISSEMyM Toluca de abril del 2013 – abril 2016.</w:t>
      </w:r>
    </w:p>
    <w:p>
      <w:pPr>
        <w:spacing w:after="0"/>
        <w:jc w:val="left"/>
        <w:rPr>
          <w:sz w:val="16"/>
        </w:rPr>
        <w:sectPr>
          <w:pgSz w:w="12240" w:h="15840"/>
          <w:pgMar w:header="0" w:footer="687" w:top="1380" w:bottom="940" w:left="1600" w:right="15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9"/>
        </w:rPr>
      </w:pPr>
    </w:p>
    <w:p>
      <w:pPr>
        <w:pStyle w:val="BodyText"/>
        <w:spacing w:before="78"/>
        <w:ind w:left="108" w:right="3095"/>
      </w:pPr>
      <w:r>
        <w:rPr>
          <w:w w:val="105"/>
        </w:rPr>
        <w:t>GRAFICA 2.</w:t>
      </w:r>
    </w:p>
    <w:p>
      <w:pPr>
        <w:pStyle w:val="BodyText"/>
        <w:spacing w:before="2"/>
        <w:rPr>
          <w:sz w:val="23"/>
        </w:rPr>
      </w:pPr>
    </w:p>
    <w:p>
      <w:pPr>
        <w:pStyle w:val="BodyText"/>
        <w:spacing w:line="501" w:lineRule="auto" w:before="1"/>
        <w:ind w:left="615" w:right="622"/>
        <w:jc w:val="center"/>
      </w:pPr>
      <w:r>
        <w:rPr>
          <w:w w:val="105"/>
        </w:rPr>
        <w:t>TUMOR DE CUERPO CAROTIDEO, EXPERIENCIA EN EL CENTRO MEDICO ISSEMYM TOLUCA</w:t>
      </w:r>
    </w:p>
    <w:p>
      <w:pPr>
        <w:pStyle w:val="BodyText"/>
        <w:ind w:left="103"/>
        <w:rPr>
          <w:sz w:val="20"/>
        </w:rPr>
      </w:pPr>
      <w:r>
        <w:rPr>
          <w:sz w:val="20"/>
        </w:rPr>
        <w:pict>
          <v:group style="width:378.75pt;height:191.1pt;mso-position-horizontal-relative:char;mso-position-vertical-relative:line" coordorigin="0,0" coordsize="7575,3822">
            <v:shape style="position:absolute;left:864;top:826;width:6091;height:1978" type="#_x0000_t75" stroked="false">
              <v:imagedata r:id="rId13" o:title=""/>
            </v:shape>
            <v:rect style="position:absolute;left:3509;top:3413;width:101;height:101" filled="true" fillcolor="#5b9bd5" stroked="false">
              <v:fill type="solid"/>
            </v:rect>
            <v:rect style="position:absolute;left:7;top:8;width:7560;height:3806" filled="false" stroked="true" strokeweight=".72pt" strokecolor="#d9d9d9"/>
            <v:shape style="position:absolute;left:3401;top:250;width:775;height:279" type="#_x0000_t202" filled="false" stroked="false">
              <v:textbox inset="0,0,0,0">
                <w:txbxContent>
                  <w:p>
                    <w:pPr>
                      <w:spacing w:line="278" w:lineRule="exact" w:before="0"/>
                      <w:ind w:left="0" w:right="-20" w:firstLine="0"/>
                      <w:jc w:val="left"/>
                      <w:rPr>
                        <w:rFonts w:ascii="Calibri"/>
                        <w:sz w:val="28"/>
                      </w:rPr>
                    </w:pPr>
                    <w:r>
                      <w:rPr>
                        <w:rFonts w:ascii="Calibri"/>
                        <w:color w:val="595959"/>
                        <w:sz w:val="28"/>
                      </w:rPr>
                      <w:t>Serie 1</w:t>
                    </w:r>
                  </w:p>
                </w:txbxContent>
              </v:textbox>
              <w10:wrap type="none"/>
            </v:shape>
            <v:shape style="position:absolute;left:394;top:1583;width:342;height:1064" type="#_x0000_t202" filled="false" stroked="false">
              <v:textbox inset="0,0,0,0">
                <w:txbxContent>
                  <w:p>
                    <w:pPr>
                      <w:spacing w:line="191" w:lineRule="exact" w:before="0"/>
                      <w:ind w:left="46" w:right="-14" w:hanging="22"/>
                      <w:jc w:val="left"/>
                      <w:rPr>
                        <w:rFonts w:ascii="Calibri"/>
                        <w:sz w:val="18"/>
                      </w:rPr>
                    </w:pPr>
                    <w:r>
                      <w:rPr>
                        <w:rFonts w:ascii="Calibri"/>
                        <w:color w:val="595959"/>
                        <w:sz w:val="18"/>
                      </w:rPr>
                      <w:t>USG</w:t>
                    </w:r>
                  </w:p>
                  <w:p>
                    <w:pPr>
                      <w:spacing w:line="440" w:lineRule="atLeast" w:before="0"/>
                      <w:ind w:left="0" w:right="-13" w:firstLine="47"/>
                      <w:jc w:val="left"/>
                      <w:rPr>
                        <w:rFonts w:ascii="Calibri"/>
                        <w:sz w:val="18"/>
                      </w:rPr>
                    </w:pPr>
                    <w:r>
                      <w:rPr>
                        <w:rFonts w:ascii="Calibri"/>
                        <w:color w:val="595959"/>
                        <w:sz w:val="18"/>
                      </w:rPr>
                      <w:t>TAC ANG</w:t>
                    </w:r>
                  </w:p>
                </w:txbxContent>
              </v:textbox>
              <w10:wrap type="none"/>
            </v:shape>
            <v:shape style="position:absolute;left:857;top:2910;width:93;height:183" type="#_x0000_t202" filled="false" stroked="false">
              <v:textbox inset="0,0,0,0">
                <w:txbxContent>
                  <w:p>
                    <w:pPr>
                      <w:spacing w:line="182" w:lineRule="exact" w:before="0"/>
                      <w:ind w:left="0" w:right="0" w:firstLine="0"/>
                      <w:jc w:val="left"/>
                      <w:rPr>
                        <w:rFonts w:ascii="Calibri"/>
                        <w:sz w:val="18"/>
                      </w:rPr>
                    </w:pPr>
                    <w:r>
                      <w:rPr>
                        <w:rFonts w:ascii="Calibri"/>
                        <w:color w:val="595959"/>
                        <w:w w:val="101"/>
                        <w:sz w:val="18"/>
                      </w:rPr>
                      <w:t>0</w:t>
                    </w:r>
                  </w:p>
                </w:txbxContent>
              </v:textbox>
              <w10:wrap type="none"/>
            </v:shape>
            <v:shape style="position:absolute;left:1976;top:2910;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20</w:t>
                    </w:r>
                  </w:p>
                </w:txbxContent>
              </v:textbox>
              <w10:wrap type="none"/>
            </v:shape>
            <v:shape style="position:absolute;left:3143;top:2910;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40</w:t>
                    </w:r>
                  </w:p>
                </w:txbxContent>
              </v:textbox>
              <w10:wrap type="none"/>
            </v:shape>
            <v:shape style="position:absolute;left:4309;top:2910;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60</w:t>
                    </w:r>
                  </w:p>
                </w:txbxContent>
              </v:textbox>
              <w10:wrap type="none"/>
            </v:shape>
            <v:shape style="position:absolute;left:5476;top:2910;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80</w:t>
                    </w:r>
                  </w:p>
                </w:txbxContent>
              </v:textbox>
              <w10:wrap type="none"/>
            </v:shape>
            <v:shape style="position:absolute;left:6600;top:2910;width:274;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100</w:t>
                    </w:r>
                  </w:p>
                </w:txbxContent>
              </v:textbox>
              <w10:wrap type="none"/>
            </v:shape>
            <v:shape style="position:absolute;left:3647;top:3384;width:501;height:183" type="#_x0000_t202" filled="false" stroked="false">
              <v:textbox inset="0,0,0,0">
                <w:txbxContent>
                  <w:p>
                    <w:pPr>
                      <w:spacing w:line="182" w:lineRule="exact" w:before="0"/>
                      <w:ind w:left="0" w:right="-17" w:firstLine="0"/>
                      <w:jc w:val="left"/>
                      <w:rPr>
                        <w:rFonts w:ascii="Calibri"/>
                        <w:sz w:val="18"/>
                      </w:rPr>
                    </w:pPr>
                    <w:r>
                      <w:rPr>
                        <w:rFonts w:ascii="Calibri"/>
                        <w:color w:val="595959"/>
                        <w:sz w:val="18"/>
                      </w:rPr>
                      <w:t>Serie 1</w:t>
                    </w:r>
                  </w:p>
                </w:txbxContent>
              </v:textbox>
              <w10:wrap type="none"/>
            </v:shape>
          </v:group>
        </w:pict>
      </w:r>
      <w:r>
        <w:rPr>
          <w:sz w:val="20"/>
        </w:rPr>
      </w:r>
    </w:p>
    <w:p>
      <w:pPr>
        <w:pStyle w:val="BodyText"/>
        <w:spacing w:before="8"/>
      </w:pPr>
    </w:p>
    <w:p>
      <w:pPr>
        <w:spacing w:before="0"/>
        <w:ind w:left="997" w:right="0" w:firstLine="0"/>
        <w:jc w:val="left"/>
        <w:rPr>
          <w:i/>
          <w:sz w:val="16"/>
        </w:rPr>
      </w:pPr>
      <w:r>
        <w:rPr>
          <w:i/>
          <w:sz w:val="16"/>
        </w:rPr>
        <w:t>Fuente: expedientes clínicos del Centro Medico ISSEMYM, de abril del 2013 a mayo del 2013</w:t>
      </w:r>
    </w:p>
    <w:p>
      <w:pPr>
        <w:pStyle w:val="BodyText"/>
        <w:rPr>
          <w:i/>
          <w:sz w:val="16"/>
        </w:rPr>
      </w:pPr>
    </w:p>
    <w:p>
      <w:pPr>
        <w:pStyle w:val="BodyText"/>
        <w:spacing w:before="2"/>
        <w:rPr>
          <w:i/>
          <w:sz w:val="18"/>
        </w:rPr>
      </w:pPr>
    </w:p>
    <w:p>
      <w:pPr>
        <w:pStyle w:val="BodyText"/>
        <w:ind w:left="108" w:right="3095"/>
      </w:pPr>
      <w:r>
        <w:rPr>
          <w:w w:val="105"/>
        </w:rPr>
        <w:t>GRÁFICA 3.</w:t>
      </w:r>
    </w:p>
    <w:p>
      <w:pPr>
        <w:pStyle w:val="BodyText"/>
        <w:spacing w:line="376" w:lineRule="auto" w:before="137"/>
        <w:ind w:left="615" w:right="622"/>
        <w:jc w:val="center"/>
      </w:pPr>
      <w:r>
        <w:rPr>
          <w:w w:val="105"/>
        </w:rPr>
        <w:t>TUMOR DE CUERPO CAROTÍDEO, EXPERIENCIA EN EL CENTRO MEDICO ISSEMYM TOLUCA.</w:t>
      </w:r>
    </w:p>
    <w:p>
      <w:pPr>
        <w:spacing w:line="177" w:lineRule="exact" w:before="0"/>
        <w:ind w:left="615" w:right="618" w:firstLine="0"/>
        <w:jc w:val="center"/>
        <w:rPr>
          <w:b/>
          <w:sz w:val="16"/>
        </w:rPr>
      </w:pPr>
      <w:r>
        <w:rPr>
          <w:b/>
          <w:sz w:val="16"/>
        </w:rPr>
        <w:t>ESCALA DE SHAMBLIN</w:t>
      </w:r>
    </w:p>
    <w:p>
      <w:pPr>
        <w:spacing w:after="0" w:line="177" w:lineRule="exact"/>
        <w:jc w:val="center"/>
        <w:rPr>
          <w:sz w:val="16"/>
        </w:rPr>
        <w:sectPr>
          <w:pgSz w:w="12240" w:h="15840"/>
          <w:pgMar w:header="0" w:footer="687" w:top="1500" w:bottom="940" w:left="1600" w:right="15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after="1"/>
        <w:rPr>
          <w:b/>
          <w:sz w:val="15"/>
        </w:rPr>
      </w:pPr>
    </w:p>
    <w:tbl>
      <w:tblPr>
        <w:tblW w:w="0" w:type="auto"/>
        <w:jc w:val="left"/>
        <w:tblInd w:w="72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998"/>
        <w:gridCol w:w="682"/>
        <w:gridCol w:w="686"/>
        <w:gridCol w:w="682"/>
        <w:gridCol w:w="686"/>
        <w:gridCol w:w="682"/>
        <w:gridCol w:w="686"/>
        <w:gridCol w:w="686"/>
        <w:gridCol w:w="682"/>
        <w:gridCol w:w="686"/>
      </w:tblGrid>
      <w:tr>
        <w:trPr>
          <w:trHeight w:val="274" w:hRule="exact"/>
        </w:trPr>
        <w:tc>
          <w:tcPr>
            <w:tcW w:w="998" w:type="dxa"/>
            <w:tcBorders>
              <w:top w:val="nil"/>
              <w:left w:val="nil"/>
            </w:tcBorders>
          </w:tcPr>
          <w:p>
            <w:pPr/>
          </w:p>
        </w:tc>
        <w:tc>
          <w:tcPr>
            <w:tcW w:w="682" w:type="dxa"/>
            <w:tcBorders>
              <w:top w:val="nil"/>
            </w:tcBorders>
          </w:tcPr>
          <w:p>
            <w:pPr>
              <w:pStyle w:val="TableParagraph"/>
              <w:spacing w:before="57"/>
              <w:ind w:left="4"/>
              <w:rPr>
                <w:rFonts w:ascii="Calibri"/>
                <w:sz w:val="18"/>
              </w:rPr>
            </w:pPr>
            <w:r>
              <w:rPr>
                <w:rFonts w:ascii="Calibri"/>
                <w:color w:val="595959"/>
                <w:w w:val="101"/>
                <w:sz w:val="18"/>
              </w:rPr>
              <w:t>0</w:t>
            </w:r>
          </w:p>
        </w:tc>
        <w:tc>
          <w:tcPr>
            <w:tcW w:w="686" w:type="dxa"/>
            <w:tcBorders>
              <w:top w:val="nil"/>
            </w:tcBorders>
          </w:tcPr>
          <w:p>
            <w:pPr>
              <w:pStyle w:val="TableParagraph"/>
              <w:spacing w:before="57"/>
              <w:ind w:left="223" w:right="224"/>
              <w:rPr>
                <w:rFonts w:ascii="Calibri"/>
                <w:sz w:val="18"/>
              </w:rPr>
            </w:pPr>
            <w:r>
              <w:rPr>
                <w:rFonts w:ascii="Calibri"/>
                <w:color w:val="595959"/>
                <w:sz w:val="18"/>
              </w:rPr>
              <w:t>10</w:t>
            </w:r>
          </w:p>
        </w:tc>
        <w:tc>
          <w:tcPr>
            <w:tcW w:w="682" w:type="dxa"/>
            <w:tcBorders>
              <w:top w:val="nil"/>
            </w:tcBorders>
          </w:tcPr>
          <w:p>
            <w:pPr>
              <w:pStyle w:val="TableParagraph"/>
              <w:spacing w:before="57"/>
              <w:ind w:left="34" w:right="35"/>
              <w:rPr>
                <w:rFonts w:ascii="Calibri"/>
                <w:sz w:val="18"/>
              </w:rPr>
            </w:pPr>
            <w:r>
              <w:rPr>
                <w:rFonts w:ascii="Calibri"/>
                <w:color w:val="595959"/>
                <w:sz w:val="18"/>
              </w:rPr>
              <w:t>20</w:t>
            </w:r>
          </w:p>
        </w:tc>
        <w:tc>
          <w:tcPr>
            <w:tcW w:w="686" w:type="dxa"/>
            <w:tcBorders>
              <w:top w:val="nil"/>
            </w:tcBorders>
          </w:tcPr>
          <w:p>
            <w:pPr>
              <w:pStyle w:val="TableParagraph"/>
              <w:spacing w:before="57"/>
              <w:ind w:left="223" w:right="223"/>
              <w:rPr>
                <w:rFonts w:ascii="Calibri"/>
                <w:sz w:val="18"/>
              </w:rPr>
            </w:pPr>
            <w:r>
              <w:rPr>
                <w:rFonts w:ascii="Calibri"/>
                <w:color w:val="595959"/>
                <w:sz w:val="18"/>
              </w:rPr>
              <w:t>30</w:t>
            </w:r>
          </w:p>
        </w:tc>
        <w:tc>
          <w:tcPr>
            <w:tcW w:w="682" w:type="dxa"/>
            <w:tcBorders>
              <w:top w:val="nil"/>
            </w:tcBorders>
          </w:tcPr>
          <w:p>
            <w:pPr>
              <w:pStyle w:val="TableParagraph"/>
              <w:spacing w:before="57"/>
              <w:ind w:left="35" w:right="35"/>
              <w:rPr>
                <w:rFonts w:ascii="Calibri"/>
                <w:sz w:val="18"/>
              </w:rPr>
            </w:pPr>
            <w:r>
              <w:rPr>
                <w:rFonts w:ascii="Calibri"/>
                <w:color w:val="595959"/>
                <w:sz w:val="18"/>
              </w:rPr>
              <w:t>40</w:t>
            </w:r>
          </w:p>
        </w:tc>
        <w:tc>
          <w:tcPr>
            <w:tcW w:w="686" w:type="dxa"/>
            <w:tcBorders>
              <w:top w:val="nil"/>
            </w:tcBorders>
          </w:tcPr>
          <w:p>
            <w:pPr>
              <w:pStyle w:val="TableParagraph"/>
              <w:spacing w:before="57"/>
              <w:ind w:left="223" w:right="223"/>
              <w:rPr>
                <w:rFonts w:ascii="Calibri"/>
                <w:sz w:val="18"/>
              </w:rPr>
            </w:pPr>
            <w:r>
              <w:rPr>
                <w:rFonts w:ascii="Calibri"/>
                <w:color w:val="595959"/>
                <w:sz w:val="18"/>
              </w:rPr>
              <w:t>50</w:t>
            </w:r>
          </w:p>
        </w:tc>
        <w:tc>
          <w:tcPr>
            <w:tcW w:w="686" w:type="dxa"/>
            <w:tcBorders>
              <w:top w:val="nil"/>
            </w:tcBorders>
          </w:tcPr>
          <w:p>
            <w:pPr>
              <w:pStyle w:val="TableParagraph"/>
              <w:spacing w:before="57"/>
              <w:ind w:left="221" w:right="224"/>
              <w:rPr>
                <w:rFonts w:ascii="Calibri"/>
                <w:sz w:val="18"/>
              </w:rPr>
            </w:pPr>
            <w:r>
              <w:rPr>
                <w:rFonts w:ascii="Calibri"/>
                <w:color w:val="595959"/>
                <w:sz w:val="18"/>
              </w:rPr>
              <w:t>60</w:t>
            </w:r>
          </w:p>
        </w:tc>
        <w:tc>
          <w:tcPr>
            <w:tcW w:w="682" w:type="dxa"/>
            <w:tcBorders>
              <w:top w:val="nil"/>
            </w:tcBorders>
          </w:tcPr>
          <w:p>
            <w:pPr>
              <w:pStyle w:val="TableParagraph"/>
              <w:spacing w:before="57"/>
              <w:ind w:left="33" w:right="35"/>
              <w:rPr>
                <w:rFonts w:ascii="Calibri"/>
                <w:sz w:val="18"/>
              </w:rPr>
            </w:pPr>
            <w:r>
              <w:rPr>
                <w:rFonts w:ascii="Calibri"/>
                <w:color w:val="595959"/>
                <w:sz w:val="18"/>
              </w:rPr>
              <w:t>70</w:t>
            </w:r>
          </w:p>
        </w:tc>
        <w:tc>
          <w:tcPr>
            <w:tcW w:w="686" w:type="dxa"/>
            <w:tcBorders>
              <w:top w:val="nil"/>
            </w:tcBorders>
          </w:tcPr>
          <w:p>
            <w:pPr>
              <w:pStyle w:val="TableParagraph"/>
              <w:spacing w:before="57"/>
              <w:ind w:left="222" w:right="224"/>
              <w:rPr>
                <w:rFonts w:ascii="Calibri"/>
                <w:sz w:val="18"/>
              </w:rPr>
            </w:pPr>
            <w:r>
              <w:rPr>
                <w:rFonts w:ascii="Calibri"/>
                <w:color w:val="595959"/>
                <w:sz w:val="18"/>
              </w:rPr>
              <w:t>80</w:t>
            </w:r>
          </w:p>
        </w:tc>
      </w:tr>
      <w:tr>
        <w:trPr>
          <w:trHeight w:val="312" w:hRule="exact"/>
        </w:trPr>
        <w:tc>
          <w:tcPr>
            <w:tcW w:w="998" w:type="dxa"/>
          </w:tcPr>
          <w:p>
            <w:pPr>
              <w:pStyle w:val="TableParagraph"/>
              <w:spacing w:before="34"/>
              <w:ind w:right="62"/>
              <w:jc w:val="right"/>
              <w:rPr>
                <w:rFonts w:ascii="Calibri"/>
                <w:sz w:val="18"/>
              </w:rPr>
            </w:pPr>
            <w:r>
              <w:rPr>
                <w:rFonts w:ascii="Calibri"/>
                <w:color w:val="595959"/>
                <w:sz w:val="18"/>
              </w:rPr>
              <w:t>GRADO III</w:t>
            </w:r>
          </w:p>
        </w:tc>
        <w:tc>
          <w:tcPr>
            <w:tcW w:w="682" w:type="dxa"/>
          </w:tcPr>
          <w:p>
            <w:pPr>
              <w:pStyle w:val="TableParagraph"/>
              <w:spacing w:before="45"/>
              <w:ind w:left="36" w:right="35"/>
              <w:rPr>
                <w:rFonts w:ascii="Times New Roman"/>
                <w:sz w:val="18"/>
              </w:rPr>
            </w:pPr>
            <w:r>
              <w:rPr>
                <w:rFonts w:ascii="Times New Roman"/>
                <w:color w:val="595959"/>
                <w:sz w:val="18"/>
              </w:rPr>
              <w:t>28.57%</w:t>
            </w:r>
          </w:p>
        </w:tc>
        <w:tc>
          <w:tcPr>
            <w:tcW w:w="686" w:type="dxa"/>
          </w:tcPr>
          <w:p>
            <w:pPr/>
          </w:p>
        </w:tc>
        <w:tc>
          <w:tcPr>
            <w:tcW w:w="682" w:type="dxa"/>
          </w:tcPr>
          <w:p>
            <w:pPr/>
          </w:p>
        </w:tc>
        <w:tc>
          <w:tcPr>
            <w:tcW w:w="686" w:type="dxa"/>
          </w:tcPr>
          <w:p>
            <w:pPr/>
          </w:p>
        </w:tc>
        <w:tc>
          <w:tcPr>
            <w:tcW w:w="682" w:type="dxa"/>
          </w:tcPr>
          <w:p>
            <w:pPr/>
          </w:p>
        </w:tc>
        <w:tc>
          <w:tcPr>
            <w:tcW w:w="686" w:type="dxa"/>
          </w:tcPr>
          <w:p>
            <w:pPr/>
          </w:p>
        </w:tc>
        <w:tc>
          <w:tcPr>
            <w:tcW w:w="686" w:type="dxa"/>
          </w:tcPr>
          <w:p>
            <w:pPr/>
          </w:p>
        </w:tc>
        <w:tc>
          <w:tcPr>
            <w:tcW w:w="682" w:type="dxa"/>
          </w:tcPr>
          <w:p>
            <w:pPr/>
          </w:p>
        </w:tc>
        <w:tc>
          <w:tcPr>
            <w:tcW w:w="686" w:type="dxa"/>
          </w:tcPr>
          <w:p>
            <w:pPr/>
          </w:p>
        </w:tc>
      </w:tr>
      <w:tr>
        <w:trPr>
          <w:trHeight w:val="307" w:hRule="exact"/>
        </w:trPr>
        <w:tc>
          <w:tcPr>
            <w:tcW w:w="998" w:type="dxa"/>
          </w:tcPr>
          <w:p>
            <w:pPr>
              <w:pStyle w:val="TableParagraph"/>
              <w:spacing w:before="32"/>
              <w:ind w:right="108"/>
              <w:jc w:val="right"/>
              <w:rPr>
                <w:rFonts w:ascii="Calibri"/>
                <w:sz w:val="18"/>
              </w:rPr>
            </w:pPr>
            <w:r>
              <w:rPr>
                <w:rFonts w:ascii="Calibri"/>
                <w:color w:val="595959"/>
                <w:sz w:val="18"/>
              </w:rPr>
              <w:t>GRADO II</w:t>
            </w:r>
          </w:p>
        </w:tc>
        <w:tc>
          <w:tcPr>
            <w:tcW w:w="682" w:type="dxa"/>
          </w:tcPr>
          <w:p>
            <w:pPr>
              <w:pStyle w:val="TableParagraph"/>
              <w:spacing w:before="43"/>
              <w:ind w:left="36" w:right="35"/>
              <w:rPr>
                <w:rFonts w:ascii="Times New Roman"/>
                <w:sz w:val="18"/>
              </w:rPr>
            </w:pPr>
            <w:r>
              <w:rPr>
                <w:rFonts w:ascii="Times New Roman"/>
                <w:color w:val="595959"/>
                <w:sz w:val="18"/>
              </w:rPr>
              <w:t>71.40%</w:t>
            </w:r>
          </w:p>
        </w:tc>
        <w:tc>
          <w:tcPr>
            <w:tcW w:w="686" w:type="dxa"/>
          </w:tcPr>
          <w:p>
            <w:pPr/>
          </w:p>
        </w:tc>
        <w:tc>
          <w:tcPr>
            <w:tcW w:w="682" w:type="dxa"/>
          </w:tcPr>
          <w:p>
            <w:pPr/>
          </w:p>
        </w:tc>
        <w:tc>
          <w:tcPr>
            <w:tcW w:w="686" w:type="dxa"/>
          </w:tcPr>
          <w:p>
            <w:pPr/>
          </w:p>
        </w:tc>
        <w:tc>
          <w:tcPr>
            <w:tcW w:w="682" w:type="dxa"/>
          </w:tcPr>
          <w:p>
            <w:pPr/>
          </w:p>
        </w:tc>
        <w:tc>
          <w:tcPr>
            <w:tcW w:w="686" w:type="dxa"/>
          </w:tcPr>
          <w:p>
            <w:pPr/>
          </w:p>
        </w:tc>
        <w:tc>
          <w:tcPr>
            <w:tcW w:w="686" w:type="dxa"/>
          </w:tcPr>
          <w:p>
            <w:pPr/>
          </w:p>
        </w:tc>
        <w:tc>
          <w:tcPr>
            <w:tcW w:w="682" w:type="dxa"/>
          </w:tcPr>
          <w:p>
            <w:pPr/>
          </w:p>
        </w:tc>
        <w:tc>
          <w:tcPr>
            <w:tcW w:w="686" w:type="dxa"/>
          </w:tcPr>
          <w:p>
            <w:pPr/>
          </w:p>
        </w:tc>
      </w:tr>
      <w:tr>
        <w:trPr>
          <w:trHeight w:val="312" w:hRule="exact"/>
        </w:trPr>
        <w:tc>
          <w:tcPr>
            <w:tcW w:w="998" w:type="dxa"/>
          </w:tcPr>
          <w:p>
            <w:pPr>
              <w:pStyle w:val="TableParagraph"/>
              <w:spacing w:before="35"/>
              <w:ind w:right="155"/>
              <w:jc w:val="right"/>
              <w:rPr>
                <w:rFonts w:ascii="Calibri"/>
                <w:sz w:val="18"/>
              </w:rPr>
            </w:pPr>
            <w:r>
              <w:rPr>
                <w:rFonts w:ascii="Calibri"/>
                <w:color w:val="595959"/>
                <w:sz w:val="18"/>
              </w:rPr>
              <w:t>GRADO I</w:t>
            </w:r>
          </w:p>
        </w:tc>
        <w:tc>
          <w:tcPr>
            <w:tcW w:w="682" w:type="dxa"/>
          </w:tcPr>
          <w:p>
            <w:pPr>
              <w:pStyle w:val="TableParagraph"/>
              <w:spacing w:before="46"/>
              <w:ind w:left="34" w:right="35"/>
              <w:rPr>
                <w:rFonts w:ascii="Times New Roman"/>
                <w:sz w:val="18"/>
              </w:rPr>
            </w:pPr>
            <w:r>
              <w:rPr>
                <w:rFonts w:ascii="Times New Roman"/>
                <w:color w:val="595959"/>
                <w:sz w:val="18"/>
              </w:rPr>
              <w:t>0%</w:t>
            </w:r>
          </w:p>
        </w:tc>
        <w:tc>
          <w:tcPr>
            <w:tcW w:w="686" w:type="dxa"/>
          </w:tcPr>
          <w:p>
            <w:pPr/>
          </w:p>
        </w:tc>
        <w:tc>
          <w:tcPr>
            <w:tcW w:w="682" w:type="dxa"/>
          </w:tcPr>
          <w:p>
            <w:pPr/>
          </w:p>
        </w:tc>
        <w:tc>
          <w:tcPr>
            <w:tcW w:w="686" w:type="dxa"/>
          </w:tcPr>
          <w:p>
            <w:pPr/>
          </w:p>
        </w:tc>
        <w:tc>
          <w:tcPr>
            <w:tcW w:w="682" w:type="dxa"/>
          </w:tcPr>
          <w:p>
            <w:pPr/>
          </w:p>
        </w:tc>
        <w:tc>
          <w:tcPr>
            <w:tcW w:w="686" w:type="dxa"/>
          </w:tcPr>
          <w:p>
            <w:pPr/>
          </w:p>
        </w:tc>
        <w:tc>
          <w:tcPr>
            <w:tcW w:w="686" w:type="dxa"/>
          </w:tcPr>
          <w:p>
            <w:pPr/>
          </w:p>
        </w:tc>
        <w:tc>
          <w:tcPr>
            <w:tcW w:w="682" w:type="dxa"/>
          </w:tcPr>
          <w:p>
            <w:pPr/>
          </w:p>
        </w:tc>
        <w:tc>
          <w:tcPr>
            <w:tcW w:w="686" w:type="dxa"/>
          </w:tcPr>
          <w:p>
            <w:pPr/>
          </w:p>
        </w:tc>
      </w:tr>
    </w:tbl>
    <w:p>
      <w:pPr>
        <w:pStyle w:val="BodyText"/>
        <w:spacing w:before="6"/>
        <w:rPr>
          <w:b/>
          <w:sz w:val="18"/>
        </w:rPr>
      </w:pPr>
    </w:p>
    <w:p>
      <w:pPr>
        <w:spacing w:after="0"/>
        <w:rPr>
          <w:sz w:val="18"/>
        </w:rPr>
        <w:sectPr>
          <w:pgSz w:w="12240" w:h="15840"/>
          <w:pgMar w:header="0" w:footer="687" w:top="1420" w:bottom="940" w:left="1600" w:right="0"/>
        </w:sectPr>
      </w:pPr>
    </w:p>
    <w:p>
      <w:pPr>
        <w:pStyle w:val="BodyText"/>
        <w:rPr>
          <w:b/>
          <w:sz w:val="22"/>
        </w:rPr>
      </w:pPr>
    </w:p>
    <w:p>
      <w:pPr>
        <w:pStyle w:val="BodyText"/>
        <w:spacing w:before="10"/>
        <w:rPr>
          <w:b/>
          <w:sz w:val="17"/>
        </w:rPr>
      </w:pPr>
    </w:p>
    <w:p>
      <w:pPr>
        <w:pStyle w:val="BodyText"/>
        <w:ind w:left="108" w:right="-15"/>
      </w:pPr>
      <w:r>
        <w:rPr>
          <w:w w:val="105"/>
        </w:rPr>
        <w:t>GRÁFICA</w:t>
      </w:r>
      <w:r>
        <w:rPr>
          <w:spacing w:val="-9"/>
          <w:w w:val="105"/>
        </w:rPr>
        <w:t> </w:t>
      </w:r>
      <w:r>
        <w:rPr>
          <w:w w:val="105"/>
        </w:rPr>
        <w:t>4</w:t>
      </w:r>
    </w:p>
    <w:p>
      <w:pPr>
        <w:spacing w:before="78"/>
        <w:ind w:left="108" w:right="0" w:firstLine="0"/>
        <w:jc w:val="left"/>
        <w:rPr>
          <w:i/>
          <w:sz w:val="16"/>
        </w:rPr>
      </w:pPr>
      <w:r>
        <w:rPr/>
        <w:br w:type="column"/>
      </w:r>
      <w:r>
        <w:rPr>
          <w:i/>
          <w:sz w:val="16"/>
        </w:rPr>
        <w:t>Fuente: expedientes clínicos del Centro Medico ISSEMYM,</w:t>
      </w:r>
    </w:p>
    <w:p>
      <w:pPr>
        <w:spacing w:before="3"/>
        <w:ind w:left="1895" w:right="0" w:firstLine="0"/>
        <w:jc w:val="left"/>
        <w:rPr>
          <w:i/>
          <w:sz w:val="16"/>
        </w:rPr>
      </w:pPr>
      <w:r>
        <w:rPr/>
        <w:pict>
          <v:group style="position:absolute;margin-left:85.175621pt;margin-top:-265.7211pt;width:426.05pt;height:248.7pt;mso-position-horizontal-relative:page;mso-position-vertical-relative:paragraph;z-index:-56176" coordorigin="1704,-5314" coordsize="8521,4974">
            <v:shape style="position:absolute;left:3293;top:-4441;width:6499;height:2789" type="#_x0000_t75" stroked="false">
              <v:imagedata r:id="rId14" o:title=""/>
            </v:shape>
            <v:shape style="position:absolute;left:2405;top:-1311;width:96;height:96" type="#_x0000_t75" stroked="false">
              <v:imagedata r:id="rId15" o:title=""/>
            </v:shape>
            <v:shape style="position:absolute;left:2405;top:-1004;width:96;height:101" type="#_x0000_t75" stroked="false">
              <v:imagedata r:id="rId16" o:title=""/>
            </v:shape>
            <v:rect style="position:absolute;left:2405;top:-1004;width:96;height:101" filled="false" stroked="false"/>
            <v:shape style="position:absolute;left:2405;top:-692;width:96;height:96" type="#_x0000_t75" stroked="false">
              <v:imagedata r:id="rId17" o:title=""/>
            </v:shape>
            <v:rect style="position:absolute;left:1711;top:-5307;width:8506;height:4958" filled="false" stroked="true" strokeweight=".72pt" strokecolor="#d9d9d9"/>
            <v:shape style="position:absolute;left:4843;top:-5067;width:2232;height:322" type="#_x0000_t202" filled="false" stroked="false">
              <v:textbox inset="0,0,0,0">
                <w:txbxContent>
                  <w:p>
                    <w:pPr>
                      <w:spacing w:line="322" w:lineRule="exact" w:before="0"/>
                      <w:ind w:left="0" w:right="-13" w:firstLine="0"/>
                      <w:jc w:val="left"/>
                      <w:rPr>
                        <w:rFonts w:ascii="Calibri" w:hAnsi="Calibri"/>
                        <w:b/>
                        <w:sz w:val="32"/>
                      </w:rPr>
                    </w:pPr>
                    <w:r>
                      <w:rPr>
                        <w:rFonts w:ascii="Calibri" w:hAnsi="Calibri"/>
                        <w:b/>
                        <w:color w:val="595959"/>
                        <w:sz w:val="32"/>
                      </w:rPr>
                      <w:t>Título del</w:t>
                    </w:r>
                    <w:r>
                      <w:rPr>
                        <w:rFonts w:ascii="Calibri" w:hAnsi="Calibri"/>
                        <w:b/>
                        <w:color w:val="595959"/>
                        <w:spacing w:val="-11"/>
                        <w:sz w:val="32"/>
                      </w:rPr>
                      <w:t> </w:t>
                    </w:r>
                    <w:r>
                      <w:rPr>
                        <w:rFonts w:ascii="Calibri" w:hAnsi="Calibri"/>
                        <w:b/>
                        <w:color w:val="595959"/>
                        <w:sz w:val="32"/>
                      </w:rPr>
                      <w:t>gráfico</w:t>
                    </w:r>
                  </w:p>
                </w:txbxContent>
              </v:textbox>
              <w10:wrap type="none"/>
            </v:shape>
            <v:shape style="position:absolute;left:2740;top:-4285;width:428;height:2695" type="#_x0000_t202" filled="false" stroked="false">
              <v:textbox inset="0,0,0,0">
                <w:txbxContent>
                  <w:p>
                    <w:pPr>
                      <w:spacing w:line="186" w:lineRule="exact" w:before="0"/>
                      <w:ind w:left="0" w:right="1" w:firstLine="0"/>
                      <w:jc w:val="center"/>
                      <w:rPr>
                        <w:rFonts w:ascii="Times New Roman"/>
                        <w:sz w:val="18"/>
                      </w:rPr>
                    </w:pPr>
                    <w:r>
                      <w:rPr>
                        <w:rFonts w:ascii="Times New Roman"/>
                        <w:color w:val="595959"/>
                        <w:sz w:val="18"/>
                      </w:rPr>
                      <w:t>100%</w:t>
                    </w:r>
                  </w:p>
                  <w:p>
                    <w:pPr>
                      <w:spacing w:before="44"/>
                      <w:ind w:left="93" w:right="-15" w:firstLine="0"/>
                      <w:jc w:val="left"/>
                      <w:rPr>
                        <w:rFonts w:ascii="Times New Roman"/>
                        <w:sz w:val="18"/>
                      </w:rPr>
                    </w:pPr>
                    <w:r>
                      <w:rPr>
                        <w:rFonts w:ascii="Times New Roman"/>
                        <w:color w:val="595959"/>
                        <w:sz w:val="18"/>
                      </w:rPr>
                      <w:t>90%</w:t>
                    </w:r>
                  </w:p>
                  <w:p>
                    <w:pPr>
                      <w:spacing w:before="44"/>
                      <w:ind w:left="93" w:right="-15" w:firstLine="0"/>
                      <w:jc w:val="left"/>
                      <w:rPr>
                        <w:rFonts w:ascii="Times New Roman"/>
                        <w:sz w:val="18"/>
                      </w:rPr>
                    </w:pPr>
                    <w:r>
                      <w:rPr>
                        <w:rFonts w:ascii="Times New Roman"/>
                        <w:color w:val="595959"/>
                        <w:sz w:val="18"/>
                      </w:rPr>
                      <w:t>80%</w:t>
                    </w:r>
                  </w:p>
                  <w:p>
                    <w:pPr>
                      <w:spacing w:before="44"/>
                      <w:ind w:left="93" w:right="-15" w:firstLine="0"/>
                      <w:jc w:val="left"/>
                      <w:rPr>
                        <w:rFonts w:ascii="Times New Roman"/>
                        <w:sz w:val="18"/>
                      </w:rPr>
                    </w:pPr>
                    <w:r>
                      <w:rPr>
                        <w:rFonts w:ascii="Times New Roman"/>
                        <w:color w:val="595959"/>
                        <w:sz w:val="18"/>
                      </w:rPr>
                      <w:t>70%</w:t>
                    </w:r>
                  </w:p>
                  <w:p>
                    <w:pPr>
                      <w:spacing w:before="44"/>
                      <w:ind w:left="93" w:right="-15" w:firstLine="0"/>
                      <w:jc w:val="left"/>
                      <w:rPr>
                        <w:rFonts w:ascii="Times New Roman"/>
                        <w:sz w:val="18"/>
                      </w:rPr>
                    </w:pPr>
                    <w:r>
                      <w:rPr>
                        <w:rFonts w:ascii="Times New Roman"/>
                        <w:color w:val="595959"/>
                        <w:sz w:val="18"/>
                      </w:rPr>
                      <w:t>60%</w:t>
                    </w:r>
                  </w:p>
                  <w:p>
                    <w:pPr>
                      <w:spacing w:before="44"/>
                      <w:ind w:left="93" w:right="-15" w:firstLine="0"/>
                      <w:jc w:val="left"/>
                      <w:rPr>
                        <w:rFonts w:ascii="Times New Roman"/>
                        <w:sz w:val="18"/>
                      </w:rPr>
                    </w:pPr>
                    <w:r>
                      <w:rPr>
                        <w:rFonts w:ascii="Times New Roman"/>
                        <w:color w:val="595959"/>
                        <w:sz w:val="18"/>
                      </w:rPr>
                      <w:t>50%</w:t>
                    </w:r>
                  </w:p>
                  <w:p>
                    <w:pPr>
                      <w:spacing w:before="44"/>
                      <w:ind w:left="93" w:right="-15" w:firstLine="0"/>
                      <w:jc w:val="left"/>
                      <w:rPr>
                        <w:rFonts w:ascii="Times New Roman"/>
                        <w:sz w:val="18"/>
                      </w:rPr>
                    </w:pPr>
                    <w:r>
                      <w:rPr>
                        <w:rFonts w:ascii="Times New Roman"/>
                        <w:color w:val="595959"/>
                        <w:sz w:val="18"/>
                      </w:rPr>
                      <w:t>40%</w:t>
                    </w:r>
                  </w:p>
                  <w:p>
                    <w:pPr>
                      <w:spacing w:before="44"/>
                      <w:ind w:left="93" w:right="-15" w:firstLine="0"/>
                      <w:jc w:val="left"/>
                      <w:rPr>
                        <w:rFonts w:ascii="Times New Roman"/>
                        <w:sz w:val="18"/>
                      </w:rPr>
                    </w:pPr>
                    <w:r>
                      <w:rPr>
                        <w:rFonts w:ascii="Times New Roman"/>
                        <w:color w:val="595959"/>
                        <w:sz w:val="18"/>
                      </w:rPr>
                      <w:t>30%</w:t>
                    </w:r>
                  </w:p>
                  <w:p>
                    <w:pPr>
                      <w:spacing w:before="44"/>
                      <w:ind w:left="93" w:right="-15" w:firstLine="0"/>
                      <w:jc w:val="left"/>
                      <w:rPr>
                        <w:rFonts w:ascii="Times New Roman"/>
                        <w:sz w:val="18"/>
                      </w:rPr>
                    </w:pPr>
                    <w:r>
                      <w:rPr>
                        <w:rFonts w:ascii="Times New Roman"/>
                        <w:color w:val="595959"/>
                        <w:sz w:val="18"/>
                      </w:rPr>
                      <w:t>20%</w:t>
                    </w:r>
                  </w:p>
                  <w:p>
                    <w:pPr>
                      <w:spacing w:before="44"/>
                      <w:ind w:left="93" w:right="-15" w:firstLine="0"/>
                      <w:jc w:val="left"/>
                      <w:rPr>
                        <w:rFonts w:ascii="Times New Roman"/>
                        <w:sz w:val="18"/>
                      </w:rPr>
                    </w:pPr>
                    <w:r>
                      <w:rPr>
                        <w:rFonts w:ascii="Times New Roman"/>
                        <w:color w:val="595959"/>
                        <w:sz w:val="18"/>
                      </w:rPr>
                      <w:t>10%</w:t>
                    </w:r>
                  </w:p>
                  <w:p>
                    <w:pPr>
                      <w:spacing w:line="204" w:lineRule="exact" w:before="44"/>
                      <w:ind w:left="178" w:right="0" w:firstLine="0"/>
                      <w:jc w:val="center"/>
                      <w:rPr>
                        <w:rFonts w:ascii="Times New Roman"/>
                        <w:sz w:val="18"/>
                      </w:rPr>
                    </w:pPr>
                    <w:r>
                      <w:rPr>
                        <w:rFonts w:ascii="Times New Roman"/>
                        <w:color w:val="595959"/>
                        <w:sz w:val="18"/>
                      </w:rPr>
                      <w:t>0%</w:t>
                    </w:r>
                  </w:p>
                </w:txbxContent>
              </v:textbox>
              <w10:wrap type="none"/>
            </v:shape>
            <w10:wrap type="none"/>
          </v:group>
        </w:pict>
      </w:r>
      <w:r>
        <w:rPr>
          <w:i/>
          <w:sz w:val="16"/>
        </w:rPr>
        <w:t>de abril del 2013 a mayo del 2013</w:t>
      </w:r>
    </w:p>
    <w:p>
      <w:pPr>
        <w:spacing w:after="0"/>
        <w:jc w:val="left"/>
        <w:rPr>
          <w:sz w:val="16"/>
        </w:rPr>
        <w:sectPr>
          <w:type w:val="continuous"/>
          <w:pgSz w:w="12240" w:h="15840"/>
          <w:pgMar w:top="1380" w:bottom="280" w:left="1600" w:right="0"/>
          <w:cols w:num="2" w:equalWidth="0">
            <w:col w:w="1268" w:space="3372"/>
            <w:col w:w="6000"/>
          </w:cols>
        </w:sectPr>
      </w:pPr>
    </w:p>
    <w:p>
      <w:pPr>
        <w:pStyle w:val="BodyText"/>
        <w:spacing w:line="376" w:lineRule="auto" w:before="137"/>
        <w:ind w:left="426" w:right="1218" w:firstLine="11"/>
      </w:pPr>
      <w:r>
        <w:rPr>
          <w:w w:val="105"/>
        </w:rPr>
        <w:t>TUMOR DE CUERPO CAROTÍDEO, DESCRIPCION DE LA SERIE DE CASOS DE TUMOR DE CUERPO CAROTIDEO EN EL CENTRO MEDICO ISSEMYM TOLUCA</w:t>
      </w:r>
    </w:p>
    <w:p>
      <w:pPr>
        <w:pStyle w:val="BodyText"/>
        <w:ind w:left="261"/>
        <w:rPr>
          <w:sz w:val="20"/>
        </w:rPr>
      </w:pPr>
      <w:r>
        <w:rPr>
          <w:sz w:val="20"/>
        </w:rPr>
        <w:pict>
          <v:group style="width:426.05pt;height:248.7pt;mso-position-horizontal-relative:char;mso-position-vertical-relative:line" coordorigin="0,0" coordsize="8521,4974">
            <v:shape style="position:absolute;left:677;top:264;width:7358;height:3691" type="#_x0000_t75" stroked="false">
              <v:imagedata r:id="rId18" o:title=""/>
            </v:shape>
            <v:rect style="position:absolute;left:3015;top:4570;width:101;height:96" filled="true" fillcolor="#5b9bd5" stroked="false">
              <v:fill type="solid"/>
            </v:rect>
            <v:rect style="position:absolute;left:7;top:7;width:8506;height:4958" filled="false" stroked="true" strokeweight=".72pt" strokecolor="#d9d9d9"/>
            <v:shape style="position:absolute;left:418;top:2573;width:126;height:183" type="#_x0000_t202" filled="false" stroked="false">
              <v:textbox inset="0,0,0,0">
                <w:txbxContent>
                  <w:p>
                    <w:pPr>
                      <w:spacing w:line="182" w:lineRule="exact" w:before="0"/>
                      <w:ind w:left="0" w:right="-17" w:firstLine="0"/>
                      <w:jc w:val="left"/>
                      <w:rPr>
                        <w:rFonts w:ascii="Calibri"/>
                        <w:sz w:val="18"/>
                      </w:rPr>
                    </w:pPr>
                    <w:r>
                      <w:rPr>
                        <w:rFonts w:ascii="Calibri"/>
                        <w:color w:val="595959"/>
                        <w:spacing w:val="-3"/>
                        <w:sz w:val="18"/>
                      </w:rPr>
                      <w:t>SI</w:t>
                    </w:r>
                  </w:p>
                </w:txbxContent>
              </v:textbox>
              <w10:wrap type="none"/>
            </v:shape>
            <v:shape style="position:absolute;left:307;top:3416;width:244;height:183" type="#_x0000_t202" filled="false" stroked="false">
              <v:textbox inset="0,0,0,0">
                <w:txbxContent>
                  <w:p>
                    <w:pPr>
                      <w:spacing w:line="182" w:lineRule="exact" w:before="0"/>
                      <w:ind w:left="0" w:right="-12" w:firstLine="0"/>
                      <w:jc w:val="left"/>
                      <w:rPr>
                        <w:rFonts w:ascii="Calibri"/>
                        <w:sz w:val="18"/>
                      </w:rPr>
                    </w:pPr>
                    <w:r>
                      <w:rPr>
                        <w:rFonts w:ascii="Calibri"/>
                        <w:color w:val="595959"/>
                        <w:sz w:val="18"/>
                      </w:rPr>
                      <w:t>NO</w:t>
                    </w:r>
                  </w:p>
                </w:txbxContent>
              </v:textbox>
              <w10:wrap type="none"/>
            </v:shape>
            <v:shape style="position:absolute;left:669;top:4063;width:93;height:183" type="#_x0000_t202" filled="false" stroked="false">
              <v:textbox inset="0,0,0,0">
                <w:txbxContent>
                  <w:p>
                    <w:pPr>
                      <w:spacing w:line="182" w:lineRule="exact" w:before="0"/>
                      <w:ind w:left="0" w:right="0" w:firstLine="0"/>
                      <w:jc w:val="left"/>
                      <w:rPr>
                        <w:rFonts w:ascii="Calibri"/>
                        <w:sz w:val="18"/>
                      </w:rPr>
                    </w:pPr>
                    <w:r>
                      <w:rPr>
                        <w:rFonts w:ascii="Calibri"/>
                        <w:color w:val="595959"/>
                        <w:w w:val="101"/>
                        <w:sz w:val="18"/>
                      </w:rPr>
                      <w:t>0</w:t>
                    </w:r>
                  </w:p>
                </w:txbxContent>
              </v:textbox>
              <w10:wrap type="none"/>
            </v:shape>
            <v:shape style="position:absolute;left:1399;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10</w:t>
                    </w:r>
                  </w:p>
                </w:txbxContent>
              </v:textbox>
              <w10:wrap type="none"/>
            </v:shape>
            <v:shape style="position:absolute;left:2172;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20</w:t>
                    </w:r>
                  </w:p>
                </w:txbxContent>
              </v:textbox>
              <w10:wrap type="none"/>
            </v:shape>
            <v:shape style="position:absolute;left:2946;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30</w:t>
                    </w:r>
                  </w:p>
                </w:txbxContent>
              </v:textbox>
              <w10:wrap type="none"/>
            </v:shape>
            <v:shape style="position:absolute;left:3719;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40</w:t>
                    </w:r>
                  </w:p>
                </w:txbxContent>
              </v:textbox>
              <w10:wrap type="none"/>
            </v:shape>
            <v:shape style="position:absolute;left:4493;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50</w:t>
                    </w:r>
                  </w:p>
                </w:txbxContent>
              </v:textbox>
              <w10:wrap type="none"/>
            </v:shape>
            <v:shape style="position:absolute;left:5266;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60</w:t>
                    </w:r>
                  </w:p>
                </w:txbxContent>
              </v:textbox>
              <w10:wrap type="none"/>
            </v:shape>
            <v:shape style="position:absolute;left:6039;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70</w:t>
                    </w:r>
                  </w:p>
                </w:txbxContent>
              </v:textbox>
              <w10:wrap type="none"/>
            </v:shape>
            <v:shape style="position:absolute;left:6813;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80</w:t>
                    </w:r>
                  </w:p>
                </w:txbxContent>
              </v:textbox>
              <w10:wrap type="none"/>
            </v:shape>
            <v:shape style="position:absolute;left:7586;top:4063;width:183;height:183" type="#_x0000_t202" filled="false" stroked="false">
              <v:textbox inset="0,0,0,0">
                <w:txbxContent>
                  <w:p>
                    <w:pPr>
                      <w:spacing w:line="182" w:lineRule="exact" w:before="0"/>
                      <w:ind w:left="0" w:right="-20" w:firstLine="0"/>
                      <w:jc w:val="left"/>
                      <w:rPr>
                        <w:rFonts w:ascii="Calibri"/>
                        <w:sz w:val="18"/>
                      </w:rPr>
                    </w:pPr>
                    <w:r>
                      <w:rPr>
                        <w:rFonts w:ascii="Calibri"/>
                        <w:color w:val="595959"/>
                        <w:sz w:val="18"/>
                      </w:rPr>
                      <w:t>90</w:t>
                    </w:r>
                  </w:p>
                </w:txbxContent>
              </v:textbox>
              <w10:wrap type="none"/>
            </v:shape>
            <v:shape style="position:absolute;left:3155;top:4538;width:2442;height:183" type="#_x0000_t202" filled="false" stroked="false">
              <v:textbox inset="0,0,0,0">
                <w:txbxContent>
                  <w:p>
                    <w:pPr>
                      <w:spacing w:line="182" w:lineRule="exact" w:before="0"/>
                      <w:ind w:left="0" w:right="-5" w:firstLine="0"/>
                      <w:jc w:val="left"/>
                      <w:rPr>
                        <w:rFonts w:ascii="Calibri"/>
                        <w:sz w:val="18"/>
                      </w:rPr>
                    </w:pPr>
                    <w:r>
                      <w:rPr>
                        <w:rFonts w:ascii="Calibri"/>
                        <w:color w:val="595959"/>
                        <w:sz w:val="18"/>
                      </w:rPr>
                      <w:t>COMPLICACIONES PRESENTADAS</w:t>
                    </w:r>
                  </w:p>
                </w:txbxContent>
              </v:textbox>
              <w10:wrap type="none"/>
            </v:shape>
          </v:group>
        </w:pict>
      </w:r>
      <w:r>
        <w:rPr>
          <w:sz w:val="20"/>
        </w:rPr>
      </w:r>
    </w:p>
    <w:p>
      <w:pPr>
        <w:pStyle w:val="BodyText"/>
        <w:spacing w:before="1"/>
        <w:rPr>
          <w:sz w:val="6"/>
        </w:rPr>
      </w:pPr>
    </w:p>
    <w:p>
      <w:pPr>
        <w:spacing w:after="0"/>
        <w:rPr>
          <w:sz w:val="6"/>
        </w:rPr>
        <w:sectPr>
          <w:type w:val="continuous"/>
          <w:pgSz w:w="12240" w:h="15840"/>
          <w:pgMar w:top="1380" w:bottom="280" w:left="1600" w:right="0"/>
        </w:sectPr>
      </w:pPr>
    </w:p>
    <w:p>
      <w:pPr>
        <w:pStyle w:val="BodyText"/>
        <w:rPr>
          <w:sz w:val="22"/>
        </w:rPr>
      </w:pPr>
      <w:r>
        <w:rPr/>
        <w:pict>
          <v:shape style="position:absolute;margin-left:109.948402pt;margin-top:164.619659pt;width:11.15pt;height:49.5pt;mso-position-horizontal-relative:page;mso-position-vertical-relative:page;z-index:1984" type="#_x0000_t202" filled="false" stroked="false">
            <v:textbox inset="0,0,0,0" style="layout-flow:vertical;mso-layout-flow-alt:bottom-to-top">
              <w:txbxContent>
                <w:p>
                  <w:pPr>
                    <w:spacing w:line="211" w:lineRule="exact" w:before="0"/>
                    <w:ind w:left="20" w:right="-248" w:firstLine="0"/>
                    <w:jc w:val="left"/>
                    <w:rPr>
                      <w:rFonts w:ascii="Calibri" w:hAnsi="Calibri"/>
                      <w:sz w:val="18"/>
                    </w:rPr>
                  </w:pPr>
                  <w:r>
                    <w:rPr>
                      <w:rFonts w:ascii="Calibri" w:hAnsi="Calibri"/>
                      <w:color w:val="595959"/>
                      <w:spacing w:val="2"/>
                      <w:w w:val="101"/>
                      <w:sz w:val="18"/>
                    </w:rPr>
                    <w:t>T</w:t>
                  </w:r>
                  <w:r>
                    <w:rPr>
                      <w:rFonts w:ascii="Calibri" w:hAnsi="Calibri"/>
                      <w:color w:val="595959"/>
                      <w:spacing w:val="1"/>
                      <w:w w:val="101"/>
                      <w:sz w:val="18"/>
                    </w:rPr>
                    <w:t>ít</w:t>
                  </w:r>
                  <w:r>
                    <w:rPr>
                      <w:rFonts w:ascii="Calibri" w:hAnsi="Calibri"/>
                      <w:color w:val="595959"/>
                      <w:w w:val="101"/>
                      <w:sz w:val="18"/>
                    </w:rPr>
                    <w:t>u</w:t>
                  </w:r>
                  <w:r>
                    <w:rPr>
                      <w:rFonts w:ascii="Calibri" w:hAnsi="Calibri"/>
                      <w:color w:val="595959"/>
                      <w:spacing w:val="1"/>
                      <w:w w:val="101"/>
                      <w:sz w:val="18"/>
                    </w:rPr>
                    <w:t>l</w:t>
                  </w:r>
                  <w:r>
                    <w:rPr>
                      <w:rFonts w:ascii="Calibri" w:hAnsi="Calibri"/>
                      <w:color w:val="595959"/>
                      <w:w w:val="101"/>
                      <w:sz w:val="18"/>
                    </w:rPr>
                    <w:t>o</w:t>
                  </w:r>
                  <w:r>
                    <w:rPr>
                      <w:rFonts w:ascii="Calibri" w:hAnsi="Calibri"/>
                      <w:color w:val="595959"/>
                      <w:spacing w:val="-13"/>
                      <w:sz w:val="18"/>
                    </w:rPr>
                    <w:t> </w:t>
                  </w:r>
                  <w:r>
                    <w:rPr>
                      <w:rFonts w:ascii="Calibri" w:hAnsi="Calibri"/>
                      <w:color w:val="595959"/>
                      <w:w w:val="101"/>
                      <w:sz w:val="18"/>
                    </w:rPr>
                    <w:t>del</w:t>
                  </w:r>
                  <w:r>
                    <w:rPr>
                      <w:rFonts w:ascii="Calibri" w:hAnsi="Calibri"/>
                      <w:color w:val="595959"/>
                      <w:spacing w:val="-6"/>
                      <w:sz w:val="18"/>
                    </w:rPr>
                    <w:t> </w:t>
                  </w:r>
                  <w:r>
                    <w:rPr>
                      <w:rFonts w:ascii="Calibri" w:hAnsi="Calibri"/>
                      <w:color w:val="595959"/>
                      <w:w w:val="101"/>
                      <w:sz w:val="18"/>
                    </w:rPr>
                    <w:t>e</w:t>
                  </w:r>
                  <w:r>
                    <w:rPr>
                      <w:rFonts w:ascii="Calibri" w:hAnsi="Calibri"/>
                      <w:color w:val="595959"/>
                      <w:spacing w:val="-1"/>
                      <w:w w:val="101"/>
                      <w:sz w:val="18"/>
                    </w:rPr>
                    <w:t>j</w:t>
                  </w:r>
                  <w:r>
                    <w:rPr>
                      <w:rFonts w:ascii="Calibri" w:hAnsi="Calibri"/>
                      <w:color w:val="595959"/>
                      <w:w w:val="101"/>
                      <w:sz w:val="18"/>
                    </w:rPr>
                    <w:t>e</w:t>
                  </w:r>
                </w:p>
              </w:txbxContent>
            </v:textbox>
            <w10:wrap type="none"/>
          </v:shape>
        </w:pict>
      </w:r>
    </w:p>
    <w:p>
      <w:pPr>
        <w:pStyle w:val="Heading3"/>
        <w:numPr>
          <w:ilvl w:val="0"/>
          <w:numId w:val="13"/>
        </w:numPr>
        <w:tabs>
          <w:tab w:pos="439" w:val="left" w:leader="none"/>
        </w:tabs>
        <w:spacing w:line="240" w:lineRule="auto" w:before="171" w:after="0"/>
        <w:ind w:left="438" w:right="0" w:hanging="330"/>
        <w:jc w:val="left"/>
      </w:pPr>
      <w:r>
        <w:rPr>
          <w:w w:val="105"/>
        </w:rPr>
        <w:t>DISCUSIÓN DE</w:t>
      </w:r>
      <w:r>
        <w:rPr>
          <w:spacing w:val="-23"/>
          <w:w w:val="105"/>
        </w:rPr>
        <w:t> </w:t>
      </w:r>
      <w:r>
        <w:rPr>
          <w:w w:val="105"/>
        </w:rPr>
        <w:t>RESULTADOS</w:t>
      </w:r>
    </w:p>
    <w:p>
      <w:pPr>
        <w:spacing w:line="183" w:lineRule="exact" w:before="49"/>
        <w:ind w:left="108" w:right="0" w:firstLine="0"/>
        <w:jc w:val="left"/>
        <w:rPr>
          <w:i/>
          <w:sz w:val="16"/>
        </w:rPr>
      </w:pPr>
      <w:r>
        <w:rPr/>
        <w:br w:type="column"/>
      </w:r>
      <w:r>
        <w:rPr>
          <w:i/>
          <w:sz w:val="16"/>
        </w:rPr>
        <w:t>Fuente: expedientes clínicos del Centro Medico ISSEMYM,</w:t>
      </w:r>
    </w:p>
    <w:p>
      <w:pPr>
        <w:spacing w:line="183" w:lineRule="exact" w:before="0"/>
        <w:ind w:left="1895" w:right="0" w:firstLine="0"/>
        <w:jc w:val="left"/>
        <w:rPr>
          <w:i/>
          <w:sz w:val="16"/>
        </w:rPr>
      </w:pPr>
      <w:r>
        <w:rPr>
          <w:i/>
          <w:sz w:val="16"/>
        </w:rPr>
        <w:t>de abril del 2013 a mayo del 2013</w:t>
      </w:r>
    </w:p>
    <w:p>
      <w:pPr>
        <w:spacing w:after="0" w:line="183" w:lineRule="exact"/>
        <w:jc w:val="left"/>
        <w:rPr>
          <w:sz w:val="16"/>
        </w:rPr>
        <w:sectPr>
          <w:type w:val="continuous"/>
          <w:pgSz w:w="12240" w:h="15840"/>
          <w:pgMar w:top="1380" w:bottom="280" w:left="1600" w:right="0"/>
          <w:cols w:num="2" w:equalWidth="0">
            <w:col w:w="3602" w:space="1038"/>
            <w:col w:w="6000"/>
          </w:cols>
        </w:sectPr>
      </w:pPr>
    </w:p>
    <w:p>
      <w:pPr>
        <w:pStyle w:val="BodyText"/>
        <w:spacing w:line="364" w:lineRule="auto" w:before="55"/>
        <w:ind w:left="108" w:right="109"/>
        <w:jc w:val="both"/>
      </w:pPr>
      <w:r>
        <w:rPr>
          <w:w w:val="105"/>
        </w:rPr>
        <w:t>El cuerpo carotideo es un tejido de forma ovoidea de 3 x 5 mm de tamaño, aproximadamente con un peso de 12 mg en promedio, localizado en la bifurcación carotidea, subadventicial, e irrigado por la arteria faríngea ascendente</w:t>
      </w:r>
      <w:r>
        <w:rPr>
          <w:w w:val="105"/>
          <w:position w:val="10"/>
          <w:sz w:val="14"/>
        </w:rPr>
        <w:t>8</w:t>
      </w:r>
      <w:r>
        <w:rPr>
          <w:w w:val="105"/>
        </w:rPr>
        <w:t>, y de origen ectodérmico,  funciona  como  un  quimiorreceptor  directamente  sensible  a  los</w:t>
      </w:r>
      <w:r>
        <w:rPr>
          <w:spacing w:val="50"/>
          <w:w w:val="105"/>
        </w:rPr>
        <w:t> </w:t>
      </w:r>
      <w:r>
        <w:rPr>
          <w:w w:val="105"/>
        </w:rPr>
        <w:t>cambios</w:t>
      </w:r>
    </w:p>
    <w:p>
      <w:pPr>
        <w:pStyle w:val="BodyText"/>
        <w:spacing w:line="328" w:lineRule="auto" w:before="15"/>
        <w:ind w:left="108" w:right="112"/>
        <w:jc w:val="both"/>
        <w:rPr>
          <w:sz w:val="14"/>
        </w:rPr>
      </w:pPr>
      <w:r>
        <w:rPr>
          <w:w w:val="105"/>
        </w:rPr>
        <w:t>arteriales</w:t>
      </w:r>
      <w:r>
        <w:rPr>
          <w:spacing w:val="-6"/>
          <w:w w:val="105"/>
        </w:rPr>
        <w:t> </w:t>
      </w:r>
      <w:r>
        <w:rPr>
          <w:w w:val="105"/>
        </w:rPr>
        <w:t>de</w:t>
      </w:r>
      <w:r>
        <w:rPr>
          <w:spacing w:val="-5"/>
          <w:w w:val="105"/>
        </w:rPr>
        <w:t> </w:t>
      </w:r>
      <w:r>
        <w:rPr>
          <w:w w:val="105"/>
        </w:rPr>
        <w:t>PCO</w:t>
      </w:r>
      <w:r>
        <w:rPr>
          <w:w w:val="105"/>
          <w:position w:val="-2"/>
          <w:sz w:val="14"/>
        </w:rPr>
        <w:t>2</w:t>
      </w:r>
      <w:r>
        <w:rPr>
          <w:spacing w:val="7"/>
          <w:w w:val="105"/>
          <w:position w:val="-2"/>
          <w:sz w:val="14"/>
        </w:rPr>
        <w:t> </w:t>
      </w:r>
      <w:r>
        <w:rPr>
          <w:w w:val="105"/>
        </w:rPr>
        <w:t>y</w:t>
      </w:r>
      <w:r>
        <w:rPr>
          <w:spacing w:val="-6"/>
          <w:w w:val="105"/>
        </w:rPr>
        <w:t> </w:t>
      </w:r>
      <w:r>
        <w:rPr>
          <w:w w:val="105"/>
        </w:rPr>
        <w:t>PO</w:t>
      </w:r>
      <w:r>
        <w:rPr>
          <w:w w:val="105"/>
          <w:position w:val="-2"/>
          <w:sz w:val="14"/>
        </w:rPr>
        <w:t>2,</w:t>
      </w:r>
      <w:r>
        <w:rPr>
          <w:spacing w:val="-7"/>
          <w:w w:val="105"/>
          <w:position w:val="-2"/>
          <w:sz w:val="14"/>
        </w:rPr>
        <w:t> </w:t>
      </w:r>
      <w:r>
        <w:rPr>
          <w:w w:val="105"/>
        </w:rPr>
        <w:t>y</w:t>
      </w:r>
      <w:r>
        <w:rPr>
          <w:spacing w:val="-6"/>
          <w:w w:val="105"/>
        </w:rPr>
        <w:t> </w:t>
      </w:r>
      <w:r>
        <w:rPr>
          <w:w w:val="105"/>
        </w:rPr>
        <w:t>estrechamente</w:t>
      </w:r>
      <w:r>
        <w:rPr>
          <w:spacing w:val="-6"/>
          <w:w w:val="105"/>
        </w:rPr>
        <w:t> </w:t>
      </w:r>
      <w:r>
        <w:rPr>
          <w:w w:val="105"/>
        </w:rPr>
        <w:t>a</w:t>
      </w:r>
      <w:r>
        <w:rPr>
          <w:spacing w:val="-6"/>
          <w:w w:val="105"/>
        </w:rPr>
        <w:t> </w:t>
      </w:r>
      <w:r>
        <w:rPr>
          <w:w w:val="105"/>
        </w:rPr>
        <w:t>los</w:t>
      </w:r>
      <w:r>
        <w:rPr>
          <w:spacing w:val="-6"/>
          <w:w w:val="105"/>
        </w:rPr>
        <w:t> </w:t>
      </w:r>
      <w:r>
        <w:rPr>
          <w:w w:val="105"/>
        </w:rPr>
        <w:t>cambios</w:t>
      </w:r>
      <w:r>
        <w:rPr>
          <w:spacing w:val="-6"/>
          <w:w w:val="105"/>
        </w:rPr>
        <w:t> </w:t>
      </w:r>
      <w:r>
        <w:rPr>
          <w:w w:val="105"/>
        </w:rPr>
        <w:t>de</w:t>
      </w:r>
      <w:r>
        <w:rPr>
          <w:spacing w:val="-6"/>
          <w:w w:val="105"/>
        </w:rPr>
        <w:t> </w:t>
      </w:r>
      <w:r>
        <w:rPr>
          <w:w w:val="105"/>
        </w:rPr>
        <w:t>pH</w:t>
      </w:r>
      <w:r>
        <w:rPr>
          <w:spacing w:val="-5"/>
          <w:w w:val="105"/>
        </w:rPr>
        <w:t> </w:t>
      </w:r>
      <w:r>
        <w:rPr>
          <w:w w:val="105"/>
        </w:rPr>
        <w:t>y</w:t>
      </w:r>
      <w:r>
        <w:rPr>
          <w:spacing w:val="-6"/>
          <w:w w:val="105"/>
        </w:rPr>
        <w:t> </w:t>
      </w:r>
      <w:r>
        <w:rPr>
          <w:w w:val="105"/>
        </w:rPr>
        <w:t>temperatura,</w:t>
      </w:r>
      <w:r>
        <w:rPr>
          <w:spacing w:val="-7"/>
          <w:w w:val="105"/>
        </w:rPr>
        <w:t> </w:t>
      </w:r>
      <w:r>
        <w:rPr>
          <w:w w:val="105"/>
        </w:rPr>
        <w:t>que</w:t>
      </w:r>
      <w:r>
        <w:rPr>
          <w:spacing w:val="-6"/>
          <w:w w:val="105"/>
        </w:rPr>
        <w:t> </w:t>
      </w:r>
      <w:r>
        <w:rPr>
          <w:w w:val="105"/>
        </w:rPr>
        <w:t>induce modificaciones</w:t>
      </w:r>
      <w:r>
        <w:rPr>
          <w:spacing w:val="-10"/>
          <w:w w:val="105"/>
        </w:rPr>
        <w:t> </w:t>
      </w:r>
      <w:r>
        <w:rPr>
          <w:w w:val="105"/>
        </w:rPr>
        <w:t>en</w:t>
      </w:r>
      <w:r>
        <w:rPr>
          <w:spacing w:val="-9"/>
          <w:w w:val="105"/>
        </w:rPr>
        <w:t> </w:t>
      </w:r>
      <w:r>
        <w:rPr>
          <w:w w:val="105"/>
        </w:rPr>
        <w:t>la</w:t>
      </w:r>
      <w:r>
        <w:rPr>
          <w:spacing w:val="-9"/>
          <w:w w:val="105"/>
        </w:rPr>
        <w:t> </w:t>
      </w:r>
      <w:r>
        <w:rPr>
          <w:w w:val="105"/>
        </w:rPr>
        <w:t>actividad</w:t>
      </w:r>
      <w:r>
        <w:rPr>
          <w:spacing w:val="-9"/>
          <w:w w:val="105"/>
        </w:rPr>
        <w:t> </w:t>
      </w:r>
      <w:r>
        <w:rPr>
          <w:w w:val="105"/>
        </w:rPr>
        <w:t>vasomotora</w:t>
      </w:r>
      <w:r>
        <w:rPr>
          <w:spacing w:val="-9"/>
          <w:w w:val="105"/>
        </w:rPr>
        <w:t> </w:t>
      </w:r>
      <w:r>
        <w:rPr>
          <w:w w:val="105"/>
        </w:rPr>
        <w:t>y</w:t>
      </w:r>
      <w:r>
        <w:rPr>
          <w:spacing w:val="-10"/>
          <w:w w:val="105"/>
        </w:rPr>
        <w:t> </w:t>
      </w:r>
      <w:r>
        <w:rPr>
          <w:w w:val="105"/>
        </w:rPr>
        <w:t>respiratoria.</w:t>
      </w:r>
      <w:r>
        <w:rPr>
          <w:w w:val="105"/>
          <w:position w:val="10"/>
          <w:sz w:val="14"/>
        </w:rPr>
        <w:t>18,28.</w:t>
      </w:r>
    </w:p>
    <w:p>
      <w:pPr>
        <w:pStyle w:val="BodyText"/>
        <w:spacing w:before="6"/>
        <w:rPr>
          <w:sz w:val="24"/>
        </w:rPr>
      </w:pPr>
    </w:p>
    <w:p>
      <w:pPr>
        <w:pStyle w:val="BodyText"/>
        <w:spacing w:line="380" w:lineRule="atLeast" w:before="1"/>
        <w:ind w:left="108" w:right="110"/>
        <w:jc w:val="both"/>
      </w:pPr>
      <w:r>
        <w:rPr>
          <w:w w:val="105"/>
        </w:rPr>
        <w:t>El crecimiento descontrolado del cuerpo carotídeo, da como resultado la presencia de tumores,</w:t>
      </w:r>
      <w:r>
        <w:rPr>
          <w:spacing w:val="-20"/>
          <w:w w:val="105"/>
        </w:rPr>
        <w:t> </w:t>
      </w:r>
      <w:r>
        <w:rPr>
          <w:w w:val="105"/>
        </w:rPr>
        <w:t>y</w:t>
      </w:r>
      <w:r>
        <w:rPr>
          <w:spacing w:val="-20"/>
          <w:w w:val="105"/>
        </w:rPr>
        <w:t> </w:t>
      </w:r>
      <w:r>
        <w:rPr>
          <w:w w:val="105"/>
        </w:rPr>
        <w:t>su</w:t>
      </w:r>
      <w:r>
        <w:rPr>
          <w:spacing w:val="-20"/>
          <w:w w:val="105"/>
        </w:rPr>
        <w:t> </w:t>
      </w:r>
      <w:r>
        <w:rPr>
          <w:w w:val="105"/>
        </w:rPr>
        <w:t>incidencia</w:t>
      </w:r>
      <w:r>
        <w:rPr>
          <w:spacing w:val="-20"/>
          <w:w w:val="105"/>
        </w:rPr>
        <w:t> </w:t>
      </w:r>
      <w:r>
        <w:rPr>
          <w:w w:val="105"/>
        </w:rPr>
        <w:t>parece</w:t>
      </w:r>
      <w:r>
        <w:rPr>
          <w:spacing w:val="-20"/>
          <w:w w:val="105"/>
        </w:rPr>
        <w:t> </w:t>
      </w:r>
      <w:r>
        <w:rPr>
          <w:w w:val="105"/>
        </w:rPr>
        <w:t>estar</w:t>
      </w:r>
      <w:r>
        <w:rPr>
          <w:spacing w:val="-20"/>
          <w:w w:val="105"/>
        </w:rPr>
        <w:t> </w:t>
      </w:r>
      <w:r>
        <w:rPr>
          <w:w w:val="105"/>
        </w:rPr>
        <w:t>incrementada</w:t>
      </w:r>
      <w:r>
        <w:rPr>
          <w:spacing w:val="-20"/>
          <w:w w:val="105"/>
        </w:rPr>
        <w:t> </w:t>
      </w:r>
      <w:r>
        <w:rPr>
          <w:w w:val="105"/>
        </w:rPr>
        <w:t>proporcionalmente</w:t>
      </w:r>
      <w:r>
        <w:rPr>
          <w:spacing w:val="-20"/>
          <w:w w:val="105"/>
        </w:rPr>
        <w:t> </w:t>
      </w:r>
      <w:r>
        <w:rPr>
          <w:w w:val="105"/>
        </w:rPr>
        <w:t>con</w:t>
      </w:r>
      <w:r>
        <w:rPr>
          <w:spacing w:val="-20"/>
          <w:w w:val="105"/>
        </w:rPr>
        <w:t> </w:t>
      </w:r>
      <w:r>
        <w:rPr>
          <w:w w:val="105"/>
        </w:rPr>
        <w:t>la</w:t>
      </w:r>
      <w:r>
        <w:rPr>
          <w:spacing w:val="-20"/>
          <w:w w:val="105"/>
        </w:rPr>
        <w:t> </w:t>
      </w:r>
      <w:r>
        <w:rPr>
          <w:w w:val="105"/>
        </w:rPr>
        <w:t>altitud,</w:t>
      </w:r>
      <w:r>
        <w:rPr>
          <w:spacing w:val="-20"/>
          <w:w w:val="105"/>
        </w:rPr>
        <w:t> </w:t>
      </w:r>
      <w:r>
        <w:rPr>
          <w:w w:val="105"/>
        </w:rPr>
        <w:t>debido a los estímulos de hipoxia crónica que inducen hiperplasia en el cuerpo carotideo</w:t>
      </w:r>
      <w:r>
        <w:rPr>
          <w:w w:val="105"/>
          <w:position w:val="10"/>
          <w:sz w:val="14"/>
        </w:rPr>
        <w:t>20</w:t>
      </w:r>
      <w:r>
        <w:rPr>
          <w:w w:val="105"/>
        </w:rPr>
        <w:t>. En nuestro estudio, la mayor parte de la población 64.28%, radica en Toluca, lugar ubicado a </w:t>
      </w:r>
      <w:r>
        <w:rPr>
          <w:color w:val="1C1C1C"/>
          <w:w w:val="105"/>
        </w:rPr>
        <w:t>2680 metros sobre el nivel del mar, el resto de entidades registradas de igual manera presentan altitud elevada (Ver tabla</w:t>
      </w:r>
      <w:r>
        <w:rPr>
          <w:color w:val="1C1C1C"/>
          <w:spacing w:val="-24"/>
          <w:w w:val="105"/>
        </w:rPr>
        <w:t> </w:t>
      </w:r>
      <w:r>
        <w:rPr>
          <w:color w:val="1C1C1C"/>
          <w:w w:val="105"/>
        </w:rPr>
        <w:t>1).</w:t>
      </w:r>
    </w:p>
    <w:p>
      <w:pPr>
        <w:pStyle w:val="BodyText"/>
        <w:spacing w:line="380" w:lineRule="atLeast"/>
        <w:ind w:left="108" w:right="111"/>
        <w:jc w:val="both"/>
      </w:pPr>
      <w:r>
        <w:rPr>
          <w:color w:val="1C1C1C"/>
          <w:w w:val="105"/>
        </w:rPr>
        <w:t>Hablando de tumores de cabeza y cuello; uno de cada 30 000, corresponde a un tipo de paraganglioma</w:t>
      </w:r>
      <w:r>
        <w:rPr>
          <w:color w:val="1C1C1C"/>
          <w:w w:val="105"/>
          <w:position w:val="10"/>
          <w:sz w:val="14"/>
        </w:rPr>
        <w:t>10</w:t>
      </w:r>
      <w:r>
        <w:rPr>
          <w:color w:val="1C1C1C"/>
          <w:w w:val="105"/>
        </w:rPr>
        <w:t>; el más frecuente es el tumor de cuerpo carotídeo (78%), seguido por los paragangliomas yugulares (16%), vágales (4.5%), timpánicos (1.5%) y periaórticos</w:t>
      </w:r>
      <w:r>
        <w:rPr>
          <w:color w:val="1C1C1C"/>
          <w:w w:val="105"/>
          <w:position w:val="10"/>
          <w:sz w:val="14"/>
        </w:rPr>
        <w:t>12</w:t>
      </w:r>
      <w:r>
        <w:rPr>
          <w:color w:val="1C1C1C"/>
          <w:w w:val="105"/>
        </w:rPr>
        <w:t>. Con una</w:t>
      </w:r>
      <w:r>
        <w:rPr>
          <w:color w:val="1C1C1C"/>
          <w:spacing w:val="-10"/>
          <w:w w:val="105"/>
        </w:rPr>
        <w:t> </w:t>
      </w:r>
      <w:r>
        <w:rPr>
          <w:color w:val="1C1C1C"/>
          <w:w w:val="105"/>
        </w:rPr>
        <w:t>incidencia</w:t>
      </w:r>
      <w:r>
        <w:rPr>
          <w:color w:val="1C1C1C"/>
          <w:spacing w:val="-10"/>
          <w:w w:val="105"/>
        </w:rPr>
        <w:t> </w:t>
      </w:r>
      <w:r>
        <w:rPr>
          <w:color w:val="1C1C1C"/>
          <w:w w:val="105"/>
        </w:rPr>
        <w:t>baja</w:t>
      </w:r>
      <w:r>
        <w:rPr>
          <w:color w:val="1C1C1C"/>
          <w:spacing w:val="-10"/>
          <w:w w:val="105"/>
        </w:rPr>
        <w:t> </w:t>
      </w:r>
      <w:r>
        <w:rPr>
          <w:color w:val="1C1C1C"/>
          <w:w w:val="105"/>
        </w:rPr>
        <w:t>los</w:t>
      </w:r>
      <w:r>
        <w:rPr>
          <w:color w:val="1C1C1C"/>
          <w:spacing w:val="-10"/>
          <w:w w:val="105"/>
        </w:rPr>
        <w:t> </w:t>
      </w:r>
      <w:r>
        <w:rPr>
          <w:color w:val="1C1C1C"/>
          <w:w w:val="105"/>
        </w:rPr>
        <w:t>paragangliomas</w:t>
      </w:r>
      <w:r>
        <w:rPr>
          <w:color w:val="1C1C1C"/>
          <w:spacing w:val="-10"/>
          <w:w w:val="105"/>
        </w:rPr>
        <w:t> </w:t>
      </w:r>
      <w:r>
        <w:rPr>
          <w:color w:val="1C1C1C"/>
          <w:w w:val="105"/>
        </w:rPr>
        <w:t>carotídeos</w:t>
      </w:r>
      <w:r>
        <w:rPr>
          <w:color w:val="1C1C1C"/>
          <w:spacing w:val="-10"/>
          <w:w w:val="105"/>
        </w:rPr>
        <w:t> </w:t>
      </w:r>
      <w:r>
        <w:rPr>
          <w:color w:val="1C1C1C"/>
          <w:w w:val="105"/>
        </w:rPr>
        <w:t>en</w:t>
      </w:r>
      <w:r>
        <w:rPr>
          <w:color w:val="1C1C1C"/>
          <w:spacing w:val="-10"/>
          <w:w w:val="105"/>
        </w:rPr>
        <w:t> </w:t>
      </w:r>
      <w:r>
        <w:rPr>
          <w:color w:val="1C1C1C"/>
          <w:w w:val="105"/>
        </w:rPr>
        <w:t>0.01%</w:t>
      </w:r>
      <w:r>
        <w:rPr>
          <w:color w:val="1C1C1C"/>
          <w:spacing w:val="-9"/>
          <w:w w:val="105"/>
        </w:rPr>
        <w:t> </w:t>
      </w:r>
      <w:r>
        <w:rPr>
          <w:color w:val="1C1C1C"/>
          <w:w w:val="105"/>
        </w:rPr>
        <w:t>de</w:t>
      </w:r>
      <w:r>
        <w:rPr>
          <w:color w:val="1C1C1C"/>
          <w:spacing w:val="-10"/>
          <w:w w:val="105"/>
        </w:rPr>
        <w:t> </w:t>
      </w:r>
      <w:r>
        <w:rPr>
          <w:color w:val="1C1C1C"/>
          <w:w w:val="105"/>
        </w:rPr>
        <w:t>la</w:t>
      </w:r>
      <w:r>
        <w:rPr>
          <w:color w:val="1C1C1C"/>
          <w:spacing w:val="-11"/>
          <w:w w:val="105"/>
        </w:rPr>
        <w:t> </w:t>
      </w:r>
      <w:r>
        <w:rPr>
          <w:color w:val="1C1C1C"/>
          <w:w w:val="105"/>
        </w:rPr>
        <w:t>población</w:t>
      </w:r>
      <w:r>
        <w:rPr>
          <w:color w:val="1C1C1C"/>
          <w:w w:val="105"/>
          <w:position w:val="10"/>
          <w:sz w:val="14"/>
        </w:rPr>
        <w:t>13</w:t>
      </w:r>
      <w:r>
        <w:rPr>
          <w:color w:val="1C1C1C"/>
          <w:w w:val="105"/>
        </w:rPr>
        <w:t>.</w:t>
      </w:r>
      <w:r>
        <w:rPr>
          <w:color w:val="1C1C1C"/>
          <w:spacing w:val="-11"/>
          <w:w w:val="105"/>
        </w:rPr>
        <w:t> </w:t>
      </w:r>
      <w:r>
        <w:rPr>
          <w:color w:val="1C1C1C"/>
          <w:w w:val="105"/>
        </w:rPr>
        <w:t>Este</w:t>
      </w:r>
      <w:r>
        <w:rPr>
          <w:color w:val="1C1C1C"/>
          <w:spacing w:val="-10"/>
          <w:w w:val="105"/>
        </w:rPr>
        <w:t> </w:t>
      </w:r>
      <w:r>
        <w:rPr>
          <w:color w:val="1C1C1C"/>
          <w:w w:val="105"/>
        </w:rPr>
        <w:t>tipo</w:t>
      </w:r>
      <w:r>
        <w:rPr>
          <w:color w:val="1C1C1C"/>
          <w:spacing w:val="-10"/>
          <w:w w:val="105"/>
        </w:rPr>
        <w:t> </w:t>
      </w:r>
      <w:r>
        <w:rPr>
          <w:color w:val="1C1C1C"/>
          <w:w w:val="105"/>
        </w:rPr>
        <w:t>de tumores son raros</w:t>
      </w:r>
      <w:r>
        <w:rPr>
          <w:color w:val="1C1C1C"/>
          <w:w w:val="105"/>
          <w:position w:val="10"/>
          <w:sz w:val="14"/>
        </w:rPr>
        <w:t>11</w:t>
      </w:r>
      <w:r>
        <w:rPr>
          <w:color w:val="1C1C1C"/>
          <w:w w:val="105"/>
        </w:rPr>
        <w:t>, según reporta la literatura mundial, pero en México como Centroamérica no es tan</w:t>
      </w:r>
      <w:r>
        <w:rPr>
          <w:color w:val="1C1C1C"/>
          <w:spacing w:val="-20"/>
          <w:w w:val="105"/>
        </w:rPr>
        <w:t> </w:t>
      </w:r>
      <w:r>
        <w:rPr>
          <w:color w:val="1C1C1C"/>
          <w:w w:val="105"/>
        </w:rPr>
        <w:t>frecuente.</w:t>
      </w:r>
    </w:p>
    <w:p>
      <w:pPr>
        <w:pStyle w:val="BodyText"/>
        <w:rPr>
          <w:sz w:val="22"/>
        </w:rPr>
      </w:pPr>
    </w:p>
    <w:p>
      <w:pPr>
        <w:pStyle w:val="BodyText"/>
        <w:spacing w:before="10"/>
        <w:rPr>
          <w:sz w:val="22"/>
        </w:rPr>
      </w:pPr>
    </w:p>
    <w:p>
      <w:pPr>
        <w:pStyle w:val="BodyText"/>
        <w:spacing w:line="343" w:lineRule="auto" w:before="1"/>
        <w:ind w:left="108" w:right="109"/>
        <w:jc w:val="both"/>
        <w:rPr>
          <w:sz w:val="14"/>
        </w:rPr>
      </w:pPr>
      <w:r>
        <w:rPr>
          <w:color w:val="1C1C1C"/>
          <w:w w:val="105"/>
        </w:rPr>
        <w:t>La mayor parte de estos tumores se presentan de manera esporádica y solo el 10% de</w:t>
      </w:r>
      <w:r>
        <w:rPr>
          <w:color w:val="1C1C1C"/>
          <w:spacing w:val="-32"/>
          <w:w w:val="105"/>
        </w:rPr>
        <w:t> </w:t>
      </w:r>
      <w:r>
        <w:rPr>
          <w:color w:val="1C1C1C"/>
          <w:w w:val="105"/>
        </w:rPr>
        <w:t>los pacientes tiene una relación familiar</w:t>
      </w:r>
      <w:r>
        <w:rPr>
          <w:color w:val="1C1C1C"/>
          <w:w w:val="105"/>
          <w:position w:val="10"/>
          <w:sz w:val="14"/>
        </w:rPr>
        <w:t>24,25</w:t>
      </w:r>
      <w:r>
        <w:rPr>
          <w:color w:val="1C1C1C"/>
          <w:w w:val="105"/>
        </w:rPr>
        <w:t>, cuando consideramos un patrón hereditario en estas familias sugiere una transmisión</w:t>
      </w:r>
      <w:r>
        <w:rPr>
          <w:color w:val="1C1C1C"/>
          <w:spacing w:val="-40"/>
          <w:w w:val="105"/>
        </w:rPr>
        <w:t> </w:t>
      </w:r>
      <w:r>
        <w:rPr>
          <w:color w:val="1C1C1C"/>
          <w:w w:val="105"/>
        </w:rPr>
        <w:t>dominante</w:t>
      </w:r>
      <w:r>
        <w:rPr>
          <w:color w:val="1C1C1C"/>
          <w:w w:val="105"/>
          <w:position w:val="10"/>
          <w:sz w:val="14"/>
        </w:rPr>
        <w:t>26.</w:t>
      </w:r>
    </w:p>
    <w:p>
      <w:pPr>
        <w:pStyle w:val="BodyText"/>
        <w:spacing w:line="379" w:lineRule="auto" w:before="21"/>
        <w:ind w:left="108" w:right="110"/>
        <w:jc w:val="both"/>
      </w:pPr>
      <w:r>
        <w:rPr>
          <w:color w:val="1C1C1C"/>
          <w:w w:val="105"/>
        </w:rPr>
        <w:t>En</w:t>
      </w:r>
      <w:r>
        <w:rPr>
          <w:color w:val="1C1C1C"/>
          <w:spacing w:val="-14"/>
          <w:w w:val="105"/>
        </w:rPr>
        <w:t> </w:t>
      </w:r>
      <w:r>
        <w:rPr>
          <w:color w:val="1C1C1C"/>
          <w:w w:val="105"/>
        </w:rPr>
        <w:t>nuestro</w:t>
      </w:r>
      <w:r>
        <w:rPr>
          <w:color w:val="1C1C1C"/>
          <w:spacing w:val="-14"/>
          <w:w w:val="105"/>
        </w:rPr>
        <w:t> </w:t>
      </w:r>
      <w:r>
        <w:rPr>
          <w:color w:val="1C1C1C"/>
          <w:w w:val="105"/>
        </w:rPr>
        <w:t>análisis,</w:t>
      </w:r>
      <w:r>
        <w:rPr>
          <w:color w:val="1C1C1C"/>
          <w:spacing w:val="-15"/>
          <w:w w:val="105"/>
        </w:rPr>
        <w:t> </w:t>
      </w:r>
      <w:r>
        <w:rPr>
          <w:color w:val="1C1C1C"/>
          <w:w w:val="105"/>
        </w:rPr>
        <w:t>la</w:t>
      </w:r>
      <w:r>
        <w:rPr>
          <w:color w:val="1C1C1C"/>
          <w:spacing w:val="-14"/>
          <w:w w:val="105"/>
        </w:rPr>
        <w:t> </w:t>
      </w:r>
      <w:r>
        <w:rPr>
          <w:color w:val="1C1C1C"/>
          <w:w w:val="105"/>
        </w:rPr>
        <w:t>edad</w:t>
      </w:r>
      <w:r>
        <w:rPr>
          <w:color w:val="1C1C1C"/>
          <w:spacing w:val="-14"/>
          <w:w w:val="105"/>
        </w:rPr>
        <w:t> </w:t>
      </w:r>
      <w:r>
        <w:rPr>
          <w:color w:val="1C1C1C"/>
          <w:w w:val="105"/>
        </w:rPr>
        <w:t>promedio</w:t>
      </w:r>
      <w:r>
        <w:rPr>
          <w:color w:val="1C1C1C"/>
          <w:spacing w:val="-14"/>
          <w:w w:val="105"/>
        </w:rPr>
        <w:t> </w:t>
      </w:r>
      <w:r>
        <w:rPr>
          <w:color w:val="1C1C1C"/>
          <w:w w:val="105"/>
        </w:rPr>
        <w:t>de</w:t>
      </w:r>
      <w:r>
        <w:rPr>
          <w:color w:val="1C1C1C"/>
          <w:spacing w:val="-14"/>
          <w:w w:val="105"/>
        </w:rPr>
        <w:t> </w:t>
      </w:r>
      <w:r>
        <w:rPr>
          <w:color w:val="1C1C1C"/>
          <w:w w:val="105"/>
        </w:rPr>
        <w:t>presentación</w:t>
      </w:r>
      <w:r>
        <w:rPr>
          <w:color w:val="1C1C1C"/>
          <w:spacing w:val="-14"/>
          <w:w w:val="105"/>
        </w:rPr>
        <w:t> </w:t>
      </w:r>
      <w:r>
        <w:rPr>
          <w:color w:val="1C1C1C"/>
          <w:w w:val="105"/>
        </w:rPr>
        <w:t>fue</w:t>
      </w:r>
      <w:r>
        <w:rPr>
          <w:color w:val="1C1C1C"/>
          <w:spacing w:val="-14"/>
          <w:w w:val="105"/>
        </w:rPr>
        <w:t> </w:t>
      </w:r>
      <w:r>
        <w:rPr>
          <w:color w:val="1C1C1C"/>
          <w:w w:val="105"/>
        </w:rPr>
        <w:t>en</w:t>
      </w:r>
      <w:r>
        <w:rPr>
          <w:color w:val="1C1C1C"/>
          <w:spacing w:val="-14"/>
          <w:w w:val="105"/>
        </w:rPr>
        <w:t> </w:t>
      </w:r>
      <w:r>
        <w:rPr>
          <w:color w:val="1C1C1C"/>
          <w:w w:val="105"/>
        </w:rPr>
        <w:t>mujeres</w:t>
      </w:r>
      <w:r>
        <w:rPr>
          <w:color w:val="1C1C1C"/>
          <w:spacing w:val="-15"/>
          <w:w w:val="105"/>
        </w:rPr>
        <w:t> </w:t>
      </w:r>
      <w:r>
        <w:rPr>
          <w:color w:val="1C1C1C"/>
          <w:w w:val="105"/>
        </w:rPr>
        <w:t>con</w:t>
      </w:r>
      <w:r>
        <w:rPr>
          <w:color w:val="1C1C1C"/>
          <w:spacing w:val="-14"/>
          <w:w w:val="105"/>
        </w:rPr>
        <w:t> </w:t>
      </w:r>
      <w:r>
        <w:rPr>
          <w:color w:val="1C1C1C"/>
          <w:w w:val="105"/>
        </w:rPr>
        <w:t>56</w:t>
      </w:r>
      <w:r>
        <w:rPr>
          <w:color w:val="1C1C1C"/>
          <w:spacing w:val="-14"/>
          <w:w w:val="105"/>
        </w:rPr>
        <w:t> </w:t>
      </w:r>
      <w:r>
        <w:rPr>
          <w:color w:val="1C1C1C"/>
          <w:w w:val="105"/>
        </w:rPr>
        <w:t>años</w:t>
      </w:r>
      <w:r>
        <w:rPr>
          <w:color w:val="1C1C1C"/>
          <w:spacing w:val="-15"/>
          <w:w w:val="105"/>
        </w:rPr>
        <w:t> </w:t>
      </w:r>
      <w:r>
        <w:rPr>
          <w:color w:val="1C1C1C"/>
          <w:w w:val="105"/>
        </w:rPr>
        <w:t>de</w:t>
      </w:r>
      <w:r>
        <w:rPr>
          <w:color w:val="1C1C1C"/>
          <w:spacing w:val="-14"/>
          <w:w w:val="105"/>
        </w:rPr>
        <w:t> </w:t>
      </w:r>
      <w:r>
        <w:rPr>
          <w:color w:val="1C1C1C"/>
          <w:w w:val="105"/>
        </w:rPr>
        <w:t>edad, en un rango amplio entre la tercera y octava década de la vida, similar a lo documentado en la literatura clásica. Dentro del interrogatorio no identificamos antecedentes familiares relacionados a esta patología o</w:t>
      </w:r>
      <w:r>
        <w:rPr>
          <w:color w:val="1C1C1C"/>
          <w:spacing w:val="-23"/>
          <w:w w:val="105"/>
        </w:rPr>
        <w:t> </w:t>
      </w:r>
      <w:r>
        <w:rPr>
          <w:color w:val="1C1C1C"/>
          <w:w w:val="105"/>
        </w:rPr>
        <w:t>hereditarios.</w:t>
      </w:r>
    </w:p>
    <w:p>
      <w:pPr>
        <w:pStyle w:val="BodyText"/>
        <w:spacing w:line="360" w:lineRule="auto" w:before="1"/>
        <w:ind w:left="108" w:right="109"/>
        <w:jc w:val="both"/>
      </w:pPr>
      <w:r>
        <w:rPr>
          <w:color w:val="1C1C1C"/>
          <w:w w:val="105"/>
        </w:rPr>
        <w:t>Clínicamente</w:t>
      </w:r>
      <w:r>
        <w:rPr>
          <w:color w:val="1C1C1C"/>
          <w:spacing w:val="-5"/>
          <w:w w:val="105"/>
        </w:rPr>
        <w:t> </w:t>
      </w:r>
      <w:r>
        <w:rPr>
          <w:color w:val="1C1C1C"/>
          <w:w w:val="105"/>
        </w:rPr>
        <w:t>se</w:t>
      </w:r>
      <w:r>
        <w:rPr>
          <w:color w:val="1C1C1C"/>
          <w:spacing w:val="-5"/>
          <w:w w:val="105"/>
        </w:rPr>
        <w:t> </w:t>
      </w:r>
      <w:r>
        <w:rPr>
          <w:color w:val="1C1C1C"/>
          <w:w w:val="105"/>
        </w:rPr>
        <w:t>sospecha</w:t>
      </w:r>
      <w:r>
        <w:rPr>
          <w:color w:val="1C1C1C"/>
          <w:spacing w:val="-5"/>
          <w:w w:val="105"/>
        </w:rPr>
        <w:t> </w:t>
      </w:r>
      <w:r>
        <w:rPr>
          <w:color w:val="1C1C1C"/>
          <w:w w:val="105"/>
        </w:rPr>
        <w:t>el</w:t>
      </w:r>
      <w:r>
        <w:rPr>
          <w:color w:val="1C1C1C"/>
          <w:spacing w:val="-6"/>
          <w:w w:val="105"/>
        </w:rPr>
        <w:t> </w:t>
      </w:r>
      <w:r>
        <w:rPr>
          <w:color w:val="1C1C1C"/>
          <w:w w:val="105"/>
        </w:rPr>
        <w:t>tumor</w:t>
      </w:r>
      <w:r>
        <w:rPr>
          <w:color w:val="1C1C1C"/>
          <w:spacing w:val="-5"/>
          <w:w w:val="105"/>
        </w:rPr>
        <w:t> </w:t>
      </w:r>
      <w:r>
        <w:rPr>
          <w:color w:val="1C1C1C"/>
          <w:w w:val="105"/>
        </w:rPr>
        <w:t>de</w:t>
      </w:r>
      <w:r>
        <w:rPr>
          <w:color w:val="1C1C1C"/>
          <w:spacing w:val="-5"/>
          <w:w w:val="105"/>
        </w:rPr>
        <w:t> </w:t>
      </w:r>
      <w:r>
        <w:rPr>
          <w:color w:val="1C1C1C"/>
          <w:w w:val="105"/>
        </w:rPr>
        <w:t>cuerpo</w:t>
      </w:r>
      <w:r>
        <w:rPr>
          <w:color w:val="1C1C1C"/>
          <w:spacing w:val="-5"/>
          <w:w w:val="105"/>
        </w:rPr>
        <w:t> </w:t>
      </w:r>
      <w:r>
        <w:rPr>
          <w:color w:val="1C1C1C"/>
          <w:w w:val="105"/>
        </w:rPr>
        <w:t>carotídeo,</w:t>
      </w:r>
      <w:r>
        <w:rPr>
          <w:color w:val="1C1C1C"/>
          <w:spacing w:val="-6"/>
          <w:w w:val="105"/>
        </w:rPr>
        <w:t> </w:t>
      </w:r>
      <w:r>
        <w:rPr>
          <w:color w:val="1C1C1C"/>
          <w:w w:val="105"/>
        </w:rPr>
        <w:t>por</w:t>
      </w:r>
      <w:r>
        <w:rPr>
          <w:color w:val="1C1C1C"/>
          <w:spacing w:val="-5"/>
          <w:w w:val="105"/>
        </w:rPr>
        <w:t> </w:t>
      </w:r>
      <w:r>
        <w:rPr>
          <w:color w:val="1C1C1C"/>
          <w:w w:val="105"/>
        </w:rPr>
        <w:t>la</w:t>
      </w:r>
      <w:r>
        <w:rPr>
          <w:color w:val="1C1C1C"/>
          <w:spacing w:val="-5"/>
          <w:w w:val="105"/>
        </w:rPr>
        <w:t> </w:t>
      </w:r>
      <w:r>
        <w:rPr>
          <w:color w:val="1C1C1C"/>
          <w:w w:val="105"/>
        </w:rPr>
        <w:t>presencia</w:t>
      </w:r>
      <w:r>
        <w:rPr>
          <w:color w:val="1C1C1C"/>
          <w:spacing w:val="-5"/>
          <w:w w:val="105"/>
        </w:rPr>
        <w:t> </w:t>
      </w:r>
      <w:r>
        <w:rPr>
          <w:color w:val="1C1C1C"/>
          <w:w w:val="105"/>
        </w:rPr>
        <w:t>de</w:t>
      </w:r>
      <w:r>
        <w:rPr>
          <w:color w:val="1C1C1C"/>
          <w:spacing w:val="-5"/>
          <w:w w:val="105"/>
        </w:rPr>
        <w:t> </w:t>
      </w:r>
      <w:r>
        <w:rPr>
          <w:color w:val="1C1C1C"/>
          <w:w w:val="105"/>
        </w:rPr>
        <w:t>masa</w:t>
      </w:r>
      <w:r>
        <w:rPr>
          <w:color w:val="1C1C1C"/>
          <w:spacing w:val="-5"/>
          <w:w w:val="105"/>
        </w:rPr>
        <w:t> </w:t>
      </w:r>
      <w:r>
        <w:rPr>
          <w:color w:val="1C1C1C"/>
          <w:w w:val="105"/>
        </w:rPr>
        <w:t>cervical sobre el borde anterior del músculo esternocleidomastoideo, poco o nada dolorosa, que generalmente no se presenta con soplo o thrill acompañante</w:t>
      </w:r>
      <w:r>
        <w:rPr>
          <w:color w:val="1C1C1C"/>
          <w:w w:val="105"/>
          <w:position w:val="10"/>
          <w:sz w:val="14"/>
        </w:rPr>
        <w:t>21</w:t>
      </w:r>
      <w:r>
        <w:rPr>
          <w:color w:val="1C1C1C"/>
          <w:w w:val="105"/>
        </w:rPr>
        <w:t>, y que a la exploración característicamente</w:t>
      </w:r>
      <w:r>
        <w:rPr>
          <w:color w:val="1C1C1C"/>
          <w:spacing w:val="-5"/>
          <w:w w:val="105"/>
        </w:rPr>
        <w:t> </w:t>
      </w:r>
      <w:r>
        <w:rPr>
          <w:color w:val="1C1C1C"/>
          <w:w w:val="105"/>
        </w:rPr>
        <w:t>presenta</w:t>
      </w:r>
      <w:r>
        <w:rPr>
          <w:color w:val="1C1C1C"/>
          <w:spacing w:val="-5"/>
          <w:w w:val="105"/>
        </w:rPr>
        <w:t> </w:t>
      </w:r>
      <w:r>
        <w:rPr>
          <w:color w:val="1C1C1C"/>
          <w:w w:val="105"/>
        </w:rPr>
        <w:t>un</w:t>
      </w:r>
      <w:r>
        <w:rPr>
          <w:color w:val="1C1C1C"/>
          <w:spacing w:val="-5"/>
          <w:w w:val="105"/>
        </w:rPr>
        <w:t> </w:t>
      </w:r>
      <w:r>
        <w:rPr>
          <w:color w:val="1C1C1C"/>
          <w:w w:val="105"/>
        </w:rPr>
        <w:t>desplazamiento</w:t>
      </w:r>
      <w:r>
        <w:rPr>
          <w:color w:val="1C1C1C"/>
          <w:spacing w:val="-5"/>
          <w:w w:val="105"/>
        </w:rPr>
        <w:t> </w:t>
      </w:r>
      <w:r>
        <w:rPr>
          <w:color w:val="1C1C1C"/>
          <w:w w:val="105"/>
        </w:rPr>
        <w:t>en</w:t>
      </w:r>
      <w:r>
        <w:rPr>
          <w:color w:val="1C1C1C"/>
          <w:spacing w:val="-5"/>
          <w:w w:val="105"/>
        </w:rPr>
        <w:t> </w:t>
      </w:r>
      <w:r>
        <w:rPr>
          <w:color w:val="1C1C1C"/>
          <w:w w:val="105"/>
        </w:rPr>
        <w:t>plano</w:t>
      </w:r>
      <w:r>
        <w:rPr>
          <w:color w:val="1C1C1C"/>
          <w:spacing w:val="-5"/>
          <w:w w:val="105"/>
        </w:rPr>
        <w:t> </w:t>
      </w:r>
      <w:r>
        <w:rPr>
          <w:color w:val="1C1C1C"/>
          <w:w w:val="105"/>
        </w:rPr>
        <w:t>vertical</w:t>
      </w:r>
      <w:r>
        <w:rPr>
          <w:color w:val="1C1C1C"/>
          <w:spacing w:val="-6"/>
          <w:w w:val="105"/>
        </w:rPr>
        <w:t> </w:t>
      </w:r>
      <w:r>
        <w:rPr>
          <w:color w:val="1C1C1C"/>
          <w:w w:val="105"/>
        </w:rPr>
        <w:t>y</w:t>
      </w:r>
      <w:r>
        <w:rPr>
          <w:color w:val="1C1C1C"/>
          <w:spacing w:val="-5"/>
          <w:w w:val="105"/>
        </w:rPr>
        <w:t> </w:t>
      </w:r>
      <w:r>
        <w:rPr>
          <w:color w:val="1C1C1C"/>
          <w:w w:val="105"/>
        </w:rPr>
        <w:t>no</w:t>
      </w:r>
      <w:r>
        <w:rPr>
          <w:color w:val="1C1C1C"/>
          <w:spacing w:val="-5"/>
          <w:w w:val="105"/>
        </w:rPr>
        <w:t> </w:t>
      </w:r>
      <w:r>
        <w:rPr>
          <w:color w:val="1C1C1C"/>
          <w:w w:val="105"/>
        </w:rPr>
        <w:t>dirección</w:t>
      </w:r>
      <w:r>
        <w:rPr>
          <w:color w:val="1C1C1C"/>
          <w:spacing w:val="-5"/>
          <w:w w:val="105"/>
        </w:rPr>
        <w:t> </w:t>
      </w:r>
      <w:r>
        <w:rPr>
          <w:color w:val="1C1C1C"/>
          <w:w w:val="105"/>
        </w:rPr>
        <w:t>horizontal conocido como signo de</w:t>
      </w:r>
      <w:r>
        <w:rPr>
          <w:color w:val="1C1C1C"/>
          <w:spacing w:val="-25"/>
          <w:w w:val="105"/>
        </w:rPr>
        <w:t> </w:t>
      </w:r>
      <w:r>
        <w:rPr>
          <w:color w:val="1C1C1C"/>
          <w:w w:val="105"/>
        </w:rPr>
        <w:t>Fontaina</w:t>
      </w:r>
      <w:r>
        <w:rPr>
          <w:color w:val="1C1C1C"/>
          <w:w w:val="105"/>
          <w:position w:val="10"/>
          <w:sz w:val="14"/>
        </w:rPr>
        <w:t>38</w:t>
      </w:r>
      <w:r>
        <w:rPr>
          <w:color w:val="1C1C1C"/>
          <w:w w:val="105"/>
        </w:rPr>
        <w:t>.</w:t>
      </w:r>
    </w:p>
    <w:p>
      <w:pPr>
        <w:spacing w:after="0" w:line="360" w:lineRule="auto"/>
        <w:jc w:val="both"/>
        <w:sectPr>
          <w:pgSz w:w="12240" w:h="15840"/>
          <w:pgMar w:header="0" w:footer="687" w:top="1380" w:bottom="940" w:left="1600" w:right="1580"/>
        </w:sectPr>
      </w:pPr>
    </w:p>
    <w:p>
      <w:pPr>
        <w:pStyle w:val="BodyText"/>
        <w:spacing w:line="376" w:lineRule="auto" w:before="55"/>
        <w:ind w:left="108" w:right="109"/>
        <w:jc w:val="both"/>
      </w:pPr>
      <w:r>
        <w:rPr>
          <w:color w:val="1C1C1C"/>
          <w:w w:val="105"/>
        </w:rPr>
        <w:t>En nuestro estudio la manifestación principal es un crecimiento cervical asintomático de lado derecho y en algunos casos acompañado de dolor local, vértigo, disfagia o alteración de la voz; manifestaciones no bien sustentadas, pero las cuales debemos considerar con la finalidad de descartar algún otro tipo de patología.</w:t>
      </w:r>
    </w:p>
    <w:p>
      <w:pPr>
        <w:pStyle w:val="BodyText"/>
        <w:spacing w:line="379" w:lineRule="auto" w:before="4"/>
        <w:ind w:left="108" w:right="109"/>
        <w:jc w:val="both"/>
      </w:pPr>
      <w:r>
        <w:rPr>
          <w:color w:val="1C1C1C"/>
          <w:w w:val="105"/>
        </w:rPr>
        <w:t>El</w:t>
      </w:r>
      <w:r>
        <w:rPr>
          <w:color w:val="1C1C1C"/>
          <w:spacing w:val="-18"/>
          <w:w w:val="105"/>
        </w:rPr>
        <w:t> </w:t>
      </w:r>
      <w:r>
        <w:rPr>
          <w:color w:val="1C1C1C"/>
          <w:w w:val="105"/>
        </w:rPr>
        <w:t>tiempo</w:t>
      </w:r>
      <w:r>
        <w:rPr>
          <w:color w:val="1C1C1C"/>
          <w:spacing w:val="-17"/>
          <w:w w:val="105"/>
        </w:rPr>
        <w:t> </w:t>
      </w:r>
      <w:r>
        <w:rPr>
          <w:color w:val="1C1C1C"/>
          <w:w w:val="105"/>
        </w:rPr>
        <w:t>de</w:t>
      </w:r>
      <w:r>
        <w:rPr>
          <w:color w:val="1C1C1C"/>
          <w:spacing w:val="-17"/>
          <w:w w:val="105"/>
        </w:rPr>
        <w:t> </w:t>
      </w:r>
      <w:r>
        <w:rPr>
          <w:color w:val="1C1C1C"/>
          <w:w w:val="105"/>
        </w:rPr>
        <w:t>evolución</w:t>
      </w:r>
      <w:r>
        <w:rPr>
          <w:color w:val="1C1C1C"/>
          <w:spacing w:val="-17"/>
          <w:w w:val="105"/>
        </w:rPr>
        <w:t> </w:t>
      </w:r>
      <w:r>
        <w:rPr>
          <w:color w:val="1C1C1C"/>
          <w:w w:val="105"/>
        </w:rPr>
        <w:t>reportado</w:t>
      </w:r>
      <w:r>
        <w:rPr>
          <w:color w:val="1C1C1C"/>
          <w:spacing w:val="-17"/>
          <w:w w:val="105"/>
        </w:rPr>
        <w:t> </w:t>
      </w:r>
      <w:r>
        <w:rPr>
          <w:color w:val="1C1C1C"/>
          <w:w w:val="105"/>
        </w:rPr>
        <w:t>es</w:t>
      </w:r>
      <w:r>
        <w:rPr>
          <w:color w:val="1C1C1C"/>
          <w:spacing w:val="-17"/>
          <w:w w:val="105"/>
        </w:rPr>
        <w:t> </w:t>
      </w:r>
      <w:r>
        <w:rPr>
          <w:color w:val="1C1C1C"/>
          <w:w w:val="105"/>
        </w:rPr>
        <w:t>variable,</w:t>
      </w:r>
      <w:r>
        <w:rPr>
          <w:color w:val="1C1C1C"/>
          <w:spacing w:val="-18"/>
          <w:w w:val="105"/>
        </w:rPr>
        <w:t> </w:t>
      </w:r>
      <w:r>
        <w:rPr>
          <w:color w:val="1C1C1C"/>
          <w:w w:val="105"/>
        </w:rPr>
        <w:t>debido</w:t>
      </w:r>
      <w:r>
        <w:rPr>
          <w:color w:val="1C1C1C"/>
          <w:spacing w:val="-17"/>
          <w:w w:val="105"/>
        </w:rPr>
        <w:t> </w:t>
      </w:r>
      <w:r>
        <w:rPr>
          <w:color w:val="1C1C1C"/>
          <w:w w:val="105"/>
        </w:rPr>
        <w:t>a</w:t>
      </w:r>
      <w:r>
        <w:rPr>
          <w:color w:val="1C1C1C"/>
          <w:spacing w:val="-17"/>
          <w:w w:val="105"/>
        </w:rPr>
        <w:t> </w:t>
      </w:r>
      <w:r>
        <w:rPr>
          <w:color w:val="1C1C1C"/>
          <w:w w:val="105"/>
        </w:rPr>
        <w:t>que</w:t>
      </w:r>
      <w:r>
        <w:rPr>
          <w:color w:val="1C1C1C"/>
          <w:spacing w:val="-17"/>
          <w:w w:val="105"/>
        </w:rPr>
        <w:t> </w:t>
      </w:r>
      <w:r>
        <w:rPr>
          <w:color w:val="1C1C1C"/>
          <w:w w:val="105"/>
        </w:rPr>
        <w:t>los</w:t>
      </w:r>
      <w:r>
        <w:rPr>
          <w:color w:val="1C1C1C"/>
          <w:spacing w:val="-17"/>
          <w:w w:val="105"/>
        </w:rPr>
        <w:t> </w:t>
      </w:r>
      <w:r>
        <w:rPr>
          <w:color w:val="1C1C1C"/>
          <w:w w:val="105"/>
        </w:rPr>
        <w:t>pacientes</w:t>
      </w:r>
      <w:r>
        <w:rPr>
          <w:color w:val="1C1C1C"/>
          <w:spacing w:val="-17"/>
          <w:w w:val="105"/>
        </w:rPr>
        <w:t> </w:t>
      </w:r>
      <w:r>
        <w:rPr>
          <w:color w:val="1C1C1C"/>
          <w:w w:val="105"/>
        </w:rPr>
        <w:t>no</w:t>
      </w:r>
      <w:r>
        <w:rPr>
          <w:color w:val="1C1C1C"/>
          <w:spacing w:val="-17"/>
          <w:w w:val="105"/>
        </w:rPr>
        <w:t> </w:t>
      </w:r>
      <w:r>
        <w:rPr>
          <w:color w:val="1C1C1C"/>
          <w:w w:val="105"/>
        </w:rPr>
        <w:t>inmediatamente prestan atención para su tratamiento por su naturaleza asintomático. Por lo que acuden al médico</w:t>
      </w:r>
      <w:r>
        <w:rPr>
          <w:color w:val="1C1C1C"/>
          <w:spacing w:val="-12"/>
          <w:w w:val="105"/>
        </w:rPr>
        <w:t> </w:t>
      </w:r>
      <w:r>
        <w:rPr>
          <w:color w:val="1C1C1C"/>
          <w:w w:val="105"/>
        </w:rPr>
        <w:t>cuando</w:t>
      </w:r>
      <w:r>
        <w:rPr>
          <w:color w:val="1C1C1C"/>
          <w:spacing w:val="-12"/>
          <w:w w:val="105"/>
        </w:rPr>
        <w:t> </w:t>
      </w:r>
      <w:r>
        <w:rPr>
          <w:color w:val="1C1C1C"/>
          <w:w w:val="105"/>
        </w:rPr>
        <w:t>empieza</w:t>
      </w:r>
      <w:r>
        <w:rPr>
          <w:color w:val="1C1C1C"/>
          <w:spacing w:val="-12"/>
          <w:w w:val="105"/>
        </w:rPr>
        <w:t> </w:t>
      </w:r>
      <w:r>
        <w:rPr>
          <w:color w:val="1C1C1C"/>
          <w:w w:val="105"/>
        </w:rPr>
        <w:t>a</w:t>
      </w:r>
      <w:r>
        <w:rPr>
          <w:color w:val="1C1C1C"/>
          <w:spacing w:val="-12"/>
          <w:w w:val="105"/>
        </w:rPr>
        <w:t> </w:t>
      </w:r>
      <w:r>
        <w:rPr>
          <w:color w:val="1C1C1C"/>
          <w:w w:val="105"/>
        </w:rPr>
        <w:t>ser</w:t>
      </w:r>
      <w:r>
        <w:rPr>
          <w:color w:val="1C1C1C"/>
          <w:spacing w:val="-12"/>
          <w:w w:val="105"/>
        </w:rPr>
        <w:t> </w:t>
      </w:r>
      <w:r>
        <w:rPr>
          <w:color w:val="1C1C1C"/>
          <w:w w:val="105"/>
        </w:rPr>
        <w:t>evidente,</w:t>
      </w:r>
      <w:r>
        <w:rPr>
          <w:color w:val="1C1C1C"/>
          <w:spacing w:val="-13"/>
          <w:w w:val="105"/>
        </w:rPr>
        <w:t> </w:t>
      </w:r>
      <w:r>
        <w:rPr>
          <w:color w:val="1C1C1C"/>
          <w:w w:val="105"/>
        </w:rPr>
        <w:t>provoca</w:t>
      </w:r>
      <w:r>
        <w:rPr>
          <w:color w:val="1C1C1C"/>
          <w:spacing w:val="-12"/>
          <w:w w:val="105"/>
        </w:rPr>
        <w:t> </w:t>
      </w:r>
      <w:r>
        <w:rPr>
          <w:color w:val="1C1C1C"/>
          <w:w w:val="105"/>
        </w:rPr>
        <w:t>preocupación</w:t>
      </w:r>
      <w:r>
        <w:rPr>
          <w:color w:val="1C1C1C"/>
          <w:spacing w:val="-12"/>
          <w:w w:val="105"/>
        </w:rPr>
        <w:t> </w:t>
      </w:r>
      <w:r>
        <w:rPr>
          <w:color w:val="1C1C1C"/>
          <w:w w:val="105"/>
        </w:rPr>
        <w:t>por</w:t>
      </w:r>
      <w:r>
        <w:rPr>
          <w:color w:val="1C1C1C"/>
          <w:spacing w:val="-12"/>
          <w:w w:val="105"/>
        </w:rPr>
        <w:t> </w:t>
      </w:r>
      <w:r>
        <w:rPr>
          <w:color w:val="1C1C1C"/>
          <w:w w:val="105"/>
        </w:rPr>
        <w:t>su</w:t>
      </w:r>
      <w:r>
        <w:rPr>
          <w:color w:val="1C1C1C"/>
          <w:spacing w:val="-12"/>
          <w:w w:val="105"/>
        </w:rPr>
        <w:t> </w:t>
      </w:r>
      <w:r>
        <w:rPr>
          <w:color w:val="1C1C1C"/>
          <w:w w:val="105"/>
        </w:rPr>
        <w:t>crecimiento</w:t>
      </w:r>
      <w:r>
        <w:rPr>
          <w:color w:val="1C1C1C"/>
          <w:spacing w:val="-12"/>
          <w:w w:val="105"/>
        </w:rPr>
        <w:t> </w:t>
      </w:r>
      <w:r>
        <w:rPr>
          <w:color w:val="1C1C1C"/>
          <w:w w:val="105"/>
        </w:rPr>
        <w:t>continuo, o desencadena datos clínicos de</w:t>
      </w:r>
      <w:r>
        <w:rPr>
          <w:color w:val="1C1C1C"/>
          <w:spacing w:val="-21"/>
          <w:w w:val="105"/>
        </w:rPr>
        <w:t> </w:t>
      </w:r>
      <w:r>
        <w:rPr>
          <w:color w:val="1C1C1C"/>
          <w:w w:val="105"/>
        </w:rPr>
        <w:t>compresión.</w:t>
      </w:r>
    </w:p>
    <w:p>
      <w:pPr>
        <w:pStyle w:val="BodyText"/>
        <w:spacing w:line="360" w:lineRule="auto" w:before="1"/>
        <w:ind w:left="108" w:right="111"/>
        <w:jc w:val="both"/>
      </w:pPr>
      <w:r>
        <w:rPr>
          <w:color w:val="1C1C1C"/>
          <w:w w:val="105"/>
        </w:rPr>
        <w:t>Para el diagnostico, primero debe ser considerados cualquier tumor de cuello como lo pueden ser los tumores de paratiroides, tumores de partes blandas, enfermedades linfoproliferativas, quistes branquiales entre los más frecuentes</w:t>
      </w:r>
      <w:r>
        <w:rPr>
          <w:color w:val="1C1C1C"/>
          <w:w w:val="105"/>
          <w:position w:val="10"/>
          <w:sz w:val="14"/>
        </w:rPr>
        <w:t>23</w:t>
      </w:r>
      <w:r>
        <w:rPr>
          <w:color w:val="1C1C1C"/>
          <w:w w:val="105"/>
        </w:rPr>
        <w:t>.</w:t>
      </w:r>
    </w:p>
    <w:p>
      <w:pPr>
        <w:pStyle w:val="BodyText"/>
        <w:rPr>
          <w:sz w:val="24"/>
        </w:rPr>
      </w:pPr>
    </w:p>
    <w:p>
      <w:pPr>
        <w:pStyle w:val="BodyText"/>
        <w:rPr>
          <w:sz w:val="24"/>
        </w:rPr>
      </w:pPr>
    </w:p>
    <w:p>
      <w:pPr>
        <w:pStyle w:val="BodyText"/>
        <w:spacing w:line="364" w:lineRule="auto" w:before="208"/>
        <w:ind w:left="108" w:right="113"/>
        <w:jc w:val="both"/>
      </w:pPr>
      <w:r>
        <w:rPr>
          <w:color w:val="1C1C1C"/>
          <w:w w:val="105"/>
        </w:rPr>
        <w:t>En todos los casos se debe considerar realizar un estudio preoperatorio, que descarte un exceso</w:t>
      </w:r>
      <w:r>
        <w:rPr>
          <w:color w:val="1C1C1C"/>
          <w:spacing w:val="-7"/>
          <w:w w:val="105"/>
        </w:rPr>
        <w:t> </w:t>
      </w:r>
      <w:r>
        <w:rPr>
          <w:color w:val="1C1C1C"/>
          <w:w w:val="105"/>
        </w:rPr>
        <w:t>en</w:t>
      </w:r>
      <w:r>
        <w:rPr>
          <w:color w:val="1C1C1C"/>
          <w:spacing w:val="-7"/>
          <w:w w:val="105"/>
        </w:rPr>
        <w:t> </w:t>
      </w:r>
      <w:r>
        <w:rPr>
          <w:color w:val="1C1C1C"/>
          <w:w w:val="105"/>
        </w:rPr>
        <w:t>la</w:t>
      </w:r>
      <w:r>
        <w:rPr>
          <w:color w:val="1C1C1C"/>
          <w:spacing w:val="-7"/>
          <w:w w:val="105"/>
        </w:rPr>
        <w:t> </w:t>
      </w:r>
      <w:r>
        <w:rPr>
          <w:color w:val="1C1C1C"/>
          <w:w w:val="105"/>
        </w:rPr>
        <w:t>producción</w:t>
      </w:r>
      <w:r>
        <w:rPr>
          <w:color w:val="1C1C1C"/>
          <w:spacing w:val="-7"/>
          <w:w w:val="105"/>
        </w:rPr>
        <w:t> </w:t>
      </w:r>
      <w:r>
        <w:rPr>
          <w:color w:val="1C1C1C"/>
          <w:w w:val="105"/>
        </w:rPr>
        <w:t>de</w:t>
      </w:r>
      <w:r>
        <w:rPr>
          <w:color w:val="1C1C1C"/>
          <w:spacing w:val="-7"/>
          <w:w w:val="105"/>
        </w:rPr>
        <w:t> </w:t>
      </w:r>
      <w:r>
        <w:rPr>
          <w:color w:val="1C1C1C"/>
          <w:w w:val="105"/>
        </w:rPr>
        <w:t>catecolaminas,</w:t>
      </w:r>
      <w:r>
        <w:rPr>
          <w:color w:val="1C1C1C"/>
          <w:spacing w:val="-8"/>
          <w:w w:val="105"/>
        </w:rPr>
        <w:t> </w:t>
      </w:r>
      <w:r>
        <w:rPr>
          <w:color w:val="1C1C1C"/>
          <w:w w:val="105"/>
        </w:rPr>
        <w:t>con</w:t>
      </w:r>
      <w:r>
        <w:rPr>
          <w:color w:val="1C1C1C"/>
          <w:spacing w:val="-7"/>
          <w:w w:val="105"/>
        </w:rPr>
        <w:t> </w:t>
      </w:r>
      <w:r>
        <w:rPr>
          <w:color w:val="1C1C1C"/>
          <w:w w:val="105"/>
        </w:rPr>
        <w:t>medición</w:t>
      </w:r>
      <w:r>
        <w:rPr>
          <w:color w:val="1C1C1C"/>
          <w:spacing w:val="-7"/>
          <w:w w:val="105"/>
        </w:rPr>
        <w:t> </w:t>
      </w:r>
      <w:r>
        <w:rPr>
          <w:color w:val="1C1C1C"/>
          <w:w w:val="105"/>
        </w:rPr>
        <w:t>de</w:t>
      </w:r>
      <w:r>
        <w:rPr>
          <w:color w:val="1C1C1C"/>
          <w:spacing w:val="-7"/>
          <w:w w:val="105"/>
        </w:rPr>
        <w:t> </w:t>
      </w:r>
      <w:r>
        <w:rPr>
          <w:color w:val="1C1C1C"/>
          <w:w w:val="105"/>
        </w:rPr>
        <w:t>metanefrinas</w:t>
      </w:r>
      <w:r>
        <w:rPr>
          <w:color w:val="1C1C1C"/>
          <w:spacing w:val="-7"/>
          <w:w w:val="105"/>
        </w:rPr>
        <w:t> </w:t>
      </w:r>
      <w:r>
        <w:rPr>
          <w:color w:val="1C1C1C"/>
          <w:w w:val="105"/>
        </w:rPr>
        <w:t>urinarias</w:t>
      </w:r>
      <w:r>
        <w:rPr>
          <w:color w:val="1C1C1C"/>
          <w:spacing w:val="-7"/>
          <w:w w:val="105"/>
        </w:rPr>
        <w:t> </w:t>
      </w:r>
      <w:r>
        <w:rPr>
          <w:color w:val="1C1C1C"/>
          <w:w w:val="105"/>
        </w:rPr>
        <w:t>y</w:t>
      </w:r>
      <w:r>
        <w:rPr>
          <w:color w:val="1C1C1C"/>
          <w:spacing w:val="-7"/>
          <w:w w:val="105"/>
        </w:rPr>
        <w:t> </w:t>
      </w:r>
      <w:r>
        <w:rPr>
          <w:color w:val="1C1C1C"/>
          <w:w w:val="105"/>
        </w:rPr>
        <w:t>ácido vanilmandélico en la orina, que identifica los paragangliomas funcionales, información que determina consideraciones durante la</w:t>
      </w:r>
      <w:r>
        <w:rPr>
          <w:color w:val="1C1C1C"/>
          <w:spacing w:val="-37"/>
          <w:w w:val="105"/>
        </w:rPr>
        <w:t> </w:t>
      </w:r>
      <w:r>
        <w:rPr>
          <w:color w:val="1C1C1C"/>
          <w:w w:val="105"/>
        </w:rPr>
        <w:t>anestesia</w:t>
      </w:r>
      <w:r>
        <w:rPr>
          <w:color w:val="1C1C1C"/>
          <w:w w:val="105"/>
          <w:position w:val="10"/>
          <w:sz w:val="14"/>
        </w:rPr>
        <w:t>38</w:t>
      </w:r>
      <w:r>
        <w:rPr>
          <w:color w:val="1C1C1C"/>
          <w:w w:val="105"/>
        </w:rPr>
        <w:t>.</w:t>
      </w:r>
    </w:p>
    <w:p>
      <w:pPr>
        <w:pStyle w:val="BodyText"/>
        <w:spacing w:before="7"/>
        <w:rPr>
          <w:sz w:val="32"/>
        </w:rPr>
      </w:pPr>
    </w:p>
    <w:p>
      <w:pPr>
        <w:pStyle w:val="BodyText"/>
        <w:spacing w:line="376" w:lineRule="auto" w:before="1"/>
        <w:ind w:left="108" w:right="110"/>
        <w:jc w:val="both"/>
      </w:pPr>
      <w:r>
        <w:rPr>
          <w:color w:val="1C1C1C"/>
          <w:w w:val="105"/>
        </w:rPr>
        <w:t>En este estudio realizado, no fue documentada de manera dirigida actividad funcional del tumor de cuerpo carotídeo, únicamente logramos identificar enfermedades agregadas, descartar la presencia de hipertensión arterial sistémica (HAS) en la mayoría de los casos (Ver tabal 2).</w:t>
      </w:r>
    </w:p>
    <w:p>
      <w:pPr>
        <w:pStyle w:val="BodyText"/>
        <w:spacing w:line="376" w:lineRule="auto" w:before="4"/>
        <w:ind w:left="108" w:right="113"/>
        <w:jc w:val="both"/>
      </w:pPr>
      <w:r>
        <w:rPr>
          <w:color w:val="1C1C1C"/>
          <w:w w:val="105"/>
        </w:rPr>
        <w:t>No es frecuente la afectación de los pares craneales por el tumor, pero aumenta esa probabilidad cuando el tumor excede los 5 cm de diámetro mayor.</w:t>
      </w:r>
    </w:p>
    <w:p>
      <w:pPr>
        <w:pStyle w:val="BodyText"/>
        <w:spacing w:before="8"/>
      </w:pPr>
    </w:p>
    <w:p>
      <w:pPr>
        <w:pStyle w:val="BodyText"/>
        <w:spacing w:line="380" w:lineRule="atLeast"/>
        <w:ind w:left="108" w:right="110"/>
        <w:jc w:val="both"/>
      </w:pPr>
      <w:r>
        <w:rPr>
          <w:color w:val="1C1C1C"/>
          <w:w w:val="105"/>
        </w:rPr>
        <w:t>Dentro de las consideraciones diagnosticas, a pesar de la sospecha clínica, contamos con métodos no invasivos, como la tomografía axial computada, la resonancia magnética nuclear, el ultrasonido doppler dúplex; pero es la arteriografía el método diagnostico invasivo mas utilizado, el cual permite observar la separación por un tumor hipervascularizada de la carótida interna y externa, la cual conocemos como signo de “La lira”</w:t>
      </w:r>
      <w:r>
        <w:rPr>
          <w:color w:val="1C1C1C"/>
          <w:w w:val="105"/>
          <w:position w:val="10"/>
          <w:sz w:val="14"/>
        </w:rPr>
        <w:t>31,32</w:t>
      </w:r>
      <w:r>
        <w:rPr>
          <w:color w:val="1C1C1C"/>
          <w:w w:val="105"/>
        </w:rPr>
        <w:t>, y además explora la presencia de enfermedad carotidea (estenosis) como la circulación intracraneal.</w:t>
      </w:r>
    </w:p>
    <w:p>
      <w:pPr>
        <w:spacing w:after="0" w:line="380" w:lineRule="atLeast"/>
        <w:jc w:val="both"/>
        <w:sectPr>
          <w:pgSz w:w="12240" w:h="15840"/>
          <w:pgMar w:header="0" w:footer="687" w:top="1380" w:bottom="940" w:left="1600" w:right="1580"/>
        </w:sectPr>
      </w:pPr>
    </w:p>
    <w:p>
      <w:pPr>
        <w:pStyle w:val="BodyText"/>
        <w:spacing w:line="376" w:lineRule="auto" w:before="55"/>
        <w:ind w:left="108" w:right="109"/>
        <w:jc w:val="both"/>
      </w:pPr>
      <w:r>
        <w:rPr>
          <w:color w:val="1C1C1C"/>
          <w:w w:val="105"/>
        </w:rPr>
        <w:t>En últimas fechas se maneja el recurso de la embolización preoperatorio de tumor, consideración introducida por Schick en 1980, con la finalidad de disminuir el riesgo de sangrado</w:t>
      </w:r>
      <w:r>
        <w:rPr>
          <w:color w:val="1C1C1C"/>
          <w:spacing w:val="-12"/>
          <w:w w:val="105"/>
        </w:rPr>
        <w:t> </w:t>
      </w:r>
      <w:r>
        <w:rPr>
          <w:color w:val="1C1C1C"/>
          <w:w w:val="105"/>
        </w:rPr>
        <w:t>facilitando</w:t>
      </w:r>
      <w:r>
        <w:rPr>
          <w:color w:val="1C1C1C"/>
          <w:spacing w:val="-12"/>
          <w:w w:val="105"/>
        </w:rPr>
        <w:t> </w:t>
      </w:r>
      <w:r>
        <w:rPr>
          <w:color w:val="1C1C1C"/>
          <w:w w:val="105"/>
        </w:rPr>
        <w:t>la</w:t>
      </w:r>
      <w:r>
        <w:rPr>
          <w:color w:val="1C1C1C"/>
          <w:spacing w:val="-12"/>
          <w:w w:val="105"/>
        </w:rPr>
        <w:t> </w:t>
      </w:r>
      <w:r>
        <w:rPr>
          <w:color w:val="1C1C1C"/>
          <w:w w:val="105"/>
        </w:rPr>
        <w:t>cirugía,</w:t>
      </w:r>
      <w:r>
        <w:rPr>
          <w:color w:val="1C1C1C"/>
          <w:spacing w:val="-13"/>
          <w:w w:val="105"/>
        </w:rPr>
        <w:t> </w:t>
      </w:r>
      <w:r>
        <w:rPr>
          <w:color w:val="1C1C1C"/>
          <w:w w:val="105"/>
        </w:rPr>
        <w:t>y</w:t>
      </w:r>
      <w:r>
        <w:rPr>
          <w:color w:val="1C1C1C"/>
          <w:spacing w:val="-12"/>
          <w:w w:val="105"/>
        </w:rPr>
        <w:t> </w:t>
      </w:r>
      <w:r>
        <w:rPr>
          <w:color w:val="1C1C1C"/>
          <w:w w:val="105"/>
        </w:rPr>
        <w:t>por</w:t>
      </w:r>
      <w:r>
        <w:rPr>
          <w:color w:val="1C1C1C"/>
          <w:spacing w:val="-13"/>
          <w:w w:val="105"/>
        </w:rPr>
        <w:t> </w:t>
      </w:r>
      <w:r>
        <w:rPr>
          <w:color w:val="1C1C1C"/>
          <w:w w:val="105"/>
        </w:rPr>
        <w:t>ende</w:t>
      </w:r>
      <w:r>
        <w:rPr>
          <w:color w:val="1C1C1C"/>
          <w:spacing w:val="-12"/>
          <w:w w:val="105"/>
        </w:rPr>
        <w:t> </w:t>
      </w:r>
      <w:r>
        <w:rPr>
          <w:color w:val="1C1C1C"/>
          <w:w w:val="105"/>
        </w:rPr>
        <w:t>permite</w:t>
      </w:r>
      <w:r>
        <w:rPr>
          <w:color w:val="1C1C1C"/>
          <w:spacing w:val="-12"/>
          <w:w w:val="105"/>
        </w:rPr>
        <w:t> </w:t>
      </w:r>
      <w:r>
        <w:rPr>
          <w:color w:val="1C1C1C"/>
          <w:w w:val="105"/>
        </w:rPr>
        <w:t>una</w:t>
      </w:r>
      <w:r>
        <w:rPr>
          <w:color w:val="1C1C1C"/>
          <w:spacing w:val="-12"/>
          <w:w w:val="105"/>
        </w:rPr>
        <w:t> </w:t>
      </w:r>
      <w:r>
        <w:rPr>
          <w:color w:val="1C1C1C"/>
          <w:w w:val="105"/>
        </w:rPr>
        <w:t>disección</w:t>
      </w:r>
      <w:r>
        <w:rPr>
          <w:color w:val="1C1C1C"/>
          <w:spacing w:val="-12"/>
          <w:w w:val="105"/>
        </w:rPr>
        <w:t> </w:t>
      </w:r>
      <w:r>
        <w:rPr>
          <w:color w:val="1C1C1C"/>
          <w:w w:val="105"/>
        </w:rPr>
        <w:t>limpia</w:t>
      </w:r>
      <w:r>
        <w:rPr>
          <w:color w:val="1C1C1C"/>
          <w:spacing w:val="-12"/>
          <w:w w:val="105"/>
        </w:rPr>
        <w:t> </w:t>
      </w:r>
      <w:r>
        <w:rPr>
          <w:color w:val="1C1C1C"/>
          <w:w w:val="105"/>
        </w:rPr>
        <w:t>sobre</w:t>
      </w:r>
      <w:r>
        <w:rPr>
          <w:color w:val="1C1C1C"/>
          <w:spacing w:val="-12"/>
          <w:w w:val="105"/>
        </w:rPr>
        <w:t> </w:t>
      </w:r>
      <w:r>
        <w:rPr>
          <w:color w:val="1C1C1C"/>
          <w:w w:val="105"/>
        </w:rPr>
        <w:t>los</w:t>
      </w:r>
      <w:r>
        <w:rPr>
          <w:color w:val="1C1C1C"/>
          <w:spacing w:val="-12"/>
          <w:w w:val="105"/>
        </w:rPr>
        <w:t> </w:t>
      </w:r>
      <w:r>
        <w:rPr>
          <w:color w:val="1C1C1C"/>
          <w:w w:val="105"/>
        </w:rPr>
        <w:t>elementos nerviosos a proteger. Existe controversia respecto a la embolización preoperatoria de los tumores del cuerpo carotídeo, por riesgo de trombosis</w:t>
      </w:r>
      <w:r>
        <w:rPr>
          <w:color w:val="1C1C1C"/>
          <w:spacing w:val="-36"/>
          <w:w w:val="105"/>
        </w:rPr>
        <w:t> </w:t>
      </w:r>
      <w:r>
        <w:rPr>
          <w:color w:val="1C1C1C"/>
          <w:w w:val="105"/>
        </w:rPr>
        <w:t>cerebral.</w:t>
      </w:r>
    </w:p>
    <w:p>
      <w:pPr>
        <w:pStyle w:val="BodyText"/>
        <w:spacing w:line="362" w:lineRule="auto" w:before="4"/>
        <w:ind w:left="108" w:right="115"/>
        <w:jc w:val="both"/>
      </w:pPr>
      <w:r>
        <w:rPr>
          <w:color w:val="1C1C1C"/>
          <w:w w:val="105"/>
        </w:rPr>
        <w:t>Existe</w:t>
      </w:r>
      <w:r>
        <w:rPr>
          <w:color w:val="1C1C1C"/>
          <w:spacing w:val="-17"/>
          <w:w w:val="105"/>
        </w:rPr>
        <w:t> </w:t>
      </w:r>
      <w:r>
        <w:rPr>
          <w:color w:val="1C1C1C"/>
          <w:w w:val="105"/>
        </w:rPr>
        <w:t>un</w:t>
      </w:r>
      <w:r>
        <w:rPr>
          <w:color w:val="1C1C1C"/>
          <w:spacing w:val="-17"/>
          <w:w w:val="105"/>
        </w:rPr>
        <w:t> </w:t>
      </w:r>
      <w:r>
        <w:rPr>
          <w:color w:val="1C1C1C"/>
          <w:w w:val="105"/>
        </w:rPr>
        <w:t>consenso,</w:t>
      </w:r>
      <w:r>
        <w:rPr>
          <w:color w:val="1C1C1C"/>
          <w:spacing w:val="-17"/>
          <w:w w:val="105"/>
        </w:rPr>
        <w:t> </w:t>
      </w:r>
      <w:r>
        <w:rPr>
          <w:color w:val="1C1C1C"/>
          <w:w w:val="105"/>
        </w:rPr>
        <w:t>que</w:t>
      </w:r>
      <w:r>
        <w:rPr>
          <w:color w:val="1C1C1C"/>
          <w:spacing w:val="-17"/>
          <w:w w:val="105"/>
        </w:rPr>
        <w:t> </w:t>
      </w:r>
      <w:r>
        <w:rPr>
          <w:color w:val="1C1C1C"/>
          <w:w w:val="105"/>
        </w:rPr>
        <w:t>los</w:t>
      </w:r>
      <w:r>
        <w:rPr>
          <w:color w:val="1C1C1C"/>
          <w:spacing w:val="-17"/>
          <w:w w:val="105"/>
        </w:rPr>
        <w:t> </w:t>
      </w:r>
      <w:r>
        <w:rPr>
          <w:color w:val="1C1C1C"/>
          <w:w w:val="105"/>
        </w:rPr>
        <w:t>tumores</w:t>
      </w:r>
      <w:r>
        <w:rPr>
          <w:color w:val="1C1C1C"/>
          <w:spacing w:val="-17"/>
          <w:w w:val="105"/>
        </w:rPr>
        <w:t> </w:t>
      </w:r>
      <w:r>
        <w:rPr>
          <w:color w:val="1C1C1C"/>
          <w:w w:val="105"/>
        </w:rPr>
        <w:t>grandes</w:t>
      </w:r>
      <w:r>
        <w:rPr>
          <w:color w:val="1C1C1C"/>
          <w:spacing w:val="-17"/>
          <w:w w:val="105"/>
        </w:rPr>
        <w:t> </w:t>
      </w:r>
      <w:r>
        <w:rPr>
          <w:color w:val="1C1C1C"/>
          <w:w w:val="105"/>
        </w:rPr>
        <w:t>(mayores</w:t>
      </w:r>
      <w:r>
        <w:rPr>
          <w:color w:val="1C1C1C"/>
          <w:spacing w:val="-17"/>
          <w:w w:val="105"/>
        </w:rPr>
        <w:t> </w:t>
      </w:r>
      <w:r>
        <w:rPr>
          <w:color w:val="1C1C1C"/>
          <w:w w:val="105"/>
        </w:rPr>
        <w:t>de</w:t>
      </w:r>
      <w:r>
        <w:rPr>
          <w:color w:val="1C1C1C"/>
          <w:spacing w:val="-17"/>
          <w:w w:val="105"/>
        </w:rPr>
        <w:t> </w:t>
      </w:r>
      <w:r>
        <w:rPr>
          <w:color w:val="1C1C1C"/>
          <w:w w:val="105"/>
        </w:rPr>
        <w:t>5</w:t>
      </w:r>
      <w:r>
        <w:rPr>
          <w:color w:val="1C1C1C"/>
          <w:spacing w:val="-17"/>
          <w:w w:val="105"/>
        </w:rPr>
        <w:t> </w:t>
      </w:r>
      <w:r>
        <w:rPr>
          <w:color w:val="1C1C1C"/>
          <w:w w:val="105"/>
        </w:rPr>
        <w:t>cm)</w:t>
      </w:r>
      <w:r>
        <w:rPr>
          <w:color w:val="1C1C1C"/>
          <w:spacing w:val="-17"/>
          <w:w w:val="105"/>
        </w:rPr>
        <w:t> </w:t>
      </w:r>
      <w:r>
        <w:rPr>
          <w:color w:val="1C1C1C"/>
          <w:w w:val="105"/>
        </w:rPr>
        <w:t>y</w:t>
      </w:r>
      <w:r>
        <w:rPr>
          <w:color w:val="1C1C1C"/>
          <w:spacing w:val="-17"/>
          <w:w w:val="105"/>
        </w:rPr>
        <w:t> </w:t>
      </w:r>
      <w:r>
        <w:rPr>
          <w:color w:val="1C1C1C"/>
          <w:w w:val="105"/>
        </w:rPr>
        <w:t>con</w:t>
      </w:r>
      <w:r>
        <w:rPr>
          <w:color w:val="1C1C1C"/>
          <w:spacing w:val="-17"/>
          <w:w w:val="105"/>
        </w:rPr>
        <w:t> </w:t>
      </w:r>
      <w:r>
        <w:rPr>
          <w:color w:val="1C1C1C"/>
          <w:w w:val="105"/>
        </w:rPr>
        <w:t>datos</w:t>
      </w:r>
      <w:r>
        <w:rPr>
          <w:color w:val="1C1C1C"/>
          <w:spacing w:val="-17"/>
          <w:w w:val="105"/>
        </w:rPr>
        <w:t> </w:t>
      </w:r>
      <w:r>
        <w:rPr>
          <w:color w:val="1C1C1C"/>
          <w:w w:val="105"/>
        </w:rPr>
        <w:t>de</w:t>
      </w:r>
      <w:r>
        <w:rPr>
          <w:color w:val="1C1C1C"/>
          <w:spacing w:val="-17"/>
          <w:w w:val="105"/>
        </w:rPr>
        <w:t> </w:t>
      </w:r>
      <w:r>
        <w:rPr>
          <w:color w:val="1C1C1C"/>
          <w:w w:val="105"/>
        </w:rPr>
        <w:t>compresión clínica</w:t>
      </w:r>
      <w:r>
        <w:rPr>
          <w:color w:val="1C1C1C"/>
          <w:spacing w:val="-8"/>
          <w:w w:val="105"/>
        </w:rPr>
        <w:t> </w:t>
      </w:r>
      <w:r>
        <w:rPr>
          <w:color w:val="1C1C1C"/>
          <w:w w:val="105"/>
        </w:rPr>
        <w:t>y</w:t>
      </w:r>
      <w:r>
        <w:rPr>
          <w:color w:val="1C1C1C"/>
          <w:spacing w:val="-8"/>
          <w:w w:val="105"/>
        </w:rPr>
        <w:t> </w:t>
      </w:r>
      <w:r>
        <w:rPr>
          <w:color w:val="1C1C1C"/>
          <w:w w:val="105"/>
        </w:rPr>
        <w:t>manifestaciones</w:t>
      </w:r>
      <w:r>
        <w:rPr>
          <w:color w:val="1C1C1C"/>
          <w:spacing w:val="-8"/>
          <w:w w:val="105"/>
        </w:rPr>
        <w:t> </w:t>
      </w:r>
      <w:r>
        <w:rPr>
          <w:color w:val="1C1C1C"/>
          <w:w w:val="105"/>
        </w:rPr>
        <w:t>neurológicas</w:t>
      </w:r>
      <w:r>
        <w:rPr>
          <w:color w:val="1C1C1C"/>
          <w:spacing w:val="-8"/>
          <w:w w:val="105"/>
        </w:rPr>
        <w:t> </w:t>
      </w:r>
      <w:r>
        <w:rPr>
          <w:color w:val="1C1C1C"/>
          <w:w w:val="105"/>
        </w:rPr>
        <w:t>siempre</w:t>
      </w:r>
      <w:r>
        <w:rPr>
          <w:color w:val="1C1C1C"/>
          <w:spacing w:val="-8"/>
          <w:w w:val="105"/>
        </w:rPr>
        <w:t> </w:t>
      </w:r>
      <w:r>
        <w:rPr>
          <w:color w:val="1C1C1C"/>
          <w:w w:val="105"/>
        </w:rPr>
        <w:t>y</w:t>
      </w:r>
      <w:r>
        <w:rPr>
          <w:color w:val="1C1C1C"/>
          <w:spacing w:val="-8"/>
          <w:w w:val="105"/>
        </w:rPr>
        <w:t> </w:t>
      </w:r>
      <w:r>
        <w:rPr>
          <w:color w:val="1C1C1C"/>
          <w:w w:val="105"/>
        </w:rPr>
        <w:t>cuando</w:t>
      </w:r>
      <w:r>
        <w:rPr>
          <w:color w:val="1C1C1C"/>
          <w:spacing w:val="-8"/>
          <w:w w:val="105"/>
        </w:rPr>
        <w:t> </w:t>
      </w:r>
      <w:r>
        <w:rPr>
          <w:color w:val="1C1C1C"/>
          <w:w w:val="105"/>
        </w:rPr>
        <w:t>superen</w:t>
      </w:r>
      <w:r>
        <w:rPr>
          <w:color w:val="1C1C1C"/>
          <w:spacing w:val="-8"/>
          <w:w w:val="105"/>
        </w:rPr>
        <w:t> </w:t>
      </w:r>
      <w:r>
        <w:rPr>
          <w:color w:val="1C1C1C"/>
          <w:w w:val="105"/>
        </w:rPr>
        <w:t>los</w:t>
      </w:r>
      <w:r>
        <w:rPr>
          <w:color w:val="1C1C1C"/>
          <w:spacing w:val="-8"/>
          <w:w w:val="105"/>
        </w:rPr>
        <w:t> </w:t>
      </w:r>
      <w:r>
        <w:rPr>
          <w:color w:val="1C1C1C"/>
          <w:w w:val="105"/>
        </w:rPr>
        <w:t>3</w:t>
      </w:r>
      <w:r>
        <w:rPr>
          <w:color w:val="1C1C1C"/>
          <w:spacing w:val="-8"/>
          <w:w w:val="105"/>
        </w:rPr>
        <w:t> </w:t>
      </w:r>
      <w:r>
        <w:rPr>
          <w:color w:val="1C1C1C"/>
          <w:w w:val="105"/>
        </w:rPr>
        <w:t>cm,</w:t>
      </w:r>
      <w:r>
        <w:rPr>
          <w:color w:val="1C1C1C"/>
          <w:spacing w:val="-9"/>
          <w:w w:val="105"/>
        </w:rPr>
        <w:t> </w:t>
      </w:r>
      <w:r>
        <w:rPr>
          <w:color w:val="1C1C1C"/>
          <w:w w:val="105"/>
        </w:rPr>
        <w:t>son</w:t>
      </w:r>
      <w:r>
        <w:rPr>
          <w:color w:val="1C1C1C"/>
          <w:spacing w:val="-8"/>
          <w:w w:val="105"/>
        </w:rPr>
        <w:t> </w:t>
      </w:r>
      <w:r>
        <w:rPr>
          <w:color w:val="1C1C1C"/>
          <w:w w:val="105"/>
        </w:rPr>
        <w:t>candidatos a</w:t>
      </w:r>
      <w:r>
        <w:rPr>
          <w:color w:val="1C1C1C"/>
          <w:spacing w:val="-28"/>
          <w:w w:val="105"/>
        </w:rPr>
        <w:t> </w:t>
      </w:r>
      <w:r>
        <w:rPr>
          <w:color w:val="1C1C1C"/>
          <w:w w:val="105"/>
        </w:rPr>
        <w:t>embolizar</w:t>
      </w:r>
      <w:r>
        <w:rPr>
          <w:color w:val="1C1C1C"/>
          <w:w w:val="105"/>
          <w:position w:val="10"/>
          <w:sz w:val="14"/>
        </w:rPr>
        <w:t>26,34</w:t>
      </w:r>
      <w:r>
        <w:rPr>
          <w:color w:val="1C1C1C"/>
          <w:w w:val="105"/>
        </w:rPr>
        <w:t>.</w:t>
      </w:r>
    </w:p>
    <w:p>
      <w:pPr>
        <w:pStyle w:val="BodyText"/>
        <w:spacing w:before="10"/>
        <w:rPr>
          <w:sz w:val="32"/>
        </w:rPr>
      </w:pPr>
    </w:p>
    <w:p>
      <w:pPr>
        <w:pStyle w:val="BodyText"/>
        <w:spacing w:line="364" w:lineRule="auto"/>
        <w:ind w:left="108" w:right="108"/>
        <w:jc w:val="both"/>
      </w:pPr>
      <w:r>
        <w:rPr>
          <w:color w:val="1C1C1C"/>
          <w:w w:val="105"/>
        </w:rPr>
        <w:t>Trippy y colaboradores en el 2002, consideran que en lugar de embolizar, excluir preoperatoriamente el tumor con la colocación de stents cubiertos en la carótida, considerando menor riesgo de accidente cerebrovascular al prescindir de sustancias embolizantes que pasarían a la circulación distal</w:t>
      </w:r>
      <w:r>
        <w:rPr>
          <w:color w:val="1C1C1C"/>
          <w:w w:val="105"/>
          <w:position w:val="10"/>
          <w:sz w:val="14"/>
        </w:rPr>
        <w:t>35</w:t>
      </w:r>
      <w:r>
        <w:rPr>
          <w:color w:val="1C1C1C"/>
          <w:w w:val="105"/>
        </w:rPr>
        <w:t>.</w:t>
      </w:r>
    </w:p>
    <w:p>
      <w:pPr>
        <w:pStyle w:val="BodyText"/>
        <w:spacing w:before="7"/>
        <w:rPr>
          <w:sz w:val="32"/>
        </w:rPr>
      </w:pPr>
    </w:p>
    <w:p>
      <w:pPr>
        <w:pStyle w:val="BodyText"/>
        <w:spacing w:line="376" w:lineRule="auto" w:before="1"/>
        <w:ind w:left="108" w:right="110"/>
        <w:jc w:val="both"/>
      </w:pPr>
      <w:r>
        <w:rPr>
          <w:color w:val="1C1C1C"/>
          <w:w w:val="105"/>
        </w:rPr>
        <w:t>La angiografía, ayuda a planificar la intervención, pero ante la sospecha clínica, primero debe considera un doppler dúplex de cuello y posteriormente un estudio de imagen como la TAC o resonancia; esta última con mayor detalle pero sin superar a la TAC, pero si a mayor costo y no todos los hospitales cuenta con el recurso.</w:t>
      </w:r>
    </w:p>
    <w:p>
      <w:pPr>
        <w:pStyle w:val="BodyText"/>
        <w:spacing w:line="376" w:lineRule="auto" w:before="4"/>
        <w:ind w:left="108" w:right="109"/>
        <w:jc w:val="both"/>
      </w:pPr>
      <w:r>
        <w:rPr>
          <w:color w:val="1C1C1C"/>
          <w:w w:val="105"/>
        </w:rPr>
        <w:t>En</w:t>
      </w:r>
      <w:r>
        <w:rPr>
          <w:color w:val="1C1C1C"/>
          <w:spacing w:val="-5"/>
          <w:w w:val="105"/>
        </w:rPr>
        <w:t> </w:t>
      </w:r>
      <w:r>
        <w:rPr>
          <w:color w:val="1C1C1C"/>
          <w:w w:val="105"/>
        </w:rPr>
        <w:t>resumen,</w:t>
      </w:r>
      <w:r>
        <w:rPr>
          <w:color w:val="1C1C1C"/>
          <w:spacing w:val="-6"/>
          <w:w w:val="105"/>
        </w:rPr>
        <w:t> </w:t>
      </w:r>
      <w:r>
        <w:rPr>
          <w:color w:val="1C1C1C"/>
          <w:w w:val="105"/>
        </w:rPr>
        <w:t>el</w:t>
      </w:r>
      <w:r>
        <w:rPr>
          <w:color w:val="1C1C1C"/>
          <w:spacing w:val="-6"/>
          <w:w w:val="105"/>
        </w:rPr>
        <w:t> </w:t>
      </w:r>
      <w:r>
        <w:rPr>
          <w:color w:val="1C1C1C"/>
          <w:w w:val="105"/>
        </w:rPr>
        <w:t>doppler-duplex</w:t>
      </w:r>
      <w:r>
        <w:rPr>
          <w:color w:val="1C1C1C"/>
          <w:spacing w:val="-5"/>
          <w:w w:val="105"/>
        </w:rPr>
        <w:t> </w:t>
      </w:r>
      <w:r>
        <w:rPr>
          <w:color w:val="1C1C1C"/>
          <w:w w:val="105"/>
        </w:rPr>
        <w:t>aporta</w:t>
      </w:r>
      <w:r>
        <w:rPr>
          <w:color w:val="1C1C1C"/>
          <w:spacing w:val="-5"/>
          <w:w w:val="105"/>
        </w:rPr>
        <w:t> </w:t>
      </w:r>
      <w:r>
        <w:rPr>
          <w:color w:val="1C1C1C"/>
          <w:w w:val="105"/>
        </w:rPr>
        <w:t>información</w:t>
      </w:r>
      <w:r>
        <w:rPr>
          <w:color w:val="1C1C1C"/>
          <w:spacing w:val="-5"/>
          <w:w w:val="105"/>
        </w:rPr>
        <w:t> </w:t>
      </w:r>
      <w:r>
        <w:rPr>
          <w:color w:val="1C1C1C"/>
          <w:w w:val="105"/>
        </w:rPr>
        <w:t>sobre</w:t>
      </w:r>
      <w:r>
        <w:rPr>
          <w:color w:val="1C1C1C"/>
          <w:spacing w:val="-5"/>
          <w:w w:val="105"/>
        </w:rPr>
        <w:t> </w:t>
      </w:r>
      <w:r>
        <w:rPr>
          <w:color w:val="1C1C1C"/>
          <w:w w:val="105"/>
        </w:rPr>
        <w:t>la</w:t>
      </w:r>
      <w:r>
        <w:rPr>
          <w:color w:val="1C1C1C"/>
          <w:spacing w:val="-5"/>
          <w:w w:val="105"/>
        </w:rPr>
        <w:t> </w:t>
      </w:r>
      <w:r>
        <w:rPr>
          <w:color w:val="1C1C1C"/>
          <w:w w:val="105"/>
        </w:rPr>
        <w:t>existencia,</w:t>
      </w:r>
      <w:r>
        <w:rPr>
          <w:color w:val="1C1C1C"/>
          <w:spacing w:val="-6"/>
          <w:w w:val="105"/>
        </w:rPr>
        <w:t> </w:t>
      </w:r>
      <w:r>
        <w:rPr>
          <w:color w:val="1C1C1C"/>
          <w:w w:val="105"/>
        </w:rPr>
        <w:t>o</w:t>
      </w:r>
      <w:r>
        <w:rPr>
          <w:color w:val="1C1C1C"/>
          <w:spacing w:val="-5"/>
          <w:w w:val="105"/>
        </w:rPr>
        <w:t> </w:t>
      </w:r>
      <w:r>
        <w:rPr>
          <w:color w:val="1C1C1C"/>
          <w:w w:val="105"/>
        </w:rPr>
        <w:t>no</w:t>
      </w:r>
      <w:r>
        <w:rPr>
          <w:color w:val="1C1C1C"/>
          <w:spacing w:val="-5"/>
          <w:w w:val="105"/>
        </w:rPr>
        <w:t> </w:t>
      </w:r>
      <w:r>
        <w:rPr>
          <w:color w:val="1C1C1C"/>
          <w:w w:val="105"/>
        </w:rPr>
        <w:t>de</w:t>
      </w:r>
      <w:r>
        <w:rPr>
          <w:color w:val="1C1C1C"/>
          <w:spacing w:val="-5"/>
          <w:w w:val="105"/>
        </w:rPr>
        <w:t> </w:t>
      </w:r>
      <w:r>
        <w:rPr>
          <w:color w:val="1C1C1C"/>
          <w:w w:val="105"/>
        </w:rPr>
        <w:t>enfermedad carotidea, arterioesclerosis concomitante, define bien la característica imagen de hipervascularización del glomus sobre la bifurcación carotidea y permite hacer un diagnóstico diferencial con tumores de otra estirpe, de manera que evita las punciones biopsia</w:t>
      </w:r>
      <w:r>
        <w:rPr>
          <w:color w:val="1C1C1C"/>
          <w:spacing w:val="-5"/>
          <w:w w:val="105"/>
        </w:rPr>
        <w:t> </w:t>
      </w:r>
      <w:r>
        <w:rPr>
          <w:color w:val="1C1C1C"/>
          <w:w w:val="105"/>
        </w:rPr>
        <w:t>que</w:t>
      </w:r>
      <w:r>
        <w:rPr>
          <w:color w:val="1C1C1C"/>
          <w:spacing w:val="-5"/>
          <w:w w:val="105"/>
        </w:rPr>
        <w:t> </w:t>
      </w:r>
      <w:r>
        <w:rPr>
          <w:color w:val="1C1C1C"/>
          <w:w w:val="105"/>
        </w:rPr>
        <w:t>están</w:t>
      </w:r>
      <w:r>
        <w:rPr>
          <w:color w:val="1C1C1C"/>
          <w:spacing w:val="-5"/>
          <w:w w:val="105"/>
        </w:rPr>
        <w:t> </w:t>
      </w:r>
      <w:r>
        <w:rPr>
          <w:color w:val="1C1C1C"/>
          <w:w w:val="105"/>
        </w:rPr>
        <w:t>contraindicadas,</w:t>
      </w:r>
      <w:r>
        <w:rPr>
          <w:color w:val="1C1C1C"/>
          <w:spacing w:val="-6"/>
          <w:w w:val="105"/>
        </w:rPr>
        <w:t> </w:t>
      </w:r>
      <w:r>
        <w:rPr>
          <w:color w:val="1C1C1C"/>
          <w:w w:val="105"/>
        </w:rPr>
        <w:t>podrían</w:t>
      </w:r>
      <w:r>
        <w:rPr>
          <w:color w:val="1C1C1C"/>
          <w:spacing w:val="-5"/>
          <w:w w:val="105"/>
        </w:rPr>
        <w:t> </w:t>
      </w:r>
      <w:r>
        <w:rPr>
          <w:color w:val="1C1C1C"/>
          <w:w w:val="105"/>
        </w:rPr>
        <w:t>tener</w:t>
      </w:r>
      <w:r>
        <w:rPr>
          <w:color w:val="1C1C1C"/>
          <w:spacing w:val="-6"/>
          <w:w w:val="105"/>
        </w:rPr>
        <w:t> </w:t>
      </w:r>
      <w:r>
        <w:rPr>
          <w:color w:val="1C1C1C"/>
          <w:w w:val="105"/>
        </w:rPr>
        <w:t>graves</w:t>
      </w:r>
      <w:r>
        <w:rPr>
          <w:color w:val="1C1C1C"/>
          <w:spacing w:val="-5"/>
          <w:w w:val="105"/>
        </w:rPr>
        <w:t> </w:t>
      </w:r>
      <w:r>
        <w:rPr>
          <w:color w:val="1C1C1C"/>
          <w:w w:val="105"/>
        </w:rPr>
        <w:t>consecuencias</w:t>
      </w:r>
      <w:r>
        <w:rPr>
          <w:color w:val="1C1C1C"/>
          <w:spacing w:val="-5"/>
          <w:w w:val="105"/>
        </w:rPr>
        <w:t> </w:t>
      </w:r>
      <w:r>
        <w:rPr>
          <w:color w:val="1C1C1C"/>
          <w:w w:val="105"/>
        </w:rPr>
        <w:t>por</w:t>
      </w:r>
      <w:r>
        <w:rPr>
          <w:color w:val="1C1C1C"/>
          <w:spacing w:val="-6"/>
          <w:w w:val="105"/>
        </w:rPr>
        <w:t> </w:t>
      </w:r>
      <w:r>
        <w:rPr>
          <w:color w:val="1C1C1C"/>
          <w:w w:val="105"/>
        </w:rPr>
        <w:t>la</w:t>
      </w:r>
      <w:r>
        <w:rPr>
          <w:color w:val="1C1C1C"/>
          <w:spacing w:val="-5"/>
          <w:w w:val="105"/>
        </w:rPr>
        <w:t> </w:t>
      </w:r>
      <w:r>
        <w:rPr>
          <w:color w:val="1C1C1C"/>
          <w:w w:val="105"/>
        </w:rPr>
        <w:t>hemorragia.</w:t>
      </w:r>
    </w:p>
    <w:p>
      <w:pPr>
        <w:pStyle w:val="BodyText"/>
        <w:spacing w:before="8"/>
      </w:pPr>
    </w:p>
    <w:p>
      <w:pPr>
        <w:pStyle w:val="BodyText"/>
        <w:spacing w:line="380" w:lineRule="atLeast"/>
        <w:ind w:left="108" w:right="108"/>
        <w:jc w:val="both"/>
      </w:pPr>
      <w:r>
        <w:rPr>
          <w:color w:val="1C1C1C"/>
          <w:w w:val="105"/>
        </w:rPr>
        <w:t>Esta</w:t>
      </w:r>
      <w:r>
        <w:rPr>
          <w:color w:val="1C1C1C"/>
          <w:spacing w:val="-8"/>
          <w:w w:val="105"/>
        </w:rPr>
        <w:t> </w:t>
      </w:r>
      <w:r>
        <w:rPr>
          <w:color w:val="1C1C1C"/>
          <w:w w:val="105"/>
        </w:rPr>
        <w:t>claramente</w:t>
      </w:r>
      <w:r>
        <w:rPr>
          <w:color w:val="1C1C1C"/>
          <w:spacing w:val="-8"/>
          <w:w w:val="105"/>
        </w:rPr>
        <w:t> </w:t>
      </w:r>
      <w:r>
        <w:rPr>
          <w:color w:val="1C1C1C"/>
          <w:w w:val="105"/>
        </w:rPr>
        <w:t>establecido</w:t>
      </w:r>
      <w:r>
        <w:rPr>
          <w:color w:val="1C1C1C"/>
          <w:spacing w:val="-8"/>
          <w:w w:val="105"/>
        </w:rPr>
        <w:t> </w:t>
      </w:r>
      <w:r>
        <w:rPr>
          <w:color w:val="1C1C1C"/>
          <w:w w:val="105"/>
        </w:rPr>
        <w:t>la</w:t>
      </w:r>
      <w:r>
        <w:rPr>
          <w:color w:val="1C1C1C"/>
          <w:spacing w:val="-8"/>
          <w:w w:val="105"/>
        </w:rPr>
        <w:t> </w:t>
      </w:r>
      <w:r>
        <w:rPr>
          <w:color w:val="1C1C1C"/>
          <w:w w:val="105"/>
        </w:rPr>
        <w:t>efectividad</w:t>
      </w:r>
      <w:r>
        <w:rPr>
          <w:color w:val="1C1C1C"/>
          <w:spacing w:val="-8"/>
          <w:w w:val="105"/>
        </w:rPr>
        <w:t> </w:t>
      </w:r>
      <w:r>
        <w:rPr>
          <w:color w:val="1C1C1C"/>
          <w:w w:val="105"/>
        </w:rPr>
        <w:t>de</w:t>
      </w:r>
      <w:r>
        <w:rPr>
          <w:color w:val="1C1C1C"/>
          <w:spacing w:val="-8"/>
          <w:w w:val="105"/>
        </w:rPr>
        <w:t> </w:t>
      </w:r>
      <w:r>
        <w:rPr>
          <w:color w:val="1C1C1C"/>
          <w:w w:val="105"/>
        </w:rPr>
        <w:t>la</w:t>
      </w:r>
      <w:r>
        <w:rPr>
          <w:color w:val="1C1C1C"/>
          <w:spacing w:val="-8"/>
          <w:w w:val="105"/>
        </w:rPr>
        <w:t> </w:t>
      </w:r>
      <w:r>
        <w:rPr>
          <w:color w:val="1C1C1C"/>
          <w:w w:val="105"/>
        </w:rPr>
        <w:t>resección</w:t>
      </w:r>
      <w:r>
        <w:rPr>
          <w:color w:val="1C1C1C"/>
          <w:spacing w:val="-8"/>
          <w:w w:val="105"/>
        </w:rPr>
        <w:t> </w:t>
      </w:r>
      <w:r>
        <w:rPr>
          <w:color w:val="1C1C1C"/>
          <w:w w:val="105"/>
        </w:rPr>
        <w:t>de</w:t>
      </w:r>
      <w:r>
        <w:rPr>
          <w:color w:val="1C1C1C"/>
          <w:spacing w:val="-8"/>
          <w:w w:val="105"/>
        </w:rPr>
        <w:t> </w:t>
      </w:r>
      <w:r>
        <w:rPr>
          <w:color w:val="1C1C1C"/>
          <w:w w:val="105"/>
        </w:rPr>
        <w:t>los</w:t>
      </w:r>
      <w:r>
        <w:rPr>
          <w:color w:val="1C1C1C"/>
          <w:spacing w:val="-9"/>
          <w:w w:val="105"/>
        </w:rPr>
        <w:t> </w:t>
      </w:r>
      <w:r>
        <w:rPr>
          <w:color w:val="1C1C1C"/>
          <w:w w:val="105"/>
        </w:rPr>
        <w:t>tumores,</w:t>
      </w:r>
      <w:r>
        <w:rPr>
          <w:color w:val="1C1C1C"/>
          <w:spacing w:val="-9"/>
          <w:w w:val="105"/>
        </w:rPr>
        <w:t> </w:t>
      </w:r>
      <w:r>
        <w:rPr>
          <w:color w:val="1C1C1C"/>
          <w:w w:val="105"/>
        </w:rPr>
        <w:t>es</w:t>
      </w:r>
      <w:r>
        <w:rPr>
          <w:color w:val="1C1C1C"/>
          <w:spacing w:val="-9"/>
          <w:w w:val="105"/>
        </w:rPr>
        <w:t> </w:t>
      </w:r>
      <w:r>
        <w:rPr>
          <w:color w:val="1C1C1C"/>
          <w:w w:val="105"/>
        </w:rPr>
        <w:t>el</w:t>
      </w:r>
      <w:r>
        <w:rPr>
          <w:color w:val="1C1C1C"/>
          <w:spacing w:val="-10"/>
          <w:w w:val="105"/>
        </w:rPr>
        <w:t> </w:t>
      </w:r>
      <w:r>
        <w:rPr>
          <w:color w:val="1C1C1C"/>
          <w:w w:val="105"/>
        </w:rPr>
        <w:t>tratamiento de</w:t>
      </w:r>
      <w:r>
        <w:rPr>
          <w:color w:val="1C1C1C"/>
          <w:spacing w:val="-12"/>
          <w:w w:val="105"/>
        </w:rPr>
        <w:t> </w:t>
      </w:r>
      <w:r>
        <w:rPr>
          <w:color w:val="1C1C1C"/>
          <w:w w:val="105"/>
        </w:rPr>
        <w:t>elección.</w:t>
      </w:r>
      <w:r>
        <w:rPr>
          <w:color w:val="1C1C1C"/>
          <w:spacing w:val="-13"/>
          <w:w w:val="105"/>
        </w:rPr>
        <w:t> </w:t>
      </w:r>
      <w:r>
        <w:rPr>
          <w:color w:val="1C1C1C"/>
          <w:w w:val="105"/>
        </w:rPr>
        <w:t>La</w:t>
      </w:r>
      <w:r>
        <w:rPr>
          <w:color w:val="1C1C1C"/>
          <w:spacing w:val="-12"/>
          <w:w w:val="105"/>
        </w:rPr>
        <w:t> </w:t>
      </w:r>
      <w:r>
        <w:rPr>
          <w:color w:val="1C1C1C"/>
          <w:w w:val="105"/>
        </w:rPr>
        <w:t>presencia</w:t>
      </w:r>
      <w:r>
        <w:rPr>
          <w:color w:val="1C1C1C"/>
          <w:spacing w:val="-12"/>
          <w:w w:val="105"/>
        </w:rPr>
        <w:t> </w:t>
      </w:r>
      <w:r>
        <w:rPr>
          <w:color w:val="1C1C1C"/>
          <w:w w:val="105"/>
        </w:rPr>
        <w:t>de</w:t>
      </w:r>
      <w:r>
        <w:rPr>
          <w:color w:val="1C1C1C"/>
          <w:spacing w:val="-12"/>
          <w:w w:val="105"/>
        </w:rPr>
        <w:t> </w:t>
      </w:r>
      <w:r>
        <w:rPr>
          <w:color w:val="1C1C1C"/>
          <w:w w:val="105"/>
        </w:rPr>
        <w:t>un</w:t>
      </w:r>
      <w:r>
        <w:rPr>
          <w:color w:val="1C1C1C"/>
          <w:spacing w:val="-12"/>
          <w:w w:val="105"/>
        </w:rPr>
        <w:t> </w:t>
      </w:r>
      <w:r>
        <w:rPr>
          <w:color w:val="1C1C1C"/>
          <w:w w:val="105"/>
        </w:rPr>
        <w:t>tumor</w:t>
      </w:r>
      <w:r>
        <w:rPr>
          <w:color w:val="1C1C1C"/>
          <w:spacing w:val="-12"/>
          <w:w w:val="105"/>
        </w:rPr>
        <w:t> </w:t>
      </w:r>
      <w:r>
        <w:rPr>
          <w:color w:val="1C1C1C"/>
          <w:w w:val="105"/>
        </w:rPr>
        <w:t>del</w:t>
      </w:r>
      <w:r>
        <w:rPr>
          <w:color w:val="1C1C1C"/>
          <w:spacing w:val="-13"/>
          <w:w w:val="105"/>
        </w:rPr>
        <w:t> </w:t>
      </w:r>
      <w:r>
        <w:rPr>
          <w:color w:val="1C1C1C"/>
          <w:w w:val="105"/>
        </w:rPr>
        <w:t>glomus</w:t>
      </w:r>
      <w:r>
        <w:rPr>
          <w:color w:val="1C1C1C"/>
          <w:spacing w:val="-12"/>
          <w:w w:val="105"/>
        </w:rPr>
        <w:t> </w:t>
      </w:r>
      <w:r>
        <w:rPr>
          <w:color w:val="1C1C1C"/>
          <w:w w:val="105"/>
        </w:rPr>
        <w:t>es</w:t>
      </w:r>
      <w:r>
        <w:rPr>
          <w:color w:val="1C1C1C"/>
          <w:spacing w:val="-12"/>
          <w:w w:val="105"/>
        </w:rPr>
        <w:t> </w:t>
      </w:r>
      <w:r>
        <w:rPr>
          <w:color w:val="1C1C1C"/>
          <w:w w:val="105"/>
        </w:rPr>
        <w:t>una</w:t>
      </w:r>
      <w:r>
        <w:rPr>
          <w:color w:val="1C1C1C"/>
          <w:spacing w:val="-11"/>
          <w:w w:val="105"/>
        </w:rPr>
        <w:t> </w:t>
      </w:r>
      <w:r>
        <w:rPr>
          <w:color w:val="1C1C1C"/>
          <w:w w:val="105"/>
        </w:rPr>
        <w:t>indicación</w:t>
      </w:r>
      <w:r>
        <w:rPr>
          <w:color w:val="1C1C1C"/>
          <w:spacing w:val="-12"/>
          <w:w w:val="105"/>
        </w:rPr>
        <w:t> </w:t>
      </w:r>
      <w:r>
        <w:rPr>
          <w:color w:val="1C1C1C"/>
          <w:w w:val="105"/>
        </w:rPr>
        <w:t>de</w:t>
      </w:r>
      <w:r>
        <w:rPr>
          <w:color w:val="1C1C1C"/>
          <w:spacing w:val="-12"/>
          <w:w w:val="105"/>
        </w:rPr>
        <w:t> </w:t>
      </w:r>
      <w:r>
        <w:rPr>
          <w:color w:val="1C1C1C"/>
          <w:w w:val="105"/>
        </w:rPr>
        <w:t>resección</w:t>
      </w:r>
      <w:r>
        <w:rPr>
          <w:color w:val="1C1C1C"/>
          <w:spacing w:val="-12"/>
          <w:w w:val="105"/>
        </w:rPr>
        <w:t> </w:t>
      </w:r>
      <w:r>
        <w:rPr>
          <w:color w:val="1C1C1C"/>
          <w:w w:val="105"/>
        </w:rPr>
        <w:t>quirúrgica en ausencia de enfermedad metastásica o riesgo quirúrgico elevado. No tiene sentido posponer la cirugía en estos pacientes, en los cuales el aumento progresivo de </w:t>
      </w:r>
      <w:r>
        <w:rPr>
          <w:color w:val="1C1C1C"/>
          <w:spacing w:val="2"/>
          <w:w w:val="105"/>
        </w:rPr>
        <w:t>tamaño </w:t>
      </w:r>
      <w:r>
        <w:rPr>
          <w:color w:val="1C1C1C"/>
          <w:w w:val="105"/>
        </w:rPr>
        <w:t>incrementa la dificultad técnica y favorece las complicaciones. Es una patología de resolución quirúrgica y que se recomienda debe ser tratada por cirujanos vasculares para garantizar buenos resultados, en caso de requerir reconstrucciones de elementos arteriales</w:t>
      </w:r>
      <w:r>
        <w:rPr>
          <w:color w:val="1C1C1C"/>
          <w:w w:val="105"/>
          <w:position w:val="10"/>
          <w:sz w:val="14"/>
        </w:rPr>
        <w:t>38</w:t>
      </w:r>
      <w:r>
        <w:rPr>
          <w:color w:val="1C1C1C"/>
          <w:w w:val="105"/>
        </w:rPr>
        <w:t>.</w:t>
      </w:r>
    </w:p>
    <w:p>
      <w:pPr>
        <w:spacing w:after="0" w:line="380" w:lineRule="atLeast"/>
        <w:jc w:val="both"/>
        <w:sectPr>
          <w:pgSz w:w="12240" w:h="15840"/>
          <w:pgMar w:header="0" w:footer="687" w:top="1380" w:bottom="940" w:left="1600" w:right="1580"/>
        </w:sectPr>
      </w:pPr>
    </w:p>
    <w:p>
      <w:pPr>
        <w:pStyle w:val="BodyText"/>
        <w:spacing w:line="343" w:lineRule="auto" w:before="55"/>
        <w:ind w:left="108" w:right="111"/>
        <w:jc w:val="both"/>
      </w:pPr>
      <w:r>
        <w:rPr>
          <w:color w:val="1C1C1C"/>
          <w:w w:val="105"/>
        </w:rPr>
        <w:t>En el histórico esta documentada la primera resección de cuerpo carotideo en el año de 1880 por Rieger, donde el paciente falleció</w:t>
      </w:r>
      <w:r>
        <w:rPr>
          <w:color w:val="1C1C1C"/>
          <w:w w:val="105"/>
          <w:position w:val="10"/>
          <w:sz w:val="14"/>
        </w:rPr>
        <w:t>15</w:t>
      </w:r>
      <w:r>
        <w:rPr>
          <w:color w:val="1C1C1C"/>
          <w:w w:val="105"/>
        </w:rPr>
        <w:t>, la primera intervención con éxito esta registrada en los Estados Unidos de Norteamérica en 1903</w:t>
      </w:r>
      <w:r>
        <w:rPr>
          <w:color w:val="1C1C1C"/>
          <w:w w:val="105"/>
          <w:position w:val="10"/>
          <w:sz w:val="14"/>
        </w:rPr>
        <w:t>16</w:t>
      </w:r>
      <w:r>
        <w:rPr>
          <w:color w:val="1C1C1C"/>
          <w:w w:val="105"/>
        </w:rPr>
        <w:t>.</w:t>
      </w:r>
    </w:p>
    <w:p>
      <w:pPr>
        <w:pStyle w:val="BodyText"/>
        <w:spacing w:line="379" w:lineRule="auto" w:before="21"/>
        <w:ind w:left="108" w:right="108"/>
        <w:jc w:val="both"/>
      </w:pPr>
      <w:r>
        <w:rPr>
          <w:color w:val="1C1C1C"/>
          <w:w w:val="105"/>
        </w:rPr>
        <w:t>En la clínica Mayo Shamblin en 1971, publica una clasificación que consideran tamaño</w:t>
      </w:r>
      <w:r>
        <w:rPr>
          <w:color w:val="1C1C1C"/>
          <w:spacing w:val="-39"/>
          <w:w w:val="105"/>
        </w:rPr>
        <w:t> </w:t>
      </w:r>
      <w:r>
        <w:rPr>
          <w:color w:val="1C1C1C"/>
          <w:w w:val="105"/>
        </w:rPr>
        <w:t>del tumor,</w:t>
      </w:r>
      <w:r>
        <w:rPr>
          <w:color w:val="1C1C1C"/>
          <w:spacing w:val="-7"/>
          <w:w w:val="105"/>
        </w:rPr>
        <w:t> </w:t>
      </w:r>
      <w:r>
        <w:rPr>
          <w:color w:val="1C1C1C"/>
          <w:w w:val="105"/>
        </w:rPr>
        <w:t>relaciones</w:t>
      </w:r>
      <w:r>
        <w:rPr>
          <w:color w:val="1C1C1C"/>
          <w:spacing w:val="-6"/>
          <w:w w:val="105"/>
        </w:rPr>
        <w:t> </w:t>
      </w:r>
      <w:r>
        <w:rPr>
          <w:color w:val="1C1C1C"/>
          <w:w w:val="105"/>
        </w:rPr>
        <w:t>anatómicas</w:t>
      </w:r>
      <w:r>
        <w:rPr>
          <w:color w:val="1C1C1C"/>
          <w:spacing w:val="-6"/>
          <w:w w:val="105"/>
        </w:rPr>
        <w:t> </w:t>
      </w:r>
      <w:r>
        <w:rPr>
          <w:color w:val="1C1C1C"/>
          <w:w w:val="105"/>
        </w:rPr>
        <w:t>y</w:t>
      </w:r>
      <w:r>
        <w:rPr>
          <w:color w:val="1C1C1C"/>
          <w:spacing w:val="-6"/>
          <w:w w:val="105"/>
        </w:rPr>
        <w:t> </w:t>
      </w:r>
      <w:r>
        <w:rPr>
          <w:color w:val="1C1C1C"/>
          <w:w w:val="105"/>
        </w:rPr>
        <w:t>dificultad</w:t>
      </w:r>
      <w:r>
        <w:rPr>
          <w:color w:val="1C1C1C"/>
          <w:spacing w:val="-7"/>
          <w:w w:val="105"/>
        </w:rPr>
        <w:t> </w:t>
      </w:r>
      <w:r>
        <w:rPr>
          <w:color w:val="1C1C1C"/>
          <w:w w:val="105"/>
        </w:rPr>
        <w:t>durante</w:t>
      </w:r>
      <w:r>
        <w:rPr>
          <w:color w:val="1C1C1C"/>
          <w:spacing w:val="-6"/>
          <w:w w:val="105"/>
        </w:rPr>
        <w:t> </w:t>
      </w:r>
      <w:r>
        <w:rPr>
          <w:color w:val="1C1C1C"/>
          <w:w w:val="105"/>
        </w:rPr>
        <w:t>la</w:t>
      </w:r>
      <w:r>
        <w:rPr>
          <w:color w:val="1C1C1C"/>
          <w:spacing w:val="-6"/>
          <w:w w:val="105"/>
        </w:rPr>
        <w:t> </w:t>
      </w:r>
      <w:r>
        <w:rPr>
          <w:color w:val="1C1C1C"/>
          <w:w w:val="105"/>
        </w:rPr>
        <w:t>cirugía</w:t>
      </w:r>
      <w:r>
        <w:rPr>
          <w:color w:val="1C1C1C"/>
          <w:spacing w:val="-6"/>
          <w:w w:val="105"/>
        </w:rPr>
        <w:t> </w:t>
      </w:r>
      <w:r>
        <w:rPr>
          <w:color w:val="1C1C1C"/>
          <w:w w:val="105"/>
        </w:rPr>
        <w:t>al</w:t>
      </w:r>
      <w:r>
        <w:rPr>
          <w:color w:val="1C1C1C"/>
          <w:spacing w:val="-7"/>
          <w:w w:val="105"/>
        </w:rPr>
        <w:t> </w:t>
      </w:r>
      <w:r>
        <w:rPr>
          <w:color w:val="1C1C1C"/>
          <w:w w:val="105"/>
        </w:rPr>
        <w:t>resecarlo.</w:t>
      </w:r>
      <w:r>
        <w:rPr>
          <w:color w:val="1C1C1C"/>
          <w:spacing w:val="-7"/>
          <w:w w:val="105"/>
        </w:rPr>
        <w:t> </w:t>
      </w:r>
      <w:r>
        <w:rPr>
          <w:color w:val="1C1C1C"/>
          <w:w w:val="105"/>
        </w:rPr>
        <w:t>Para</w:t>
      </w:r>
      <w:r>
        <w:rPr>
          <w:color w:val="1C1C1C"/>
          <w:spacing w:val="-6"/>
          <w:w w:val="105"/>
        </w:rPr>
        <w:t> </w:t>
      </w:r>
      <w:r>
        <w:rPr>
          <w:color w:val="1C1C1C"/>
          <w:w w:val="105"/>
        </w:rPr>
        <w:t>el</w:t>
      </w:r>
      <w:r>
        <w:rPr>
          <w:color w:val="1C1C1C"/>
          <w:spacing w:val="-7"/>
          <w:w w:val="105"/>
        </w:rPr>
        <w:t> </w:t>
      </w:r>
      <w:r>
        <w:rPr>
          <w:color w:val="1C1C1C"/>
          <w:w w:val="105"/>
        </w:rPr>
        <w:t>tipo</w:t>
      </w:r>
      <w:r>
        <w:rPr>
          <w:color w:val="1C1C1C"/>
          <w:spacing w:val="-6"/>
          <w:w w:val="105"/>
        </w:rPr>
        <w:t> </w:t>
      </w:r>
      <w:r>
        <w:rPr>
          <w:color w:val="1C1C1C"/>
          <w:w w:val="105"/>
        </w:rPr>
        <w:t>I,</w:t>
      </w:r>
      <w:r>
        <w:rPr>
          <w:color w:val="1C1C1C"/>
          <w:spacing w:val="-7"/>
          <w:w w:val="105"/>
        </w:rPr>
        <w:t> </w:t>
      </w:r>
      <w:r>
        <w:rPr>
          <w:color w:val="1C1C1C"/>
          <w:w w:val="105"/>
        </w:rPr>
        <w:t>a</w:t>
      </w:r>
      <w:r>
        <w:rPr>
          <w:color w:val="1C1C1C"/>
          <w:spacing w:val="-6"/>
          <w:w w:val="105"/>
        </w:rPr>
        <w:t> </w:t>
      </w:r>
      <w:r>
        <w:rPr>
          <w:color w:val="1C1C1C"/>
          <w:w w:val="105"/>
        </w:rPr>
        <w:t>los tumores</w:t>
      </w:r>
      <w:r>
        <w:rPr>
          <w:color w:val="1C1C1C"/>
          <w:spacing w:val="-8"/>
          <w:w w:val="105"/>
        </w:rPr>
        <w:t> </w:t>
      </w:r>
      <w:r>
        <w:rPr>
          <w:color w:val="1C1C1C"/>
          <w:w w:val="105"/>
        </w:rPr>
        <w:t>pequeños,</w:t>
      </w:r>
      <w:r>
        <w:rPr>
          <w:color w:val="1C1C1C"/>
          <w:spacing w:val="-8"/>
          <w:w w:val="105"/>
        </w:rPr>
        <w:t> </w:t>
      </w:r>
      <w:r>
        <w:rPr>
          <w:color w:val="1C1C1C"/>
          <w:w w:val="105"/>
        </w:rPr>
        <w:t>mínimamente</w:t>
      </w:r>
      <w:r>
        <w:rPr>
          <w:color w:val="1C1C1C"/>
          <w:spacing w:val="-8"/>
          <w:w w:val="105"/>
        </w:rPr>
        <w:t> </w:t>
      </w:r>
      <w:r>
        <w:rPr>
          <w:color w:val="1C1C1C"/>
          <w:w w:val="105"/>
        </w:rPr>
        <w:t>adheridos</w:t>
      </w:r>
      <w:r>
        <w:rPr>
          <w:color w:val="1C1C1C"/>
          <w:spacing w:val="-8"/>
          <w:w w:val="105"/>
        </w:rPr>
        <w:t> </w:t>
      </w:r>
      <w:r>
        <w:rPr>
          <w:color w:val="1C1C1C"/>
          <w:w w:val="105"/>
        </w:rPr>
        <w:t>a</w:t>
      </w:r>
      <w:r>
        <w:rPr>
          <w:color w:val="1C1C1C"/>
          <w:spacing w:val="-8"/>
          <w:w w:val="105"/>
        </w:rPr>
        <w:t> </w:t>
      </w:r>
      <w:r>
        <w:rPr>
          <w:color w:val="1C1C1C"/>
          <w:w w:val="105"/>
        </w:rPr>
        <w:t>los</w:t>
      </w:r>
      <w:r>
        <w:rPr>
          <w:color w:val="1C1C1C"/>
          <w:spacing w:val="-8"/>
          <w:w w:val="105"/>
        </w:rPr>
        <w:t> </w:t>
      </w:r>
      <w:r>
        <w:rPr>
          <w:color w:val="1C1C1C"/>
          <w:w w:val="105"/>
        </w:rPr>
        <w:t>vasos</w:t>
      </w:r>
      <w:r>
        <w:rPr>
          <w:color w:val="1C1C1C"/>
          <w:spacing w:val="-8"/>
          <w:w w:val="105"/>
        </w:rPr>
        <w:t> </w:t>
      </w:r>
      <w:r>
        <w:rPr>
          <w:color w:val="1C1C1C"/>
          <w:w w:val="105"/>
        </w:rPr>
        <w:t>carotídeos</w:t>
      </w:r>
      <w:r>
        <w:rPr>
          <w:color w:val="1C1C1C"/>
          <w:spacing w:val="-8"/>
          <w:w w:val="105"/>
        </w:rPr>
        <w:t> </w:t>
      </w:r>
      <w:r>
        <w:rPr>
          <w:color w:val="1C1C1C"/>
          <w:w w:val="105"/>
        </w:rPr>
        <w:t>y</w:t>
      </w:r>
      <w:r>
        <w:rPr>
          <w:color w:val="1C1C1C"/>
          <w:spacing w:val="-8"/>
          <w:w w:val="105"/>
        </w:rPr>
        <w:t> </w:t>
      </w:r>
      <w:r>
        <w:rPr>
          <w:color w:val="1C1C1C"/>
          <w:w w:val="105"/>
        </w:rPr>
        <w:t>fácilmente</w:t>
      </w:r>
      <w:r>
        <w:rPr>
          <w:color w:val="1C1C1C"/>
          <w:spacing w:val="-8"/>
          <w:w w:val="105"/>
        </w:rPr>
        <w:t> </w:t>
      </w:r>
      <w:r>
        <w:rPr>
          <w:color w:val="1C1C1C"/>
          <w:w w:val="105"/>
        </w:rPr>
        <w:t>resecable, a los del grupo II tumores mas grandes, con adhesión moderada a los vasos carotídeos, que</w:t>
      </w:r>
      <w:r>
        <w:rPr>
          <w:color w:val="1C1C1C"/>
          <w:spacing w:val="-11"/>
          <w:w w:val="105"/>
        </w:rPr>
        <w:t> </w:t>
      </w:r>
      <w:r>
        <w:rPr>
          <w:color w:val="1C1C1C"/>
          <w:w w:val="105"/>
        </w:rPr>
        <w:t>exige</w:t>
      </w:r>
      <w:r>
        <w:rPr>
          <w:color w:val="1C1C1C"/>
          <w:spacing w:val="-11"/>
          <w:w w:val="105"/>
        </w:rPr>
        <w:t> </w:t>
      </w:r>
      <w:r>
        <w:rPr>
          <w:color w:val="1C1C1C"/>
          <w:w w:val="105"/>
        </w:rPr>
        <w:t>una</w:t>
      </w:r>
      <w:r>
        <w:rPr>
          <w:color w:val="1C1C1C"/>
          <w:spacing w:val="-11"/>
          <w:w w:val="105"/>
        </w:rPr>
        <w:t> </w:t>
      </w:r>
      <w:r>
        <w:rPr>
          <w:color w:val="1C1C1C"/>
          <w:w w:val="105"/>
        </w:rPr>
        <w:t>disección</w:t>
      </w:r>
      <w:r>
        <w:rPr>
          <w:color w:val="1C1C1C"/>
          <w:spacing w:val="-11"/>
          <w:w w:val="105"/>
        </w:rPr>
        <w:t> </w:t>
      </w:r>
      <w:r>
        <w:rPr>
          <w:color w:val="1C1C1C"/>
          <w:w w:val="105"/>
        </w:rPr>
        <w:t>quirúrgica</w:t>
      </w:r>
      <w:r>
        <w:rPr>
          <w:color w:val="1C1C1C"/>
          <w:spacing w:val="-11"/>
          <w:w w:val="105"/>
        </w:rPr>
        <w:t> </w:t>
      </w:r>
      <w:r>
        <w:rPr>
          <w:color w:val="1C1C1C"/>
          <w:w w:val="105"/>
        </w:rPr>
        <w:t>cuidadosa</w:t>
      </w:r>
      <w:r>
        <w:rPr>
          <w:color w:val="1C1C1C"/>
          <w:spacing w:val="-11"/>
          <w:w w:val="105"/>
        </w:rPr>
        <w:t> </w:t>
      </w:r>
      <w:r>
        <w:rPr>
          <w:color w:val="1C1C1C"/>
          <w:w w:val="105"/>
        </w:rPr>
        <w:t>e</w:t>
      </w:r>
      <w:r>
        <w:rPr>
          <w:color w:val="1C1C1C"/>
          <w:spacing w:val="-11"/>
          <w:w w:val="105"/>
        </w:rPr>
        <w:t> </w:t>
      </w:r>
      <w:r>
        <w:rPr>
          <w:color w:val="1C1C1C"/>
          <w:w w:val="105"/>
        </w:rPr>
        <w:t>incluso</w:t>
      </w:r>
      <w:r>
        <w:rPr>
          <w:color w:val="1C1C1C"/>
          <w:spacing w:val="-11"/>
          <w:w w:val="105"/>
        </w:rPr>
        <w:t> </w:t>
      </w:r>
      <w:r>
        <w:rPr>
          <w:color w:val="1C1C1C"/>
          <w:w w:val="105"/>
        </w:rPr>
        <w:t>el</w:t>
      </w:r>
      <w:r>
        <w:rPr>
          <w:color w:val="1C1C1C"/>
          <w:spacing w:val="-12"/>
          <w:w w:val="105"/>
        </w:rPr>
        <w:t> </w:t>
      </w:r>
      <w:r>
        <w:rPr>
          <w:color w:val="1C1C1C"/>
          <w:w w:val="105"/>
        </w:rPr>
        <w:t>uso</w:t>
      </w:r>
      <w:r>
        <w:rPr>
          <w:color w:val="1C1C1C"/>
          <w:spacing w:val="-11"/>
          <w:w w:val="105"/>
        </w:rPr>
        <w:t> </w:t>
      </w:r>
      <w:r>
        <w:rPr>
          <w:color w:val="1C1C1C"/>
          <w:w w:val="105"/>
        </w:rPr>
        <w:t>de</w:t>
      </w:r>
      <w:r>
        <w:rPr>
          <w:color w:val="1C1C1C"/>
          <w:spacing w:val="-11"/>
          <w:w w:val="105"/>
        </w:rPr>
        <w:t> </w:t>
      </w:r>
      <w:r>
        <w:rPr>
          <w:color w:val="1C1C1C"/>
          <w:w w:val="105"/>
        </w:rPr>
        <w:t>shunt,</w:t>
      </w:r>
      <w:r>
        <w:rPr>
          <w:color w:val="1C1C1C"/>
          <w:spacing w:val="-12"/>
          <w:w w:val="105"/>
        </w:rPr>
        <w:t> </w:t>
      </w:r>
      <w:r>
        <w:rPr>
          <w:color w:val="1C1C1C"/>
          <w:w w:val="105"/>
        </w:rPr>
        <w:t>para</w:t>
      </w:r>
      <w:r>
        <w:rPr>
          <w:color w:val="1C1C1C"/>
          <w:spacing w:val="-11"/>
          <w:w w:val="105"/>
        </w:rPr>
        <w:t> </w:t>
      </w:r>
      <w:r>
        <w:rPr>
          <w:color w:val="1C1C1C"/>
          <w:w w:val="105"/>
        </w:rPr>
        <w:t>el</w:t>
      </w:r>
      <w:r>
        <w:rPr>
          <w:color w:val="1C1C1C"/>
          <w:spacing w:val="-12"/>
          <w:w w:val="105"/>
        </w:rPr>
        <w:t> </w:t>
      </w:r>
      <w:r>
        <w:rPr>
          <w:color w:val="1C1C1C"/>
          <w:w w:val="105"/>
        </w:rPr>
        <w:t>grupo</w:t>
      </w:r>
      <w:r>
        <w:rPr>
          <w:color w:val="1C1C1C"/>
          <w:spacing w:val="-11"/>
          <w:w w:val="105"/>
        </w:rPr>
        <w:t> </w:t>
      </w:r>
      <w:r>
        <w:rPr>
          <w:color w:val="1C1C1C"/>
          <w:w w:val="105"/>
        </w:rPr>
        <w:t>II</w:t>
      </w:r>
      <w:r>
        <w:rPr>
          <w:color w:val="1C1C1C"/>
          <w:spacing w:val="-12"/>
          <w:w w:val="105"/>
        </w:rPr>
        <w:t> </w:t>
      </w:r>
      <w:r>
        <w:rPr>
          <w:color w:val="1C1C1C"/>
          <w:w w:val="105"/>
        </w:rPr>
        <w:t>son</w:t>
      </w:r>
    </w:p>
    <w:p>
      <w:pPr>
        <w:pStyle w:val="BodyText"/>
        <w:spacing w:line="343" w:lineRule="auto" w:before="1"/>
        <w:ind w:left="108" w:right="108"/>
        <w:jc w:val="both"/>
      </w:pPr>
      <w:r>
        <w:rPr>
          <w:color w:val="1C1C1C"/>
          <w:w w:val="105"/>
        </w:rPr>
        <w:t>tumores de gran tamaño, íntimamente pegados a los vasos carotídeos, cura disección es difícil y con la probabilidad de requerir una reconstrucción vascular</w:t>
      </w:r>
      <w:r>
        <w:rPr>
          <w:color w:val="1C1C1C"/>
          <w:w w:val="105"/>
          <w:position w:val="10"/>
          <w:sz w:val="14"/>
        </w:rPr>
        <w:t>30,38</w:t>
      </w:r>
      <w:r>
        <w:rPr>
          <w:color w:val="1C1C1C"/>
          <w:w w:val="105"/>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22"/>
        </w:rPr>
      </w:pPr>
    </w:p>
    <w:p>
      <w:pPr>
        <w:pStyle w:val="BodyText"/>
        <w:spacing w:line="376" w:lineRule="auto"/>
        <w:ind w:left="3861" w:hanging="3191"/>
      </w:pPr>
      <w:r>
        <w:rPr>
          <w:color w:val="1C1C1C"/>
          <w:w w:val="105"/>
        </w:rPr>
        <w:t>CLASIFICACIÓN QUIRÚRGICA PARA TUMORES DE CUERPO CAROTÍDEO (SHAMBLIN).</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2"/>
        <w:gridCol w:w="7507"/>
      </w:tblGrid>
      <w:tr>
        <w:trPr>
          <w:trHeight w:val="389" w:hRule="exact"/>
        </w:trPr>
        <w:tc>
          <w:tcPr>
            <w:tcW w:w="1022" w:type="dxa"/>
          </w:tcPr>
          <w:p>
            <w:pPr>
              <w:pStyle w:val="TableParagraph"/>
              <w:ind w:left="83" w:right="81"/>
              <w:rPr>
                <w:sz w:val="21"/>
              </w:rPr>
            </w:pPr>
            <w:r>
              <w:rPr>
                <w:color w:val="1C1C1C"/>
                <w:w w:val="105"/>
                <w:sz w:val="21"/>
              </w:rPr>
              <w:t>GRADO</w:t>
            </w:r>
          </w:p>
        </w:tc>
        <w:tc>
          <w:tcPr>
            <w:tcW w:w="7507" w:type="dxa"/>
          </w:tcPr>
          <w:p>
            <w:pPr>
              <w:pStyle w:val="TableParagraph"/>
              <w:ind w:left="2963" w:right="2963"/>
              <w:rPr>
                <w:sz w:val="21"/>
              </w:rPr>
            </w:pPr>
            <w:r>
              <w:rPr>
                <w:color w:val="1C1C1C"/>
                <w:w w:val="105"/>
                <w:sz w:val="21"/>
              </w:rPr>
              <w:t>DESCRIPCIÓN</w:t>
            </w:r>
          </w:p>
        </w:tc>
      </w:tr>
      <w:tr>
        <w:trPr>
          <w:trHeight w:val="768" w:hRule="exact"/>
        </w:trPr>
        <w:tc>
          <w:tcPr>
            <w:tcW w:w="1022" w:type="dxa"/>
          </w:tcPr>
          <w:p>
            <w:pPr>
              <w:pStyle w:val="TableParagraph"/>
              <w:ind w:left="4"/>
              <w:rPr>
                <w:sz w:val="21"/>
              </w:rPr>
            </w:pPr>
            <w:r>
              <w:rPr>
                <w:color w:val="1C1C1C"/>
                <w:w w:val="102"/>
                <w:sz w:val="21"/>
              </w:rPr>
              <w:t>I</w:t>
            </w:r>
          </w:p>
        </w:tc>
        <w:tc>
          <w:tcPr>
            <w:tcW w:w="7507" w:type="dxa"/>
          </w:tcPr>
          <w:p>
            <w:pPr>
              <w:pStyle w:val="TableParagraph"/>
              <w:spacing w:line="376" w:lineRule="auto"/>
              <w:ind w:left="105"/>
              <w:jc w:val="left"/>
              <w:rPr>
                <w:sz w:val="21"/>
              </w:rPr>
            </w:pPr>
            <w:r>
              <w:rPr>
                <w:color w:val="1C1C1C"/>
                <w:w w:val="105"/>
                <w:sz w:val="21"/>
              </w:rPr>
              <w:t>Tumores pequeños, mínimamente adheridos a los vasos carotídeos y fácilmente resecable.</w:t>
            </w:r>
          </w:p>
        </w:tc>
      </w:tr>
      <w:tr>
        <w:trPr>
          <w:trHeight w:val="773" w:hRule="exact"/>
        </w:trPr>
        <w:tc>
          <w:tcPr>
            <w:tcW w:w="1022" w:type="dxa"/>
          </w:tcPr>
          <w:p>
            <w:pPr>
              <w:pStyle w:val="TableParagraph"/>
              <w:spacing w:before="8"/>
              <w:ind w:left="83" w:right="78"/>
              <w:rPr>
                <w:sz w:val="21"/>
              </w:rPr>
            </w:pPr>
            <w:r>
              <w:rPr>
                <w:color w:val="1C1C1C"/>
                <w:w w:val="105"/>
                <w:sz w:val="21"/>
              </w:rPr>
              <w:t>II</w:t>
            </w:r>
          </w:p>
        </w:tc>
        <w:tc>
          <w:tcPr>
            <w:tcW w:w="7507" w:type="dxa"/>
          </w:tcPr>
          <w:p>
            <w:pPr>
              <w:pStyle w:val="TableParagraph"/>
              <w:spacing w:line="376" w:lineRule="auto" w:before="8"/>
              <w:ind w:left="105"/>
              <w:jc w:val="left"/>
              <w:rPr>
                <w:sz w:val="21"/>
              </w:rPr>
            </w:pPr>
            <w:r>
              <w:rPr>
                <w:color w:val="1C1C1C"/>
                <w:w w:val="105"/>
                <w:sz w:val="21"/>
              </w:rPr>
              <w:t>Tumores</w:t>
            </w:r>
            <w:r>
              <w:rPr>
                <w:color w:val="1C1C1C"/>
                <w:spacing w:val="-17"/>
                <w:w w:val="105"/>
                <w:sz w:val="21"/>
              </w:rPr>
              <w:t> </w:t>
            </w:r>
            <w:r>
              <w:rPr>
                <w:color w:val="1C1C1C"/>
                <w:w w:val="105"/>
                <w:sz w:val="21"/>
              </w:rPr>
              <w:t>más</w:t>
            </w:r>
            <w:r>
              <w:rPr>
                <w:color w:val="1C1C1C"/>
                <w:spacing w:val="-17"/>
                <w:w w:val="105"/>
                <w:sz w:val="21"/>
              </w:rPr>
              <w:t> </w:t>
            </w:r>
            <w:r>
              <w:rPr>
                <w:color w:val="1C1C1C"/>
                <w:w w:val="105"/>
                <w:sz w:val="21"/>
              </w:rPr>
              <w:t>grandes,</w:t>
            </w:r>
            <w:r>
              <w:rPr>
                <w:color w:val="1C1C1C"/>
                <w:spacing w:val="-18"/>
                <w:w w:val="105"/>
                <w:sz w:val="21"/>
              </w:rPr>
              <w:t> </w:t>
            </w:r>
            <w:r>
              <w:rPr>
                <w:color w:val="1C1C1C"/>
                <w:w w:val="105"/>
                <w:sz w:val="21"/>
              </w:rPr>
              <w:t>con</w:t>
            </w:r>
            <w:r>
              <w:rPr>
                <w:color w:val="1C1C1C"/>
                <w:spacing w:val="-17"/>
                <w:w w:val="105"/>
                <w:sz w:val="21"/>
              </w:rPr>
              <w:t> </w:t>
            </w:r>
            <w:r>
              <w:rPr>
                <w:color w:val="1C1C1C"/>
                <w:w w:val="105"/>
                <w:sz w:val="21"/>
              </w:rPr>
              <w:t>adhesión</w:t>
            </w:r>
            <w:r>
              <w:rPr>
                <w:color w:val="1C1C1C"/>
                <w:spacing w:val="-17"/>
                <w:w w:val="105"/>
                <w:sz w:val="21"/>
              </w:rPr>
              <w:t> </w:t>
            </w:r>
            <w:r>
              <w:rPr>
                <w:color w:val="1C1C1C"/>
                <w:w w:val="105"/>
                <w:sz w:val="21"/>
              </w:rPr>
              <w:t>moderada</w:t>
            </w:r>
            <w:r>
              <w:rPr>
                <w:color w:val="1C1C1C"/>
                <w:spacing w:val="-17"/>
                <w:w w:val="105"/>
                <w:sz w:val="21"/>
              </w:rPr>
              <w:t> </w:t>
            </w:r>
            <w:r>
              <w:rPr>
                <w:color w:val="1C1C1C"/>
                <w:w w:val="105"/>
                <w:sz w:val="21"/>
              </w:rPr>
              <w:t>a</w:t>
            </w:r>
            <w:r>
              <w:rPr>
                <w:color w:val="1C1C1C"/>
                <w:spacing w:val="-17"/>
                <w:w w:val="105"/>
                <w:sz w:val="21"/>
              </w:rPr>
              <w:t> </w:t>
            </w:r>
            <w:r>
              <w:rPr>
                <w:color w:val="1C1C1C"/>
                <w:w w:val="105"/>
                <w:sz w:val="21"/>
              </w:rPr>
              <w:t>los</w:t>
            </w:r>
            <w:r>
              <w:rPr>
                <w:color w:val="1C1C1C"/>
                <w:spacing w:val="-17"/>
                <w:w w:val="105"/>
                <w:sz w:val="21"/>
              </w:rPr>
              <w:t> </w:t>
            </w:r>
            <w:r>
              <w:rPr>
                <w:color w:val="1C1C1C"/>
                <w:w w:val="105"/>
                <w:sz w:val="21"/>
              </w:rPr>
              <w:t>vasos</w:t>
            </w:r>
            <w:r>
              <w:rPr>
                <w:color w:val="1C1C1C"/>
                <w:spacing w:val="-17"/>
                <w:w w:val="105"/>
                <w:sz w:val="21"/>
              </w:rPr>
              <w:t> </w:t>
            </w:r>
            <w:r>
              <w:rPr>
                <w:color w:val="1C1C1C"/>
                <w:w w:val="105"/>
                <w:sz w:val="21"/>
              </w:rPr>
              <w:t>carotídeos,</w:t>
            </w:r>
            <w:r>
              <w:rPr>
                <w:color w:val="1C1C1C"/>
                <w:spacing w:val="-18"/>
                <w:w w:val="105"/>
                <w:sz w:val="21"/>
              </w:rPr>
              <w:t> </w:t>
            </w:r>
            <w:r>
              <w:rPr>
                <w:color w:val="1C1C1C"/>
                <w:w w:val="105"/>
                <w:sz w:val="21"/>
              </w:rPr>
              <w:t>que exige una disección quirúrgica cuidadosa e incluso el uso de</w:t>
            </w:r>
            <w:r>
              <w:rPr>
                <w:color w:val="1C1C1C"/>
                <w:spacing w:val="-40"/>
                <w:w w:val="105"/>
                <w:sz w:val="21"/>
              </w:rPr>
              <w:t> </w:t>
            </w:r>
            <w:r>
              <w:rPr>
                <w:color w:val="1C1C1C"/>
                <w:w w:val="105"/>
                <w:sz w:val="21"/>
              </w:rPr>
              <w:t>shunt.</w:t>
            </w:r>
          </w:p>
        </w:tc>
      </w:tr>
      <w:tr>
        <w:trPr>
          <w:trHeight w:val="1147" w:hRule="exact"/>
        </w:trPr>
        <w:tc>
          <w:tcPr>
            <w:tcW w:w="1022" w:type="dxa"/>
          </w:tcPr>
          <w:p>
            <w:pPr>
              <w:pStyle w:val="TableParagraph"/>
              <w:ind w:left="83" w:right="78"/>
              <w:rPr>
                <w:sz w:val="21"/>
              </w:rPr>
            </w:pPr>
            <w:r>
              <w:rPr>
                <w:color w:val="1C1C1C"/>
                <w:w w:val="105"/>
                <w:sz w:val="21"/>
              </w:rPr>
              <w:t>III</w:t>
            </w:r>
          </w:p>
        </w:tc>
        <w:tc>
          <w:tcPr>
            <w:tcW w:w="7507" w:type="dxa"/>
          </w:tcPr>
          <w:p>
            <w:pPr>
              <w:pStyle w:val="TableParagraph"/>
              <w:spacing w:line="376" w:lineRule="auto"/>
              <w:ind w:left="105" w:right="102"/>
              <w:jc w:val="both"/>
              <w:rPr>
                <w:sz w:val="21"/>
              </w:rPr>
            </w:pPr>
            <w:r>
              <w:rPr>
                <w:color w:val="1C1C1C"/>
                <w:w w:val="105"/>
                <w:sz w:val="21"/>
              </w:rPr>
              <w:t>Tumores de gran tamaño, íntimamente pegados a los vasos carotídeos, cuya</w:t>
            </w:r>
            <w:r>
              <w:rPr>
                <w:color w:val="1C1C1C"/>
                <w:spacing w:val="-16"/>
                <w:w w:val="105"/>
                <w:sz w:val="21"/>
              </w:rPr>
              <w:t> </w:t>
            </w:r>
            <w:r>
              <w:rPr>
                <w:color w:val="1C1C1C"/>
                <w:w w:val="105"/>
                <w:sz w:val="21"/>
              </w:rPr>
              <w:t>disección</w:t>
            </w:r>
            <w:r>
              <w:rPr>
                <w:color w:val="1C1C1C"/>
                <w:spacing w:val="-16"/>
                <w:w w:val="105"/>
                <w:sz w:val="21"/>
              </w:rPr>
              <w:t> </w:t>
            </w:r>
            <w:r>
              <w:rPr>
                <w:color w:val="1C1C1C"/>
                <w:w w:val="105"/>
                <w:sz w:val="21"/>
              </w:rPr>
              <w:t>es</w:t>
            </w:r>
            <w:r>
              <w:rPr>
                <w:color w:val="1C1C1C"/>
                <w:spacing w:val="-16"/>
                <w:w w:val="105"/>
                <w:sz w:val="21"/>
              </w:rPr>
              <w:t> </w:t>
            </w:r>
            <w:r>
              <w:rPr>
                <w:color w:val="1C1C1C"/>
                <w:w w:val="105"/>
                <w:sz w:val="21"/>
              </w:rPr>
              <w:t>difícil</w:t>
            </w:r>
            <w:r>
              <w:rPr>
                <w:color w:val="1C1C1C"/>
                <w:spacing w:val="-17"/>
                <w:w w:val="105"/>
                <w:sz w:val="21"/>
              </w:rPr>
              <w:t> </w:t>
            </w:r>
            <w:r>
              <w:rPr>
                <w:color w:val="1C1C1C"/>
                <w:w w:val="105"/>
                <w:sz w:val="21"/>
              </w:rPr>
              <w:t>y</w:t>
            </w:r>
            <w:r>
              <w:rPr>
                <w:color w:val="1C1C1C"/>
                <w:spacing w:val="-16"/>
                <w:w w:val="105"/>
                <w:sz w:val="21"/>
              </w:rPr>
              <w:t> </w:t>
            </w:r>
            <w:r>
              <w:rPr>
                <w:color w:val="1C1C1C"/>
                <w:w w:val="105"/>
                <w:sz w:val="21"/>
              </w:rPr>
              <w:t>con</w:t>
            </w:r>
            <w:r>
              <w:rPr>
                <w:color w:val="1C1C1C"/>
                <w:spacing w:val="-16"/>
                <w:w w:val="105"/>
                <w:sz w:val="21"/>
              </w:rPr>
              <w:t> </w:t>
            </w:r>
            <w:r>
              <w:rPr>
                <w:color w:val="1C1C1C"/>
                <w:w w:val="105"/>
                <w:sz w:val="21"/>
              </w:rPr>
              <w:t>la</w:t>
            </w:r>
            <w:r>
              <w:rPr>
                <w:color w:val="1C1C1C"/>
                <w:spacing w:val="-16"/>
                <w:w w:val="105"/>
                <w:sz w:val="21"/>
              </w:rPr>
              <w:t> </w:t>
            </w:r>
            <w:r>
              <w:rPr>
                <w:color w:val="1C1C1C"/>
                <w:w w:val="105"/>
                <w:sz w:val="21"/>
              </w:rPr>
              <w:t>probabilidad</w:t>
            </w:r>
            <w:r>
              <w:rPr>
                <w:color w:val="1C1C1C"/>
                <w:spacing w:val="-16"/>
                <w:w w:val="105"/>
                <w:sz w:val="21"/>
              </w:rPr>
              <w:t> </w:t>
            </w:r>
            <w:r>
              <w:rPr>
                <w:color w:val="1C1C1C"/>
                <w:w w:val="105"/>
                <w:sz w:val="21"/>
              </w:rPr>
              <w:t>de</w:t>
            </w:r>
            <w:r>
              <w:rPr>
                <w:color w:val="1C1C1C"/>
                <w:spacing w:val="-16"/>
                <w:w w:val="105"/>
                <w:sz w:val="21"/>
              </w:rPr>
              <w:t> </w:t>
            </w:r>
            <w:r>
              <w:rPr>
                <w:color w:val="1C1C1C"/>
                <w:w w:val="105"/>
                <w:sz w:val="21"/>
              </w:rPr>
              <w:t>requerir</w:t>
            </w:r>
            <w:r>
              <w:rPr>
                <w:color w:val="1C1C1C"/>
                <w:spacing w:val="-16"/>
                <w:w w:val="105"/>
                <w:sz w:val="21"/>
              </w:rPr>
              <w:t> </w:t>
            </w:r>
            <w:r>
              <w:rPr>
                <w:color w:val="1C1C1C"/>
                <w:w w:val="105"/>
                <w:sz w:val="21"/>
              </w:rPr>
              <w:t>una</w:t>
            </w:r>
            <w:r>
              <w:rPr>
                <w:color w:val="1C1C1C"/>
                <w:spacing w:val="-16"/>
                <w:w w:val="105"/>
                <w:sz w:val="21"/>
              </w:rPr>
              <w:t> </w:t>
            </w:r>
            <w:r>
              <w:rPr>
                <w:color w:val="1C1C1C"/>
                <w:w w:val="105"/>
                <w:sz w:val="21"/>
              </w:rPr>
              <w:t>reconstrucción vascular.</w:t>
            </w:r>
          </w:p>
        </w:tc>
      </w:tr>
    </w:tbl>
    <w:p>
      <w:pPr>
        <w:pStyle w:val="BodyText"/>
        <w:rPr>
          <w:sz w:val="20"/>
        </w:rPr>
      </w:pPr>
    </w:p>
    <w:p>
      <w:pPr>
        <w:pStyle w:val="BodyText"/>
        <w:rPr>
          <w:sz w:val="20"/>
        </w:rPr>
      </w:pPr>
    </w:p>
    <w:p>
      <w:pPr>
        <w:pStyle w:val="BodyText"/>
        <w:spacing w:before="5"/>
        <w:rPr>
          <w:sz w:val="19"/>
        </w:rPr>
      </w:pPr>
    </w:p>
    <w:p>
      <w:pPr>
        <w:pStyle w:val="BodyText"/>
        <w:spacing w:line="360" w:lineRule="auto" w:before="79"/>
        <w:ind w:left="108" w:right="110"/>
        <w:jc w:val="both"/>
      </w:pPr>
      <w:r>
        <w:rPr>
          <w:color w:val="1C1C1C"/>
          <w:w w:val="105"/>
        </w:rPr>
        <w:t>La disección recomendada es la subadventicial, descrita por Gordon-Taylos (White line), que facilita un plano de clivaje entre los vasos y el tumor, una cuidadosa exposición de la bifurcación  y  de  los  vasos  carotideos</w:t>
      </w:r>
      <w:r>
        <w:rPr>
          <w:color w:val="1C1C1C"/>
          <w:w w:val="105"/>
          <w:position w:val="10"/>
          <w:sz w:val="14"/>
        </w:rPr>
        <w:t>44</w:t>
      </w:r>
      <w:r>
        <w:rPr>
          <w:color w:val="1C1C1C"/>
          <w:w w:val="105"/>
        </w:rPr>
        <w:t>.  Otro  componente  importante,  que  facilita  la</w:t>
      </w:r>
    </w:p>
    <w:p>
      <w:pPr>
        <w:pStyle w:val="BodyText"/>
        <w:spacing w:line="376" w:lineRule="auto" w:before="2"/>
        <w:ind w:left="108" w:right="110"/>
        <w:jc w:val="both"/>
      </w:pPr>
      <w:r>
        <w:rPr>
          <w:color w:val="1C1C1C"/>
          <w:w w:val="105"/>
        </w:rPr>
        <w:t>resección es la presencia del electrocauterio bipolar, con el se va graduando la intensidad de corriente permitiendo disecar y cauterizar simultáneamente.</w:t>
      </w:r>
    </w:p>
    <w:p>
      <w:pPr>
        <w:spacing w:after="0" w:line="376" w:lineRule="auto"/>
        <w:jc w:val="both"/>
        <w:sectPr>
          <w:pgSz w:w="12240" w:h="15840"/>
          <w:pgMar w:header="0" w:footer="687" w:top="1380" w:bottom="940" w:left="1600" w:right="1580"/>
        </w:sectPr>
      </w:pPr>
    </w:p>
    <w:p>
      <w:pPr>
        <w:pStyle w:val="BodyText"/>
        <w:spacing w:line="376" w:lineRule="auto" w:before="55"/>
        <w:ind w:left="108" w:right="108"/>
        <w:jc w:val="both"/>
      </w:pPr>
      <w:r>
        <w:rPr>
          <w:color w:val="1C1C1C"/>
          <w:w w:val="105"/>
        </w:rPr>
        <w:t>La resección de un paraganglioma carotídeo lleva inherente lesiones nerviosas, </w:t>
      </w:r>
      <w:r>
        <w:rPr>
          <w:color w:val="1C1C1C"/>
          <w:spacing w:val="2"/>
          <w:w w:val="105"/>
        </w:rPr>
        <w:t>por </w:t>
      </w:r>
      <w:r>
        <w:rPr>
          <w:color w:val="1C1C1C"/>
          <w:w w:val="105"/>
        </w:rPr>
        <w:t>encontrarse</w:t>
      </w:r>
      <w:r>
        <w:rPr>
          <w:color w:val="1C1C1C"/>
          <w:spacing w:val="-6"/>
          <w:w w:val="105"/>
        </w:rPr>
        <w:t> </w:t>
      </w:r>
      <w:r>
        <w:rPr>
          <w:color w:val="1C1C1C"/>
          <w:w w:val="105"/>
        </w:rPr>
        <w:t>fibras</w:t>
      </w:r>
      <w:r>
        <w:rPr>
          <w:color w:val="1C1C1C"/>
          <w:spacing w:val="-6"/>
          <w:w w:val="105"/>
        </w:rPr>
        <w:t> </w:t>
      </w:r>
      <w:r>
        <w:rPr>
          <w:color w:val="1C1C1C"/>
          <w:w w:val="105"/>
        </w:rPr>
        <w:t>nerviosas</w:t>
      </w:r>
      <w:r>
        <w:rPr>
          <w:color w:val="1C1C1C"/>
          <w:spacing w:val="-6"/>
          <w:w w:val="105"/>
        </w:rPr>
        <w:t> </w:t>
      </w:r>
      <w:r>
        <w:rPr>
          <w:color w:val="1C1C1C"/>
          <w:w w:val="105"/>
        </w:rPr>
        <w:t>dentro</w:t>
      </w:r>
      <w:r>
        <w:rPr>
          <w:color w:val="1C1C1C"/>
          <w:spacing w:val="-6"/>
          <w:w w:val="105"/>
        </w:rPr>
        <w:t> </w:t>
      </w:r>
      <w:r>
        <w:rPr>
          <w:color w:val="1C1C1C"/>
          <w:w w:val="105"/>
        </w:rPr>
        <w:t>del</w:t>
      </w:r>
      <w:r>
        <w:rPr>
          <w:color w:val="1C1C1C"/>
          <w:spacing w:val="-7"/>
          <w:w w:val="105"/>
        </w:rPr>
        <w:t> </w:t>
      </w:r>
      <w:r>
        <w:rPr>
          <w:color w:val="1C1C1C"/>
          <w:w w:val="105"/>
        </w:rPr>
        <w:t>tumor</w:t>
      </w:r>
      <w:r>
        <w:rPr>
          <w:color w:val="1C1C1C"/>
          <w:spacing w:val="-6"/>
          <w:w w:val="105"/>
        </w:rPr>
        <w:t> </w:t>
      </w:r>
      <w:r>
        <w:rPr>
          <w:color w:val="1C1C1C"/>
          <w:w w:val="105"/>
        </w:rPr>
        <w:t>(la</w:t>
      </w:r>
      <w:r>
        <w:rPr>
          <w:color w:val="1C1C1C"/>
          <w:spacing w:val="-6"/>
          <w:w w:val="105"/>
        </w:rPr>
        <w:t> </w:t>
      </w:r>
      <w:r>
        <w:rPr>
          <w:color w:val="1C1C1C"/>
          <w:w w:val="105"/>
        </w:rPr>
        <w:t>inervación</w:t>
      </w:r>
      <w:r>
        <w:rPr>
          <w:color w:val="1C1C1C"/>
          <w:spacing w:val="-6"/>
          <w:w w:val="105"/>
        </w:rPr>
        <w:t> </w:t>
      </w:r>
      <w:r>
        <w:rPr>
          <w:color w:val="1C1C1C"/>
          <w:w w:val="105"/>
        </w:rPr>
        <w:t>del</w:t>
      </w:r>
      <w:r>
        <w:rPr>
          <w:color w:val="1C1C1C"/>
          <w:spacing w:val="-7"/>
          <w:w w:val="105"/>
        </w:rPr>
        <w:t> </w:t>
      </w:r>
      <w:r>
        <w:rPr>
          <w:color w:val="1C1C1C"/>
          <w:w w:val="105"/>
        </w:rPr>
        <w:t>cuerpo</w:t>
      </w:r>
      <w:r>
        <w:rPr>
          <w:color w:val="1C1C1C"/>
          <w:spacing w:val="-6"/>
          <w:w w:val="105"/>
        </w:rPr>
        <w:t> </w:t>
      </w:r>
      <w:r>
        <w:rPr>
          <w:color w:val="1C1C1C"/>
          <w:w w:val="105"/>
        </w:rPr>
        <w:t>y</w:t>
      </w:r>
      <w:r>
        <w:rPr>
          <w:color w:val="1C1C1C"/>
          <w:spacing w:val="-6"/>
          <w:w w:val="105"/>
        </w:rPr>
        <w:t> </w:t>
      </w:r>
      <w:r>
        <w:rPr>
          <w:color w:val="1C1C1C"/>
          <w:w w:val="105"/>
        </w:rPr>
        <w:t>seno</w:t>
      </w:r>
      <w:r>
        <w:rPr>
          <w:color w:val="1C1C1C"/>
          <w:spacing w:val="-6"/>
          <w:w w:val="105"/>
        </w:rPr>
        <w:t> </w:t>
      </w:r>
      <w:r>
        <w:rPr>
          <w:color w:val="1C1C1C"/>
          <w:w w:val="105"/>
        </w:rPr>
        <w:t>carotídeo</w:t>
      </w:r>
      <w:r>
        <w:rPr>
          <w:color w:val="1C1C1C"/>
          <w:spacing w:val="-6"/>
          <w:w w:val="105"/>
        </w:rPr>
        <w:t> </w:t>
      </w:r>
      <w:r>
        <w:rPr>
          <w:color w:val="1C1C1C"/>
          <w:w w:val="105"/>
        </w:rPr>
        <w:t>se realiza</w:t>
      </w:r>
      <w:r>
        <w:rPr>
          <w:color w:val="1C1C1C"/>
          <w:spacing w:val="-10"/>
          <w:w w:val="105"/>
        </w:rPr>
        <w:t> </w:t>
      </w:r>
      <w:r>
        <w:rPr>
          <w:color w:val="1C1C1C"/>
          <w:w w:val="105"/>
        </w:rPr>
        <w:t>por</w:t>
      </w:r>
      <w:r>
        <w:rPr>
          <w:color w:val="1C1C1C"/>
          <w:spacing w:val="-10"/>
          <w:w w:val="105"/>
        </w:rPr>
        <w:t> </w:t>
      </w:r>
      <w:r>
        <w:rPr>
          <w:color w:val="1C1C1C"/>
          <w:w w:val="105"/>
        </w:rPr>
        <w:t>el</w:t>
      </w:r>
      <w:r>
        <w:rPr>
          <w:color w:val="1C1C1C"/>
          <w:spacing w:val="-10"/>
          <w:w w:val="105"/>
        </w:rPr>
        <w:t> </w:t>
      </w:r>
      <w:r>
        <w:rPr>
          <w:color w:val="1C1C1C"/>
          <w:w w:val="105"/>
        </w:rPr>
        <w:t>nervio</w:t>
      </w:r>
      <w:r>
        <w:rPr>
          <w:color w:val="1C1C1C"/>
          <w:spacing w:val="-10"/>
          <w:w w:val="105"/>
        </w:rPr>
        <w:t> </w:t>
      </w:r>
      <w:r>
        <w:rPr>
          <w:color w:val="1C1C1C"/>
          <w:w w:val="105"/>
        </w:rPr>
        <w:t>de</w:t>
      </w:r>
      <w:r>
        <w:rPr>
          <w:color w:val="1C1C1C"/>
          <w:spacing w:val="-10"/>
          <w:w w:val="105"/>
        </w:rPr>
        <w:t> </w:t>
      </w:r>
      <w:r>
        <w:rPr>
          <w:color w:val="1C1C1C"/>
          <w:w w:val="105"/>
        </w:rPr>
        <w:t>Hering,</w:t>
      </w:r>
      <w:r>
        <w:rPr>
          <w:color w:val="1C1C1C"/>
          <w:spacing w:val="-10"/>
          <w:w w:val="105"/>
        </w:rPr>
        <w:t> </w:t>
      </w:r>
      <w:r>
        <w:rPr>
          <w:color w:val="1C1C1C"/>
          <w:w w:val="105"/>
        </w:rPr>
        <w:t>rama</w:t>
      </w:r>
      <w:r>
        <w:rPr>
          <w:color w:val="1C1C1C"/>
          <w:spacing w:val="-10"/>
          <w:w w:val="105"/>
        </w:rPr>
        <w:t> </w:t>
      </w:r>
      <w:r>
        <w:rPr>
          <w:color w:val="1C1C1C"/>
          <w:w w:val="105"/>
        </w:rPr>
        <w:t>del</w:t>
      </w:r>
      <w:r>
        <w:rPr>
          <w:color w:val="1C1C1C"/>
          <w:spacing w:val="-10"/>
          <w:w w:val="105"/>
        </w:rPr>
        <w:t> </w:t>
      </w:r>
      <w:r>
        <w:rPr>
          <w:color w:val="1C1C1C"/>
          <w:w w:val="105"/>
        </w:rPr>
        <w:t>glosofaríngeo</w:t>
      </w:r>
      <w:r>
        <w:rPr>
          <w:color w:val="1C1C1C"/>
          <w:spacing w:val="-10"/>
          <w:w w:val="105"/>
        </w:rPr>
        <w:t> </w:t>
      </w:r>
      <w:r>
        <w:rPr>
          <w:color w:val="1C1C1C"/>
          <w:w w:val="105"/>
        </w:rPr>
        <w:t>y</w:t>
      </w:r>
      <w:r>
        <w:rPr>
          <w:color w:val="1C1C1C"/>
          <w:spacing w:val="-10"/>
          <w:w w:val="105"/>
        </w:rPr>
        <w:t> </w:t>
      </w:r>
      <w:r>
        <w:rPr>
          <w:color w:val="1C1C1C"/>
          <w:w w:val="105"/>
        </w:rPr>
        <w:t>también</w:t>
      </w:r>
      <w:r>
        <w:rPr>
          <w:color w:val="1C1C1C"/>
          <w:spacing w:val="-10"/>
          <w:w w:val="105"/>
        </w:rPr>
        <w:t> </w:t>
      </w:r>
      <w:r>
        <w:rPr>
          <w:color w:val="1C1C1C"/>
          <w:w w:val="105"/>
        </w:rPr>
        <w:t>por</w:t>
      </w:r>
      <w:r>
        <w:rPr>
          <w:color w:val="1C1C1C"/>
          <w:spacing w:val="-10"/>
          <w:w w:val="105"/>
        </w:rPr>
        <w:t> </w:t>
      </w:r>
      <w:r>
        <w:rPr>
          <w:color w:val="1C1C1C"/>
          <w:w w:val="105"/>
        </w:rPr>
        <w:t>ramas</w:t>
      </w:r>
      <w:r>
        <w:rPr>
          <w:color w:val="1C1C1C"/>
          <w:spacing w:val="-10"/>
          <w:w w:val="105"/>
        </w:rPr>
        <w:t> </w:t>
      </w:r>
      <w:r>
        <w:rPr>
          <w:color w:val="1C1C1C"/>
          <w:w w:val="105"/>
        </w:rPr>
        <w:t>del</w:t>
      </w:r>
      <w:r>
        <w:rPr>
          <w:color w:val="1C1C1C"/>
          <w:spacing w:val="-10"/>
          <w:w w:val="105"/>
        </w:rPr>
        <w:t> </w:t>
      </w:r>
      <w:r>
        <w:rPr>
          <w:color w:val="1C1C1C"/>
          <w:w w:val="105"/>
        </w:rPr>
        <w:t>nervio</w:t>
      </w:r>
      <w:r>
        <w:rPr>
          <w:color w:val="1C1C1C"/>
          <w:spacing w:val="-10"/>
          <w:w w:val="105"/>
        </w:rPr>
        <w:t> </w:t>
      </w:r>
      <w:r>
        <w:rPr>
          <w:color w:val="1C1C1C"/>
          <w:w w:val="105"/>
        </w:rPr>
        <w:t>vago y</w:t>
      </w:r>
      <w:r>
        <w:rPr>
          <w:color w:val="1C1C1C"/>
          <w:spacing w:val="-12"/>
          <w:w w:val="105"/>
        </w:rPr>
        <w:t> </w:t>
      </w:r>
      <w:r>
        <w:rPr>
          <w:color w:val="1C1C1C"/>
          <w:w w:val="105"/>
        </w:rPr>
        <w:t>fibras</w:t>
      </w:r>
      <w:r>
        <w:rPr>
          <w:color w:val="1C1C1C"/>
          <w:spacing w:val="-12"/>
          <w:w w:val="105"/>
        </w:rPr>
        <w:t> </w:t>
      </w:r>
      <w:r>
        <w:rPr>
          <w:color w:val="1C1C1C"/>
          <w:w w:val="105"/>
        </w:rPr>
        <w:t>simpáticas)</w:t>
      </w:r>
      <w:r>
        <w:rPr>
          <w:color w:val="1C1C1C"/>
          <w:spacing w:val="-12"/>
          <w:w w:val="105"/>
        </w:rPr>
        <w:t> </w:t>
      </w:r>
      <w:r>
        <w:rPr>
          <w:color w:val="1C1C1C"/>
          <w:w w:val="105"/>
        </w:rPr>
        <w:t>y</w:t>
      </w:r>
      <w:r>
        <w:rPr>
          <w:color w:val="1C1C1C"/>
          <w:spacing w:val="-12"/>
          <w:w w:val="105"/>
        </w:rPr>
        <w:t> </w:t>
      </w:r>
      <w:r>
        <w:rPr>
          <w:color w:val="1C1C1C"/>
          <w:w w:val="105"/>
        </w:rPr>
        <w:t>en</w:t>
      </w:r>
      <w:r>
        <w:rPr>
          <w:color w:val="1C1C1C"/>
          <w:spacing w:val="-11"/>
          <w:w w:val="105"/>
        </w:rPr>
        <w:t> </w:t>
      </w:r>
      <w:r>
        <w:rPr>
          <w:color w:val="1C1C1C"/>
          <w:w w:val="105"/>
        </w:rPr>
        <w:t>tumores</w:t>
      </w:r>
      <w:r>
        <w:rPr>
          <w:color w:val="1C1C1C"/>
          <w:spacing w:val="-12"/>
          <w:w w:val="105"/>
        </w:rPr>
        <w:t> </w:t>
      </w:r>
      <w:r>
        <w:rPr>
          <w:color w:val="1C1C1C"/>
          <w:w w:val="105"/>
        </w:rPr>
        <w:t>de</w:t>
      </w:r>
      <w:r>
        <w:rPr>
          <w:color w:val="1C1C1C"/>
          <w:spacing w:val="-11"/>
          <w:w w:val="105"/>
        </w:rPr>
        <w:t> </w:t>
      </w:r>
      <w:r>
        <w:rPr>
          <w:color w:val="1C1C1C"/>
          <w:w w:val="105"/>
        </w:rPr>
        <w:t>tipo</w:t>
      </w:r>
      <w:r>
        <w:rPr>
          <w:color w:val="1C1C1C"/>
          <w:spacing w:val="-11"/>
          <w:w w:val="105"/>
        </w:rPr>
        <w:t> </w:t>
      </w:r>
      <w:r>
        <w:rPr>
          <w:color w:val="1C1C1C"/>
          <w:w w:val="105"/>
        </w:rPr>
        <w:t>III</w:t>
      </w:r>
      <w:r>
        <w:rPr>
          <w:color w:val="1C1C1C"/>
          <w:spacing w:val="-12"/>
          <w:w w:val="105"/>
        </w:rPr>
        <w:t> </w:t>
      </w:r>
      <w:r>
        <w:rPr>
          <w:color w:val="1C1C1C"/>
          <w:w w:val="105"/>
        </w:rPr>
        <w:t>de</w:t>
      </w:r>
      <w:r>
        <w:rPr>
          <w:color w:val="1C1C1C"/>
          <w:spacing w:val="-11"/>
          <w:w w:val="105"/>
        </w:rPr>
        <w:t> </w:t>
      </w:r>
      <w:r>
        <w:rPr>
          <w:color w:val="1C1C1C"/>
          <w:w w:val="105"/>
        </w:rPr>
        <w:t>Shamblim</w:t>
      </w:r>
      <w:r>
        <w:rPr>
          <w:color w:val="1C1C1C"/>
          <w:spacing w:val="-10"/>
          <w:w w:val="105"/>
        </w:rPr>
        <w:t> </w:t>
      </w:r>
      <w:r>
        <w:rPr>
          <w:color w:val="1C1C1C"/>
          <w:w w:val="105"/>
        </w:rPr>
        <w:t>aumenta</w:t>
      </w:r>
      <w:r>
        <w:rPr>
          <w:color w:val="1C1C1C"/>
          <w:spacing w:val="-11"/>
          <w:w w:val="105"/>
        </w:rPr>
        <w:t> </w:t>
      </w:r>
      <w:r>
        <w:rPr>
          <w:color w:val="1C1C1C"/>
          <w:w w:val="105"/>
        </w:rPr>
        <w:t>la</w:t>
      </w:r>
      <w:r>
        <w:rPr>
          <w:color w:val="1C1C1C"/>
          <w:spacing w:val="-11"/>
          <w:w w:val="105"/>
        </w:rPr>
        <w:t> </w:t>
      </w:r>
      <w:r>
        <w:rPr>
          <w:color w:val="1C1C1C"/>
          <w:w w:val="105"/>
        </w:rPr>
        <w:t>dificultad</w:t>
      </w:r>
      <w:r>
        <w:rPr>
          <w:color w:val="1C1C1C"/>
          <w:spacing w:val="-11"/>
          <w:w w:val="105"/>
        </w:rPr>
        <w:t> </w:t>
      </w:r>
      <w:r>
        <w:rPr>
          <w:color w:val="1C1C1C"/>
          <w:w w:val="105"/>
        </w:rPr>
        <w:t>de</w:t>
      </w:r>
      <w:r>
        <w:rPr>
          <w:color w:val="1C1C1C"/>
          <w:spacing w:val="-11"/>
          <w:w w:val="105"/>
        </w:rPr>
        <w:t> </w:t>
      </w:r>
      <w:r>
        <w:rPr>
          <w:color w:val="1C1C1C"/>
          <w:w w:val="105"/>
        </w:rPr>
        <w:t>la</w:t>
      </w:r>
      <w:r>
        <w:rPr>
          <w:color w:val="1C1C1C"/>
          <w:spacing w:val="-11"/>
          <w:w w:val="105"/>
        </w:rPr>
        <w:t> </w:t>
      </w:r>
      <w:r>
        <w:rPr>
          <w:color w:val="1C1C1C"/>
          <w:w w:val="105"/>
        </w:rPr>
        <w:t>técnica, lo que obliga muchas veces a realizar resección de la carótida interna o externa y su consecuente reconstrucción con interposición de injerto venoso o</w:t>
      </w:r>
      <w:r>
        <w:rPr>
          <w:color w:val="1C1C1C"/>
          <w:spacing w:val="-34"/>
          <w:w w:val="105"/>
        </w:rPr>
        <w:t> </w:t>
      </w:r>
      <w:r>
        <w:rPr>
          <w:color w:val="1C1C1C"/>
          <w:w w:val="105"/>
        </w:rPr>
        <w:t>sintético.</w:t>
      </w:r>
    </w:p>
    <w:p>
      <w:pPr>
        <w:pStyle w:val="BodyText"/>
        <w:rPr>
          <w:sz w:val="22"/>
        </w:rPr>
      </w:pPr>
    </w:p>
    <w:p>
      <w:pPr>
        <w:pStyle w:val="BodyText"/>
        <w:spacing w:line="376" w:lineRule="auto" w:before="135"/>
        <w:ind w:left="108" w:right="109"/>
        <w:jc w:val="both"/>
      </w:pPr>
      <w:r>
        <w:rPr>
          <w:color w:val="1C1C1C"/>
          <w:w w:val="105"/>
        </w:rPr>
        <w:t>En estos casos las lesión nerviosa temporal puede estar presente en un 20 a 40%, siendo permanente</w:t>
      </w:r>
      <w:r>
        <w:rPr>
          <w:color w:val="1C1C1C"/>
          <w:spacing w:val="-14"/>
          <w:w w:val="105"/>
        </w:rPr>
        <w:t> </w:t>
      </w:r>
      <w:r>
        <w:rPr>
          <w:color w:val="1C1C1C"/>
          <w:w w:val="105"/>
        </w:rPr>
        <w:t>hasta</w:t>
      </w:r>
      <w:r>
        <w:rPr>
          <w:color w:val="1C1C1C"/>
          <w:spacing w:val="-14"/>
          <w:w w:val="105"/>
        </w:rPr>
        <w:t> </w:t>
      </w:r>
      <w:r>
        <w:rPr>
          <w:color w:val="1C1C1C"/>
          <w:w w:val="105"/>
        </w:rPr>
        <w:t>el</w:t>
      </w:r>
      <w:r>
        <w:rPr>
          <w:color w:val="1C1C1C"/>
          <w:spacing w:val="-16"/>
          <w:w w:val="105"/>
        </w:rPr>
        <w:t> </w:t>
      </w:r>
      <w:r>
        <w:rPr>
          <w:color w:val="1C1C1C"/>
          <w:w w:val="105"/>
        </w:rPr>
        <w:t>40%</w:t>
      </w:r>
      <w:r>
        <w:rPr>
          <w:color w:val="1C1C1C"/>
          <w:spacing w:val="-13"/>
          <w:w w:val="105"/>
        </w:rPr>
        <w:t> </w:t>
      </w:r>
      <w:r>
        <w:rPr>
          <w:color w:val="1C1C1C"/>
          <w:w w:val="105"/>
        </w:rPr>
        <w:t>de</w:t>
      </w:r>
      <w:r>
        <w:rPr>
          <w:color w:val="1C1C1C"/>
          <w:spacing w:val="-14"/>
          <w:w w:val="105"/>
        </w:rPr>
        <w:t> </w:t>
      </w:r>
      <w:r>
        <w:rPr>
          <w:color w:val="1C1C1C"/>
          <w:w w:val="105"/>
        </w:rPr>
        <w:t>los</w:t>
      </w:r>
      <w:r>
        <w:rPr>
          <w:color w:val="1C1C1C"/>
          <w:spacing w:val="-15"/>
          <w:w w:val="105"/>
        </w:rPr>
        <w:t> </w:t>
      </w:r>
      <w:r>
        <w:rPr>
          <w:color w:val="1C1C1C"/>
          <w:w w:val="105"/>
        </w:rPr>
        <w:t>casos</w:t>
      </w:r>
      <w:r>
        <w:rPr>
          <w:color w:val="1C1C1C"/>
          <w:spacing w:val="-15"/>
          <w:w w:val="105"/>
        </w:rPr>
        <w:t> </w:t>
      </w:r>
      <w:r>
        <w:rPr>
          <w:color w:val="1C1C1C"/>
          <w:w w:val="105"/>
        </w:rPr>
        <w:t>afectados</w:t>
      </w:r>
      <w:r>
        <w:rPr>
          <w:color w:val="1C1C1C"/>
          <w:spacing w:val="-15"/>
          <w:w w:val="105"/>
        </w:rPr>
        <w:t> </w:t>
      </w:r>
      <w:r>
        <w:rPr>
          <w:color w:val="1C1C1C"/>
          <w:w w:val="105"/>
        </w:rPr>
        <w:t>los</w:t>
      </w:r>
      <w:r>
        <w:rPr>
          <w:color w:val="1C1C1C"/>
          <w:spacing w:val="-15"/>
          <w:w w:val="105"/>
        </w:rPr>
        <w:t> </w:t>
      </w:r>
      <w:r>
        <w:rPr>
          <w:color w:val="1C1C1C"/>
          <w:w w:val="105"/>
        </w:rPr>
        <w:t>pares</w:t>
      </w:r>
      <w:r>
        <w:rPr>
          <w:color w:val="1C1C1C"/>
          <w:spacing w:val="-15"/>
          <w:w w:val="105"/>
        </w:rPr>
        <w:t> </w:t>
      </w:r>
      <w:r>
        <w:rPr>
          <w:color w:val="1C1C1C"/>
          <w:w w:val="105"/>
        </w:rPr>
        <w:t>craneales</w:t>
      </w:r>
      <w:r>
        <w:rPr>
          <w:color w:val="1C1C1C"/>
          <w:spacing w:val="-15"/>
          <w:w w:val="105"/>
        </w:rPr>
        <w:t> </w:t>
      </w:r>
      <w:r>
        <w:rPr>
          <w:color w:val="1C1C1C"/>
          <w:w w:val="105"/>
        </w:rPr>
        <w:t>VII,X</w:t>
      </w:r>
      <w:r>
        <w:rPr>
          <w:color w:val="1C1C1C"/>
          <w:spacing w:val="-14"/>
          <w:w w:val="105"/>
        </w:rPr>
        <w:t> </w:t>
      </w:r>
      <w:r>
        <w:rPr>
          <w:color w:val="1C1C1C"/>
          <w:w w:val="105"/>
        </w:rPr>
        <w:t>y</w:t>
      </w:r>
      <w:r>
        <w:rPr>
          <w:color w:val="1C1C1C"/>
          <w:spacing w:val="-15"/>
          <w:w w:val="105"/>
        </w:rPr>
        <w:t> </w:t>
      </w:r>
      <w:r>
        <w:rPr>
          <w:color w:val="1C1C1C"/>
          <w:w w:val="105"/>
        </w:rPr>
        <w:t>XII.</w:t>
      </w:r>
      <w:r>
        <w:rPr>
          <w:color w:val="1C1C1C"/>
          <w:spacing w:val="-15"/>
          <w:w w:val="105"/>
        </w:rPr>
        <w:t> </w:t>
      </w:r>
      <w:r>
        <w:rPr>
          <w:color w:val="1C1C1C"/>
          <w:w w:val="105"/>
        </w:rPr>
        <w:t>En</w:t>
      </w:r>
      <w:r>
        <w:rPr>
          <w:color w:val="1C1C1C"/>
          <w:spacing w:val="-14"/>
          <w:w w:val="105"/>
        </w:rPr>
        <w:t> </w:t>
      </w:r>
      <w:r>
        <w:rPr>
          <w:color w:val="1C1C1C"/>
          <w:w w:val="105"/>
        </w:rPr>
        <w:t>nuestro estudio fueron documentadas un 20% de complicaciones de la población total tratada, de las cuales, en uno de los casos dejo una secuela permanente, el resto se resolvió en su momento sin mayores</w:t>
      </w:r>
      <w:r>
        <w:rPr>
          <w:color w:val="1C1C1C"/>
          <w:spacing w:val="-18"/>
          <w:w w:val="105"/>
        </w:rPr>
        <w:t> </w:t>
      </w:r>
      <w:r>
        <w:rPr>
          <w:color w:val="1C1C1C"/>
          <w:w w:val="105"/>
        </w:rPr>
        <w:t>consecuencias.</w:t>
      </w:r>
    </w:p>
    <w:p>
      <w:pPr>
        <w:pStyle w:val="BodyText"/>
        <w:rPr>
          <w:sz w:val="22"/>
        </w:rPr>
      </w:pPr>
    </w:p>
    <w:p>
      <w:pPr>
        <w:pStyle w:val="BodyText"/>
        <w:spacing w:line="360" w:lineRule="auto" w:before="130"/>
        <w:ind w:left="108" w:right="112"/>
        <w:jc w:val="both"/>
      </w:pPr>
      <w:r>
        <w:rPr>
          <w:color w:val="1C1C1C"/>
          <w:w w:val="105"/>
        </w:rPr>
        <w:t>La mortalidad intraoperatoria publicada esta entre 0 a 2%, en algunas series reporta hasta un 5%. El seguimiento es preciso a largo plazo; debido a que son publicadas metástasis a los 10 y 20 años</w:t>
      </w:r>
      <w:r>
        <w:rPr>
          <w:color w:val="1C1C1C"/>
          <w:w w:val="105"/>
          <w:position w:val="10"/>
          <w:sz w:val="14"/>
        </w:rPr>
        <w:t>38</w:t>
      </w:r>
      <w:r>
        <w:rPr>
          <w:color w:val="1C1C1C"/>
          <w:w w:val="105"/>
        </w:rPr>
        <w:t>.</w:t>
      </w:r>
    </w:p>
    <w:p>
      <w:pPr>
        <w:pStyle w:val="BodyText"/>
        <w:spacing w:before="1"/>
        <w:rPr>
          <w:sz w:val="33"/>
        </w:rPr>
      </w:pPr>
    </w:p>
    <w:p>
      <w:pPr>
        <w:pStyle w:val="BodyText"/>
        <w:spacing w:line="376" w:lineRule="auto" w:before="1"/>
        <w:ind w:left="108" w:right="109"/>
        <w:jc w:val="both"/>
      </w:pPr>
      <w:r>
        <w:rPr>
          <w:color w:val="1C1C1C"/>
          <w:w w:val="105"/>
        </w:rPr>
        <w:t>La</w:t>
      </w:r>
      <w:r>
        <w:rPr>
          <w:color w:val="1C1C1C"/>
          <w:spacing w:val="-19"/>
          <w:w w:val="105"/>
        </w:rPr>
        <w:t> </w:t>
      </w:r>
      <w:r>
        <w:rPr>
          <w:color w:val="1C1C1C"/>
          <w:w w:val="105"/>
        </w:rPr>
        <w:t>malignidad</w:t>
      </w:r>
      <w:r>
        <w:rPr>
          <w:color w:val="1C1C1C"/>
          <w:spacing w:val="-19"/>
          <w:w w:val="105"/>
        </w:rPr>
        <w:t> </w:t>
      </w:r>
      <w:r>
        <w:rPr>
          <w:color w:val="1C1C1C"/>
          <w:w w:val="105"/>
        </w:rPr>
        <w:t>de</w:t>
      </w:r>
      <w:r>
        <w:rPr>
          <w:color w:val="1C1C1C"/>
          <w:spacing w:val="-19"/>
          <w:w w:val="105"/>
        </w:rPr>
        <w:t> </w:t>
      </w:r>
      <w:r>
        <w:rPr>
          <w:color w:val="1C1C1C"/>
          <w:w w:val="105"/>
        </w:rPr>
        <w:t>los</w:t>
      </w:r>
      <w:r>
        <w:rPr>
          <w:color w:val="1C1C1C"/>
          <w:spacing w:val="-19"/>
          <w:w w:val="105"/>
        </w:rPr>
        <w:t> </w:t>
      </w:r>
      <w:r>
        <w:rPr>
          <w:color w:val="1C1C1C"/>
          <w:w w:val="105"/>
        </w:rPr>
        <w:t>paragangliomas</w:t>
      </w:r>
      <w:r>
        <w:rPr>
          <w:color w:val="1C1C1C"/>
          <w:spacing w:val="-19"/>
          <w:w w:val="105"/>
        </w:rPr>
        <w:t> </w:t>
      </w:r>
      <w:r>
        <w:rPr>
          <w:color w:val="1C1C1C"/>
          <w:w w:val="105"/>
        </w:rPr>
        <w:t>es</w:t>
      </w:r>
      <w:r>
        <w:rPr>
          <w:color w:val="1C1C1C"/>
          <w:spacing w:val="-19"/>
          <w:w w:val="105"/>
        </w:rPr>
        <w:t> </w:t>
      </w:r>
      <w:r>
        <w:rPr>
          <w:color w:val="1C1C1C"/>
          <w:w w:val="105"/>
        </w:rPr>
        <w:t>muy</w:t>
      </w:r>
      <w:r>
        <w:rPr>
          <w:color w:val="1C1C1C"/>
          <w:spacing w:val="-19"/>
          <w:w w:val="105"/>
        </w:rPr>
        <w:t> </w:t>
      </w:r>
      <w:r>
        <w:rPr>
          <w:color w:val="1C1C1C"/>
          <w:w w:val="105"/>
        </w:rPr>
        <w:t>rara,</w:t>
      </w:r>
      <w:r>
        <w:rPr>
          <w:color w:val="1C1C1C"/>
          <w:spacing w:val="-20"/>
          <w:w w:val="105"/>
        </w:rPr>
        <w:t> </w:t>
      </w:r>
      <w:r>
        <w:rPr>
          <w:color w:val="1C1C1C"/>
          <w:w w:val="105"/>
        </w:rPr>
        <w:t>tan</w:t>
      </w:r>
      <w:r>
        <w:rPr>
          <w:color w:val="1C1C1C"/>
          <w:spacing w:val="-18"/>
          <w:w w:val="105"/>
        </w:rPr>
        <w:t> </w:t>
      </w:r>
      <w:r>
        <w:rPr>
          <w:color w:val="1C1C1C"/>
          <w:w w:val="105"/>
        </w:rPr>
        <w:t>solo</w:t>
      </w:r>
      <w:r>
        <w:rPr>
          <w:color w:val="1C1C1C"/>
          <w:spacing w:val="-18"/>
          <w:w w:val="105"/>
        </w:rPr>
        <w:t> </w:t>
      </w:r>
      <w:r>
        <w:rPr>
          <w:color w:val="1C1C1C"/>
          <w:w w:val="105"/>
        </w:rPr>
        <w:t>del</w:t>
      </w:r>
      <w:r>
        <w:rPr>
          <w:color w:val="1C1C1C"/>
          <w:spacing w:val="-20"/>
          <w:w w:val="105"/>
        </w:rPr>
        <w:t> </w:t>
      </w:r>
      <w:r>
        <w:rPr>
          <w:color w:val="1C1C1C"/>
          <w:w w:val="105"/>
        </w:rPr>
        <w:t>5%,</w:t>
      </w:r>
      <w:r>
        <w:rPr>
          <w:color w:val="1C1C1C"/>
          <w:spacing w:val="-20"/>
          <w:w w:val="105"/>
        </w:rPr>
        <w:t> </w:t>
      </w:r>
      <w:r>
        <w:rPr>
          <w:color w:val="1C1C1C"/>
          <w:w w:val="105"/>
        </w:rPr>
        <w:t>aunque</w:t>
      </w:r>
      <w:r>
        <w:rPr>
          <w:color w:val="1C1C1C"/>
          <w:spacing w:val="-18"/>
          <w:w w:val="105"/>
        </w:rPr>
        <w:t> </w:t>
      </w:r>
      <w:r>
        <w:rPr>
          <w:color w:val="1C1C1C"/>
          <w:w w:val="105"/>
        </w:rPr>
        <w:t>algunos</w:t>
      </w:r>
      <w:r>
        <w:rPr>
          <w:color w:val="1C1C1C"/>
          <w:spacing w:val="-19"/>
          <w:w w:val="105"/>
        </w:rPr>
        <w:t> </w:t>
      </w:r>
      <w:r>
        <w:rPr>
          <w:color w:val="1C1C1C"/>
          <w:w w:val="105"/>
        </w:rPr>
        <w:t>reportes aislados</w:t>
      </w:r>
      <w:r>
        <w:rPr>
          <w:color w:val="1C1C1C"/>
          <w:spacing w:val="-16"/>
          <w:w w:val="105"/>
        </w:rPr>
        <w:t> </w:t>
      </w:r>
      <w:r>
        <w:rPr>
          <w:color w:val="1C1C1C"/>
          <w:w w:val="105"/>
        </w:rPr>
        <w:t>indican</w:t>
      </w:r>
      <w:r>
        <w:rPr>
          <w:color w:val="1C1C1C"/>
          <w:spacing w:val="-16"/>
          <w:w w:val="105"/>
        </w:rPr>
        <w:t> </w:t>
      </w:r>
      <w:r>
        <w:rPr>
          <w:color w:val="1C1C1C"/>
          <w:w w:val="105"/>
        </w:rPr>
        <w:t>hasta</w:t>
      </w:r>
      <w:r>
        <w:rPr>
          <w:color w:val="1C1C1C"/>
          <w:spacing w:val="-16"/>
          <w:w w:val="105"/>
        </w:rPr>
        <w:t> </w:t>
      </w:r>
      <w:r>
        <w:rPr>
          <w:color w:val="1C1C1C"/>
          <w:w w:val="105"/>
        </w:rPr>
        <w:t>20%,</w:t>
      </w:r>
      <w:r>
        <w:rPr>
          <w:color w:val="1C1C1C"/>
          <w:spacing w:val="-17"/>
          <w:w w:val="105"/>
        </w:rPr>
        <w:t> </w:t>
      </w:r>
      <w:r>
        <w:rPr>
          <w:color w:val="1C1C1C"/>
          <w:w w:val="105"/>
        </w:rPr>
        <w:t>a</w:t>
      </w:r>
      <w:r>
        <w:rPr>
          <w:color w:val="1C1C1C"/>
          <w:spacing w:val="-16"/>
          <w:w w:val="105"/>
        </w:rPr>
        <w:t> </w:t>
      </w:r>
      <w:r>
        <w:rPr>
          <w:color w:val="1C1C1C"/>
          <w:w w:val="105"/>
        </w:rPr>
        <w:t>diferencia</w:t>
      </w:r>
      <w:r>
        <w:rPr>
          <w:color w:val="1C1C1C"/>
          <w:spacing w:val="-16"/>
          <w:w w:val="105"/>
        </w:rPr>
        <w:t> </w:t>
      </w:r>
      <w:r>
        <w:rPr>
          <w:color w:val="1C1C1C"/>
          <w:w w:val="105"/>
        </w:rPr>
        <w:t>de</w:t>
      </w:r>
      <w:r>
        <w:rPr>
          <w:color w:val="1C1C1C"/>
          <w:spacing w:val="-16"/>
          <w:w w:val="105"/>
        </w:rPr>
        <w:t> </w:t>
      </w:r>
      <w:r>
        <w:rPr>
          <w:color w:val="1C1C1C"/>
          <w:w w:val="105"/>
        </w:rPr>
        <w:t>otros</w:t>
      </w:r>
      <w:r>
        <w:rPr>
          <w:color w:val="1C1C1C"/>
          <w:spacing w:val="-16"/>
          <w:w w:val="105"/>
        </w:rPr>
        <w:t> </w:t>
      </w:r>
      <w:r>
        <w:rPr>
          <w:color w:val="1C1C1C"/>
          <w:w w:val="105"/>
        </w:rPr>
        <w:t>tumores</w:t>
      </w:r>
      <w:r>
        <w:rPr>
          <w:color w:val="1C1C1C"/>
          <w:spacing w:val="-16"/>
          <w:w w:val="105"/>
        </w:rPr>
        <w:t> </w:t>
      </w:r>
      <w:r>
        <w:rPr>
          <w:color w:val="1C1C1C"/>
          <w:w w:val="105"/>
        </w:rPr>
        <w:t>malignos.</w:t>
      </w:r>
      <w:r>
        <w:rPr>
          <w:color w:val="1C1C1C"/>
          <w:spacing w:val="-17"/>
          <w:w w:val="105"/>
        </w:rPr>
        <w:t> </w:t>
      </w:r>
      <w:r>
        <w:rPr>
          <w:color w:val="1C1C1C"/>
          <w:w w:val="105"/>
        </w:rPr>
        <w:t>Los</w:t>
      </w:r>
      <w:r>
        <w:rPr>
          <w:color w:val="1C1C1C"/>
          <w:spacing w:val="-16"/>
          <w:w w:val="105"/>
        </w:rPr>
        <w:t> </w:t>
      </w:r>
      <w:r>
        <w:rPr>
          <w:color w:val="1C1C1C"/>
          <w:w w:val="105"/>
        </w:rPr>
        <w:t>tumores</w:t>
      </w:r>
      <w:r>
        <w:rPr>
          <w:color w:val="1C1C1C"/>
          <w:spacing w:val="-16"/>
          <w:w w:val="105"/>
        </w:rPr>
        <w:t> </w:t>
      </w:r>
      <w:r>
        <w:rPr>
          <w:color w:val="1C1C1C"/>
          <w:w w:val="105"/>
        </w:rPr>
        <w:t>del</w:t>
      </w:r>
      <w:r>
        <w:rPr>
          <w:color w:val="1C1C1C"/>
          <w:spacing w:val="-17"/>
          <w:w w:val="105"/>
        </w:rPr>
        <w:t> </w:t>
      </w:r>
      <w:r>
        <w:rPr>
          <w:color w:val="1C1C1C"/>
          <w:w w:val="105"/>
        </w:rPr>
        <w:t>cuerpo carotídeo</w:t>
      </w:r>
      <w:r>
        <w:rPr>
          <w:color w:val="1C1C1C"/>
          <w:spacing w:val="-14"/>
          <w:w w:val="105"/>
        </w:rPr>
        <w:t> </w:t>
      </w:r>
      <w:r>
        <w:rPr>
          <w:color w:val="1C1C1C"/>
          <w:w w:val="105"/>
        </w:rPr>
        <w:t>son</w:t>
      </w:r>
      <w:r>
        <w:rPr>
          <w:color w:val="1C1C1C"/>
          <w:spacing w:val="-14"/>
          <w:w w:val="105"/>
        </w:rPr>
        <w:t> </w:t>
      </w:r>
      <w:r>
        <w:rPr>
          <w:color w:val="1C1C1C"/>
          <w:w w:val="105"/>
        </w:rPr>
        <w:t>diagnosticados</w:t>
      </w:r>
      <w:r>
        <w:rPr>
          <w:color w:val="1C1C1C"/>
          <w:spacing w:val="-14"/>
          <w:w w:val="105"/>
        </w:rPr>
        <w:t> </w:t>
      </w:r>
      <w:r>
        <w:rPr>
          <w:color w:val="1C1C1C"/>
          <w:w w:val="105"/>
        </w:rPr>
        <w:t>por</w:t>
      </w:r>
      <w:r>
        <w:rPr>
          <w:color w:val="1C1C1C"/>
          <w:spacing w:val="-15"/>
          <w:w w:val="105"/>
        </w:rPr>
        <w:t> </w:t>
      </w:r>
      <w:r>
        <w:rPr>
          <w:color w:val="1C1C1C"/>
          <w:w w:val="105"/>
        </w:rPr>
        <w:t>su</w:t>
      </w:r>
      <w:r>
        <w:rPr>
          <w:color w:val="1C1C1C"/>
          <w:spacing w:val="-14"/>
          <w:w w:val="105"/>
        </w:rPr>
        <w:t> </w:t>
      </w:r>
      <w:r>
        <w:rPr>
          <w:color w:val="1C1C1C"/>
          <w:w w:val="105"/>
        </w:rPr>
        <w:t>comportamiento</w:t>
      </w:r>
      <w:r>
        <w:rPr>
          <w:color w:val="1C1C1C"/>
          <w:spacing w:val="-14"/>
          <w:w w:val="105"/>
        </w:rPr>
        <w:t> </w:t>
      </w:r>
      <w:r>
        <w:rPr>
          <w:color w:val="1C1C1C"/>
          <w:w w:val="105"/>
        </w:rPr>
        <w:t>clínico</w:t>
      </w:r>
      <w:r>
        <w:rPr>
          <w:color w:val="1C1C1C"/>
          <w:spacing w:val="-14"/>
          <w:w w:val="105"/>
        </w:rPr>
        <w:t> </w:t>
      </w:r>
      <w:r>
        <w:rPr>
          <w:color w:val="1C1C1C"/>
          <w:w w:val="105"/>
        </w:rPr>
        <w:t>y</w:t>
      </w:r>
      <w:r>
        <w:rPr>
          <w:color w:val="1C1C1C"/>
          <w:spacing w:val="-14"/>
          <w:w w:val="105"/>
        </w:rPr>
        <w:t> </w:t>
      </w:r>
      <w:r>
        <w:rPr>
          <w:color w:val="1C1C1C"/>
          <w:w w:val="105"/>
        </w:rPr>
        <w:t>no</w:t>
      </w:r>
      <w:r>
        <w:rPr>
          <w:color w:val="1C1C1C"/>
          <w:spacing w:val="-14"/>
          <w:w w:val="105"/>
        </w:rPr>
        <w:t> </w:t>
      </w:r>
      <w:r>
        <w:rPr>
          <w:color w:val="1C1C1C"/>
          <w:w w:val="105"/>
        </w:rPr>
        <w:t>solamente</w:t>
      </w:r>
      <w:r>
        <w:rPr>
          <w:color w:val="1C1C1C"/>
          <w:spacing w:val="-14"/>
          <w:w w:val="105"/>
        </w:rPr>
        <w:t> </w:t>
      </w:r>
      <w:r>
        <w:rPr>
          <w:color w:val="1C1C1C"/>
          <w:w w:val="105"/>
        </w:rPr>
        <w:t>en</w:t>
      </w:r>
      <w:r>
        <w:rPr>
          <w:color w:val="1C1C1C"/>
          <w:spacing w:val="-14"/>
          <w:w w:val="105"/>
        </w:rPr>
        <w:t> </w:t>
      </w:r>
      <w:r>
        <w:rPr>
          <w:color w:val="1C1C1C"/>
          <w:w w:val="105"/>
        </w:rPr>
        <w:t>relación</w:t>
      </w:r>
      <w:r>
        <w:rPr>
          <w:color w:val="1C1C1C"/>
          <w:spacing w:val="-14"/>
          <w:w w:val="105"/>
        </w:rPr>
        <w:t> </w:t>
      </w:r>
      <w:r>
        <w:rPr>
          <w:color w:val="1C1C1C"/>
          <w:w w:val="105"/>
        </w:rPr>
        <w:t>con su apariencia histopatológica. Con una probabilidad de bilateralidad del 5%, que aumenta en la presentación familiar. De esta manera, la malignidad revelada por metástasis locales o</w:t>
      </w:r>
      <w:r>
        <w:rPr>
          <w:color w:val="1C1C1C"/>
          <w:spacing w:val="-4"/>
          <w:w w:val="105"/>
        </w:rPr>
        <w:t> </w:t>
      </w:r>
      <w:r>
        <w:rPr>
          <w:color w:val="1C1C1C"/>
          <w:w w:val="105"/>
        </w:rPr>
        <w:t>a</w:t>
      </w:r>
      <w:r>
        <w:rPr>
          <w:color w:val="1C1C1C"/>
          <w:spacing w:val="-4"/>
          <w:w w:val="105"/>
        </w:rPr>
        <w:t> </w:t>
      </w:r>
      <w:r>
        <w:rPr>
          <w:color w:val="1C1C1C"/>
          <w:w w:val="105"/>
        </w:rPr>
        <w:t>distancia,</w:t>
      </w:r>
      <w:r>
        <w:rPr>
          <w:color w:val="1C1C1C"/>
          <w:spacing w:val="-5"/>
          <w:w w:val="105"/>
        </w:rPr>
        <w:t> </w:t>
      </w:r>
      <w:r>
        <w:rPr>
          <w:color w:val="1C1C1C"/>
          <w:w w:val="105"/>
        </w:rPr>
        <w:t>pero</w:t>
      </w:r>
      <w:r>
        <w:rPr>
          <w:color w:val="1C1C1C"/>
          <w:spacing w:val="-4"/>
          <w:w w:val="105"/>
        </w:rPr>
        <w:t> </w:t>
      </w:r>
      <w:r>
        <w:rPr>
          <w:color w:val="1C1C1C"/>
          <w:w w:val="105"/>
        </w:rPr>
        <w:t>no</w:t>
      </w:r>
      <w:r>
        <w:rPr>
          <w:color w:val="1C1C1C"/>
          <w:spacing w:val="-4"/>
          <w:w w:val="105"/>
        </w:rPr>
        <w:t> </w:t>
      </w:r>
      <w:r>
        <w:rPr>
          <w:color w:val="1C1C1C"/>
          <w:w w:val="105"/>
        </w:rPr>
        <w:t>en</w:t>
      </w:r>
      <w:r>
        <w:rPr>
          <w:color w:val="1C1C1C"/>
          <w:spacing w:val="-4"/>
          <w:w w:val="105"/>
        </w:rPr>
        <w:t> </w:t>
      </w:r>
      <w:r>
        <w:rPr>
          <w:color w:val="1C1C1C"/>
          <w:w w:val="105"/>
        </w:rPr>
        <w:t>criterios</w:t>
      </w:r>
      <w:r>
        <w:rPr>
          <w:color w:val="1C1C1C"/>
          <w:spacing w:val="-5"/>
          <w:w w:val="105"/>
        </w:rPr>
        <w:t> </w:t>
      </w:r>
      <w:r>
        <w:rPr>
          <w:color w:val="1C1C1C"/>
          <w:w w:val="105"/>
        </w:rPr>
        <w:t>microscópicos,</w:t>
      </w:r>
      <w:r>
        <w:rPr>
          <w:color w:val="1C1C1C"/>
          <w:spacing w:val="-5"/>
          <w:w w:val="105"/>
        </w:rPr>
        <w:t> </w:t>
      </w:r>
      <w:r>
        <w:rPr>
          <w:color w:val="1C1C1C"/>
          <w:w w:val="105"/>
        </w:rPr>
        <w:t>ocurre</w:t>
      </w:r>
      <w:r>
        <w:rPr>
          <w:color w:val="1C1C1C"/>
          <w:spacing w:val="-4"/>
          <w:w w:val="105"/>
        </w:rPr>
        <w:t> </w:t>
      </w:r>
      <w:r>
        <w:rPr>
          <w:color w:val="1C1C1C"/>
          <w:w w:val="105"/>
        </w:rPr>
        <w:t>en</w:t>
      </w:r>
      <w:r>
        <w:rPr>
          <w:color w:val="1C1C1C"/>
          <w:spacing w:val="-4"/>
          <w:w w:val="105"/>
        </w:rPr>
        <w:t> </w:t>
      </w:r>
      <w:r>
        <w:rPr>
          <w:color w:val="1C1C1C"/>
          <w:w w:val="105"/>
        </w:rPr>
        <w:t>menos</w:t>
      </w:r>
      <w:r>
        <w:rPr>
          <w:color w:val="1C1C1C"/>
          <w:spacing w:val="-5"/>
          <w:w w:val="105"/>
        </w:rPr>
        <w:t> </w:t>
      </w:r>
      <w:r>
        <w:rPr>
          <w:color w:val="1C1C1C"/>
          <w:w w:val="105"/>
        </w:rPr>
        <w:t>de</w:t>
      </w:r>
      <w:r>
        <w:rPr>
          <w:color w:val="1C1C1C"/>
          <w:spacing w:val="-4"/>
          <w:w w:val="105"/>
        </w:rPr>
        <w:t> </w:t>
      </w:r>
      <w:r>
        <w:rPr>
          <w:color w:val="1C1C1C"/>
          <w:w w:val="105"/>
        </w:rPr>
        <w:t>un</w:t>
      </w:r>
      <w:r>
        <w:rPr>
          <w:color w:val="1C1C1C"/>
          <w:spacing w:val="-4"/>
          <w:w w:val="105"/>
        </w:rPr>
        <w:t> </w:t>
      </w:r>
      <w:r>
        <w:rPr>
          <w:color w:val="1C1C1C"/>
          <w:w w:val="105"/>
        </w:rPr>
        <w:t>5%de</w:t>
      </w:r>
      <w:r>
        <w:rPr>
          <w:color w:val="1C1C1C"/>
          <w:spacing w:val="-4"/>
          <w:w w:val="105"/>
        </w:rPr>
        <w:t> </w:t>
      </w:r>
      <w:r>
        <w:rPr>
          <w:color w:val="1C1C1C"/>
          <w:w w:val="105"/>
        </w:rPr>
        <w:t>los</w:t>
      </w:r>
      <w:r>
        <w:rPr>
          <w:color w:val="1C1C1C"/>
          <w:spacing w:val="-5"/>
          <w:w w:val="105"/>
        </w:rPr>
        <w:t> </w:t>
      </w:r>
      <w:r>
        <w:rPr>
          <w:color w:val="1C1C1C"/>
          <w:w w:val="105"/>
        </w:rPr>
        <w:t>casos</w:t>
      </w:r>
      <w:r>
        <w:rPr>
          <w:color w:val="1C1C1C"/>
          <w:spacing w:val="-5"/>
          <w:w w:val="105"/>
        </w:rPr>
        <w:t> </w:t>
      </w:r>
      <w:r>
        <w:rPr>
          <w:color w:val="1C1C1C"/>
          <w:w w:val="105"/>
        </w:rPr>
        <w:t>y parece</w:t>
      </w:r>
      <w:r>
        <w:rPr>
          <w:color w:val="1C1C1C"/>
          <w:spacing w:val="-5"/>
          <w:w w:val="105"/>
        </w:rPr>
        <w:t> </w:t>
      </w:r>
      <w:r>
        <w:rPr>
          <w:color w:val="1C1C1C"/>
          <w:w w:val="105"/>
        </w:rPr>
        <w:t>ser</w:t>
      </w:r>
      <w:r>
        <w:rPr>
          <w:color w:val="1C1C1C"/>
          <w:spacing w:val="-6"/>
          <w:w w:val="105"/>
        </w:rPr>
        <w:t> </w:t>
      </w:r>
      <w:r>
        <w:rPr>
          <w:color w:val="1C1C1C"/>
          <w:w w:val="105"/>
        </w:rPr>
        <w:t>más</w:t>
      </w:r>
      <w:r>
        <w:rPr>
          <w:color w:val="1C1C1C"/>
          <w:spacing w:val="-5"/>
          <w:w w:val="105"/>
        </w:rPr>
        <w:t> </w:t>
      </w:r>
      <w:r>
        <w:rPr>
          <w:color w:val="1C1C1C"/>
          <w:w w:val="105"/>
        </w:rPr>
        <w:t>frecuente</w:t>
      </w:r>
      <w:r>
        <w:rPr>
          <w:color w:val="1C1C1C"/>
          <w:spacing w:val="-5"/>
          <w:w w:val="105"/>
        </w:rPr>
        <w:t> </w:t>
      </w:r>
      <w:r>
        <w:rPr>
          <w:color w:val="1C1C1C"/>
          <w:w w:val="105"/>
        </w:rPr>
        <w:t>en</w:t>
      </w:r>
      <w:r>
        <w:rPr>
          <w:color w:val="1C1C1C"/>
          <w:spacing w:val="-5"/>
          <w:w w:val="105"/>
        </w:rPr>
        <w:t> </w:t>
      </w:r>
      <w:r>
        <w:rPr>
          <w:color w:val="1C1C1C"/>
          <w:w w:val="105"/>
        </w:rPr>
        <w:t>los</w:t>
      </w:r>
      <w:r>
        <w:rPr>
          <w:color w:val="1C1C1C"/>
          <w:spacing w:val="-5"/>
          <w:w w:val="105"/>
        </w:rPr>
        <w:t> </w:t>
      </w:r>
      <w:r>
        <w:rPr>
          <w:color w:val="1C1C1C"/>
          <w:w w:val="105"/>
        </w:rPr>
        <w:t>paragangliomas</w:t>
      </w:r>
      <w:r>
        <w:rPr>
          <w:color w:val="1C1C1C"/>
          <w:spacing w:val="-5"/>
          <w:w w:val="105"/>
        </w:rPr>
        <w:t> </w:t>
      </w:r>
      <w:r>
        <w:rPr>
          <w:color w:val="1C1C1C"/>
          <w:w w:val="105"/>
        </w:rPr>
        <w:t>funcionales,</w:t>
      </w:r>
      <w:r>
        <w:rPr>
          <w:color w:val="1C1C1C"/>
          <w:spacing w:val="-6"/>
          <w:w w:val="105"/>
        </w:rPr>
        <w:t> </w:t>
      </w:r>
      <w:r>
        <w:rPr>
          <w:color w:val="1C1C1C"/>
          <w:w w:val="105"/>
        </w:rPr>
        <w:t>sobre</w:t>
      </w:r>
      <w:r>
        <w:rPr>
          <w:color w:val="1C1C1C"/>
          <w:spacing w:val="-5"/>
          <w:w w:val="105"/>
        </w:rPr>
        <w:t> </w:t>
      </w:r>
      <w:r>
        <w:rPr>
          <w:color w:val="1C1C1C"/>
          <w:w w:val="105"/>
        </w:rPr>
        <w:t>todo</w:t>
      </w:r>
      <w:r>
        <w:rPr>
          <w:color w:val="1C1C1C"/>
          <w:spacing w:val="-5"/>
          <w:w w:val="105"/>
        </w:rPr>
        <w:t> </w:t>
      </w:r>
      <w:r>
        <w:rPr>
          <w:color w:val="1C1C1C"/>
          <w:w w:val="105"/>
        </w:rPr>
        <w:t>en</w:t>
      </w:r>
      <w:r>
        <w:rPr>
          <w:color w:val="1C1C1C"/>
          <w:spacing w:val="-5"/>
          <w:w w:val="105"/>
        </w:rPr>
        <w:t> </w:t>
      </w:r>
      <w:r>
        <w:rPr>
          <w:color w:val="1C1C1C"/>
          <w:w w:val="105"/>
        </w:rPr>
        <w:t>los</w:t>
      </w:r>
      <w:r>
        <w:rPr>
          <w:color w:val="1C1C1C"/>
          <w:spacing w:val="-5"/>
          <w:w w:val="105"/>
        </w:rPr>
        <w:t> </w:t>
      </w:r>
      <w:r>
        <w:rPr>
          <w:color w:val="1C1C1C"/>
          <w:w w:val="105"/>
        </w:rPr>
        <w:t>secretores</w:t>
      </w:r>
    </w:p>
    <w:p>
      <w:pPr>
        <w:pStyle w:val="BodyText"/>
        <w:spacing w:line="250" w:lineRule="exact"/>
        <w:ind w:left="108"/>
        <w:jc w:val="both"/>
      </w:pPr>
      <w:r>
        <w:rPr>
          <w:color w:val="1C1C1C"/>
          <w:w w:val="105"/>
        </w:rPr>
        <w:t>de dopamina</w:t>
      </w:r>
      <w:r>
        <w:rPr>
          <w:color w:val="1C1C1C"/>
          <w:w w:val="105"/>
          <w:position w:val="10"/>
          <w:sz w:val="14"/>
        </w:rPr>
        <w:t>27,28</w:t>
      </w:r>
      <w:r>
        <w:rPr>
          <w:color w:val="1C1C1C"/>
          <w:w w:val="105"/>
        </w:rPr>
        <w:t>. En el estudio como mencionamos anteriormente no reportamos tumores</w:t>
      </w:r>
    </w:p>
    <w:p>
      <w:pPr>
        <w:pStyle w:val="BodyText"/>
        <w:spacing w:before="137"/>
        <w:ind w:left="108"/>
        <w:jc w:val="both"/>
      </w:pPr>
      <w:r>
        <w:rPr>
          <w:color w:val="1C1C1C"/>
          <w:w w:val="105"/>
        </w:rPr>
        <w:t>malignos.</w:t>
      </w:r>
    </w:p>
    <w:p>
      <w:pPr>
        <w:pStyle w:val="BodyText"/>
        <w:spacing w:before="10"/>
        <w:rPr>
          <w:sz w:val="32"/>
        </w:rPr>
      </w:pPr>
    </w:p>
    <w:p>
      <w:pPr>
        <w:pStyle w:val="BodyText"/>
        <w:spacing w:line="380" w:lineRule="atLeast"/>
        <w:ind w:left="108" w:right="109"/>
        <w:jc w:val="both"/>
      </w:pPr>
      <w:r>
        <w:rPr>
          <w:color w:val="1C1C1C"/>
          <w:w w:val="105"/>
        </w:rPr>
        <w:t>Otra opción terapéutica es la radioterapia; con resultados inciertos, pues la mayoría de estos tumores son poco sensibles a la radiación y debería reservarse sólo para casos de tumores malignos con metástasis regionales y como tratamiento complementario en pacientes sintomáticos con elevado riesgo quirúrgico, en casos de recidiva tumoral la cual es menor del 5% o resecciones incompletas</w:t>
      </w:r>
      <w:r>
        <w:rPr>
          <w:color w:val="1C1C1C"/>
          <w:w w:val="105"/>
          <w:position w:val="10"/>
          <w:sz w:val="14"/>
        </w:rPr>
        <w:t>36</w:t>
      </w:r>
      <w:r>
        <w:rPr>
          <w:color w:val="1C1C1C"/>
          <w:w w:val="105"/>
        </w:rPr>
        <w:t>. Debe considerarse además las complicaciones derivadas de dicho tratamiento como lo es la osteonecrosis mandibular, fibrosis carotidea pos radiación y lesión laríngea.</w:t>
      </w:r>
    </w:p>
    <w:p>
      <w:pPr>
        <w:spacing w:after="0" w:line="380" w:lineRule="atLeast"/>
        <w:jc w:val="both"/>
        <w:sectPr>
          <w:pgSz w:w="12240" w:h="15840"/>
          <w:pgMar w:header="0" w:footer="687" w:top="1380" w:bottom="940" w:left="1600" w:right="1580"/>
        </w:sectPr>
      </w:pPr>
    </w:p>
    <w:p>
      <w:pPr>
        <w:pStyle w:val="BodyText"/>
        <w:spacing w:before="6"/>
        <w:rPr>
          <w:sz w:val="20"/>
        </w:rPr>
      </w:pPr>
    </w:p>
    <w:p>
      <w:pPr>
        <w:pStyle w:val="BodyText"/>
        <w:spacing w:line="376" w:lineRule="auto" w:before="78"/>
        <w:ind w:left="108" w:right="109"/>
        <w:jc w:val="both"/>
      </w:pPr>
      <w:r>
        <w:rPr>
          <w:color w:val="1C1C1C"/>
          <w:w w:val="105"/>
        </w:rPr>
        <w:t>En</w:t>
      </w:r>
      <w:r>
        <w:rPr>
          <w:color w:val="1C1C1C"/>
          <w:spacing w:val="-3"/>
          <w:w w:val="105"/>
        </w:rPr>
        <w:t> </w:t>
      </w:r>
      <w:r>
        <w:rPr>
          <w:color w:val="1C1C1C"/>
          <w:w w:val="105"/>
        </w:rPr>
        <w:t>nuestro</w:t>
      </w:r>
      <w:r>
        <w:rPr>
          <w:color w:val="1C1C1C"/>
          <w:spacing w:val="-3"/>
          <w:w w:val="105"/>
        </w:rPr>
        <w:t> </w:t>
      </w:r>
      <w:r>
        <w:rPr>
          <w:color w:val="1C1C1C"/>
          <w:w w:val="105"/>
        </w:rPr>
        <w:t>trabajo,</w:t>
      </w:r>
      <w:r>
        <w:rPr>
          <w:color w:val="1C1C1C"/>
          <w:spacing w:val="-4"/>
          <w:w w:val="105"/>
        </w:rPr>
        <w:t> </w:t>
      </w:r>
      <w:r>
        <w:rPr>
          <w:color w:val="1C1C1C"/>
          <w:w w:val="105"/>
        </w:rPr>
        <w:t>no</w:t>
      </w:r>
      <w:r>
        <w:rPr>
          <w:color w:val="1C1C1C"/>
          <w:spacing w:val="-3"/>
          <w:w w:val="105"/>
        </w:rPr>
        <w:t> </w:t>
      </w:r>
      <w:r>
        <w:rPr>
          <w:color w:val="1C1C1C"/>
          <w:w w:val="105"/>
        </w:rPr>
        <w:t>fue</w:t>
      </w:r>
      <w:r>
        <w:rPr>
          <w:color w:val="1C1C1C"/>
          <w:spacing w:val="-3"/>
          <w:w w:val="105"/>
        </w:rPr>
        <w:t> </w:t>
      </w:r>
      <w:r>
        <w:rPr>
          <w:color w:val="1C1C1C"/>
          <w:w w:val="105"/>
        </w:rPr>
        <w:t>posible</w:t>
      </w:r>
      <w:r>
        <w:rPr>
          <w:color w:val="1C1C1C"/>
          <w:spacing w:val="-3"/>
          <w:w w:val="105"/>
        </w:rPr>
        <w:t> </w:t>
      </w:r>
      <w:r>
        <w:rPr>
          <w:color w:val="1C1C1C"/>
          <w:w w:val="105"/>
        </w:rPr>
        <w:t>documentar</w:t>
      </w:r>
      <w:r>
        <w:rPr>
          <w:color w:val="1C1C1C"/>
          <w:spacing w:val="-4"/>
          <w:w w:val="105"/>
        </w:rPr>
        <w:t> </w:t>
      </w:r>
      <w:r>
        <w:rPr>
          <w:color w:val="1C1C1C"/>
          <w:w w:val="105"/>
        </w:rPr>
        <w:t>recidiva</w:t>
      </w:r>
      <w:r>
        <w:rPr>
          <w:color w:val="1C1C1C"/>
          <w:spacing w:val="-3"/>
          <w:w w:val="105"/>
        </w:rPr>
        <w:t> </w:t>
      </w:r>
      <w:r>
        <w:rPr>
          <w:color w:val="1C1C1C"/>
          <w:w w:val="105"/>
        </w:rPr>
        <w:t>o</w:t>
      </w:r>
      <w:r>
        <w:rPr>
          <w:color w:val="1C1C1C"/>
          <w:spacing w:val="-3"/>
          <w:w w:val="105"/>
        </w:rPr>
        <w:t> </w:t>
      </w:r>
      <w:r>
        <w:rPr>
          <w:color w:val="1C1C1C"/>
          <w:w w:val="105"/>
        </w:rPr>
        <w:t>tumor</w:t>
      </w:r>
      <w:r>
        <w:rPr>
          <w:color w:val="1C1C1C"/>
          <w:spacing w:val="-4"/>
          <w:w w:val="105"/>
        </w:rPr>
        <w:t> </w:t>
      </w:r>
      <w:r>
        <w:rPr>
          <w:color w:val="1C1C1C"/>
          <w:w w:val="105"/>
        </w:rPr>
        <w:t>residual</w:t>
      </w:r>
      <w:r>
        <w:rPr>
          <w:color w:val="1C1C1C"/>
          <w:spacing w:val="-4"/>
          <w:w w:val="105"/>
        </w:rPr>
        <w:t> </w:t>
      </w:r>
      <w:r>
        <w:rPr>
          <w:color w:val="1C1C1C"/>
          <w:w w:val="105"/>
        </w:rPr>
        <w:t>a</w:t>
      </w:r>
      <w:r>
        <w:rPr>
          <w:color w:val="1C1C1C"/>
          <w:spacing w:val="-3"/>
          <w:w w:val="105"/>
        </w:rPr>
        <w:t> </w:t>
      </w:r>
      <w:r>
        <w:rPr>
          <w:color w:val="1C1C1C"/>
          <w:w w:val="105"/>
        </w:rPr>
        <w:t>más</w:t>
      </w:r>
      <w:r>
        <w:rPr>
          <w:color w:val="1C1C1C"/>
          <w:spacing w:val="-3"/>
          <w:w w:val="105"/>
        </w:rPr>
        <w:t> </w:t>
      </w:r>
      <w:r>
        <w:rPr>
          <w:color w:val="1C1C1C"/>
          <w:w w:val="105"/>
        </w:rPr>
        <w:t>de</w:t>
      </w:r>
      <w:r>
        <w:rPr>
          <w:color w:val="1C1C1C"/>
          <w:spacing w:val="-3"/>
          <w:w w:val="105"/>
        </w:rPr>
        <w:t> </w:t>
      </w:r>
      <w:r>
        <w:rPr>
          <w:color w:val="1C1C1C"/>
          <w:w w:val="105"/>
        </w:rPr>
        <w:t>6</w:t>
      </w:r>
      <w:r>
        <w:rPr>
          <w:color w:val="1C1C1C"/>
          <w:spacing w:val="-3"/>
          <w:w w:val="105"/>
        </w:rPr>
        <w:t> </w:t>
      </w:r>
      <w:r>
        <w:rPr>
          <w:color w:val="1C1C1C"/>
          <w:spacing w:val="2"/>
          <w:w w:val="105"/>
        </w:rPr>
        <w:t>meses </w:t>
      </w:r>
      <w:r>
        <w:rPr>
          <w:color w:val="1C1C1C"/>
          <w:w w:val="105"/>
        </w:rPr>
        <w:t>de observación, y en ninguno de los casos consideramos radioterapia o embolización preoperatoria. Todos los pacientes operados pasaron al piso sin requerir de cuidados mayores,</w:t>
      </w:r>
      <w:r>
        <w:rPr>
          <w:color w:val="1C1C1C"/>
          <w:spacing w:val="-14"/>
          <w:w w:val="105"/>
        </w:rPr>
        <w:t> </w:t>
      </w:r>
      <w:r>
        <w:rPr>
          <w:color w:val="1C1C1C"/>
          <w:w w:val="105"/>
        </w:rPr>
        <w:t>excepto</w:t>
      </w:r>
      <w:r>
        <w:rPr>
          <w:color w:val="1C1C1C"/>
          <w:spacing w:val="-13"/>
          <w:w w:val="105"/>
        </w:rPr>
        <w:t> </w:t>
      </w:r>
      <w:r>
        <w:rPr>
          <w:color w:val="1C1C1C"/>
          <w:w w:val="105"/>
        </w:rPr>
        <w:t>uno</w:t>
      </w:r>
      <w:r>
        <w:rPr>
          <w:color w:val="1C1C1C"/>
          <w:spacing w:val="34"/>
          <w:w w:val="105"/>
        </w:rPr>
        <w:t> </w:t>
      </w:r>
      <w:r>
        <w:rPr>
          <w:color w:val="1C1C1C"/>
          <w:w w:val="105"/>
        </w:rPr>
        <w:t>(por</w:t>
      </w:r>
      <w:r>
        <w:rPr>
          <w:color w:val="1C1C1C"/>
          <w:spacing w:val="-14"/>
          <w:w w:val="105"/>
        </w:rPr>
        <w:t> </w:t>
      </w:r>
      <w:r>
        <w:rPr>
          <w:color w:val="1C1C1C"/>
          <w:w w:val="105"/>
        </w:rPr>
        <w:t>complicación</w:t>
      </w:r>
      <w:r>
        <w:rPr>
          <w:color w:val="1C1C1C"/>
          <w:spacing w:val="-13"/>
          <w:w w:val="105"/>
        </w:rPr>
        <w:t> </w:t>
      </w:r>
      <w:r>
        <w:rPr>
          <w:color w:val="1C1C1C"/>
          <w:w w:val="105"/>
        </w:rPr>
        <w:t>neurológica)</w:t>
      </w:r>
      <w:r>
        <w:rPr>
          <w:color w:val="1C1C1C"/>
          <w:spacing w:val="-13"/>
          <w:w w:val="105"/>
        </w:rPr>
        <w:t> </w:t>
      </w:r>
      <w:r>
        <w:rPr>
          <w:color w:val="1C1C1C"/>
          <w:w w:val="105"/>
        </w:rPr>
        <w:t>ya</w:t>
      </w:r>
      <w:r>
        <w:rPr>
          <w:color w:val="1C1C1C"/>
          <w:spacing w:val="-13"/>
          <w:w w:val="105"/>
        </w:rPr>
        <w:t> </w:t>
      </w:r>
      <w:r>
        <w:rPr>
          <w:color w:val="1C1C1C"/>
          <w:w w:val="105"/>
        </w:rPr>
        <w:t>comentado.</w:t>
      </w:r>
      <w:r>
        <w:rPr>
          <w:color w:val="1C1C1C"/>
          <w:spacing w:val="-14"/>
          <w:w w:val="105"/>
        </w:rPr>
        <w:t> </w:t>
      </w:r>
      <w:r>
        <w:rPr>
          <w:color w:val="1C1C1C"/>
          <w:w w:val="105"/>
        </w:rPr>
        <w:t>El</w:t>
      </w:r>
      <w:r>
        <w:rPr>
          <w:color w:val="1C1C1C"/>
          <w:spacing w:val="-14"/>
          <w:w w:val="105"/>
        </w:rPr>
        <w:t> </w:t>
      </w:r>
      <w:r>
        <w:rPr>
          <w:color w:val="1C1C1C"/>
          <w:w w:val="105"/>
        </w:rPr>
        <w:t>manejo</w:t>
      </w:r>
      <w:r>
        <w:rPr>
          <w:color w:val="1C1C1C"/>
          <w:spacing w:val="-13"/>
          <w:w w:val="105"/>
        </w:rPr>
        <w:t> </w:t>
      </w:r>
      <w:r>
        <w:rPr>
          <w:color w:val="1C1C1C"/>
          <w:w w:val="105"/>
        </w:rPr>
        <w:t>analgésico como antimicrobiano profiláctico fue considerado para</w:t>
      </w:r>
      <w:r>
        <w:rPr>
          <w:color w:val="1C1C1C"/>
          <w:spacing w:val="-27"/>
          <w:w w:val="105"/>
        </w:rPr>
        <w:t> </w:t>
      </w:r>
      <w:r>
        <w:rPr>
          <w:color w:val="1C1C1C"/>
          <w:w w:val="105"/>
        </w:rPr>
        <w:t>todos.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2"/>
        </w:rPr>
      </w:pPr>
    </w:p>
    <w:p>
      <w:pPr>
        <w:pStyle w:val="Heading3"/>
        <w:numPr>
          <w:ilvl w:val="0"/>
          <w:numId w:val="13"/>
        </w:numPr>
        <w:tabs>
          <w:tab w:pos="501" w:val="left" w:leader="none"/>
        </w:tabs>
        <w:spacing w:line="240" w:lineRule="auto" w:before="0" w:after="0"/>
        <w:ind w:left="500" w:right="0" w:hanging="392"/>
        <w:jc w:val="both"/>
      </w:pPr>
      <w:bookmarkStart w:name="_TOC_250003" w:id="21"/>
      <w:bookmarkEnd w:id="21"/>
      <w:r>
        <w:rPr>
          <w:spacing w:val="2"/>
          <w:w w:val="105"/>
        </w:rPr>
        <w:t>CONCLUSIONES</w:t>
      </w:r>
    </w:p>
    <w:p>
      <w:pPr>
        <w:pStyle w:val="BodyText"/>
        <w:spacing w:before="3"/>
        <w:rPr>
          <w:b/>
          <w:sz w:val="23"/>
        </w:rPr>
      </w:pPr>
    </w:p>
    <w:p>
      <w:pPr>
        <w:pStyle w:val="ListParagraph"/>
        <w:numPr>
          <w:ilvl w:val="1"/>
          <w:numId w:val="13"/>
        </w:numPr>
        <w:tabs>
          <w:tab w:pos="829" w:val="left" w:leader="none"/>
        </w:tabs>
        <w:spacing w:line="491" w:lineRule="auto" w:before="0" w:after="0"/>
        <w:ind w:left="828" w:right="108" w:hanging="360"/>
        <w:jc w:val="both"/>
        <w:rPr>
          <w:sz w:val="21"/>
        </w:rPr>
      </w:pPr>
      <w:r>
        <w:rPr>
          <w:w w:val="105"/>
          <w:sz w:val="21"/>
        </w:rPr>
        <w:t>La</w:t>
      </w:r>
      <w:r>
        <w:rPr>
          <w:spacing w:val="-12"/>
          <w:w w:val="105"/>
          <w:sz w:val="21"/>
        </w:rPr>
        <w:t> </w:t>
      </w:r>
      <w:r>
        <w:rPr>
          <w:w w:val="105"/>
          <w:sz w:val="21"/>
        </w:rPr>
        <w:t>presencia</w:t>
      </w:r>
      <w:r>
        <w:rPr>
          <w:spacing w:val="-12"/>
          <w:w w:val="105"/>
          <w:sz w:val="21"/>
        </w:rPr>
        <w:t> </w:t>
      </w:r>
      <w:r>
        <w:rPr>
          <w:w w:val="105"/>
          <w:sz w:val="21"/>
        </w:rPr>
        <w:t>del</w:t>
      </w:r>
      <w:r>
        <w:rPr>
          <w:spacing w:val="-13"/>
          <w:w w:val="105"/>
          <w:sz w:val="21"/>
        </w:rPr>
        <w:t> </w:t>
      </w:r>
      <w:r>
        <w:rPr>
          <w:w w:val="105"/>
          <w:sz w:val="21"/>
        </w:rPr>
        <w:t>tumor</w:t>
      </w:r>
      <w:r>
        <w:rPr>
          <w:spacing w:val="-13"/>
          <w:w w:val="105"/>
          <w:sz w:val="21"/>
        </w:rPr>
        <w:t> </w:t>
      </w:r>
      <w:r>
        <w:rPr>
          <w:w w:val="105"/>
          <w:sz w:val="21"/>
        </w:rPr>
        <w:t>del</w:t>
      </w:r>
      <w:r>
        <w:rPr>
          <w:spacing w:val="-13"/>
          <w:w w:val="105"/>
          <w:sz w:val="21"/>
        </w:rPr>
        <w:t> </w:t>
      </w:r>
      <w:r>
        <w:rPr>
          <w:w w:val="105"/>
          <w:sz w:val="21"/>
        </w:rPr>
        <w:t>cuerpo</w:t>
      </w:r>
      <w:r>
        <w:rPr>
          <w:spacing w:val="-12"/>
          <w:w w:val="105"/>
          <w:sz w:val="21"/>
        </w:rPr>
        <w:t> </w:t>
      </w:r>
      <w:r>
        <w:rPr>
          <w:w w:val="105"/>
          <w:sz w:val="21"/>
        </w:rPr>
        <w:t>carotídeo</w:t>
      </w:r>
      <w:r>
        <w:rPr>
          <w:spacing w:val="-12"/>
          <w:w w:val="105"/>
          <w:sz w:val="21"/>
        </w:rPr>
        <w:t> </w:t>
      </w:r>
      <w:r>
        <w:rPr>
          <w:w w:val="105"/>
          <w:sz w:val="21"/>
        </w:rPr>
        <w:t>no</w:t>
      </w:r>
      <w:r>
        <w:rPr>
          <w:spacing w:val="-12"/>
          <w:w w:val="105"/>
          <w:sz w:val="21"/>
        </w:rPr>
        <w:t> </w:t>
      </w:r>
      <w:r>
        <w:rPr>
          <w:w w:val="105"/>
          <w:sz w:val="21"/>
        </w:rPr>
        <w:t>es</w:t>
      </w:r>
      <w:r>
        <w:rPr>
          <w:spacing w:val="-12"/>
          <w:w w:val="105"/>
          <w:sz w:val="21"/>
        </w:rPr>
        <w:t> </w:t>
      </w:r>
      <w:r>
        <w:rPr>
          <w:w w:val="105"/>
          <w:sz w:val="21"/>
        </w:rPr>
        <w:t>infrecuente</w:t>
      </w:r>
      <w:r>
        <w:rPr>
          <w:spacing w:val="-12"/>
          <w:w w:val="105"/>
          <w:sz w:val="21"/>
        </w:rPr>
        <w:t> </w:t>
      </w:r>
      <w:r>
        <w:rPr>
          <w:w w:val="105"/>
          <w:sz w:val="21"/>
        </w:rPr>
        <w:t>en</w:t>
      </w:r>
      <w:r>
        <w:rPr>
          <w:spacing w:val="-12"/>
          <w:w w:val="105"/>
          <w:sz w:val="21"/>
        </w:rPr>
        <w:t> </w:t>
      </w:r>
      <w:r>
        <w:rPr>
          <w:w w:val="105"/>
          <w:sz w:val="21"/>
        </w:rPr>
        <w:t>nuestra</w:t>
      </w:r>
      <w:r>
        <w:rPr>
          <w:spacing w:val="-12"/>
          <w:w w:val="105"/>
          <w:sz w:val="21"/>
        </w:rPr>
        <w:t> </w:t>
      </w:r>
      <w:r>
        <w:rPr>
          <w:w w:val="105"/>
          <w:sz w:val="21"/>
        </w:rPr>
        <w:t>población, predomina en mujeres, se manifiesta por un aumento de volumen a nivel cervical y la mayor parte de las veces es</w:t>
      </w:r>
      <w:r>
        <w:rPr>
          <w:spacing w:val="-22"/>
          <w:w w:val="105"/>
          <w:sz w:val="21"/>
        </w:rPr>
        <w:t> </w:t>
      </w:r>
      <w:r>
        <w:rPr>
          <w:w w:val="105"/>
          <w:sz w:val="21"/>
        </w:rPr>
        <w:t>asintomático.</w:t>
      </w:r>
    </w:p>
    <w:p>
      <w:pPr>
        <w:pStyle w:val="ListParagraph"/>
        <w:numPr>
          <w:ilvl w:val="1"/>
          <w:numId w:val="13"/>
        </w:numPr>
        <w:tabs>
          <w:tab w:pos="829" w:val="left" w:leader="none"/>
        </w:tabs>
        <w:spacing w:line="496" w:lineRule="auto" w:before="21" w:after="0"/>
        <w:ind w:left="828" w:right="110" w:hanging="360"/>
        <w:jc w:val="both"/>
        <w:rPr>
          <w:sz w:val="21"/>
        </w:rPr>
      </w:pPr>
      <w:r>
        <w:rPr>
          <w:w w:val="105"/>
          <w:sz w:val="21"/>
        </w:rPr>
        <w:t>La arteriografía es el método diagnostico que proporciona la mayor cantidad de información; además que ofrece la posibilidad de embolizacion preoperatoria; pero el doppler-duplex es un excelente recurso para estudio inicial y seguimiento postoperatorio.</w:t>
      </w:r>
    </w:p>
    <w:p>
      <w:pPr>
        <w:pStyle w:val="ListParagraph"/>
        <w:numPr>
          <w:ilvl w:val="1"/>
          <w:numId w:val="13"/>
        </w:numPr>
        <w:tabs>
          <w:tab w:pos="829" w:val="left" w:leader="none"/>
        </w:tabs>
        <w:spacing w:line="496" w:lineRule="auto" w:before="16" w:after="0"/>
        <w:ind w:left="828" w:right="109" w:hanging="360"/>
        <w:jc w:val="both"/>
        <w:rPr>
          <w:sz w:val="21"/>
        </w:rPr>
      </w:pPr>
      <w:r>
        <w:rPr>
          <w:w w:val="105"/>
          <w:sz w:val="21"/>
        </w:rPr>
        <w:t>El tratamiento es netamente quirúrgico, resección completa subadventicial. Pero delicado por la anatomía de la región. Por este motivo recomendamos, debe </w:t>
      </w:r>
      <w:r>
        <w:rPr>
          <w:spacing w:val="2"/>
          <w:w w:val="105"/>
          <w:sz w:val="21"/>
        </w:rPr>
        <w:t>ser </w:t>
      </w:r>
      <w:r>
        <w:rPr>
          <w:w w:val="105"/>
          <w:sz w:val="21"/>
        </w:rPr>
        <w:t>manejada por personal con experiencia plena en la región del cuello y capacitada para resolver lesiones vasculares. Lo cual garantizada al paciente un mejor pronostico, curación y disminuir los índices de</w:t>
      </w:r>
      <w:r>
        <w:rPr>
          <w:spacing w:val="-36"/>
          <w:w w:val="105"/>
          <w:sz w:val="21"/>
        </w:rPr>
        <w:t> </w:t>
      </w:r>
      <w:r>
        <w:rPr>
          <w:w w:val="105"/>
          <w:sz w:val="21"/>
        </w:rPr>
        <w:t>morbimortalidad.</w:t>
      </w:r>
    </w:p>
    <w:p>
      <w:pPr>
        <w:spacing w:after="0" w:line="496" w:lineRule="auto"/>
        <w:jc w:val="both"/>
        <w:rPr>
          <w:sz w:val="21"/>
        </w:rPr>
        <w:sectPr>
          <w:pgSz w:w="12240" w:h="15840"/>
          <w:pgMar w:header="0" w:footer="687" w:top="1500" w:bottom="940" w:left="1600" w:right="1580"/>
        </w:sectPr>
      </w:pPr>
    </w:p>
    <w:p>
      <w:pPr>
        <w:pStyle w:val="ListParagraph"/>
        <w:numPr>
          <w:ilvl w:val="1"/>
          <w:numId w:val="13"/>
        </w:numPr>
        <w:tabs>
          <w:tab w:pos="829" w:val="left" w:leader="none"/>
        </w:tabs>
        <w:spacing w:line="496" w:lineRule="auto" w:before="50" w:after="0"/>
        <w:ind w:left="828" w:right="109" w:hanging="360"/>
        <w:jc w:val="both"/>
        <w:rPr>
          <w:sz w:val="21"/>
        </w:rPr>
      </w:pPr>
      <w:r>
        <w:rPr>
          <w:w w:val="105"/>
          <w:sz w:val="21"/>
        </w:rPr>
        <w:t>Los resultados en el servicio son adecuados, sin embargo existe una necesidad de continuar el estudio analizando la actividad funcional del tumor y seguimiento posterior a la cirugía, puntos que deberán ser considerados prospectivamente en estudios subsecuentes y en la practica clínica</w:t>
      </w:r>
      <w:r>
        <w:rPr>
          <w:spacing w:val="-31"/>
          <w:w w:val="105"/>
          <w:sz w:val="21"/>
        </w:rPr>
        <w:t> </w:t>
      </w:r>
      <w:r>
        <w:rPr>
          <w:w w:val="105"/>
          <w:sz w:val="21"/>
        </w:rPr>
        <w:t>diaria.</w:t>
      </w:r>
    </w:p>
    <w:p>
      <w:pPr>
        <w:pStyle w:val="Heading3"/>
        <w:numPr>
          <w:ilvl w:val="0"/>
          <w:numId w:val="13"/>
        </w:numPr>
        <w:tabs>
          <w:tab w:pos="922" w:val="left" w:leader="none"/>
        </w:tabs>
        <w:spacing w:line="240" w:lineRule="auto" w:before="11" w:after="0"/>
        <w:ind w:left="921" w:right="0" w:hanging="453"/>
        <w:jc w:val="left"/>
      </w:pPr>
      <w:bookmarkStart w:name="_TOC_250002" w:id="22"/>
      <w:bookmarkEnd w:id="22"/>
      <w:r>
        <w:rPr>
          <w:spacing w:val="2"/>
          <w:w w:val="105"/>
        </w:rPr>
        <w:t>RECOMENDACIONES</w:t>
      </w:r>
    </w:p>
    <w:p>
      <w:pPr>
        <w:pStyle w:val="BodyText"/>
        <w:spacing w:before="9"/>
        <w:rPr>
          <w:b/>
          <w:sz w:val="22"/>
        </w:rPr>
      </w:pPr>
    </w:p>
    <w:p>
      <w:pPr>
        <w:pStyle w:val="BodyText"/>
        <w:spacing w:line="504" w:lineRule="auto"/>
        <w:ind w:left="468" w:right="111"/>
        <w:jc w:val="both"/>
      </w:pPr>
      <w:r>
        <w:rPr>
          <w:w w:val="105"/>
        </w:rPr>
        <w:t>Recomendamos dar seguimiento a nuestra investigación, ahora bajo la premisa costo- beneficio de mantener a un paciente en protocolo de estudio de tumoración de cuerpo carotideo.</w:t>
      </w:r>
    </w:p>
    <w:p>
      <w:pPr>
        <w:pStyle w:val="BodyText"/>
        <w:spacing w:line="501" w:lineRule="auto" w:before="9"/>
        <w:ind w:left="468" w:right="113"/>
        <w:jc w:val="both"/>
      </w:pPr>
      <w:r>
        <w:rPr>
          <w:spacing w:val="2"/>
          <w:w w:val="105"/>
        </w:rPr>
        <w:t>Recomendamos</w:t>
      </w:r>
      <w:r>
        <w:rPr>
          <w:spacing w:val="-19"/>
          <w:w w:val="105"/>
        </w:rPr>
        <w:t> </w:t>
      </w:r>
      <w:r>
        <w:rPr>
          <w:w w:val="105"/>
        </w:rPr>
        <w:t>actualizar</w:t>
      </w:r>
      <w:r>
        <w:rPr>
          <w:spacing w:val="-19"/>
          <w:w w:val="105"/>
        </w:rPr>
        <w:t> </w:t>
      </w:r>
      <w:r>
        <w:rPr>
          <w:w w:val="105"/>
        </w:rPr>
        <w:t>la</w:t>
      </w:r>
      <w:r>
        <w:rPr>
          <w:spacing w:val="-19"/>
          <w:w w:val="105"/>
        </w:rPr>
        <w:t> </w:t>
      </w:r>
      <w:r>
        <w:rPr>
          <w:w w:val="105"/>
        </w:rPr>
        <w:t>base</w:t>
      </w:r>
      <w:r>
        <w:rPr>
          <w:spacing w:val="-19"/>
          <w:w w:val="105"/>
        </w:rPr>
        <w:t> </w:t>
      </w:r>
      <w:r>
        <w:rPr>
          <w:w w:val="105"/>
        </w:rPr>
        <w:t>de</w:t>
      </w:r>
      <w:r>
        <w:rPr>
          <w:spacing w:val="-19"/>
          <w:w w:val="105"/>
        </w:rPr>
        <w:t> </w:t>
      </w:r>
      <w:r>
        <w:rPr>
          <w:w w:val="105"/>
        </w:rPr>
        <w:t>datos</w:t>
      </w:r>
      <w:r>
        <w:rPr>
          <w:spacing w:val="-19"/>
          <w:w w:val="105"/>
        </w:rPr>
        <w:t> </w:t>
      </w:r>
      <w:r>
        <w:rPr>
          <w:w w:val="105"/>
        </w:rPr>
        <w:t>de</w:t>
      </w:r>
      <w:r>
        <w:rPr>
          <w:spacing w:val="-19"/>
          <w:w w:val="105"/>
        </w:rPr>
        <w:t> </w:t>
      </w:r>
      <w:r>
        <w:rPr>
          <w:w w:val="105"/>
        </w:rPr>
        <w:t>pacientes</w:t>
      </w:r>
      <w:r>
        <w:rPr>
          <w:spacing w:val="-19"/>
          <w:w w:val="105"/>
        </w:rPr>
        <w:t> </w:t>
      </w:r>
      <w:r>
        <w:rPr>
          <w:w w:val="105"/>
        </w:rPr>
        <w:t>con</w:t>
      </w:r>
      <w:r>
        <w:rPr>
          <w:spacing w:val="-19"/>
          <w:w w:val="105"/>
        </w:rPr>
        <w:t> </w:t>
      </w:r>
      <w:r>
        <w:rPr>
          <w:w w:val="105"/>
        </w:rPr>
        <w:t>tumor</w:t>
      </w:r>
      <w:r>
        <w:rPr>
          <w:spacing w:val="-19"/>
          <w:w w:val="105"/>
        </w:rPr>
        <w:t> </w:t>
      </w:r>
      <w:r>
        <w:rPr>
          <w:w w:val="105"/>
        </w:rPr>
        <w:t>de</w:t>
      </w:r>
      <w:r>
        <w:rPr>
          <w:spacing w:val="-19"/>
          <w:w w:val="105"/>
        </w:rPr>
        <w:t> </w:t>
      </w:r>
      <w:r>
        <w:rPr>
          <w:w w:val="105"/>
        </w:rPr>
        <w:t>cuerpo</w:t>
      </w:r>
      <w:r>
        <w:rPr>
          <w:spacing w:val="-19"/>
          <w:w w:val="105"/>
        </w:rPr>
        <w:t> </w:t>
      </w:r>
      <w:r>
        <w:rPr>
          <w:w w:val="105"/>
        </w:rPr>
        <w:t>carotideo y su seguimiento postoperatorio, con la finalidad de identificar las probables complicaciones y</w:t>
      </w:r>
      <w:r>
        <w:rPr>
          <w:spacing w:val="-21"/>
          <w:w w:val="105"/>
        </w:rPr>
        <w:t> </w:t>
      </w:r>
      <w:r>
        <w:rPr>
          <w:w w:val="105"/>
        </w:rPr>
        <w:t>morbi-mortalidad.</w:t>
      </w:r>
    </w:p>
    <w:p>
      <w:pPr>
        <w:pStyle w:val="BodyText"/>
        <w:rPr>
          <w:sz w:val="22"/>
        </w:rPr>
      </w:pPr>
    </w:p>
    <w:p>
      <w:pPr>
        <w:pStyle w:val="BodyText"/>
        <w:spacing w:before="2"/>
        <w:rPr>
          <w:sz w:val="26"/>
        </w:rPr>
      </w:pPr>
    </w:p>
    <w:p>
      <w:pPr>
        <w:pStyle w:val="Heading1"/>
        <w:numPr>
          <w:ilvl w:val="0"/>
          <w:numId w:val="13"/>
        </w:numPr>
        <w:tabs>
          <w:tab w:pos="629" w:val="left" w:leader="none"/>
        </w:tabs>
        <w:spacing w:line="240" w:lineRule="auto" w:before="0" w:after="0"/>
        <w:ind w:left="628" w:right="0" w:hanging="520"/>
        <w:jc w:val="left"/>
      </w:pPr>
      <w:bookmarkStart w:name="_TOC_250001" w:id="23"/>
      <w:bookmarkEnd w:id="23"/>
      <w:r>
        <w:rPr/>
        <w:t>BIBLIOGRAFIA</w:t>
      </w:r>
    </w:p>
    <w:p>
      <w:pPr>
        <w:pStyle w:val="BodyText"/>
        <w:rPr>
          <w:b/>
          <w:sz w:val="24"/>
        </w:rPr>
      </w:pPr>
    </w:p>
    <w:p>
      <w:pPr>
        <w:pStyle w:val="BodyText"/>
        <w:spacing w:before="2"/>
        <w:rPr>
          <w:b/>
          <w:sz w:val="24"/>
        </w:rPr>
      </w:pPr>
    </w:p>
    <w:p>
      <w:pPr>
        <w:pStyle w:val="Heading2"/>
        <w:numPr>
          <w:ilvl w:val="0"/>
          <w:numId w:val="14"/>
        </w:numPr>
        <w:tabs>
          <w:tab w:pos="752" w:val="left" w:leader="none"/>
        </w:tabs>
        <w:spacing w:line="360" w:lineRule="auto" w:before="0" w:after="0"/>
        <w:ind w:left="751" w:right="111" w:hanging="360"/>
        <w:jc w:val="both"/>
      </w:pPr>
      <w:r>
        <w:rPr/>
        <w:t>Myssiorek D. Head and neck paragangliomas: an overview. Otolaryngology Clin North Am 2001; 34:</w:t>
      </w:r>
      <w:r>
        <w:rPr>
          <w:spacing w:val="-8"/>
        </w:rPr>
        <w:t> </w:t>
      </w:r>
      <w:r>
        <w:rPr/>
        <w:t>829-836.</w:t>
      </w:r>
    </w:p>
    <w:p>
      <w:pPr>
        <w:pStyle w:val="ListParagraph"/>
        <w:numPr>
          <w:ilvl w:val="0"/>
          <w:numId w:val="14"/>
        </w:numPr>
        <w:tabs>
          <w:tab w:pos="752" w:val="left" w:leader="none"/>
        </w:tabs>
        <w:spacing w:line="360" w:lineRule="auto" w:before="7" w:after="0"/>
        <w:ind w:left="751" w:right="111" w:hanging="360"/>
        <w:jc w:val="both"/>
        <w:rPr>
          <w:sz w:val="24"/>
        </w:rPr>
      </w:pPr>
      <w:r>
        <w:rPr>
          <w:sz w:val="24"/>
        </w:rPr>
        <w:t>Wasserman PG, Savargaonkar P. Paragangliomas: classification, pathology, and differential diagnosis. Otolaryngology Clin North Am 2001; 34:</w:t>
      </w:r>
      <w:r>
        <w:rPr>
          <w:spacing w:val="-6"/>
          <w:sz w:val="24"/>
        </w:rPr>
        <w:t> </w:t>
      </w:r>
      <w:r>
        <w:rPr>
          <w:sz w:val="24"/>
        </w:rPr>
        <w:t>845-862.</w:t>
      </w:r>
    </w:p>
    <w:p>
      <w:pPr>
        <w:pStyle w:val="ListParagraph"/>
        <w:numPr>
          <w:ilvl w:val="0"/>
          <w:numId w:val="14"/>
        </w:numPr>
        <w:tabs>
          <w:tab w:pos="752" w:val="left" w:leader="none"/>
        </w:tabs>
        <w:spacing w:line="360" w:lineRule="auto" w:before="2" w:after="0"/>
        <w:ind w:left="751" w:right="111" w:hanging="360"/>
        <w:jc w:val="both"/>
        <w:rPr>
          <w:sz w:val="24"/>
        </w:rPr>
      </w:pPr>
      <w:r>
        <w:rPr>
          <w:sz w:val="24"/>
        </w:rPr>
        <w:t>Jyung RW, Leclair EE, Bernat RA, et al. Expression of angiogenic growth factors in paragangliomas. Laryngoscope 2000; 110:</w:t>
      </w:r>
      <w:r>
        <w:rPr>
          <w:spacing w:val="-6"/>
          <w:sz w:val="24"/>
        </w:rPr>
        <w:t> </w:t>
      </w:r>
      <w:r>
        <w:rPr>
          <w:sz w:val="24"/>
        </w:rPr>
        <w:t>161-167.</w:t>
      </w:r>
    </w:p>
    <w:p>
      <w:pPr>
        <w:pStyle w:val="ListParagraph"/>
        <w:numPr>
          <w:ilvl w:val="0"/>
          <w:numId w:val="14"/>
        </w:numPr>
        <w:tabs>
          <w:tab w:pos="752" w:val="left" w:leader="none"/>
        </w:tabs>
        <w:spacing w:line="360" w:lineRule="auto" w:before="7" w:after="0"/>
        <w:ind w:left="751" w:right="110" w:hanging="360"/>
        <w:jc w:val="both"/>
        <w:rPr>
          <w:sz w:val="24"/>
        </w:rPr>
      </w:pPr>
      <w:r>
        <w:rPr>
          <w:sz w:val="24"/>
        </w:rPr>
        <w:t>Drovdlic CM, Myers EN, Peters JA, et al. Proportion of heritable paraganglioma cases and associated clinical characteristics. Laryngoscope 2001; 111:</w:t>
      </w:r>
      <w:r>
        <w:rPr>
          <w:spacing w:val="-13"/>
          <w:sz w:val="24"/>
        </w:rPr>
        <w:t> </w:t>
      </w:r>
      <w:r>
        <w:rPr>
          <w:sz w:val="24"/>
        </w:rPr>
        <w:t>1822-1827.</w:t>
      </w:r>
    </w:p>
    <w:p>
      <w:pPr>
        <w:pStyle w:val="ListParagraph"/>
        <w:numPr>
          <w:ilvl w:val="0"/>
          <w:numId w:val="14"/>
        </w:numPr>
        <w:tabs>
          <w:tab w:pos="752" w:val="left" w:leader="none"/>
        </w:tabs>
        <w:spacing w:line="360" w:lineRule="auto" w:before="2" w:after="0"/>
        <w:ind w:left="751" w:right="110" w:hanging="360"/>
        <w:jc w:val="both"/>
        <w:rPr>
          <w:sz w:val="24"/>
        </w:rPr>
      </w:pPr>
      <w:r>
        <w:rPr>
          <w:sz w:val="24"/>
        </w:rPr>
        <w:t>Baysal BE, Ferrel RE, WillettBrozik JE, et al. Mutations in SDHD, a mitochondrial complex II gene, in hereditary paraganglioma. Science 2000; 287:</w:t>
      </w:r>
      <w:r>
        <w:rPr>
          <w:spacing w:val="-8"/>
          <w:sz w:val="24"/>
        </w:rPr>
        <w:t> </w:t>
      </w:r>
      <w:r>
        <w:rPr>
          <w:sz w:val="24"/>
        </w:rPr>
        <w:t>848-851.</w:t>
      </w:r>
    </w:p>
    <w:p>
      <w:pPr>
        <w:pStyle w:val="ListParagraph"/>
        <w:numPr>
          <w:ilvl w:val="0"/>
          <w:numId w:val="14"/>
        </w:numPr>
        <w:tabs>
          <w:tab w:pos="752" w:val="left" w:leader="none"/>
        </w:tabs>
        <w:spacing w:line="360" w:lineRule="auto" w:before="2" w:after="0"/>
        <w:ind w:left="751" w:right="111" w:hanging="360"/>
        <w:jc w:val="both"/>
        <w:rPr>
          <w:sz w:val="24"/>
        </w:rPr>
      </w:pPr>
      <w:r>
        <w:rPr>
          <w:sz w:val="24"/>
        </w:rPr>
        <w:t>Jordan JA, Roland PS, Mcmanus C, Weiner RL, Giller CA. Stereotactic radiosurgery for glomus jugulare tumors. Laryngoscope 2000; 110:</w:t>
      </w:r>
      <w:r>
        <w:rPr>
          <w:spacing w:val="-3"/>
          <w:sz w:val="24"/>
        </w:rPr>
        <w:t> </w:t>
      </w:r>
      <w:r>
        <w:rPr>
          <w:sz w:val="24"/>
        </w:rPr>
        <w:t>35-8.</w:t>
      </w:r>
    </w:p>
    <w:p>
      <w:pPr>
        <w:spacing w:after="0" w:line="360" w:lineRule="auto"/>
        <w:jc w:val="both"/>
        <w:rPr>
          <w:sz w:val="24"/>
        </w:rPr>
        <w:sectPr>
          <w:pgSz w:w="12240" w:h="15840"/>
          <w:pgMar w:header="0" w:footer="687" w:top="1380" w:bottom="940" w:left="1600" w:right="1580"/>
        </w:sectPr>
      </w:pPr>
    </w:p>
    <w:p>
      <w:pPr>
        <w:pStyle w:val="ListParagraph"/>
        <w:numPr>
          <w:ilvl w:val="0"/>
          <w:numId w:val="14"/>
        </w:numPr>
        <w:tabs>
          <w:tab w:pos="632" w:val="left" w:leader="none"/>
        </w:tabs>
        <w:spacing w:line="360" w:lineRule="auto" w:before="41" w:after="0"/>
        <w:ind w:left="631" w:right="111" w:hanging="360"/>
        <w:jc w:val="both"/>
        <w:rPr>
          <w:sz w:val="24"/>
        </w:rPr>
      </w:pPr>
      <w:r>
        <w:rPr>
          <w:sz w:val="24"/>
        </w:rPr>
        <w:t>Maarouf M, Voges J, Landwehr P, et al. Stereotactic linear acceleraterbased radiosurgery</w:t>
      </w:r>
      <w:r>
        <w:rPr>
          <w:spacing w:val="-11"/>
          <w:sz w:val="24"/>
        </w:rPr>
        <w:t> </w:t>
      </w:r>
      <w:r>
        <w:rPr>
          <w:sz w:val="24"/>
        </w:rPr>
        <w:t>for</w:t>
      </w:r>
      <w:r>
        <w:rPr>
          <w:spacing w:val="-11"/>
          <w:sz w:val="24"/>
        </w:rPr>
        <w:t> </w:t>
      </w:r>
      <w:r>
        <w:rPr>
          <w:sz w:val="24"/>
        </w:rPr>
        <w:t>the</w:t>
      </w:r>
      <w:r>
        <w:rPr>
          <w:spacing w:val="-11"/>
          <w:sz w:val="24"/>
        </w:rPr>
        <w:t> </w:t>
      </w:r>
      <w:r>
        <w:rPr>
          <w:sz w:val="24"/>
        </w:rPr>
        <w:t>treatment</w:t>
      </w:r>
      <w:r>
        <w:rPr>
          <w:spacing w:val="-11"/>
          <w:sz w:val="24"/>
        </w:rPr>
        <w:t> </w:t>
      </w:r>
      <w:r>
        <w:rPr>
          <w:sz w:val="24"/>
        </w:rPr>
        <w:t>of</w:t>
      </w:r>
      <w:r>
        <w:rPr>
          <w:spacing w:val="-11"/>
          <w:sz w:val="24"/>
        </w:rPr>
        <w:t> </w:t>
      </w:r>
      <w:r>
        <w:rPr>
          <w:sz w:val="24"/>
        </w:rPr>
        <w:t>patients</w:t>
      </w:r>
      <w:r>
        <w:rPr>
          <w:spacing w:val="-11"/>
          <w:sz w:val="24"/>
        </w:rPr>
        <w:t> </w:t>
      </w:r>
      <w:r>
        <w:rPr>
          <w:sz w:val="24"/>
        </w:rPr>
        <w:t>with</w:t>
      </w:r>
      <w:r>
        <w:rPr>
          <w:spacing w:val="-11"/>
          <w:sz w:val="24"/>
        </w:rPr>
        <w:t> </w:t>
      </w:r>
      <w:r>
        <w:rPr>
          <w:sz w:val="24"/>
        </w:rPr>
        <w:t>glomus</w:t>
      </w:r>
      <w:r>
        <w:rPr>
          <w:spacing w:val="-11"/>
          <w:sz w:val="24"/>
        </w:rPr>
        <w:t> </w:t>
      </w:r>
      <w:r>
        <w:rPr>
          <w:sz w:val="24"/>
        </w:rPr>
        <w:t>jugulare</w:t>
      </w:r>
      <w:r>
        <w:rPr>
          <w:spacing w:val="-11"/>
          <w:sz w:val="24"/>
        </w:rPr>
        <w:t> </w:t>
      </w:r>
      <w:r>
        <w:rPr>
          <w:sz w:val="24"/>
        </w:rPr>
        <w:t>tumors.</w:t>
      </w:r>
      <w:r>
        <w:rPr>
          <w:spacing w:val="-11"/>
          <w:sz w:val="24"/>
        </w:rPr>
        <w:t> </w:t>
      </w:r>
      <w:r>
        <w:rPr>
          <w:sz w:val="24"/>
        </w:rPr>
        <w:t>Cancer 2003; 97:</w:t>
      </w:r>
      <w:r>
        <w:rPr>
          <w:spacing w:val="-12"/>
          <w:sz w:val="24"/>
        </w:rPr>
        <w:t> </w:t>
      </w:r>
      <w:r>
        <w:rPr>
          <w:sz w:val="24"/>
        </w:rPr>
        <w:t>1093-1098.</w:t>
      </w:r>
    </w:p>
    <w:p>
      <w:pPr>
        <w:pStyle w:val="ListParagraph"/>
        <w:numPr>
          <w:ilvl w:val="0"/>
          <w:numId w:val="14"/>
        </w:numPr>
        <w:tabs>
          <w:tab w:pos="632" w:val="left" w:leader="none"/>
        </w:tabs>
        <w:spacing w:line="360" w:lineRule="auto" w:before="2" w:after="0"/>
        <w:ind w:left="631" w:right="111" w:hanging="360"/>
        <w:jc w:val="both"/>
        <w:rPr>
          <w:sz w:val="24"/>
        </w:rPr>
      </w:pPr>
      <w:r>
        <w:rPr>
          <w:sz w:val="24"/>
        </w:rPr>
        <w:t>Stoeckli SJ, Schuknecht B, Alkadhi H, Fisch U. Evaluation of</w:t>
      </w:r>
      <w:r>
        <w:rPr>
          <w:spacing w:val="-10"/>
          <w:sz w:val="24"/>
        </w:rPr>
        <w:t> </w:t>
      </w:r>
      <w:r>
        <w:rPr>
          <w:sz w:val="24"/>
        </w:rPr>
        <w:t>paragangliomas presenting</w:t>
      </w:r>
      <w:r>
        <w:rPr>
          <w:spacing w:val="-8"/>
          <w:sz w:val="24"/>
        </w:rPr>
        <w:t> </w:t>
      </w:r>
      <w:r>
        <w:rPr>
          <w:sz w:val="24"/>
        </w:rPr>
        <w:t>as</w:t>
      </w:r>
      <w:r>
        <w:rPr>
          <w:spacing w:val="-8"/>
          <w:sz w:val="24"/>
        </w:rPr>
        <w:t> </w:t>
      </w:r>
      <w:r>
        <w:rPr>
          <w:sz w:val="24"/>
        </w:rPr>
        <w:t>a</w:t>
      </w:r>
      <w:r>
        <w:rPr>
          <w:spacing w:val="-9"/>
          <w:sz w:val="24"/>
        </w:rPr>
        <w:t> </w:t>
      </w:r>
      <w:r>
        <w:rPr>
          <w:sz w:val="24"/>
        </w:rPr>
        <w:t>cervical</w:t>
      </w:r>
      <w:r>
        <w:rPr>
          <w:spacing w:val="-8"/>
          <w:sz w:val="24"/>
        </w:rPr>
        <w:t> </w:t>
      </w:r>
      <w:r>
        <w:rPr>
          <w:sz w:val="24"/>
        </w:rPr>
        <w:t>colorcoded</w:t>
      </w:r>
      <w:r>
        <w:rPr>
          <w:spacing w:val="-8"/>
          <w:sz w:val="24"/>
        </w:rPr>
        <w:t> </w:t>
      </w:r>
      <w:r>
        <w:rPr>
          <w:sz w:val="24"/>
        </w:rPr>
        <w:t>doppler</w:t>
      </w:r>
      <w:r>
        <w:rPr>
          <w:spacing w:val="-8"/>
          <w:sz w:val="24"/>
        </w:rPr>
        <w:t> </w:t>
      </w:r>
      <w:r>
        <w:rPr>
          <w:sz w:val="24"/>
        </w:rPr>
        <w:t>sonography.</w:t>
      </w:r>
      <w:r>
        <w:rPr>
          <w:spacing w:val="-9"/>
          <w:sz w:val="24"/>
        </w:rPr>
        <w:t> </w:t>
      </w:r>
      <w:r>
        <w:rPr>
          <w:sz w:val="24"/>
        </w:rPr>
        <w:t>Laryngoscope</w:t>
      </w:r>
      <w:r>
        <w:rPr>
          <w:spacing w:val="-8"/>
          <w:sz w:val="24"/>
        </w:rPr>
        <w:t> </w:t>
      </w:r>
      <w:r>
        <w:rPr>
          <w:sz w:val="24"/>
        </w:rPr>
        <w:t>2002; 112:</w:t>
      </w:r>
      <w:r>
        <w:rPr>
          <w:spacing w:val="-4"/>
          <w:sz w:val="24"/>
        </w:rPr>
        <w:t> </w:t>
      </w:r>
      <w:r>
        <w:rPr>
          <w:sz w:val="24"/>
        </w:rPr>
        <w:t>143-146.</w:t>
      </w:r>
    </w:p>
    <w:p>
      <w:pPr>
        <w:pStyle w:val="ListParagraph"/>
        <w:numPr>
          <w:ilvl w:val="0"/>
          <w:numId w:val="14"/>
        </w:numPr>
        <w:tabs>
          <w:tab w:pos="632" w:val="left" w:leader="none"/>
        </w:tabs>
        <w:spacing w:line="360" w:lineRule="auto" w:before="7" w:after="0"/>
        <w:ind w:left="631" w:right="111" w:hanging="360"/>
        <w:jc w:val="both"/>
        <w:rPr>
          <w:sz w:val="24"/>
        </w:rPr>
      </w:pPr>
      <w:r>
        <w:rPr>
          <w:color w:val="262626"/>
          <w:sz w:val="24"/>
        </w:rPr>
        <w:t>Jin ZQ</w:t>
      </w:r>
      <w:r>
        <w:rPr>
          <w:sz w:val="24"/>
        </w:rPr>
        <w:t>, </w:t>
      </w:r>
      <w:r>
        <w:rPr>
          <w:color w:val="262626"/>
          <w:sz w:val="24"/>
        </w:rPr>
        <w:t>He W</w:t>
      </w:r>
      <w:r>
        <w:rPr>
          <w:sz w:val="24"/>
        </w:rPr>
        <w:t>, </w:t>
      </w:r>
      <w:r>
        <w:rPr>
          <w:color w:val="262626"/>
          <w:sz w:val="24"/>
        </w:rPr>
        <w:t>Wu DF</w:t>
      </w:r>
      <w:r>
        <w:rPr>
          <w:sz w:val="24"/>
        </w:rPr>
        <w:t>, </w:t>
      </w:r>
      <w:r>
        <w:rPr>
          <w:color w:val="262626"/>
          <w:sz w:val="24"/>
        </w:rPr>
        <w:t>Lin MY</w:t>
      </w:r>
      <w:r>
        <w:rPr>
          <w:sz w:val="24"/>
        </w:rPr>
        <w:t>, </w:t>
      </w:r>
      <w:r>
        <w:rPr>
          <w:color w:val="262626"/>
          <w:sz w:val="24"/>
        </w:rPr>
        <w:t>Jiang HT</w:t>
      </w:r>
      <w:r>
        <w:rPr>
          <w:sz w:val="24"/>
        </w:rPr>
        <w:t>. Color Doppler Ultrasound in Diagnosis and Assessment of Carotid Body Tumors: Comparison with Computed Tomography Angiography. </w:t>
      </w:r>
      <w:r>
        <w:rPr>
          <w:color w:val="262626"/>
          <w:sz w:val="24"/>
        </w:rPr>
        <w:t>Ultrasound Med Biol </w:t>
      </w:r>
      <w:r>
        <w:rPr>
          <w:sz w:val="24"/>
        </w:rPr>
        <w:t>2016;</w:t>
      </w:r>
      <w:r>
        <w:rPr>
          <w:spacing w:val="-7"/>
          <w:sz w:val="24"/>
        </w:rPr>
        <w:t> </w:t>
      </w:r>
      <w:r>
        <w:rPr>
          <w:sz w:val="24"/>
        </w:rPr>
        <w:t>134:1-8.</w:t>
      </w:r>
    </w:p>
    <w:p>
      <w:pPr>
        <w:pStyle w:val="ListParagraph"/>
        <w:numPr>
          <w:ilvl w:val="0"/>
          <w:numId w:val="14"/>
        </w:numPr>
        <w:tabs>
          <w:tab w:pos="632" w:val="left" w:leader="none"/>
        </w:tabs>
        <w:spacing w:line="362" w:lineRule="auto" w:before="2" w:after="0"/>
        <w:ind w:left="631" w:right="111" w:hanging="360"/>
        <w:jc w:val="both"/>
        <w:rPr>
          <w:sz w:val="24"/>
        </w:rPr>
      </w:pPr>
      <w:r>
        <w:rPr>
          <w:sz w:val="24"/>
        </w:rPr>
        <w:t>Bustillo A, Telischi FF. Octeotride scintigraphyin the detection of recurrent parangliomas. Otolaryngol Head Neck Surg 2004; 130:</w:t>
      </w:r>
      <w:r>
        <w:rPr>
          <w:spacing w:val="-1"/>
          <w:sz w:val="24"/>
        </w:rPr>
        <w:t> </w:t>
      </w:r>
      <w:r>
        <w:rPr>
          <w:sz w:val="24"/>
        </w:rPr>
        <w:t>479-482.</w:t>
      </w:r>
    </w:p>
    <w:p>
      <w:pPr>
        <w:pStyle w:val="ListParagraph"/>
        <w:numPr>
          <w:ilvl w:val="0"/>
          <w:numId w:val="14"/>
        </w:numPr>
        <w:tabs>
          <w:tab w:pos="632" w:val="left" w:leader="none"/>
        </w:tabs>
        <w:spacing w:line="360" w:lineRule="auto" w:before="0" w:after="0"/>
        <w:ind w:left="631" w:right="111" w:hanging="360"/>
        <w:jc w:val="both"/>
        <w:rPr>
          <w:sz w:val="24"/>
        </w:rPr>
      </w:pPr>
      <w:r>
        <w:rPr>
          <w:sz w:val="24"/>
        </w:rPr>
        <w:t>Luna Ortiz K. Et al. Carotid body tumors: review of a 20 year experience.</w:t>
      </w:r>
      <w:r>
        <w:rPr>
          <w:spacing w:val="-42"/>
          <w:sz w:val="24"/>
        </w:rPr>
        <w:t> </w:t>
      </w:r>
      <w:r>
        <w:rPr>
          <w:sz w:val="24"/>
        </w:rPr>
        <w:t>Oral Oncol 2005;</w:t>
      </w:r>
      <w:r>
        <w:rPr>
          <w:spacing w:val="-1"/>
          <w:sz w:val="24"/>
        </w:rPr>
        <w:t> </w:t>
      </w:r>
      <w:r>
        <w:rPr>
          <w:sz w:val="24"/>
        </w:rPr>
        <w:t>41:56-61.</w:t>
      </w:r>
    </w:p>
    <w:p>
      <w:pPr>
        <w:pStyle w:val="ListParagraph"/>
        <w:numPr>
          <w:ilvl w:val="0"/>
          <w:numId w:val="14"/>
        </w:numPr>
        <w:tabs>
          <w:tab w:pos="632" w:val="left" w:leader="none"/>
        </w:tabs>
        <w:spacing w:line="362" w:lineRule="auto" w:before="2" w:after="0"/>
        <w:ind w:left="631" w:right="111" w:hanging="360"/>
        <w:jc w:val="both"/>
        <w:rPr>
          <w:sz w:val="24"/>
        </w:rPr>
      </w:pPr>
      <w:r>
        <w:rPr>
          <w:sz w:val="24"/>
        </w:rPr>
        <w:t>Diez Porres L, et al. Paraganglioma multicentrico: cuidado con la cirugía.</w:t>
      </w:r>
      <w:r>
        <w:rPr>
          <w:spacing w:val="-44"/>
          <w:sz w:val="24"/>
        </w:rPr>
        <w:t> </w:t>
      </w:r>
      <w:r>
        <w:rPr>
          <w:sz w:val="24"/>
        </w:rPr>
        <w:t>Rev Clin Esp 2003; 203,</w:t>
      </w:r>
      <w:r>
        <w:rPr>
          <w:spacing w:val="-1"/>
          <w:sz w:val="24"/>
        </w:rPr>
        <w:t> </w:t>
      </w:r>
      <w:r>
        <w:rPr>
          <w:sz w:val="24"/>
        </w:rPr>
        <w:t>434-438.</w:t>
      </w:r>
    </w:p>
    <w:p>
      <w:pPr>
        <w:pStyle w:val="ListParagraph"/>
        <w:numPr>
          <w:ilvl w:val="0"/>
          <w:numId w:val="14"/>
        </w:numPr>
        <w:tabs>
          <w:tab w:pos="632" w:val="left" w:leader="none"/>
        </w:tabs>
        <w:spacing w:line="360" w:lineRule="auto" w:before="0" w:after="0"/>
        <w:ind w:left="631" w:right="111" w:hanging="360"/>
        <w:jc w:val="both"/>
        <w:rPr>
          <w:sz w:val="24"/>
        </w:rPr>
      </w:pPr>
      <w:r>
        <w:rPr>
          <w:color w:val="262626"/>
          <w:sz w:val="24"/>
        </w:rPr>
        <w:t>Law</w:t>
      </w:r>
      <w:r>
        <w:rPr>
          <w:color w:val="262626"/>
          <w:spacing w:val="-6"/>
          <w:sz w:val="24"/>
        </w:rPr>
        <w:t> </w:t>
      </w:r>
      <w:r>
        <w:rPr>
          <w:color w:val="262626"/>
          <w:sz w:val="24"/>
        </w:rPr>
        <w:t>Y</w:t>
      </w:r>
      <w:r>
        <w:rPr>
          <w:sz w:val="24"/>
        </w:rPr>
        <w:t>,</w:t>
      </w:r>
      <w:r>
        <w:rPr>
          <w:spacing w:val="-6"/>
          <w:sz w:val="24"/>
        </w:rPr>
        <w:t> </w:t>
      </w:r>
      <w:r>
        <w:rPr>
          <w:color w:val="262626"/>
          <w:sz w:val="24"/>
        </w:rPr>
        <w:t>Chan</w:t>
      </w:r>
      <w:r>
        <w:rPr>
          <w:color w:val="262626"/>
          <w:spacing w:val="-6"/>
          <w:sz w:val="24"/>
        </w:rPr>
        <w:t> </w:t>
      </w:r>
      <w:r>
        <w:rPr>
          <w:color w:val="262626"/>
          <w:sz w:val="24"/>
        </w:rPr>
        <w:t>YC</w:t>
      </w:r>
      <w:r>
        <w:rPr>
          <w:sz w:val="24"/>
        </w:rPr>
        <w:t>,</w:t>
      </w:r>
      <w:r>
        <w:rPr>
          <w:spacing w:val="-6"/>
          <w:sz w:val="24"/>
        </w:rPr>
        <w:t> </w:t>
      </w:r>
      <w:r>
        <w:rPr>
          <w:color w:val="262626"/>
          <w:sz w:val="24"/>
        </w:rPr>
        <w:t>Cheng</w:t>
      </w:r>
      <w:r>
        <w:rPr>
          <w:color w:val="262626"/>
          <w:spacing w:val="-6"/>
          <w:sz w:val="24"/>
        </w:rPr>
        <w:t> </w:t>
      </w:r>
      <w:r>
        <w:rPr>
          <w:color w:val="262626"/>
          <w:sz w:val="24"/>
        </w:rPr>
        <w:t>SW</w:t>
      </w:r>
      <w:r>
        <w:rPr>
          <w:sz w:val="24"/>
        </w:rPr>
        <w:t>.</w:t>
      </w:r>
      <w:r>
        <w:rPr>
          <w:spacing w:val="-6"/>
          <w:sz w:val="24"/>
        </w:rPr>
        <w:t> </w:t>
      </w:r>
      <w:r>
        <w:rPr>
          <w:sz w:val="24"/>
        </w:rPr>
        <w:t>Surgical</w:t>
      </w:r>
      <w:r>
        <w:rPr>
          <w:spacing w:val="-6"/>
          <w:sz w:val="24"/>
        </w:rPr>
        <w:t> </w:t>
      </w:r>
      <w:r>
        <w:rPr>
          <w:sz w:val="24"/>
        </w:rPr>
        <w:t>management</w:t>
      </w:r>
      <w:r>
        <w:rPr>
          <w:spacing w:val="-6"/>
          <w:sz w:val="24"/>
        </w:rPr>
        <w:t> </w:t>
      </w:r>
      <w:r>
        <w:rPr>
          <w:sz w:val="24"/>
        </w:rPr>
        <w:t>of</w:t>
      </w:r>
      <w:r>
        <w:rPr>
          <w:spacing w:val="-6"/>
          <w:sz w:val="24"/>
        </w:rPr>
        <w:t> </w:t>
      </w:r>
      <w:r>
        <w:rPr>
          <w:sz w:val="24"/>
        </w:rPr>
        <w:t>carotid</w:t>
      </w:r>
      <w:r>
        <w:rPr>
          <w:spacing w:val="-6"/>
          <w:sz w:val="24"/>
        </w:rPr>
        <w:t> </w:t>
      </w:r>
      <w:r>
        <w:rPr>
          <w:sz w:val="24"/>
        </w:rPr>
        <w:t>body</w:t>
      </w:r>
      <w:r>
        <w:rPr>
          <w:spacing w:val="-6"/>
          <w:sz w:val="24"/>
        </w:rPr>
        <w:t> </w:t>
      </w:r>
      <w:r>
        <w:rPr>
          <w:sz w:val="24"/>
        </w:rPr>
        <w:t>tumor</w:t>
      </w:r>
      <w:r>
        <w:rPr>
          <w:spacing w:val="-6"/>
          <w:sz w:val="24"/>
        </w:rPr>
        <w:t> </w:t>
      </w:r>
      <w:r>
        <w:rPr>
          <w:sz w:val="24"/>
        </w:rPr>
        <w:t>-</w:t>
      </w:r>
      <w:r>
        <w:rPr>
          <w:spacing w:val="-6"/>
          <w:sz w:val="24"/>
        </w:rPr>
        <w:t> </w:t>
      </w:r>
      <w:r>
        <w:rPr>
          <w:sz w:val="24"/>
        </w:rPr>
        <w:t>Is Shamblin classification sufficient to predict surgical outcome?. J Vasc Diagn 2016;</w:t>
      </w:r>
      <w:r>
        <w:rPr>
          <w:spacing w:val="-5"/>
          <w:sz w:val="24"/>
        </w:rPr>
        <w:t> </w:t>
      </w:r>
      <w:r>
        <w:rPr>
          <w:sz w:val="24"/>
        </w:rPr>
        <w:t>29:1-6.</w:t>
      </w:r>
    </w:p>
    <w:p>
      <w:pPr>
        <w:pStyle w:val="ListParagraph"/>
        <w:numPr>
          <w:ilvl w:val="0"/>
          <w:numId w:val="14"/>
        </w:numPr>
        <w:tabs>
          <w:tab w:pos="632" w:val="left" w:leader="none"/>
        </w:tabs>
        <w:spacing w:line="360" w:lineRule="auto" w:before="7" w:after="0"/>
        <w:ind w:left="631" w:right="111" w:hanging="360"/>
        <w:jc w:val="both"/>
        <w:rPr>
          <w:sz w:val="24"/>
        </w:rPr>
      </w:pPr>
      <w:r>
        <w:rPr>
          <w:sz w:val="24"/>
        </w:rPr>
        <w:t>Granell M, et al. Implicaciones anestesiológicas de la exégesis de paraganglioma carotídeos. A propósito de tres casos clínicos. Rev Esp Anestesiol Reanim 2001: 48:</w:t>
      </w:r>
      <w:r>
        <w:rPr>
          <w:spacing w:val="-1"/>
          <w:sz w:val="24"/>
        </w:rPr>
        <w:t> </w:t>
      </w:r>
      <w:r>
        <w:rPr>
          <w:sz w:val="24"/>
        </w:rPr>
        <w:t>387-392.</w:t>
      </w:r>
    </w:p>
    <w:p>
      <w:pPr>
        <w:pStyle w:val="ListParagraph"/>
        <w:numPr>
          <w:ilvl w:val="0"/>
          <w:numId w:val="14"/>
        </w:numPr>
        <w:tabs>
          <w:tab w:pos="632" w:val="left" w:leader="none"/>
        </w:tabs>
        <w:spacing w:line="362" w:lineRule="auto" w:before="2" w:after="0"/>
        <w:ind w:left="631" w:right="111" w:hanging="360"/>
        <w:jc w:val="both"/>
        <w:rPr>
          <w:sz w:val="24"/>
        </w:rPr>
      </w:pPr>
      <w:r>
        <w:rPr>
          <w:sz w:val="24"/>
        </w:rPr>
        <w:t>Figueras AY, et al. Quemodectoma asociado a paraganglioma del vago: resección mediante subluxación mandibular. Angelology 2002; 54:</w:t>
      </w:r>
      <w:r>
        <w:rPr>
          <w:spacing w:val="-4"/>
          <w:sz w:val="24"/>
        </w:rPr>
        <w:t> </w:t>
      </w:r>
      <w:r>
        <w:rPr>
          <w:sz w:val="24"/>
        </w:rPr>
        <w:t>38-43.</w:t>
      </w:r>
    </w:p>
    <w:p>
      <w:pPr>
        <w:pStyle w:val="ListParagraph"/>
        <w:numPr>
          <w:ilvl w:val="0"/>
          <w:numId w:val="14"/>
        </w:numPr>
        <w:tabs>
          <w:tab w:pos="632" w:val="left" w:leader="none"/>
        </w:tabs>
        <w:spacing w:line="360" w:lineRule="auto" w:before="0" w:after="0"/>
        <w:ind w:left="631" w:right="111" w:hanging="360"/>
        <w:jc w:val="both"/>
        <w:rPr>
          <w:sz w:val="24"/>
        </w:rPr>
      </w:pPr>
      <w:r>
        <w:rPr>
          <w:sz w:val="24"/>
        </w:rPr>
        <w:t>Rodríguez CH, et al. High-altitude paraganglioma: diagnostic and therapeutic considerations. Cancer 1986; 57:</w:t>
      </w:r>
      <w:r>
        <w:rPr>
          <w:spacing w:val="-5"/>
          <w:sz w:val="24"/>
        </w:rPr>
        <w:t> </w:t>
      </w:r>
      <w:r>
        <w:rPr>
          <w:sz w:val="24"/>
        </w:rPr>
        <w:t>672-676.</w:t>
      </w:r>
    </w:p>
    <w:p>
      <w:pPr>
        <w:pStyle w:val="ListParagraph"/>
        <w:numPr>
          <w:ilvl w:val="0"/>
          <w:numId w:val="14"/>
        </w:numPr>
        <w:tabs>
          <w:tab w:pos="632" w:val="left" w:leader="none"/>
        </w:tabs>
        <w:spacing w:line="360" w:lineRule="auto" w:before="2" w:after="0"/>
        <w:ind w:left="631" w:right="110" w:hanging="360"/>
        <w:jc w:val="both"/>
        <w:rPr>
          <w:sz w:val="24"/>
        </w:rPr>
      </w:pPr>
      <w:r>
        <w:rPr>
          <w:sz w:val="24"/>
        </w:rPr>
        <w:t>Davidovic LB, et al. Diagnosis and treatment of carotid body paraganglioma: 21 year of experience at clinical center of Serbia. World J Sur Oncol 2005; 3: 10.</w:t>
      </w:r>
    </w:p>
    <w:p>
      <w:pPr>
        <w:pStyle w:val="ListParagraph"/>
        <w:numPr>
          <w:ilvl w:val="0"/>
          <w:numId w:val="14"/>
        </w:numPr>
        <w:tabs>
          <w:tab w:pos="632" w:val="left" w:leader="none"/>
        </w:tabs>
        <w:spacing w:line="360" w:lineRule="auto" w:before="2" w:after="0"/>
        <w:ind w:left="631" w:right="111" w:hanging="360"/>
        <w:jc w:val="both"/>
        <w:rPr>
          <w:sz w:val="24"/>
        </w:rPr>
      </w:pPr>
      <w:r>
        <w:rPr>
          <w:sz w:val="24"/>
        </w:rPr>
        <w:t>Miselli A, et al. Carotid glomus tumor. Study of two cases using color Duplex ultrasonografhy. Radiol Med (Torino) 1994; 88:</w:t>
      </w:r>
      <w:r>
        <w:rPr>
          <w:spacing w:val="-6"/>
          <w:sz w:val="24"/>
        </w:rPr>
        <w:t> </w:t>
      </w:r>
      <w:r>
        <w:rPr>
          <w:sz w:val="24"/>
        </w:rPr>
        <w:t>877-880.</w:t>
      </w:r>
    </w:p>
    <w:p>
      <w:pPr>
        <w:spacing w:after="0" w:line="360" w:lineRule="auto"/>
        <w:jc w:val="both"/>
        <w:rPr>
          <w:sz w:val="24"/>
        </w:rPr>
        <w:sectPr>
          <w:pgSz w:w="12240" w:h="15840"/>
          <w:pgMar w:header="0" w:footer="687" w:top="1380" w:bottom="940" w:left="1720" w:right="1580"/>
        </w:sectPr>
      </w:pPr>
    </w:p>
    <w:p>
      <w:pPr>
        <w:pStyle w:val="ListParagraph"/>
        <w:numPr>
          <w:ilvl w:val="0"/>
          <w:numId w:val="14"/>
        </w:numPr>
        <w:tabs>
          <w:tab w:pos="632" w:val="left" w:leader="none"/>
        </w:tabs>
        <w:spacing w:line="360" w:lineRule="auto" w:before="41" w:after="0"/>
        <w:ind w:left="631" w:right="111" w:hanging="360"/>
        <w:jc w:val="both"/>
        <w:rPr>
          <w:sz w:val="24"/>
        </w:rPr>
      </w:pPr>
      <w:r>
        <w:rPr>
          <w:sz w:val="24"/>
        </w:rPr>
        <w:t>Kwekkeboom DJ, et al. Osteroid scintigraphy for detection for detection of paraganglioma. J Nucl Med 1993; 34:</w:t>
      </w:r>
      <w:r>
        <w:rPr>
          <w:spacing w:val="-5"/>
          <w:sz w:val="24"/>
        </w:rPr>
        <w:t> </w:t>
      </w:r>
      <w:r>
        <w:rPr>
          <w:sz w:val="24"/>
        </w:rPr>
        <w:t>873-878.</w:t>
      </w:r>
    </w:p>
    <w:p>
      <w:pPr>
        <w:pStyle w:val="ListParagraph"/>
        <w:numPr>
          <w:ilvl w:val="0"/>
          <w:numId w:val="14"/>
        </w:numPr>
        <w:tabs>
          <w:tab w:pos="632" w:val="left" w:leader="none"/>
        </w:tabs>
        <w:spacing w:line="360" w:lineRule="auto" w:before="7" w:after="0"/>
        <w:ind w:left="631" w:right="111" w:hanging="360"/>
        <w:jc w:val="both"/>
        <w:rPr>
          <w:sz w:val="24"/>
        </w:rPr>
      </w:pPr>
      <w:r>
        <w:rPr>
          <w:sz w:val="24"/>
        </w:rPr>
        <w:t>Lafrati</w:t>
      </w:r>
      <w:r>
        <w:rPr>
          <w:spacing w:val="-8"/>
          <w:sz w:val="24"/>
        </w:rPr>
        <w:t> </w:t>
      </w:r>
      <w:r>
        <w:rPr>
          <w:sz w:val="24"/>
        </w:rPr>
        <w:t>M,</w:t>
      </w:r>
      <w:r>
        <w:rPr>
          <w:spacing w:val="-8"/>
          <w:sz w:val="24"/>
        </w:rPr>
        <w:t> </w:t>
      </w:r>
      <w:r>
        <w:rPr>
          <w:sz w:val="24"/>
        </w:rPr>
        <w:t>et</w:t>
      </w:r>
      <w:r>
        <w:rPr>
          <w:spacing w:val="-8"/>
          <w:sz w:val="24"/>
        </w:rPr>
        <w:t> </w:t>
      </w:r>
      <w:r>
        <w:rPr>
          <w:sz w:val="24"/>
        </w:rPr>
        <w:t>al.</w:t>
      </w:r>
      <w:r>
        <w:rPr>
          <w:spacing w:val="-8"/>
          <w:sz w:val="24"/>
        </w:rPr>
        <w:t> </w:t>
      </w:r>
      <w:r>
        <w:rPr>
          <w:sz w:val="24"/>
        </w:rPr>
        <w:t>Adjuvant</w:t>
      </w:r>
      <w:r>
        <w:rPr>
          <w:spacing w:val="-8"/>
          <w:sz w:val="24"/>
        </w:rPr>
        <w:t> </w:t>
      </w:r>
      <w:r>
        <w:rPr>
          <w:sz w:val="24"/>
        </w:rPr>
        <w:t>techniques</w:t>
      </w:r>
      <w:r>
        <w:rPr>
          <w:spacing w:val="-8"/>
          <w:sz w:val="24"/>
        </w:rPr>
        <w:t> </w:t>
      </w:r>
      <w:r>
        <w:rPr>
          <w:sz w:val="24"/>
        </w:rPr>
        <w:t>for</w:t>
      </w:r>
      <w:r>
        <w:rPr>
          <w:spacing w:val="-8"/>
          <w:sz w:val="24"/>
        </w:rPr>
        <w:t> </w:t>
      </w:r>
      <w:r>
        <w:rPr>
          <w:sz w:val="24"/>
        </w:rPr>
        <w:t>the</w:t>
      </w:r>
      <w:r>
        <w:rPr>
          <w:spacing w:val="-8"/>
          <w:sz w:val="24"/>
        </w:rPr>
        <w:t> </w:t>
      </w:r>
      <w:r>
        <w:rPr>
          <w:sz w:val="24"/>
        </w:rPr>
        <w:t>management</w:t>
      </w:r>
      <w:r>
        <w:rPr>
          <w:spacing w:val="-8"/>
          <w:sz w:val="24"/>
        </w:rPr>
        <w:t> </w:t>
      </w:r>
      <w:r>
        <w:rPr>
          <w:sz w:val="24"/>
        </w:rPr>
        <w:t>of</w:t>
      </w:r>
      <w:r>
        <w:rPr>
          <w:spacing w:val="-8"/>
          <w:sz w:val="24"/>
        </w:rPr>
        <w:t> </w:t>
      </w:r>
      <w:r>
        <w:rPr>
          <w:sz w:val="24"/>
        </w:rPr>
        <w:t>large</w:t>
      </w:r>
      <w:r>
        <w:rPr>
          <w:spacing w:val="-8"/>
          <w:sz w:val="24"/>
        </w:rPr>
        <w:t> </w:t>
      </w:r>
      <w:r>
        <w:rPr>
          <w:sz w:val="24"/>
        </w:rPr>
        <w:t>carotid</w:t>
      </w:r>
      <w:r>
        <w:rPr>
          <w:spacing w:val="-8"/>
          <w:sz w:val="24"/>
        </w:rPr>
        <w:t> </w:t>
      </w:r>
      <w:r>
        <w:rPr>
          <w:sz w:val="24"/>
        </w:rPr>
        <w:t>body tumor. A case report and re- view. Cardiovasc Surg 1999; 7:</w:t>
      </w:r>
      <w:r>
        <w:rPr>
          <w:spacing w:val="-2"/>
          <w:sz w:val="24"/>
        </w:rPr>
        <w:t> </w:t>
      </w:r>
      <w:r>
        <w:rPr>
          <w:sz w:val="24"/>
        </w:rPr>
        <w:t>139-145.</w:t>
      </w:r>
    </w:p>
    <w:p>
      <w:pPr>
        <w:pStyle w:val="ListParagraph"/>
        <w:numPr>
          <w:ilvl w:val="0"/>
          <w:numId w:val="14"/>
        </w:numPr>
        <w:tabs>
          <w:tab w:pos="632" w:val="left" w:leader="none"/>
        </w:tabs>
        <w:spacing w:line="360" w:lineRule="auto" w:before="2" w:after="0"/>
        <w:ind w:left="631" w:right="111" w:hanging="360"/>
        <w:jc w:val="both"/>
        <w:rPr>
          <w:sz w:val="24"/>
        </w:rPr>
      </w:pPr>
      <w:r>
        <w:rPr>
          <w:sz w:val="24"/>
        </w:rPr>
        <w:t>Grufferman M, et al. Familial carotid body tumor: case report and epidemiologic review. Cancer 1980;</w:t>
      </w:r>
      <w:r>
        <w:rPr>
          <w:spacing w:val="-4"/>
          <w:sz w:val="24"/>
        </w:rPr>
        <w:t> </w:t>
      </w:r>
      <w:r>
        <w:rPr>
          <w:sz w:val="24"/>
        </w:rPr>
        <w:t>2116-22.</w:t>
      </w:r>
    </w:p>
    <w:p>
      <w:pPr>
        <w:pStyle w:val="ListParagraph"/>
        <w:numPr>
          <w:ilvl w:val="0"/>
          <w:numId w:val="14"/>
        </w:numPr>
        <w:tabs>
          <w:tab w:pos="632" w:val="left" w:leader="none"/>
        </w:tabs>
        <w:spacing w:line="360" w:lineRule="auto" w:before="7" w:after="0"/>
        <w:ind w:left="631" w:right="111" w:hanging="360"/>
        <w:jc w:val="both"/>
        <w:rPr>
          <w:sz w:val="24"/>
        </w:rPr>
      </w:pPr>
      <w:r>
        <w:rPr>
          <w:sz w:val="24"/>
        </w:rPr>
        <w:t>Mall</w:t>
      </w:r>
      <w:r>
        <w:rPr>
          <w:spacing w:val="-8"/>
          <w:sz w:val="24"/>
        </w:rPr>
        <w:t> </w:t>
      </w:r>
      <w:r>
        <w:rPr>
          <w:sz w:val="24"/>
        </w:rPr>
        <w:t>J,</w:t>
      </w:r>
      <w:r>
        <w:rPr>
          <w:spacing w:val="-8"/>
          <w:sz w:val="24"/>
        </w:rPr>
        <w:t> </w:t>
      </w:r>
      <w:r>
        <w:rPr>
          <w:sz w:val="24"/>
        </w:rPr>
        <w:t>et</w:t>
      </w:r>
      <w:r>
        <w:rPr>
          <w:spacing w:val="-8"/>
          <w:sz w:val="24"/>
        </w:rPr>
        <w:t> </w:t>
      </w:r>
      <w:r>
        <w:rPr>
          <w:sz w:val="24"/>
        </w:rPr>
        <w:t>al.</w:t>
      </w:r>
      <w:r>
        <w:rPr>
          <w:spacing w:val="-8"/>
          <w:sz w:val="24"/>
        </w:rPr>
        <w:t> </w:t>
      </w:r>
      <w:r>
        <w:rPr>
          <w:sz w:val="24"/>
        </w:rPr>
        <w:t>First</w:t>
      </w:r>
      <w:r>
        <w:rPr>
          <w:spacing w:val="-8"/>
          <w:sz w:val="24"/>
        </w:rPr>
        <w:t> </w:t>
      </w:r>
      <w:r>
        <w:rPr>
          <w:sz w:val="24"/>
        </w:rPr>
        <w:t>report</w:t>
      </w:r>
      <w:r>
        <w:rPr>
          <w:spacing w:val="-8"/>
          <w:sz w:val="24"/>
        </w:rPr>
        <w:t> </w:t>
      </w:r>
      <w:r>
        <w:rPr>
          <w:sz w:val="24"/>
        </w:rPr>
        <w:t>of</w:t>
      </w:r>
      <w:r>
        <w:rPr>
          <w:spacing w:val="-8"/>
          <w:sz w:val="24"/>
        </w:rPr>
        <w:t> </w:t>
      </w:r>
      <w:r>
        <w:rPr>
          <w:sz w:val="24"/>
        </w:rPr>
        <w:t>hepatic</w:t>
      </w:r>
      <w:r>
        <w:rPr>
          <w:spacing w:val="-8"/>
          <w:sz w:val="24"/>
        </w:rPr>
        <w:t> </w:t>
      </w:r>
      <w:r>
        <w:rPr>
          <w:sz w:val="24"/>
        </w:rPr>
        <w:t>lobotomy</w:t>
      </w:r>
      <w:r>
        <w:rPr>
          <w:spacing w:val="-8"/>
          <w:sz w:val="24"/>
        </w:rPr>
        <w:t> </w:t>
      </w:r>
      <w:r>
        <w:rPr>
          <w:sz w:val="24"/>
        </w:rPr>
        <w:t>for</w:t>
      </w:r>
      <w:r>
        <w:rPr>
          <w:spacing w:val="-8"/>
          <w:sz w:val="24"/>
        </w:rPr>
        <w:t> </w:t>
      </w:r>
      <w:r>
        <w:rPr>
          <w:sz w:val="24"/>
        </w:rPr>
        <w:t>metastatic</w:t>
      </w:r>
      <w:r>
        <w:rPr>
          <w:spacing w:val="-8"/>
          <w:sz w:val="24"/>
        </w:rPr>
        <w:t> </w:t>
      </w:r>
      <w:r>
        <w:rPr>
          <w:sz w:val="24"/>
        </w:rPr>
        <w:t>carotid</w:t>
      </w:r>
      <w:r>
        <w:rPr>
          <w:spacing w:val="-8"/>
          <w:sz w:val="24"/>
        </w:rPr>
        <w:t> </w:t>
      </w:r>
      <w:r>
        <w:rPr>
          <w:sz w:val="24"/>
        </w:rPr>
        <w:t>body</w:t>
      </w:r>
      <w:r>
        <w:rPr>
          <w:spacing w:val="-8"/>
          <w:sz w:val="24"/>
        </w:rPr>
        <w:t> </w:t>
      </w:r>
      <w:r>
        <w:rPr>
          <w:sz w:val="24"/>
        </w:rPr>
        <w:t>tumor. J Cardiovasc Surg 2000; 41:</w:t>
      </w:r>
      <w:r>
        <w:rPr>
          <w:spacing w:val="-4"/>
          <w:sz w:val="24"/>
        </w:rPr>
        <w:t> </w:t>
      </w:r>
      <w:r>
        <w:rPr>
          <w:sz w:val="24"/>
        </w:rPr>
        <w:t>759-61.</w:t>
      </w:r>
    </w:p>
    <w:p>
      <w:pPr>
        <w:pStyle w:val="ListParagraph"/>
        <w:numPr>
          <w:ilvl w:val="0"/>
          <w:numId w:val="14"/>
        </w:numPr>
        <w:tabs>
          <w:tab w:pos="632" w:val="left" w:leader="none"/>
        </w:tabs>
        <w:spacing w:line="360" w:lineRule="auto" w:before="2" w:after="0"/>
        <w:ind w:left="631" w:right="111" w:hanging="360"/>
        <w:jc w:val="both"/>
        <w:rPr>
          <w:sz w:val="24"/>
        </w:rPr>
      </w:pPr>
      <w:r>
        <w:rPr>
          <w:sz w:val="24"/>
        </w:rPr>
        <w:t>Leonetti J, et al. Perioperative strategies in the manage- ment of carotid body tumor. Otolaryngol Head Neck, Surg 1997; 117:</w:t>
      </w:r>
      <w:r>
        <w:rPr>
          <w:spacing w:val="-3"/>
          <w:sz w:val="24"/>
        </w:rPr>
        <w:t> </w:t>
      </w:r>
      <w:r>
        <w:rPr>
          <w:sz w:val="24"/>
        </w:rPr>
        <w:t>111-5.</w:t>
      </w:r>
    </w:p>
    <w:p>
      <w:pPr>
        <w:pStyle w:val="ListParagraph"/>
        <w:numPr>
          <w:ilvl w:val="0"/>
          <w:numId w:val="14"/>
        </w:numPr>
        <w:tabs>
          <w:tab w:pos="632" w:val="left" w:leader="none"/>
        </w:tabs>
        <w:spacing w:line="360" w:lineRule="auto" w:before="7" w:after="0"/>
        <w:ind w:left="631" w:right="111" w:hanging="360"/>
        <w:jc w:val="both"/>
        <w:rPr>
          <w:sz w:val="24"/>
        </w:rPr>
      </w:pPr>
      <w:r>
        <w:rPr>
          <w:sz w:val="24"/>
        </w:rPr>
        <w:t>Granell M, et al. Implicaciones anestesiológicas de la exégesis de paraganglioma carotídeos. A propósito de tres casos clínicos. Rev Esp Anestesiol Reanim 2001: 48:</w:t>
      </w:r>
      <w:r>
        <w:rPr>
          <w:spacing w:val="-4"/>
          <w:sz w:val="24"/>
        </w:rPr>
        <w:t> </w:t>
      </w:r>
      <w:r>
        <w:rPr>
          <w:sz w:val="24"/>
        </w:rPr>
        <w:t>387-92.</w:t>
      </w:r>
    </w:p>
    <w:p>
      <w:pPr>
        <w:pStyle w:val="ListParagraph"/>
        <w:numPr>
          <w:ilvl w:val="0"/>
          <w:numId w:val="14"/>
        </w:numPr>
        <w:tabs>
          <w:tab w:pos="632" w:val="left" w:leader="none"/>
        </w:tabs>
        <w:spacing w:line="362" w:lineRule="auto" w:before="2" w:after="0"/>
        <w:ind w:left="631" w:right="110" w:hanging="360"/>
        <w:jc w:val="both"/>
        <w:rPr>
          <w:sz w:val="24"/>
        </w:rPr>
      </w:pPr>
      <w:r>
        <w:rPr>
          <w:sz w:val="24"/>
        </w:rPr>
        <w:t>Ridge BA, et al. Familial carotid body tumor: incidence and implications. Ann Vasc Surg 1993; 7:</w:t>
      </w:r>
      <w:r>
        <w:rPr>
          <w:spacing w:val="-3"/>
          <w:sz w:val="24"/>
        </w:rPr>
        <w:t> </w:t>
      </w:r>
      <w:r>
        <w:rPr>
          <w:sz w:val="24"/>
        </w:rPr>
        <w:t>190-4.</w:t>
      </w:r>
    </w:p>
    <w:p>
      <w:pPr>
        <w:pStyle w:val="ListParagraph"/>
        <w:numPr>
          <w:ilvl w:val="0"/>
          <w:numId w:val="14"/>
        </w:numPr>
        <w:tabs>
          <w:tab w:pos="632" w:val="left" w:leader="none"/>
        </w:tabs>
        <w:spacing w:line="360" w:lineRule="auto" w:before="0" w:after="0"/>
        <w:ind w:left="631" w:right="111" w:hanging="360"/>
        <w:jc w:val="both"/>
        <w:rPr>
          <w:sz w:val="24"/>
        </w:rPr>
      </w:pPr>
      <w:r>
        <w:rPr>
          <w:sz w:val="24"/>
        </w:rPr>
        <w:t>Sobol SM, et al. Familial multiple cervical paragangliomas: report of a</w:t>
      </w:r>
      <w:r>
        <w:rPr>
          <w:spacing w:val="-24"/>
          <w:sz w:val="24"/>
        </w:rPr>
        <w:t> </w:t>
      </w:r>
      <w:r>
        <w:rPr>
          <w:sz w:val="24"/>
        </w:rPr>
        <w:t>kindred and review of a kindred and re- view of the literature. Otolaryngology Head Neck Surg 1993; 102:</w:t>
      </w:r>
      <w:r>
        <w:rPr>
          <w:spacing w:val="-4"/>
          <w:sz w:val="24"/>
        </w:rPr>
        <w:t> </w:t>
      </w:r>
      <w:r>
        <w:rPr>
          <w:sz w:val="24"/>
        </w:rPr>
        <w:t>382-90.</w:t>
      </w:r>
    </w:p>
    <w:p>
      <w:pPr>
        <w:pStyle w:val="ListParagraph"/>
        <w:numPr>
          <w:ilvl w:val="0"/>
          <w:numId w:val="14"/>
        </w:numPr>
        <w:tabs>
          <w:tab w:pos="632" w:val="left" w:leader="none"/>
        </w:tabs>
        <w:spacing w:line="360" w:lineRule="auto" w:before="7" w:after="0"/>
        <w:ind w:left="631" w:right="111" w:hanging="360"/>
        <w:jc w:val="both"/>
        <w:rPr>
          <w:sz w:val="24"/>
        </w:rPr>
      </w:pPr>
      <w:r>
        <w:rPr>
          <w:sz w:val="24"/>
        </w:rPr>
        <w:t>Gil FLH, et al. Surgical treatment of the carotid body tumor: a 30 year experience. Journal Vascular Brasileiro 2003; 2:</w:t>
      </w:r>
      <w:r>
        <w:rPr>
          <w:spacing w:val="-3"/>
          <w:sz w:val="24"/>
        </w:rPr>
        <w:t> </w:t>
      </w:r>
      <w:r>
        <w:rPr>
          <w:sz w:val="24"/>
        </w:rPr>
        <w:t>171-5.</w:t>
      </w:r>
    </w:p>
    <w:p>
      <w:pPr>
        <w:pStyle w:val="ListParagraph"/>
        <w:numPr>
          <w:ilvl w:val="0"/>
          <w:numId w:val="14"/>
        </w:numPr>
        <w:tabs>
          <w:tab w:pos="632" w:val="left" w:leader="none"/>
        </w:tabs>
        <w:spacing w:line="360" w:lineRule="auto" w:before="2" w:after="0"/>
        <w:ind w:left="631" w:right="111" w:hanging="360"/>
        <w:jc w:val="both"/>
        <w:rPr>
          <w:sz w:val="24"/>
        </w:rPr>
      </w:pPr>
      <w:r>
        <w:rPr>
          <w:sz w:val="24"/>
        </w:rPr>
        <w:t>Rinaldo A, et al. Which paragangliomas of the head and neck have a higher rate of malignancy? Oral Oncol 2004; 40:</w:t>
      </w:r>
      <w:r>
        <w:rPr>
          <w:spacing w:val="-4"/>
          <w:sz w:val="24"/>
        </w:rPr>
        <w:t> </w:t>
      </w:r>
      <w:r>
        <w:rPr>
          <w:sz w:val="24"/>
        </w:rPr>
        <w:t>458-60.</w:t>
      </w:r>
    </w:p>
    <w:p>
      <w:pPr>
        <w:pStyle w:val="ListParagraph"/>
        <w:numPr>
          <w:ilvl w:val="0"/>
          <w:numId w:val="14"/>
        </w:numPr>
        <w:tabs>
          <w:tab w:pos="632" w:val="left" w:leader="none"/>
        </w:tabs>
        <w:spacing w:line="360" w:lineRule="auto" w:before="7" w:after="0"/>
        <w:ind w:left="631" w:right="111" w:hanging="360"/>
        <w:jc w:val="both"/>
        <w:rPr>
          <w:sz w:val="24"/>
        </w:rPr>
      </w:pPr>
      <w:r>
        <w:rPr>
          <w:sz w:val="24"/>
        </w:rPr>
        <w:t>Rabl H, et al. Diagnosis and treatment of carotid body tumor. Thorac Cardiovasc Sur 1993; 41:</w:t>
      </w:r>
      <w:r>
        <w:rPr>
          <w:spacing w:val="-3"/>
          <w:sz w:val="24"/>
        </w:rPr>
        <w:t> </w:t>
      </w:r>
      <w:r>
        <w:rPr>
          <w:sz w:val="24"/>
        </w:rPr>
        <w:t>340-5.</w:t>
      </w:r>
    </w:p>
    <w:p>
      <w:pPr>
        <w:pStyle w:val="ListParagraph"/>
        <w:numPr>
          <w:ilvl w:val="0"/>
          <w:numId w:val="14"/>
        </w:numPr>
        <w:tabs>
          <w:tab w:pos="632" w:val="left" w:leader="none"/>
        </w:tabs>
        <w:spacing w:line="360" w:lineRule="auto" w:before="2" w:after="0"/>
        <w:ind w:left="631" w:right="111" w:hanging="360"/>
        <w:jc w:val="both"/>
        <w:rPr>
          <w:sz w:val="24"/>
        </w:rPr>
      </w:pPr>
      <w:r>
        <w:rPr>
          <w:sz w:val="24"/>
        </w:rPr>
        <w:t>Mitchel RO, et al. Characteristics, surgical management, and outcome in 17 carotid body tumor. Am Surg 1996; 62:</w:t>
      </w:r>
      <w:r>
        <w:rPr>
          <w:spacing w:val="-3"/>
          <w:sz w:val="24"/>
        </w:rPr>
        <w:t> </w:t>
      </w:r>
      <w:r>
        <w:rPr>
          <w:sz w:val="24"/>
        </w:rPr>
        <w:t>1034-7.</w:t>
      </w:r>
    </w:p>
    <w:p>
      <w:pPr>
        <w:pStyle w:val="ListParagraph"/>
        <w:numPr>
          <w:ilvl w:val="0"/>
          <w:numId w:val="14"/>
        </w:numPr>
        <w:tabs>
          <w:tab w:pos="632" w:val="left" w:leader="none"/>
        </w:tabs>
        <w:spacing w:line="360" w:lineRule="auto" w:before="7" w:after="0"/>
        <w:ind w:left="631" w:right="111" w:hanging="360"/>
        <w:jc w:val="both"/>
        <w:rPr>
          <w:sz w:val="24"/>
        </w:rPr>
      </w:pPr>
      <w:r>
        <w:rPr>
          <w:sz w:val="24"/>
        </w:rPr>
        <w:t>González FMJ, et al. Tumores del glomus carotídeo: es tudio de 11 años. Angiología 2006: 58(2):</w:t>
      </w:r>
      <w:r>
        <w:rPr>
          <w:spacing w:val="-1"/>
          <w:sz w:val="24"/>
        </w:rPr>
        <w:t> </w:t>
      </w:r>
      <w:r>
        <w:rPr>
          <w:sz w:val="24"/>
        </w:rPr>
        <w:t>91-7.</w:t>
      </w:r>
    </w:p>
    <w:p>
      <w:pPr>
        <w:pStyle w:val="ListParagraph"/>
        <w:numPr>
          <w:ilvl w:val="0"/>
          <w:numId w:val="14"/>
        </w:numPr>
        <w:tabs>
          <w:tab w:pos="632" w:val="left" w:leader="none"/>
        </w:tabs>
        <w:spacing w:line="360" w:lineRule="auto" w:before="2" w:after="0"/>
        <w:ind w:left="631" w:right="111" w:hanging="360"/>
        <w:jc w:val="both"/>
        <w:rPr>
          <w:sz w:val="24"/>
        </w:rPr>
      </w:pPr>
      <w:r>
        <w:rPr>
          <w:sz w:val="24"/>
        </w:rPr>
        <w:t>Brown RL, et al. Carotid body tumor, benign and malignant. Laryngoscope 1993; 103:</w:t>
      </w:r>
      <w:r>
        <w:rPr>
          <w:spacing w:val="-11"/>
          <w:sz w:val="24"/>
        </w:rPr>
        <w:t> </w:t>
      </w:r>
      <w:r>
        <w:rPr>
          <w:sz w:val="24"/>
        </w:rPr>
        <w:t>7-15.</w:t>
      </w:r>
    </w:p>
    <w:p>
      <w:pPr>
        <w:spacing w:after="0" w:line="360" w:lineRule="auto"/>
        <w:jc w:val="both"/>
        <w:rPr>
          <w:sz w:val="24"/>
        </w:rPr>
        <w:sectPr>
          <w:pgSz w:w="12240" w:h="15840"/>
          <w:pgMar w:header="0" w:footer="687" w:top="1380" w:bottom="940" w:left="1720" w:right="1580"/>
        </w:sectPr>
      </w:pPr>
    </w:p>
    <w:p>
      <w:pPr>
        <w:pStyle w:val="ListParagraph"/>
        <w:numPr>
          <w:ilvl w:val="0"/>
          <w:numId w:val="14"/>
        </w:numPr>
        <w:tabs>
          <w:tab w:pos="752" w:val="left" w:leader="none"/>
        </w:tabs>
        <w:spacing w:line="360" w:lineRule="auto" w:before="41" w:after="0"/>
        <w:ind w:left="751" w:right="111" w:hanging="360"/>
        <w:jc w:val="both"/>
        <w:rPr>
          <w:sz w:val="24"/>
        </w:rPr>
      </w:pPr>
      <w:r>
        <w:rPr>
          <w:sz w:val="24"/>
        </w:rPr>
        <w:t>Mancilla JG. Tumor de cuerpo carotídeo Experiencia HRALM . México: ISSSTE UNAM, Div. de estudios de postgrado; 2001, p.</w:t>
      </w:r>
      <w:r>
        <w:rPr>
          <w:spacing w:val="-4"/>
          <w:sz w:val="24"/>
        </w:rPr>
        <w:t> </w:t>
      </w:r>
      <w:r>
        <w:rPr>
          <w:sz w:val="24"/>
        </w:rPr>
        <w:t>9-16.</w:t>
      </w:r>
    </w:p>
    <w:p>
      <w:pPr>
        <w:pStyle w:val="ListParagraph"/>
        <w:numPr>
          <w:ilvl w:val="0"/>
          <w:numId w:val="14"/>
        </w:numPr>
        <w:tabs>
          <w:tab w:pos="752" w:val="left" w:leader="none"/>
        </w:tabs>
        <w:spacing w:line="360" w:lineRule="auto" w:before="7" w:after="0"/>
        <w:ind w:left="751" w:right="111" w:hanging="360"/>
        <w:jc w:val="both"/>
        <w:rPr>
          <w:sz w:val="24"/>
        </w:rPr>
      </w:pPr>
      <w:r>
        <w:rPr>
          <w:sz w:val="24"/>
        </w:rPr>
        <w:t>Alexander</w:t>
      </w:r>
      <w:r>
        <w:rPr>
          <w:spacing w:val="-17"/>
          <w:sz w:val="24"/>
        </w:rPr>
        <w:t> </w:t>
      </w:r>
      <w:r>
        <w:rPr>
          <w:sz w:val="24"/>
        </w:rPr>
        <w:t>FY.</w:t>
      </w:r>
      <w:r>
        <w:rPr>
          <w:spacing w:val="-17"/>
          <w:sz w:val="24"/>
        </w:rPr>
        <w:t> </w:t>
      </w:r>
      <w:r>
        <w:rPr>
          <w:sz w:val="24"/>
        </w:rPr>
        <w:t>Paragangliomas.</w:t>
      </w:r>
      <w:r>
        <w:rPr>
          <w:spacing w:val="-17"/>
          <w:sz w:val="24"/>
        </w:rPr>
        <w:t> </w:t>
      </w:r>
      <w:r>
        <w:rPr>
          <w:sz w:val="24"/>
        </w:rPr>
        <w:t>Experiencia</w:t>
      </w:r>
      <w:r>
        <w:rPr>
          <w:spacing w:val="-17"/>
          <w:sz w:val="24"/>
        </w:rPr>
        <w:t> </w:t>
      </w:r>
      <w:r>
        <w:rPr>
          <w:sz w:val="24"/>
        </w:rPr>
        <w:t>en</w:t>
      </w:r>
      <w:r>
        <w:rPr>
          <w:spacing w:val="-17"/>
          <w:sz w:val="24"/>
        </w:rPr>
        <w:t> </w:t>
      </w:r>
      <w:r>
        <w:rPr>
          <w:sz w:val="24"/>
        </w:rPr>
        <w:t>el</w:t>
      </w:r>
      <w:r>
        <w:rPr>
          <w:spacing w:val="-17"/>
          <w:sz w:val="24"/>
        </w:rPr>
        <w:t> </w:t>
      </w:r>
      <w:r>
        <w:rPr>
          <w:sz w:val="24"/>
        </w:rPr>
        <w:t>Hospital</w:t>
      </w:r>
      <w:r>
        <w:rPr>
          <w:spacing w:val="-17"/>
          <w:sz w:val="24"/>
        </w:rPr>
        <w:t> </w:t>
      </w:r>
      <w:r>
        <w:rPr>
          <w:sz w:val="24"/>
        </w:rPr>
        <w:t>General</w:t>
      </w:r>
      <w:r>
        <w:rPr>
          <w:spacing w:val="-17"/>
          <w:sz w:val="24"/>
        </w:rPr>
        <w:t> </w:t>
      </w:r>
      <w:r>
        <w:rPr>
          <w:sz w:val="24"/>
        </w:rPr>
        <w:t>Lic.</w:t>
      </w:r>
      <w:r>
        <w:rPr>
          <w:spacing w:val="-17"/>
          <w:sz w:val="24"/>
        </w:rPr>
        <w:t> </w:t>
      </w:r>
      <w:r>
        <w:rPr>
          <w:sz w:val="24"/>
        </w:rPr>
        <w:t>Adolfo López ateos I.S.S.S.T.E. División de Estudios de postgrado Universidad Nacional Autónoma de México, Tesis de posgrado Medicina interna, México D.F., Febrero de 1984:</w:t>
      </w:r>
      <w:r>
        <w:rPr>
          <w:spacing w:val="-4"/>
          <w:sz w:val="24"/>
        </w:rPr>
        <w:t> </w:t>
      </w:r>
      <w:r>
        <w:rPr>
          <w:sz w:val="24"/>
        </w:rPr>
        <w:t>3-21.</w:t>
      </w:r>
    </w:p>
    <w:p>
      <w:pPr>
        <w:pStyle w:val="ListParagraph"/>
        <w:numPr>
          <w:ilvl w:val="0"/>
          <w:numId w:val="14"/>
        </w:numPr>
        <w:tabs>
          <w:tab w:pos="752" w:val="left" w:leader="none"/>
        </w:tabs>
        <w:spacing w:line="379" w:lineRule="auto" w:before="7" w:after="0"/>
        <w:ind w:left="751" w:right="111" w:hanging="360"/>
        <w:jc w:val="both"/>
        <w:rPr>
          <w:sz w:val="24"/>
        </w:rPr>
      </w:pPr>
      <w:r>
        <w:rPr>
          <w:sz w:val="24"/>
        </w:rPr>
        <w:t>Rutherford</w:t>
      </w:r>
      <w:r>
        <w:rPr>
          <w:spacing w:val="-12"/>
          <w:sz w:val="24"/>
        </w:rPr>
        <w:t> </w:t>
      </w:r>
      <w:r>
        <w:rPr>
          <w:sz w:val="24"/>
        </w:rPr>
        <w:t>RB,</w:t>
      </w:r>
      <w:r>
        <w:rPr>
          <w:spacing w:val="-12"/>
          <w:sz w:val="24"/>
        </w:rPr>
        <w:t> </w:t>
      </w:r>
      <w:r>
        <w:rPr>
          <w:sz w:val="24"/>
        </w:rPr>
        <w:t>et</w:t>
      </w:r>
      <w:r>
        <w:rPr>
          <w:spacing w:val="-12"/>
          <w:sz w:val="24"/>
        </w:rPr>
        <w:t> </w:t>
      </w:r>
      <w:r>
        <w:rPr>
          <w:sz w:val="24"/>
        </w:rPr>
        <w:t>al.</w:t>
      </w:r>
      <w:r>
        <w:rPr>
          <w:spacing w:val="-12"/>
          <w:sz w:val="24"/>
        </w:rPr>
        <w:t> </w:t>
      </w:r>
      <w:r>
        <w:rPr>
          <w:sz w:val="24"/>
        </w:rPr>
        <w:t>Vascular</w:t>
      </w:r>
      <w:r>
        <w:rPr>
          <w:spacing w:val="-12"/>
          <w:sz w:val="24"/>
        </w:rPr>
        <w:t> </w:t>
      </w:r>
      <w:r>
        <w:rPr>
          <w:sz w:val="24"/>
        </w:rPr>
        <w:t>surgery.</w:t>
      </w:r>
      <w:r>
        <w:rPr>
          <w:spacing w:val="-12"/>
          <w:sz w:val="24"/>
        </w:rPr>
        <w:t> </w:t>
      </w:r>
      <w:r>
        <w:rPr>
          <w:sz w:val="24"/>
        </w:rPr>
        <w:t>8a</w:t>
      </w:r>
      <w:r>
        <w:rPr>
          <w:spacing w:val="-12"/>
          <w:sz w:val="24"/>
        </w:rPr>
        <w:t> </w:t>
      </w:r>
      <w:r>
        <w:rPr>
          <w:sz w:val="24"/>
        </w:rPr>
        <w:t>Ed.</w:t>
      </w:r>
      <w:r>
        <w:rPr>
          <w:spacing w:val="-12"/>
          <w:sz w:val="24"/>
        </w:rPr>
        <w:t> </w:t>
      </w:r>
      <w:r>
        <w:rPr>
          <w:sz w:val="24"/>
        </w:rPr>
        <w:t>U.S.:</w:t>
      </w:r>
      <w:r>
        <w:rPr>
          <w:spacing w:val="-12"/>
          <w:sz w:val="24"/>
        </w:rPr>
        <w:t> </w:t>
      </w:r>
      <w:r>
        <w:rPr>
          <w:sz w:val="24"/>
        </w:rPr>
        <w:t>W.B.</w:t>
      </w:r>
      <w:r>
        <w:rPr>
          <w:spacing w:val="-12"/>
          <w:sz w:val="24"/>
        </w:rPr>
        <w:t> </w:t>
      </w:r>
      <w:r>
        <w:rPr>
          <w:sz w:val="24"/>
        </w:rPr>
        <w:t>Saunders</w:t>
      </w:r>
      <w:r>
        <w:rPr>
          <w:spacing w:val="-12"/>
          <w:sz w:val="24"/>
        </w:rPr>
        <w:t> </w:t>
      </w:r>
      <w:r>
        <w:rPr>
          <w:sz w:val="24"/>
        </w:rPr>
        <w:t>Company; 2015, p.</w:t>
      </w:r>
      <w:r>
        <w:rPr>
          <w:spacing w:val="-9"/>
          <w:sz w:val="24"/>
        </w:rPr>
        <w:t> </w:t>
      </w:r>
      <w:r>
        <w:rPr>
          <w:sz w:val="24"/>
        </w:rPr>
        <w:t>1856-62.</w:t>
      </w:r>
    </w:p>
    <w:p>
      <w:pPr>
        <w:pStyle w:val="ListParagraph"/>
        <w:numPr>
          <w:ilvl w:val="0"/>
          <w:numId w:val="14"/>
        </w:numPr>
        <w:tabs>
          <w:tab w:pos="752" w:val="left" w:leader="none"/>
        </w:tabs>
        <w:spacing w:line="360" w:lineRule="auto" w:before="10" w:after="0"/>
        <w:ind w:left="751" w:right="111" w:hanging="360"/>
        <w:jc w:val="both"/>
        <w:rPr>
          <w:sz w:val="24"/>
        </w:rPr>
      </w:pPr>
      <w:r>
        <w:rPr>
          <w:sz w:val="24"/>
        </w:rPr>
        <w:t>Calvin BE, et al. Current therapy in vascular surgery. 4a Ed. St. Louis, Missouri: Edt. Mosby; 2001, p.</w:t>
      </w:r>
      <w:r>
        <w:rPr>
          <w:spacing w:val="-4"/>
          <w:sz w:val="24"/>
        </w:rPr>
        <w:t> </w:t>
      </w:r>
      <w:r>
        <w:rPr>
          <w:sz w:val="24"/>
        </w:rPr>
        <w:t>118-22.</w:t>
      </w:r>
    </w:p>
    <w:p>
      <w:pPr>
        <w:pStyle w:val="ListParagraph"/>
        <w:numPr>
          <w:ilvl w:val="0"/>
          <w:numId w:val="14"/>
        </w:numPr>
        <w:tabs>
          <w:tab w:pos="752" w:val="left" w:leader="none"/>
        </w:tabs>
        <w:spacing w:line="405" w:lineRule="auto" w:before="31" w:after="0"/>
        <w:ind w:left="751" w:right="111" w:hanging="360"/>
        <w:jc w:val="both"/>
        <w:rPr>
          <w:sz w:val="24"/>
        </w:rPr>
      </w:pPr>
      <w:r>
        <w:rPr>
          <w:sz w:val="24"/>
        </w:rPr>
        <w:t>Hallett JW, Comprehesive vascular and endovascular surgery. Spain:  Mosby; 2004, p.</w:t>
      </w:r>
      <w:r>
        <w:rPr>
          <w:spacing w:val="-3"/>
          <w:sz w:val="24"/>
        </w:rPr>
        <w:t> </w:t>
      </w:r>
      <w:r>
        <w:rPr>
          <w:sz w:val="24"/>
        </w:rPr>
        <w:t>565-7.</w:t>
      </w:r>
    </w:p>
    <w:p>
      <w:pPr>
        <w:pStyle w:val="ListParagraph"/>
        <w:numPr>
          <w:ilvl w:val="0"/>
          <w:numId w:val="14"/>
        </w:numPr>
        <w:tabs>
          <w:tab w:pos="752" w:val="left" w:leader="none"/>
        </w:tabs>
        <w:spacing w:line="257" w:lineRule="exact" w:before="0" w:after="0"/>
        <w:ind w:left="751" w:right="0" w:hanging="360"/>
        <w:jc w:val="left"/>
        <w:rPr>
          <w:sz w:val="24"/>
        </w:rPr>
      </w:pPr>
      <w:r>
        <w:rPr>
          <w:sz w:val="24"/>
        </w:rPr>
        <w:t>James L, et al. Vagak paraganglioma a review of 46 patients treated during</w:t>
      </w:r>
      <w:r>
        <w:rPr>
          <w:spacing w:val="10"/>
          <w:sz w:val="24"/>
        </w:rPr>
        <w:t> </w:t>
      </w:r>
      <w:r>
        <w:rPr>
          <w:sz w:val="24"/>
        </w:rPr>
        <w:t>a</w:t>
      </w:r>
    </w:p>
    <w:p>
      <w:pPr>
        <w:spacing w:before="161"/>
        <w:ind w:left="751" w:right="0" w:firstLine="0"/>
        <w:jc w:val="left"/>
        <w:rPr>
          <w:sz w:val="24"/>
        </w:rPr>
      </w:pPr>
      <w:r>
        <w:rPr>
          <w:sz w:val="24"/>
        </w:rPr>
        <w:t>20 year period. Arch Otolaryngology head neck surg 1998; 124: 1133-40.</w:t>
      </w:r>
    </w:p>
    <w:p>
      <w:pPr>
        <w:pStyle w:val="BodyText"/>
        <w:rPr>
          <w:sz w:val="24"/>
        </w:rPr>
      </w:pPr>
    </w:p>
    <w:p>
      <w:pPr>
        <w:pStyle w:val="BodyText"/>
        <w:rPr>
          <w:sz w:val="24"/>
        </w:rPr>
      </w:pPr>
    </w:p>
    <w:p>
      <w:pPr>
        <w:pStyle w:val="BodyText"/>
        <w:rPr>
          <w:sz w:val="24"/>
        </w:rPr>
      </w:pPr>
    </w:p>
    <w:p>
      <w:pPr>
        <w:pStyle w:val="BodyText"/>
        <w:spacing w:before="6"/>
        <w:rPr>
          <w:sz w:val="27"/>
        </w:rPr>
      </w:pPr>
    </w:p>
    <w:p>
      <w:pPr>
        <w:pStyle w:val="ListParagraph"/>
        <w:numPr>
          <w:ilvl w:val="0"/>
          <w:numId w:val="13"/>
        </w:numPr>
        <w:tabs>
          <w:tab w:pos="563" w:val="left" w:leader="none"/>
        </w:tabs>
        <w:spacing w:line="240" w:lineRule="auto" w:before="0" w:after="0"/>
        <w:ind w:left="562" w:right="0" w:hanging="454"/>
        <w:jc w:val="left"/>
        <w:rPr>
          <w:b/>
          <w:sz w:val="24"/>
        </w:rPr>
      </w:pPr>
      <w:bookmarkStart w:name="_TOC_250000" w:id="24"/>
      <w:bookmarkEnd w:id="24"/>
      <w:r>
        <w:rPr>
          <w:b/>
          <w:sz w:val="24"/>
        </w:rPr>
        <w:t>ANEXOS</w:t>
      </w:r>
    </w:p>
    <w:p>
      <w:pPr>
        <w:pStyle w:val="BodyText"/>
        <w:rPr>
          <w:b/>
          <w:sz w:val="24"/>
        </w:rPr>
      </w:pPr>
    </w:p>
    <w:p>
      <w:pPr>
        <w:spacing w:before="139"/>
        <w:ind w:left="108" w:right="3095" w:firstLine="0"/>
        <w:jc w:val="left"/>
        <w:rPr>
          <w:b/>
          <w:sz w:val="24"/>
        </w:rPr>
      </w:pPr>
      <w:r>
        <w:rPr>
          <w:b/>
          <w:sz w:val="24"/>
        </w:rPr>
        <w:t>ANEXO 1. HOJA DE RECOLECCIÓN DE DATOS</w:t>
      </w:r>
    </w:p>
    <w:p>
      <w:pPr>
        <w:pStyle w:val="BodyText"/>
        <w:rPr>
          <w:b/>
          <w:sz w:val="24"/>
        </w:rPr>
      </w:pPr>
    </w:p>
    <w:p>
      <w:pPr>
        <w:spacing w:before="157"/>
        <w:ind w:left="615" w:right="620" w:firstLine="0"/>
        <w:jc w:val="center"/>
        <w:rPr>
          <w:sz w:val="19"/>
        </w:rPr>
      </w:pPr>
      <w:r>
        <w:rPr>
          <w:w w:val="105"/>
          <w:sz w:val="19"/>
        </w:rPr>
        <w:t>CENTRO MEDICO ISSEMYM</w:t>
      </w:r>
    </w:p>
    <w:p>
      <w:pPr>
        <w:pStyle w:val="BodyText"/>
        <w:spacing w:before="2"/>
        <w:rPr>
          <w:sz w:val="25"/>
        </w:rPr>
      </w:pPr>
    </w:p>
    <w:p>
      <w:pPr>
        <w:spacing w:before="1"/>
        <w:ind w:left="615" w:right="620" w:firstLine="0"/>
        <w:jc w:val="center"/>
        <w:rPr>
          <w:sz w:val="19"/>
        </w:rPr>
      </w:pPr>
      <w:r>
        <w:rPr>
          <w:w w:val="105"/>
          <w:sz w:val="19"/>
        </w:rPr>
        <w:t>HOJA D E DATOS DE RECOLECCION DE DATOS</w:t>
      </w:r>
    </w:p>
    <w:p>
      <w:pPr>
        <w:pStyle w:val="BodyText"/>
        <w:spacing w:before="5"/>
        <w:rPr>
          <w:sz w:val="24"/>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4"/>
        <w:gridCol w:w="725"/>
        <w:gridCol w:w="725"/>
        <w:gridCol w:w="730"/>
        <w:gridCol w:w="725"/>
        <w:gridCol w:w="725"/>
        <w:gridCol w:w="725"/>
        <w:gridCol w:w="730"/>
        <w:gridCol w:w="725"/>
        <w:gridCol w:w="725"/>
      </w:tblGrid>
      <w:tr>
        <w:trPr>
          <w:trHeight w:val="240" w:hRule="exact"/>
        </w:trPr>
        <w:tc>
          <w:tcPr>
            <w:tcW w:w="2294" w:type="dxa"/>
          </w:tcPr>
          <w:p>
            <w:pPr>
              <w:pStyle w:val="TableParagraph"/>
              <w:ind w:left="87" w:right="85"/>
              <w:rPr>
                <w:sz w:val="19"/>
              </w:rPr>
            </w:pPr>
            <w:r>
              <w:rPr>
                <w:w w:val="105"/>
                <w:sz w:val="19"/>
              </w:rPr>
              <w:t>DATOS</w:t>
            </w:r>
          </w:p>
        </w:tc>
        <w:tc>
          <w:tcPr>
            <w:tcW w:w="725" w:type="dxa"/>
          </w:tcPr>
          <w:p>
            <w:pPr>
              <w:pStyle w:val="TableParagraph"/>
              <w:ind w:left="105"/>
              <w:jc w:val="left"/>
              <w:rPr>
                <w:sz w:val="19"/>
              </w:rPr>
            </w:pPr>
            <w:r>
              <w:rPr>
                <w:w w:val="103"/>
                <w:sz w:val="19"/>
              </w:rPr>
              <w:t>1</w:t>
            </w:r>
          </w:p>
        </w:tc>
        <w:tc>
          <w:tcPr>
            <w:tcW w:w="725" w:type="dxa"/>
          </w:tcPr>
          <w:p>
            <w:pPr>
              <w:pStyle w:val="TableParagraph"/>
              <w:ind w:left="105"/>
              <w:jc w:val="left"/>
              <w:rPr>
                <w:sz w:val="19"/>
              </w:rPr>
            </w:pPr>
            <w:r>
              <w:rPr>
                <w:w w:val="103"/>
                <w:sz w:val="19"/>
              </w:rPr>
              <w:t>2</w:t>
            </w:r>
          </w:p>
        </w:tc>
        <w:tc>
          <w:tcPr>
            <w:tcW w:w="730" w:type="dxa"/>
          </w:tcPr>
          <w:p>
            <w:pPr>
              <w:pStyle w:val="TableParagraph"/>
              <w:ind w:left="105"/>
              <w:jc w:val="left"/>
              <w:rPr>
                <w:sz w:val="19"/>
              </w:rPr>
            </w:pPr>
            <w:r>
              <w:rPr>
                <w:w w:val="103"/>
                <w:sz w:val="19"/>
              </w:rPr>
              <w:t>3</w:t>
            </w:r>
          </w:p>
        </w:tc>
        <w:tc>
          <w:tcPr>
            <w:tcW w:w="725" w:type="dxa"/>
          </w:tcPr>
          <w:p>
            <w:pPr>
              <w:pStyle w:val="TableParagraph"/>
              <w:ind w:left="105"/>
              <w:jc w:val="left"/>
              <w:rPr>
                <w:sz w:val="19"/>
              </w:rPr>
            </w:pPr>
            <w:r>
              <w:rPr>
                <w:w w:val="103"/>
                <w:sz w:val="19"/>
              </w:rPr>
              <w:t>4</w:t>
            </w:r>
          </w:p>
        </w:tc>
        <w:tc>
          <w:tcPr>
            <w:tcW w:w="725" w:type="dxa"/>
          </w:tcPr>
          <w:p>
            <w:pPr>
              <w:pStyle w:val="TableParagraph"/>
              <w:ind w:left="105"/>
              <w:jc w:val="left"/>
              <w:rPr>
                <w:sz w:val="19"/>
              </w:rPr>
            </w:pPr>
            <w:r>
              <w:rPr>
                <w:w w:val="103"/>
                <w:sz w:val="19"/>
              </w:rPr>
              <w:t>5</w:t>
            </w:r>
          </w:p>
        </w:tc>
        <w:tc>
          <w:tcPr>
            <w:tcW w:w="725" w:type="dxa"/>
          </w:tcPr>
          <w:p>
            <w:pPr>
              <w:pStyle w:val="TableParagraph"/>
              <w:ind w:left="105"/>
              <w:jc w:val="left"/>
              <w:rPr>
                <w:sz w:val="19"/>
              </w:rPr>
            </w:pPr>
            <w:r>
              <w:rPr>
                <w:w w:val="103"/>
                <w:sz w:val="19"/>
              </w:rPr>
              <w:t>6</w:t>
            </w:r>
          </w:p>
        </w:tc>
        <w:tc>
          <w:tcPr>
            <w:tcW w:w="730" w:type="dxa"/>
          </w:tcPr>
          <w:p>
            <w:pPr>
              <w:pStyle w:val="TableParagraph"/>
              <w:ind w:left="105"/>
              <w:jc w:val="left"/>
              <w:rPr>
                <w:sz w:val="19"/>
              </w:rPr>
            </w:pPr>
            <w:r>
              <w:rPr>
                <w:w w:val="103"/>
                <w:sz w:val="19"/>
              </w:rPr>
              <w:t>7</w:t>
            </w:r>
          </w:p>
        </w:tc>
        <w:tc>
          <w:tcPr>
            <w:tcW w:w="725" w:type="dxa"/>
          </w:tcPr>
          <w:p>
            <w:pPr>
              <w:pStyle w:val="TableParagraph"/>
              <w:ind w:left="105"/>
              <w:jc w:val="left"/>
              <w:rPr>
                <w:sz w:val="19"/>
              </w:rPr>
            </w:pPr>
            <w:r>
              <w:rPr>
                <w:w w:val="103"/>
                <w:sz w:val="19"/>
              </w:rPr>
              <w:t>8</w:t>
            </w:r>
          </w:p>
        </w:tc>
        <w:tc>
          <w:tcPr>
            <w:tcW w:w="725" w:type="dxa"/>
          </w:tcPr>
          <w:p>
            <w:pPr>
              <w:pStyle w:val="TableParagraph"/>
              <w:ind w:left="105"/>
              <w:jc w:val="left"/>
              <w:rPr>
                <w:sz w:val="19"/>
              </w:rPr>
            </w:pPr>
            <w:r>
              <w:rPr>
                <w:w w:val="103"/>
                <w:sz w:val="19"/>
              </w:rPr>
              <w:t>9</w:t>
            </w:r>
          </w:p>
        </w:tc>
      </w:tr>
      <w:tr>
        <w:trPr>
          <w:trHeight w:val="240" w:hRule="exact"/>
        </w:trPr>
        <w:tc>
          <w:tcPr>
            <w:tcW w:w="2294" w:type="dxa"/>
          </w:tcPr>
          <w:p>
            <w:pPr>
              <w:pStyle w:val="TableParagraph"/>
              <w:ind w:left="87" w:right="83"/>
              <w:rPr>
                <w:sz w:val="19"/>
              </w:rPr>
            </w:pPr>
            <w:r>
              <w:rPr>
                <w:w w:val="105"/>
                <w:sz w:val="19"/>
              </w:rPr>
              <w:t>NOMBRE</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240" w:hRule="exact"/>
        </w:trPr>
        <w:tc>
          <w:tcPr>
            <w:tcW w:w="2294" w:type="dxa"/>
          </w:tcPr>
          <w:p>
            <w:pPr>
              <w:pStyle w:val="TableParagraph"/>
              <w:ind w:left="86" w:right="85"/>
              <w:rPr>
                <w:sz w:val="19"/>
              </w:rPr>
            </w:pPr>
            <w:r>
              <w:rPr>
                <w:w w:val="105"/>
                <w:sz w:val="19"/>
              </w:rPr>
              <w:t>AFILIACION</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240" w:hRule="exact"/>
        </w:trPr>
        <w:tc>
          <w:tcPr>
            <w:tcW w:w="2294" w:type="dxa"/>
          </w:tcPr>
          <w:p>
            <w:pPr>
              <w:pStyle w:val="TableParagraph"/>
              <w:ind w:left="87" w:right="83"/>
              <w:rPr>
                <w:sz w:val="19"/>
              </w:rPr>
            </w:pPr>
            <w:r>
              <w:rPr>
                <w:w w:val="105"/>
                <w:sz w:val="19"/>
              </w:rPr>
              <w:t>SEXO</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240" w:hRule="exact"/>
        </w:trPr>
        <w:tc>
          <w:tcPr>
            <w:tcW w:w="2294" w:type="dxa"/>
          </w:tcPr>
          <w:p>
            <w:pPr>
              <w:pStyle w:val="TableParagraph"/>
              <w:ind w:left="87" w:right="83"/>
              <w:rPr>
                <w:sz w:val="19"/>
              </w:rPr>
            </w:pPr>
            <w:r>
              <w:rPr>
                <w:w w:val="105"/>
                <w:sz w:val="19"/>
              </w:rPr>
              <w:t>EDAD</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240" w:hRule="exact"/>
        </w:trPr>
        <w:tc>
          <w:tcPr>
            <w:tcW w:w="2294" w:type="dxa"/>
          </w:tcPr>
          <w:p>
            <w:pPr>
              <w:pStyle w:val="TableParagraph"/>
              <w:ind w:left="87" w:right="85"/>
              <w:rPr>
                <w:sz w:val="19"/>
              </w:rPr>
            </w:pPr>
            <w:r>
              <w:rPr>
                <w:w w:val="105"/>
                <w:sz w:val="19"/>
              </w:rPr>
              <w:t>RESIDENCIA</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70" w:hRule="exact"/>
        </w:trPr>
        <w:tc>
          <w:tcPr>
            <w:tcW w:w="2294" w:type="dxa"/>
          </w:tcPr>
          <w:p>
            <w:pPr>
              <w:pStyle w:val="TableParagraph"/>
              <w:spacing w:line="252" w:lineRule="auto"/>
              <w:ind w:left="433" w:right="175" w:hanging="239"/>
              <w:jc w:val="left"/>
              <w:rPr>
                <w:sz w:val="19"/>
              </w:rPr>
            </w:pPr>
            <w:r>
              <w:rPr>
                <w:w w:val="105"/>
                <w:sz w:val="19"/>
              </w:rPr>
              <w:t>MOTIVO PRINCIPAL DE CONSULTA</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70" w:hRule="exact"/>
        </w:trPr>
        <w:tc>
          <w:tcPr>
            <w:tcW w:w="2294" w:type="dxa"/>
          </w:tcPr>
          <w:p>
            <w:pPr>
              <w:pStyle w:val="TableParagraph"/>
              <w:spacing w:line="252" w:lineRule="auto"/>
              <w:ind w:left="555" w:right="534" w:firstLine="38"/>
              <w:jc w:val="left"/>
              <w:rPr>
                <w:sz w:val="19"/>
              </w:rPr>
            </w:pPr>
            <w:r>
              <w:rPr>
                <w:w w:val="105"/>
                <w:sz w:val="19"/>
              </w:rPr>
              <w:t>TIEMPO DE EVOLUCION</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56" w:hRule="exact"/>
        </w:trPr>
        <w:tc>
          <w:tcPr>
            <w:tcW w:w="2294" w:type="dxa"/>
          </w:tcPr>
          <w:p>
            <w:pPr>
              <w:pStyle w:val="TableParagraph"/>
              <w:ind w:left="87" w:right="85"/>
              <w:rPr>
                <w:sz w:val="19"/>
              </w:rPr>
            </w:pPr>
            <w:r>
              <w:rPr>
                <w:w w:val="105"/>
                <w:sz w:val="19"/>
              </w:rPr>
              <w:t>UBICACION</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56" w:hRule="exact"/>
        </w:trPr>
        <w:tc>
          <w:tcPr>
            <w:tcW w:w="2294" w:type="dxa"/>
          </w:tcPr>
          <w:p>
            <w:pPr>
              <w:pStyle w:val="TableParagraph"/>
              <w:ind w:left="87" w:right="85"/>
              <w:rPr>
                <w:sz w:val="19"/>
              </w:rPr>
            </w:pPr>
            <w:r>
              <w:rPr>
                <w:w w:val="105"/>
                <w:sz w:val="19"/>
              </w:rPr>
              <w:t>ENF.CONCOMITANTE</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bl>
    <w:p>
      <w:pPr>
        <w:spacing w:after="0"/>
        <w:sectPr>
          <w:pgSz w:w="12240" w:h="15840"/>
          <w:pgMar w:header="0" w:footer="687" w:top="1380" w:bottom="940" w:left="1600" w:right="158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4"/>
        <w:gridCol w:w="725"/>
        <w:gridCol w:w="725"/>
        <w:gridCol w:w="730"/>
        <w:gridCol w:w="725"/>
        <w:gridCol w:w="725"/>
        <w:gridCol w:w="725"/>
        <w:gridCol w:w="730"/>
        <w:gridCol w:w="725"/>
        <w:gridCol w:w="725"/>
      </w:tblGrid>
      <w:tr>
        <w:trPr>
          <w:trHeight w:val="470" w:hRule="exact"/>
        </w:trPr>
        <w:tc>
          <w:tcPr>
            <w:tcW w:w="2294" w:type="dxa"/>
          </w:tcPr>
          <w:p>
            <w:pPr>
              <w:pStyle w:val="TableParagraph"/>
              <w:spacing w:line="252" w:lineRule="auto"/>
              <w:ind w:left="444" w:right="424" w:firstLine="261"/>
              <w:jc w:val="left"/>
              <w:rPr>
                <w:sz w:val="19"/>
              </w:rPr>
            </w:pPr>
            <w:r>
              <w:rPr>
                <w:w w:val="105"/>
                <w:sz w:val="19"/>
              </w:rPr>
              <w:t>METODO DIAGNOSTICO</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70" w:hRule="exact"/>
        </w:trPr>
        <w:tc>
          <w:tcPr>
            <w:tcW w:w="2294" w:type="dxa"/>
          </w:tcPr>
          <w:p>
            <w:pPr>
              <w:pStyle w:val="TableParagraph"/>
              <w:spacing w:line="252" w:lineRule="auto"/>
              <w:ind w:left="494" w:right="474" w:firstLine="111"/>
              <w:jc w:val="left"/>
              <w:rPr>
                <w:sz w:val="19"/>
              </w:rPr>
            </w:pPr>
            <w:r>
              <w:rPr>
                <w:w w:val="105"/>
                <w:sz w:val="19"/>
              </w:rPr>
              <w:t>ABORDAJE QUIRURGICO</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56" w:hRule="exact"/>
        </w:trPr>
        <w:tc>
          <w:tcPr>
            <w:tcW w:w="2294" w:type="dxa"/>
          </w:tcPr>
          <w:p>
            <w:pPr>
              <w:pStyle w:val="TableParagraph"/>
              <w:ind w:left="87" w:right="83"/>
              <w:rPr>
                <w:sz w:val="19"/>
              </w:rPr>
            </w:pPr>
            <w:r>
              <w:rPr>
                <w:w w:val="105"/>
                <w:sz w:val="19"/>
              </w:rPr>
              <w:t>EMBOLIZACION</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70" w:hRule="exact"/>
        </w:trPr>
        <w:tc>
          <w:tcPr>
            <w:tcW w:w="2294" w:type="dxa"/>
          </w:tcPr>
          <w:p>
            <w:pPr>
              <w:pStyle w:val="TableParagraph"/>
              <w:spacing w:line="252" w:lineRule="auto"/>
              <w:ind w:left="138" w:right="120" w:firstLine="433"/>
              <w:jc w:val="left"/>
              <w:rPr>
                <w:sz w:val="19"/>
              </w:rPr>
            </w:pPr>
            <w:r>
              <w:rPr>
                <w:w w:val="105"/>
                <w:sz w:val="19"/>
              </w:rPr>
              <w:t>SANGRADO TRANSOPERATORIO</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70" w:hRule="exact"/>
        </w:trPr>
        <w:tc>
          <w:tcPr>
            <w:tcW w:w="2294" w:type="dxa"/>
          </w:tcPr>
          <w:p>
            <w:pPr>
              <w:pStyle w:val="TableParagraph"/>
              <w:spacing w:line="252" w:lineRule="auto"/>
              <w:ind w:left="622" w:right="192" w:hanging="412"/>
              <w:jc w:val="left"/>
              <w:rPr>
                <w:sz w:val="19"/>
              </w:rPr>
            </w:pPr>
            <w:r>
              <w:rPr>
                <w:w w:val="105"/>
                <w:sz w:val="19"/>
              </w:rPr>
              <w:t>CLASIFICACION DE SHAMBLIM</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696" w:hRule="exact"/>
        </w:trPr>
        <w:tc>
          <w:tcPr>
            <w:tcW w:w="2294" w:type="dxa"/>
          </w:tcPr>
          <w:p>
            <w:pPr>
              <w:pStyle w:val="TableParagraph"/>
              <w:spacing w:line="252" w:lineRule="auto"/>
              <w:ind w:left="327" w:right="324" w:hanging="1"/>
              <w:rPr>
                <w:sz w:val="19"/>
              </w:rPr>
            </w:pPr>
            <w:r>
              <w:rPr>
                <w:w w:val="105"/>
                <w:sz w:val="19"/>
              </w:rPr>
              <w:t>TIEMPO QUIRURGICO DE RESECCION</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42" w:hRule="exact"/>
        </w:trPr>
        <w:tc>
          <w:tcPr>
            <w:tcW w:w="2294" w:type="dxa"/>
          </w:tcPr>
          <w:p>
            <w:pPr>
              <w:pStyle w:val="TableParagraph"/>
              <w:spacing w:before="9"/>
              <w:ind w:left="87" w:right="85"/>
              <w:rPr>
                <w:sz w:val="19"/>
              </w:rPr>
            </w:pPr>
            <w:r>
              <w:rPr>
                <w:w w:val="105"/>
                <w:sz w:val="19"/>
              </w:rPr>
              <w:t>COMPLICACIONES</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70" w:hRule="exact"/>
        </w:trPr>
        <w:tc>
          <w:tcPr>
            <w:tcW w:w="2294" w:type="dxa"/>
          </w:tcPr>
          <w:p>
            <w:pPr>
              <w:pStyle w:val="TableParagraph"/>
              <w:spacing w:line="252" w:lineRule="auto"/>
              <w:ind w:left="244" w:right="225" w:firstLine="350"/>
              <w:jc w:val="left"/>
              <w:rPr>
                <w:sz w:val="19"/>
              </w:rPr>
            </w:pPr>
            <w:r>
              <w:rPr>
                <w:w w:val="105"/>
                <w:sz w:val="19"/>
              </w:rPr>
              <w:t>TIEMPO DE HOSPITALIZACION</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70" w:hRule="exact"/>
        </w:trPr>
        <w:tc>
          <w:tcPr>
            <w:tcW w:w="2294" w:type="dxa"/>
          </w:tcPr>
          <w:p>
            <w:pPr>
              <w:pStyle w:val="TableParagraph"/>
              <w:spacing w:line="252" w:lineRule="auto"/>
              <w:ind w:left="566" w:right="165" w:hanging="384"/>
              <w:jc w:val="left"/>
              <w:rPr>
                <w:sz w:val="19"/>
              </w:rPr>
            </w:pPr>
            <w:r>
              <w:rPr>
                <w:w w:val="105"/>
                <w:sz w:val="19"/>
              </w:rPr>
              <w:t>REPORTE FINAL DE PATOLOGIA</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42" w:hRule="exact"/>
        </w:trPr>
        <w:tc>
          <w:tcPr>
            <w:tcW w:w="2294" w:type="dxa"/>
          </w:tcPr>
          <w:p>
            <w:pPr>
              <w:pStyle w:val="TableParagraph"/>
              <w:ind w:left="87" w:right="83"/>
              <w:rPr>
                <w:sz w:val="19"/>
              </w:rPr>
            </w:pPr>
            <w:r>
              <w:rPr>
                <w:w w:val="105"/>
                <w:sz w:val="19"/>
              </w:rPr>
              <w:t>SECUELAS</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r>
        <w:trPr>
          <w:trHeight w:val="442" w:hRule="exact"/>
        </w:trPr>
        <w:tc>
          <w:tcPr>
            <w:tcW w:w="2294" w:type="dxa"/>
          </w:tcPr>
          <w:p>
            <w:pPr>
              <w:pStyle w:val="TableParagraph"/>
              <w:ind w:left="87" w:right="85"/>
              <w:rPr>
                <w:sz w:val="19"/>
              </w:rPr>
            </w:pPr>
            <w:r>
              <w:rPr>
                <w:w w:val="105"/>
                <w:sz w:val="19"/>
              </w:rPr>
              <w:t>RECIDIVA</w:t>
            </w:r>
          </w:p>
        </w:tc>
        <w:tc>
          <w:tcPr>
            <w:tcW w:w="725" w:type="dxa"/>
          </w:tcPr>
          <w:p>
            <w:pPr/>
          </w:p>
        </w:tc>
        <w:tc>
          <w:tcPr>
            <w:tcW w:w="725" w:type="dxa"/>
          </w:tcPr>
          <w:p>
            <w:pPr/>
          </w:p>
        </w:tc>
        <w:tc>
          <w:tcPr>
            <w:tcW w:w="730" w:type="dxa"/>
          </w:tcPr>
          <w:p>
            <w:pPr/>
          </w:p>
        </w:tc>
        <w:tc>
          <w:tcPr>
            <w:tcW w:w="725" w:type="dxa"/>
          </w:tcPr>
          <w:p>
            <w:pPr/>
          </w:p>
        </w:tc>
        <w:tc>
          <w:tcPr>
            <w:tcW w:w="725" w:type="dxa"/>
          </w:tcPr>
          <w:p>
            <w:pPr/>
          </w:p>
        </w:tc>
        <w:tc>
          <w:tcPr>
            <w:tcW w:w="725" w:type="dxa"/>
          </w:tcPr>
          <w:p>
            <w:pPr/>
          </w:p>
        </w:tc>
        <w:tc>
          <w:tcPr>
            <w:tcW w:w="730" w:type="dxa"/>
          </w:tcPr>
          <w:p>
            <w:pPr/>
          </w:p>
        </w:tc>
        <w:tc>
          <w:tcPr>
            <w:tcW w:w="725" w:type="dxa"/>
          </w:tcPr>
          <w:p>
            <w:pPr/>
          </w:p>
        </w:tc>
        <w:tc>
          <w:tcPr>
            <w:tcW w:w="725" w:type="dxa"/>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3"/>
        <w:spacing w:line="376" w:lineRule="auto" w:before="78"/>
        <w:ind w:left="108" w:firstLine="0"/>
        <w:jc w:val="left"/>
      </w:pPr>
      <w:r>
        <w:rPr>
          <w:w w:val="105"/>
          <w:sz w:val="19"/>
        </w:rPr>
        <w:t>ANEXO 2. </w:t>
      </w:r>
      <w:r>
        <w:rPr>
          <w:color w:val="1C1C1C"/>
          <w:w w:val="105"/>
        </w:rPr>
        <w:t>CLASIFICACIÓN QUIRÚRGICA PARA TUMORES DE CUERPO CAROTÍDEO (SHAMBLIN).</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2"/>
        <w:gridCol w:w="7507"/>
      </w:tblGrid>
      <w:tr>
        <w:trPr>
          <w:trHeight w:val="389" w:hRule="exact"/>
        </w:trPr>
        <w:tc>
          <w:tcPr>
            <w:tcW w:w="1022" w:type="dxa"/>
          </w:tcPr>
          <w:p>
            <w:pPr>
              <w:pStyle w:val="TableParagraph"/>
              <w:ind w:left="83" w:right="81"/>
              <w:rPr>
                <w:sz w:val="21"/>
              </w:rPr>
            </w:pPr>
            <w:r>
              <w:rPr>
                <w:color w:val="1C1C1C"/>
                <w:w w:val="105"/>
                <w:sz w:val="21"/>
              </w:rPr>
              <w:t>GRADO</w:t>
            </w:r>
          </w:p>
        </w:tc>
        <w:tc>
          <w:tcPr>
            <w:tcW w:w="7507" w:type="dxa"/>
          </w:tcPr>
          <w:p>
            <w:pPr>
              <w:pStyle w:val="TableParagraph"/>
              <w:ind w:left="2963" w:right="2963"/>
              <w:rPr>
                <w:sz w:val="21"/>
              </w:rPr>
            </w:pPr>
            <w:r>
              <w:rPr>
                <w:color w:val="1C1C1C"/>
                <w:w w:val="105"/>
                <w:sz w:val="21"/>
              </w:rPr>
              <w:t>DESCRIPCIÓN</w:t>
            </w:r>
          </w:p>
        </w:tc>
      </w:tr>
      <w:tr>
        <w:trPr>
          <w:trHeight w:val="773" w:hRule="exact"/>
        </w:trPr>
        <w:tc>
          <w:tcPr>
            <w:tcW w:w="1022" w:type="dxa"/>
          </w:tcPr>
          <w:p>
            <w:pPr>
              <w:pStyle w:val="TableParagraph"/>
              <w:ind w:left="4"/>
              <w:rPr>
                <w:sz w:val="21"/>
              </w:rPr>
            </w:pPr>
            <w:r>
              <w:rPr>
                <w:color w:val="1C1C1C"/>
                <w:w w:val="102"/>
                <w:sz w:val="21"/>
              </w:rPr>
              <w:t>I</w:t>
            </w:r>
          </w:p>
        </w:tc>
        <w:tc>
          <w:tcPr>
            <w:tcW w:w="7507" w:type="dxa"/>
          </w:tcPr>
          <w:p>
            <w:pPr>
              <w:pStyle w:val="TableParagraph"/>
              <w:spacing w:line="376" w:lineRule="auto"/>
              <w:ind w:left="105"/>
              <w:jc w:val="left"/>
              <w:rPr>
                <w:sz w:val="21"/>
              </w:rPr>
            </w:pPr>
            <w:r>
              <w:rPr>
                <w:color w:val="1C1C1C"/>
                <w:w w:val="105"/>
                <w:sz w:val="21"/>
              </w:rPr>
              <w:t>Tumores pequeños, mínimamente adheridos a los vasos carotídeos y fácilmente resecable.</w:t>
            </w:r>
          </w:p>
        </w:tc>
      </w:tr>
      <w:tr>
        <w:trPr>
          <w:trHeight w:val="768" w:hRule="exact"/>
        </w:trPr>
        <w:tc>
          <w:tcPr>
            <w:tcW w:w="1022" w:type="dxa"/>
          </w:tcPr>
          <w:p>
            <w:pPr>
              <w:pStyle w:val="TableParagraph"/>
              <w:ind w:left="83" w:right="78"/>
              <w:rPr>
                <w:sz w:val="21"/>
              </w:rPr>
            </w:pPr>
            <w:r>
              <w:rPr>
                <w:color w:val="1C1C1C"/>
                <w:w w:val="105"/>
                <w:sz w:val="21"/>
              </w:rPr>
              <w:t>II</w:t>
            </w:r>
          </w:p>
        </w:tc>
        <w:tc>
          <w:tcPr>
            <w:tcW w:w="7507" w:type="dxa"/>
          </w:tcPr>
          <w:p>
            <w:pPr>
              <w:pStyle w:val="TableParagraph"/>
              <w:spacing w:line="376" w:lineRule="auto"/>
              <w:ind w:left="105"/>
              <w:jc w:val="left"/>
              <w:rPr>
                <w:sz w:val="21"/>
              </w:rPr>
            </w:pPr>
            <w:r>
              <w:rPr>
                <w:color w:val="1C1C1C"/>
                <w:w w:val="105"/>
                <w:sz w:val="21"/>
              </w:rPr>
              <w:t>Tumores</w:t>
            </w:r>
            <w:r>
              <w:rPr>
                <w:color w:val="1C1C1C"/>
                <w:spacing w:val="-17"/>
                <w:w w:val="105"/>
                <w:sz w:val="21"/>
              </w:rPr>
              <w:t> </w:t>
            </w:r>
            <w:r>
              <w:rPr>
                <w:color w:val="1C1C1C"/>
                <w:w w:val="105"/>
                <w:sz w:val="21"/>
              </w:rPr>
              <w:t>más</w:t>
            </w:r>
            <w:r>
              <w:rPr>
                <w:color w:val="1C1C1C"/>
                <w:spacing w:val="-17"/>
                <w:w w:val="105"/>
                <w:sz w:val="21"/>
              </w:rPr>
              <w:t> </w:t>
            </w:r>
            <w:r>
              <w:rPr>
                <w:color w:val="1C1C1C"/>
                <w:w w:val="105"/>
                <w:sz w:val="21"/>
              </w:rPr>
              <w:t>grandes,</w:t>
            </w:r>
            <w:r>
              <w:rPr>
                <w:color w:val="1C1C1C"/>
                <w:spacing w:val="-18"/>
                <w:w w:val="105"/>
                <w:sz w:val="21"/>
              </w:rPr>
              <w:t> </w:t>
            </w:r>
            <w:r>
              <w:rPr>
                <w:color w:val="1C1C1C"/>
                <w:w w:val="105"/>
                <w:sz w:val="21"/>
              </w:rPr>
              <w:t>con</w:t>
            </w:r>
            <w:r>
              <w:rPr>
                <w:color w:val="1C1C1C"/>
                <w:spacing w:val="-17"/>
                <w:w w:val="105"/>
                <w:sz w:val="21"/>
              </w:rPr>
              <w:t> </w:t>
            </w:r>
            <w:r>
              <w:rPr>
                <w:color w:val="1C1C1C"/>
                <w:w w:val="105"/>
                <w:sz w:val="21"/>
              </w:rPr>
              <w:t>adhesión</w:t>
            </w:r>
            <w:r>
              <w:rPr>
                <w:color w:val="1C1C1C"/>
                <w:spacing w:val="-17"/>
                <w:w w:val="105"/>
                <w:sz w:val="21"/>
              </w:rPr>
              <w:t> </w:t>
            </w:r>
            <w:r>
              <w:rPr>
                <w:color w:val="1C1C1C"/>
                <w:w w:val="105"/>
                <w:sz w:val="21"/>
              </w:rPr>
              <w:t>moderada</w:t>
            </w:r>
            <w:r>
              <w:rPr>
                <w:color w:val="1C1C1C"/>
                <w:spacing w:val="-17"/>
                <w:w w:val="105"/>
                <w:sz w:val="21"/>
              </w:rPr>
              <w:t> </w:t>
            </w:r>
            <w:r>
              <w:rPr>
                <w:color w:val="1C1C1C"/>
                <w:w w:val="105"/>
                <w:sz w:val="21"/>
              </w:rPr>
              <w:t>a</w:t>
            </w:r>
            <w:r>
              <w:rPr>
                <w:color w:val="1C1C1C"/>
                <w:spacing w:val="-17"/>
                <w:w w:val="105"/>
                <w:sz w:val="21"/>
              </w:rPr>
              <w:t> </w:t>
            </w:r>
            <w:r>
              <w:rPr>
                <w:color w:val="1C1C1C"/>
                <w:w w:val="105"/>
                <w:sz w:val="21"/>
              </w:rPr>
              <w:t>los</w:t>
            </w:r>
            <w:r>
              <w:rPr>
                <w:color w:val="1C1C1C"/>
                <w:spacing w:val="-17"/>
                <w:w w:val="105"/>
                <w:sz w:val="21"/>
              </w:rPr>
              <w:t> </w:t>
            </w:r>
            <w:r>
              <w:rPr>
                <w:color w:val="1C1C1C"/>
                <w:w w:val="105"/>
                <w:sz w:val="21"/>
              </w:rPr>
              <w:t>vasos</w:t>
            </w:r>
            <w:r>
              <w:rPr>
                <w:color w:val="1C1C1C"/>
                <w:spacing w:val="-17"/>
                <w:w w:val="105"/>
                <w:sz w:val="21"/>
              </w:rPr>
              <w:t> </w:t>
            </w:r>
            <w:r>
              <w:rPr>
                <w:color w:val="1C1C1C"/>
                <w:w w:val="105"/>
                <w:sz w:val="21"/>
              </w:rPr>
              <w:t>carotídeos,</w:t>
            </w:r>
            <w:r>
              <w:rPr>
                <w:color w:val="1C1C1C"/>
                <w:spacing w:val="-18"/>
                <w:w w:val="105"/>
                <w:sz w:val="21"/>
              </w:rPr>
              <w:t> </w:t>
            </w:r>
            <w:r>
              <w:rPr>
                <w:color w:val="1C1C1C"/>
                <w:w w:val="105"/>
                <w:sz w:val="21"/>
              </w:rPr>
              <w:t>que exige una disección quirúrgica cuidadosa e incluso el uso de</w:t>
            </w:r>
            <w:r>
              <w:rPr>
                <w:color w:val="1C1C1C"/>
                <w:spacing w:val="-40"/>
                <w:w w:val="105"/>
                <w:sz w:val="21"/>
              </w:rPr>
              <w:t> </w:t>
            </w:r>
            <w:r>
              <w:rPr>
                <w:color w:val="1C1C1C"/>
                <w:w w:val="105"/>
                <w:sz w:val="21"/>
              </w:rPr>
              <w:t>shunt.</w:t>
            </w:r>
          </w:p>
        </w:tc>
      </w:tr>
      <w:tr>
        <w:trPr>
          <w:trHeight w:val="1147" w:hRule="exact"/>
        </w:trPr>
        <w:tc>
          <w:tcPr>
            <w:tcW w:w="1022" w:type="dxa"/>
          </w:tcPr>
          <w:p>
            <w:pPr>
              <w:pStyle w:val="TableParagraph"/>
              <w:ind w:left="83" w:right="78"/>
              <w:rPr>
                <w:sz w:val="21"/>
              </w:rPr>
            </w:pPr>
            <w:r>
              <w:rPr>
                <w:color w:val="1C1C1C"/>
                <w:w w:val="105"/>
                <w:sz w:val="21"/>
              </w:rPr>
              <w:t>III</w:t>
            </w:r>
          </w:p>
        </w:tc>
        <w:tc>
          <w:tcPr>
            <w:tcW w:w="7507" w:type="dxa"/>
          </w:tcPr>
          <w:p>
            <w:pPr>
              <w:pStyle w:val="TableParagraph"/>
              <w:spacing w:line="376" w:lineRule="auto"/>
              <w:ind w:left="105" w:right="102"/>
              <w:jc w:val="both"/>
              <w:rPr>
                <w:sz w:val="21"/>
              </w:rPr>
            </w:pPr>
            <w:r>
              <w:rPr>
                <w:color w:val="1C1C1C"/>
                <w:w w:val="105"/>
                <w:sz w:val="21"/>
              </w:rPr>
              <w:t>Tumores de gran tamaño, íntimamente pegados a los vasos carotídeos, cuya</w:t>
            </w:r>
            <w:r>
              <w:rPr>
                <w:color w:val="1C1C1C"/>
                <w:spacing w:val="-16"/>
                <w:w w:val="105"/>
                <w:sz w:val="21"/>
              </w:rPr>
              <w:t> </w:t>
            </w:r>
            <w:r>
              <w:rPr>
                <w:color w:val="1C1C1C"/>
                <w:w w:val="105"/>
                <w:sz w:val="21"/>
              </w:rPr>
              <w:t>disección</w:t>
            </w:r>
            <w:r>
              <w:rPr>
                <w:color w:val="1C1C1C"/>
                <w:spacing w:val="-16"/>
                <w:w w:val="105"/>
                <w:sz w:val="21"/>
              </w:rPr>
              <w:t> </w:t>
            </w:r>
            <w:r>
              <w:rPr>
                <w:color w:val="1C1C1C"/>
                <w:w w:val="105"/>
                <w:sz w:val="21"/>
              </w:rPr>
              <w:t>es</w:t>
            </w:r>
            <w:r>
              <w:rPr>
                <w:color w:val="1C1C1C"/>
                <w:spacing w:val="-16"/>
                <w:w w:val="105"/>
                <w:sz w:val="21"/>
              </w:rPr>
              <w:t> </w:t>
            </w:r>
            <w:r>
              <w:rPr>
                <w:color w:val="1C1C1C"/>
                <w:w w:val="105"/>
                <w:sz w:val="21"/>
              </w:rPr>
              <w:t>difícil</w:t>
            </w:r>
            <w:r>
              <w:rPr>
                <w:color w:val="1C1C1C"/>
                <w:spacing w:val="-17"/>
                <w:w w:val="105"/>
                <w:sz w:val="21"/>
              </w:rPr>
              <w:t> </w:t>
            </w:r>
            <w:r>
              <w:rPr>
                <w:color w:val="1C1C1C"/>
                <w:w w:val="105"/>
                <w:sz w:val="21"/>
              </w:rPr>
              <w:t>y</w:t>
            </w:r>
            <w:r>
              <w:rPr>
                <w:color w:val="1C1C1C"/>
                <w:spacing w:val="-16"/>
                <w:w w:val="105"/>
                <w:sz w:val="21"/>
              </w:rPr>
              <w:t> </w:t>
            </w:r>
            <w:r>
              <w:rPr>
                <w:color w:val="1C1C1C"/>
                <w:w w:val="105"/>
                <w:sz w:val="21"/>
              </w:rPr>
              <w:t>con</w:t>
            </w:r>
            <w:r>
              <w:rPr>
                <w:color w:val="1C1C1C"/>
                <w:spacing w:val="-16"/>
                <w:w w:val="105"/>
                <w:sz w:val="21"/>
              </w:rPr>
              <w:t> </w:t>
            </w:r>
            <w:r>
              <w:rPr>
                <w:color w:val="1C1C1C"/>
                <w:w w:val="105"/>
                <w:sz w:val="21"/>
              </w:rPr>
              <w:t>la</w:t>
            </w:r>
            <w:r>
              <w:rPr>
                <w:color w:val="1C1C1C"/>
                <w:spacing w:val="-16"/>
                <w:w w:val="105"/>
                <w:sz w:val="21"/>
              </w:rPr>
              <w:t> </w:t>
            </w:r>
            <w:r>
              <w:rPr>
                <w:color w:val="1C1C1C"/>
                <w:w w:val="105"/>
                <w:sz w:val="21"/>
              </w:rPr>
              <w:t>probabilidad</w:t>
            </w:r>
            <w:r>
              <w:rPr>
                <w:color w:val="1C1C1C"/>
                <w:spacing w:val="-16"/>
                <w:w w:val="105"/>
                <w:sz w:val="21"/>
              </w:rPr>
              <w:t> </w:t>
            </w:r>
            <w:r>
              <w:rPr>
                <w:color w:val="1C1C1C"/>
                <w:w w:val="105"/>
                <w:sz w:val="21"/>
              </w:rPr>
              <w:t>de</w:t>
            </w:r>
            <w:r>
              <w:rPr>
                <w:color w:val="1C1C1C"/>
                <w:spacing w:val="-16"/>
                <w:w w:val="105"/>
                <w:sz w:val="21"/>
              </w:rPr>
              <w:t> </w:t>
            </w:r>
            <w:r>
              <w:rPr>
                <w:color w:val="1C1C1C"/>
                <w:w w:val="105"/>
                <w:sz w:val="21"/>
              </w:rPr>
              <w:t>requerir</w:t>
            </w:r>
            <w:r>
              <w:rPr>
                <w:color w:val="1C1C1C"/>
                <w:spacing w:val="-16"/>
                <w:w w:val="105"/>
                <w:sz w:val="21"/>
              </w:rPr>
              <w:t> </w:t>
            </w:r>
            <w:r>
              <w:rPr>
                <w:color w:val="1C1C1C"/>
                <w:w w:val="105"/>
                <w:sz w:val="21"/>
              </w:rPr>
              <w:t>una</w:t>
            </w:r>
            <w:r>
              <w:rPr>
                <w:color w:val="1C1C1C"/>
                <w:spacing w:val="-16"/>
                <w:w w:val="105"/>
                <w:sz w:val="21"/>
              </w:rPr>
              <w:t> </w:t>
            </w:r>
            <w:r>
              <w:rPr>
                <w:color w:val="1C1C1C"/>
                <w:w w:val="105"/>
                <w:sz w:val="21"/>
              </w:rPr>
              <w:t>reconstrucción vascular.</w:t>
            </w:r>
          </w:p>
        </w:tc>
      </w:tr>
    </w:tbl>
    <w:p>
      <w:pPr>
        <w:spacing w:after="0" w:line="376" w:lineRule="auto"/>
        <w:jc w:val="both"/>
        <w:rPr>
          <w:sz w:val="21"/>
        </w:rPr>
        <w:sectPr>
          <w:pgSz w:w="12240" w:h="15840"/>
          <w:pgMar w:header="0" w:footer="687" w:top="1420" w:bottom="940" w:left="1600" w:right="1580"/>
        </w:sectPr>
      </w:pPr>
    </w:p>
    <w:p>
      <w:pPr>
        <w:pStyle w:val="BodyText"/>
        <w:spacing w:before="4"/>
        <w:rPr>
          <w:rFonts w:ascii="Times New Roman"/>
          <w:sz w:val="17"/>
        </w:rPr>
      </w:pPr>
    </w:p>
    <w:sectPr>
      <w:pgSz w:w="12240" w:h="15840"/>
      <w:pgMar w:header="0" w:footer="687" w:top="1500" w:bottom="88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type id="_x0000_t202" o:spt="202" coordsize="21600,21600" path="m,l,21600r21600,l21600,xe">
          <v:stroke joinstyle="miter"/>
          <v:path gradientshapeok="t" o:connecttype="rect"/>
        </v:shapetype>
        <v:shape style="position:absolute;margin-left:513.51062pt;margin-top:743.654541pt;width:16pt;height:14pt;mso-position-horizontal-relative:page;mso-position-vertical-relative:page;z-index:-57112"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15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751" w:hanging="360"/>
        <w:jc w:val="right"/>
      </w:pPr>
      <w:rPr>
        <w:rFonts w:hint="default" w:ascii="Arial" w:hAnsi="Arial" w:eastAsia="Arial" w:cs="Arial"/>
        <w:spacing w:val="-1"/>
        <w:w w:val="100"/>
        <w:sz w:val="24"/>
        <w:szCs w:val="24"/>
      </w:rPr>
    </w:lvl>
    <w:lvl w:ilvl="1">
      <w:start w:val="1"/>
      <w:numFmt w:val="bullet"/>
      <w:lvlText w:val="•"/>
      <w:lvlJc w:val="left"/>
      <w:pPr>
        <w:ind w:left="1590" w:hanging="360"/>
      </w:pPr>
      <w:rPr>
        <w:rFonts w:hint="default"/>
      </w:rPr>
    </w:lvl>
    <w:lvl w:ilvl="2">
      <w:start w:val="1"/>
      <w:numFmt w:val="bullet"/>
      <w:lvlText w:val="•"/>
      <w:lvlJc w:val="left"/>
      <w:pPr>
        <w:ind w:left="2420" w:hanging="360"/>
      </w:pPr>
      <w:rPr>
        <w:rFonts w:hint="default"/>
      </w:rPr>
    </w:lvl>
    <w:lvl w:ilvl="3">
      <w:start w:val="1"/>
      <w:numFmt w:val="bullet"/>
      <w:lvlText w:val="•"/>
      <w:lvlJc w:val="left"/>
      <w:pPr>
        <w:ind w:left="325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910" w:hanging="360"/>
      </w:pPr>
      <w:rPr>
        <w:rFonts w:hint="default"/>
      </w:rPr>
    </w:lvl>
    <w:lvl w:ilvl="6">
      <w:start w:val="1"/>
      <w:numFmt w:val="bullet"/>
      <w:lvlText w:val="•"/>
      <w:lvlJc w:val="left"/>
      <w:pPr>
        <w:ind w:left="5740" w:hanging="360"/>
      </w:pPr>
      <w:rPr>
        <w:rFonts w:hint="default"/>
      </w:rPr>
    </w:lvl>
    <w:lvl w:ilvl="7">
      <w:start w:val="1"/>
      <w:numFmt w:val="bullet"/>
      <w:lvlText w:val="•"/>
      <w:lvlJc w:val="left"/>
      <w:pPr>
        <w:ind w:left="6570" w:hanging="360"/>
      </w:pPr>
      <w:rPr>
        <w:rFonts w:hint="default"/>
      </w:rPr>
    </w:lvl>
    <w:lvl w:ilvl="8">
      <w:start w:val="1"/>
      <w:numFmt w:val="bullet"/>
      <w:lvlText w:val="•"/>
      <w:lvlJc w:val="left"/>
      <w:pPr>
        <w:ind w:left="7400" w:hanging="360"/>
      </w:pPr>
      <w:rPr>
        <w:rFonts w:hint="default"/>
      </w:rPr>
    </w:lvl>
  </w:abstractNum>
  <w:abstractNum w:abstractNumId="12">
    <w:multiLevelType w:val="hybridMultilevel"/>
    <w:lvl w:ilvl="0">
      <w:start w:val="9"/>
      <w:numFmt w:val="upperRoman"/>
      <w:lvlText w:val="%1."/>
      <w:lvlJc w:val="left"/>
      <w:pPr>
        <w:ind w:left="438" w:hanging="331"/>
        <w:jc w:val="right"/>
      </w:pPr>
      <w:rPr>
        <w:rFonts w:hint="default"/>
        <w:b/>
        <w:bCs/>
        <w:spacing w:val="0"/>
        <w:w w:val="102"/>
      </w:rPr>
    </w:lvl>
    <w:lvl w:ilvl="1">
      <w:start w:val="1"/>
      <w:numFmt w:val="bullet"/>
      <w:lvlText w:val=""/>
      <w:lvlJc w:val="left"/>
      <w:pPr>
        <w:ind w:left="828" w:hanging="360"/>
      </w:pPr>
      <w:rPr>
        <w:rFonts w:hint="default" w:ascii="Symbol" w:hAnsi="Symbol" w:eastAsia="Symbol" w:cs="Symbol"/>
        <w:w w:val="102"/>
        <w:sz w:val="21"/>
        <w:szCs w:val="21"/>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1">
    <w:multiLevelType w:val="hybridMultilevel"/>
    <w:lvl w:ilvl="0">
      <w:start w:val="6"/>
      <w:numFmt w:val="upperRoman"/>
      <w:lvlText w:val="%1"/>
      <w:lvlJc w:val="left"/>
      <w:pPr>
        <w:ind w:left="581" w:hanging="453"/>
        <w:jc w:val="left"/>
      </w:pPr>
      <w:rPr>
        <w:rFonts w:hint="default"/>
      </w:rPr>
    </w:lvl>
    <w:lvl w:ilvl="1">
      <w:start w:val="5"/>
      <w:numFmt w:val="decimal"/>
      <w:lvlText w:val="%1.%2"/>
      <w:lvlJc w:val="left"/>
      <w:pPr>
        <w:ind w:left="581" w:hanging="453"/>
        <w:jc w:val="left"/>
      </w:pPr>
      <w:rPr>
        <w:rFonts w:hint="default" w:ascii="Arial" w:hAnsi="Arial" w:eastAsia="Arial" w:cs="Arial"/>
        <w:b/>
        <w:bCs/>
        <w:spacing w:val="0"/>
        <w:w w:val="102"/>
        <w:sz w:val="21"/>
        <w:szCs w:val="21"/>
      </w:rPr>
    </w:lvl>
    <w:lvl w:ilvl="2">
      <w:start w:val="1"/>
      <w:numFmt w:val="bullet"/>
      <w:lvlText w:val="•"/>
      <w:lvlJc w:val="left"/>
      <w:pPr>
        <w:ind w:left="2424" w:hanging="453"/>
      </w:pPr>
      <w:rPr>
        <w:rFonts w:hint="default"/>
      </w:rPr>
    </w:lvl>
    <w:lvl w:ilvl="3">
      <w:start w:val="1"/>
      <w:numFmt w:val="bullet"/>
      <w:lvlText w:val="•"/>
      <w:lvlJc w:val="left"/>
      <w:pPr>
        <w:ind w:left="3346" w:hanging="453"/>
      </w:pPr>
      <w:rPr>
        <w:rFonts w:hint="default"/>
      </w:rPr>
    </w:lvl>
    <w:lvl w:ilvl="4">
      <w:start w:val="1"/>
      <w:numFmt w:val="bullet"/>
      <w:lvlText w:val="•"/>
      <w:lvlJc w:val="left"/>
      <w:pPr>
        <w:ind w:left="4268" w:hanging="453"/>
      </w:pPr>
      <w:rPr>
        <w:rFonts w:hint="default"/>
      </w:rPr>
    </w:lvl>
    <w:lvl w:ilvl="5">
      <w:start w:val="1"/>
      <w:numFmt w:val="bullet"/>
      <w:lvlText w:val="•"/>
      <w:lvlJc w:val="left"/>
      <w:pPr>
        <w:ind w:left="5190" w:hanging="453"/>
      </w:pPr>
      <w:rPr>
        <w:rFonts w:hint="default"/>
      </w:rPr>
    </w:lvl>
    <w:lvl w:ilvl="6">
      <w:start w:val="1"/>
      <w:numFmt w:val="bullet"/>
      <w:lvlText w:val="•"/>
      <w:lvlJc w:val="left"/>
      <w:pPr>
        <w:ind w:left="6112" w:hanging="453"/>
      </w:pPr>
      <w:rPr>
        <w:rFonts w:hint="default"/>
      </w:rPr>
    </w:lvl>
    <w:lvl w:ilvl="7">
      <w:start w:val="1"/>
      <w:numFmt w:val="bullet"/>
      <w:lvlText w:val="•"/>
      <w:lvlJc w:val="left"/>
      <w:pPr>
        <w:ind w:left="7034" w:hanging="453"/>
      </w:pPr>
      <w:rPr>
        <w:rFonts w:hint="default"/>
      </w:rPr>
    </w:lvl>
    <w:lvl w:ilvl="8">
      <w:start w:val="1"/>
      <w:numFmt w:val="bullet"/>
      <w:lvlText w:val="•"/>
      <w:lvlJc w:val="left"/>
      <w:pPr>
        <w:ind w:left="7956" w:hanging="453"/>
      </w:pPr>
      <w:rPr>
        <w:rFonts w:hint="default"/>
      </w:rPr>
    </w:lvl>
  </w:abstractNum>
  <w:abstractNum w:abstractNumId="10">
    <w:multiLevelType w:val="hybridMultilevel"/>
    <w:lvl w:ilvl="0">
      <w:start w:val="6"/>
      <w:numFmt w:val="upperRoman"/>
      <w:lvlText w:val="%1"/>
      <w:lvlJc w:val="left"/>
      <w:pPr>
        <w:ind w:left="561" w:hanging="453"/>
        <w:jc w:val="left"/>
      </w:pPr>
      <w:rPr>
        <w:rFonts w:hint="default"/>
      </w:rPr>
    </w:lvl>
    <w:lvl w:ilvl="1">
      <w:start w:val="2"/>
      <w:numFmt w:val="decimal"/>
      <w:lvlText w:val="%1.%2"/>
      <w:lvlJc w:val="left"/>
      <w:pPr>
        <w:ind w:left="561" w:hanging="453"/>
        <w:jc w:val="right"/>
      </w:pPr>
      <w:rPr>
        <w:rFonts w:hint="default" w:ascii="Arial" w:hAnsi="Arial" w:eastAsia="Arial" w:cs="Arial"/>
        <w:b/>
        <w:bCs/>
        <w:spacing w:val="0"/>
        <w:w w:val="102"/>
        <w:sz w:val="21"/>
        <w:szCs w:val="21"/>
      </w:rPr>
    </w:lvl>
    <w:lvl w:ilvl="2">
      <w:start w:val="1"/>
      <w:numFmt w:val="decimal"/>
      <w:lvlText w:val="%1.%2.%3"/>
      <w:lvlJc w:val="left"/>
      <w:pPr>
        <w:ind w:left="764" w:hanging="637"/>
        <w:jc w:val="left"/>
      </w:pPr>
      <w:rPr>
        <w:rFonts w:hint="default" w:ascii="Arial" w:hAnsi="Arial" w:eastAsia="Arial" w:cs="Arial"/>
        <w:b/>
        <w:bCs/>
        <w:spacing w:val="0"/>
        <w:w w:val="102"/>
        <w:sz w:val="21"/>
        <w:szCs w:val="21"/>
      </w:rPr>
    </w:lvl>
    <w:lvl w:ilvl="3">
      <w:start w:val="1"/>
      <w:numFmt w:val="bullet"/>
      <w:lvlText w:val="•"/>
      <w:lvlJc w:val="left"/>
      <w:pPr>
        <w:ind w:left="2604" w:hanging="637"/>
      </w:pPr>
      <w:rPr>
        <w:rFonts w:hint="default"/>
      </w:rPr>
    </w:lvl>
    <w:lvl w:ilvl="4">
      <w:start w:val="1"/>
      <w:numFmt w:val="bullet"/>
      <w:lvlText w:val="•"/>
      <w:lvlJc w:val="left"/>
      <w:pPr>
        <w:ind w:left="3526" w:hanging="637"/>
      </w:pPr>
      <w:rPr>
        <w:rFonts w:hint="default"/>
      </w:rPr>
    </w:lvl>
    <w:lvl w:ilvl="5">
      <w:start w:val="1"/>
      <w:numFmt w:val="bullet"/>
      <w:lvlText w:val="•"/>
      <w:lvlJc w:val="left"/>
      <w:pPr>
        <w:ind w:left="4448" w:hanging="637"/>
      </w:pPr>
      <w:rPr>
        <w:rFonts w:hint="default"/>
      </w:rPr>
    </w:lvl>
    <w:lvl w:ilvl="6">
      <w:start w:val="1"/>
      <w:numFmt w:val="bullet"/>
      <w:lvlText w:val="•"/>
      <w:lvlJc w:val="left"/>
      <w:pPr>
        <w:ind w:left="5371" w:hanging="637"/>
      </w:pPr>
      <w:rPr>
        <w:rFonts w:hint="default"/>
      </w:rPr>
    </w:lvl>
    <w:lvl w:ilvl="7">
      <w:start w:val="1"/>
      <w:numFmt w:val="bullet"/>
      <w:lvlText w:val="•"/>
      <w:lvlJc w:val="left"/>
      <w:pPr>
        <w:ind w:left="6293" w:hanging="637"/>
      </w:pPr>
      <w:rPr>
        <w:rFonts w:hint="default"/>
      </w:rPr>
    </w:lvl>
    <w:lvl w:ilvl="8">
      <w:start w:val="1"/>
      <w:numFmt w:val="bullet"/>
      <w:lvlText w:val="•"/>
      <w:lvlJc w:val="left"/>
      <w:pPr>
        <w:ind w:left="7215" w:hanging="637"/>
      </w:pPr>
      <w:rPr>
        <w:rFonts w:hint="default"/>
      </w:rPr>
    </w:lvl>
  </w:abstractNum>
  <w:abstractNum w:abstractNumId="9">
    <w:multiLevelType w:val="hybridMultilevel"/>
    <w:lvl w:ilvl="0">
      <w:start w:val="5"/>
      <w:numFmt w:val="upperRoman"/>
      <w:lvlText w:val="%1."/>
      <w:lvlJc w:val="left"/>
      <w:pPr>
        <w:ind w:left="316" w:hanging="208"/>
        <w:jc w:val="left"/>
      </w:pPr>
      <w:rPr>
        <w:rFonts w:hint="default" w:ascii="Arial" w:hAnsi="Arial" w:eastAsia="Arial" w:cs="Arial"/>
        <w:b/>
        <w:bCs/>
        <w:spacing w:val="1"/>
        <w:w w:val="102"/>
        <w:sz w:val="21"/>
        <w:szCs w:val="21"/>
      </w:rPr>
    </w:lvl>
    <w:lvl w:ilvl="1">
      <w:start w:val="1"/>
      <w:numFmt w:val="decimal"/>
      <w:lvlText w:val="%1.%2"/>
      <w:lvlJc w:val="left"/>
      <w:pPr>
        <w:ind w:left="500" w:hanging="392"/>
        <w:jc w:val="left"/>
      </w:pPr>
      <w:rPr>
        <w:rFonts w:hint="default" w:ascii="Arial" w:hAnsi="Arial" w:eastAsia="Arial" w:cs="Arial"/>
        <w:b/>
        <w:bCs/>
        <w:spacing w:val="0"/>
        <w:w w:val="102"/>
        <w:sz w:val="21"/>
        <w:szCs w:val="21"/>
      </w:rPr>
    </w:lvl>
    <w:lvl w:ilvl="2">
      <w:start w:val="1"/>
      <w:numFmt w:val="bullet"/>
      <w:lvlText w:val=""/>
      <w:lvlJc w:val="left"/>
      <w:pPr>
        <w:ind w:left="828" w:hanging="360"/>
      </w:pPr>
      <w:rPr>
        <w:rFonts w:hint="default" w:ascii="Symbol" w:hAnsi="Symbol" w:eastAsia="Symbol" w:cs="Symbol"/>
        <w:w w:val="102"/>
        <w:sz w:val="21"/>
        <w:szCs w:val="21"/>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8">
    <w:multiLevelType w:val="hybridMultilevel"/>
    <w:lvl w:ilvl="0">
      <w:start w:val="1"/>
      <w:numFmt w:val="decimal"/>
      <w:lvlText w:val="%1."/>
      <w:lvlJc w:val="left"/>
      <w:pPr>
        <w:ind w:left="828" w:hanging="360"/>
        <w:jc w:val="left"/>
      </w:pPr>
      <w:rPr>
        <w:rFonts w:hint="default" w:ascii="Arial" w:hAnsi="Arial" w:eastAsia="Arial" w:cs="Arial"/>
        <w:spacing w:val="0"/>
        <w:w w:val="102"/>
        <w:sz w:val="21"/>
        <w:szCs w:val="21"/>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5"/>
      <w:numFmt w:val="upperRoman"/>
      <w:lvlText w:val="%1."/>
      <w:lvlJc w:val="left"/>
      <w:pPr>
        <w:ind w:left="316" w:hanging="208"/>
        <w:jc w:val="left"/>
      </w:pPr>
      <w:rPr>
        <w:rFonts w:hint="default" w:ascii="Arial" w:hAnsi="Arial" w:eastAsia="Arial" w:cs="Arial"/>
        <w:b/>
        <w:bCs/>
        <w:spacing w:val="1"/>
        <w:w w:val="102"/>
        <w:sz w:val="21"/>
        <w:szCs w:val="21"/>
      </w:rPr>
    </w:lvl>
    <w:lvl w:ilvl="1">
      <w:start w:val="1"/>
      <w:numFmt w:val="decimal"/>
      <w:lvlText w:val="%1.%2"/>
      <w:lvlJc w:val="left"/>
      <w:pPr>
        <w:ind w:left="500" w:hanging="392"/>
        <w:jc w:val="left"/>
      </w:pPr>
      <w:rPr>
        <w:rFonts w:hint="default" w:ascii="Arial" w:hAnsi="Arial" w:eastAsia="Arial" w:cs="Arial"/>
        <w:b/>
        <w:bCs/>
        <w:spacing w:val="0"/>
        <w:w w:val="102"/>
        <w:sz w:val="21"/>
        <w:szCs w:val="21"/>
      </w:rPr>
    </w:lvl>
    <w:lvl w:ilvl="2">
      <w:start w:val="1"/>
      <w:numFmt w:val="bullet"/>
      <w:lvlText w:val=""/>
      <w:lvlJc w:val="left"/>
      <w:pPr>
        <w:ind w:left="828" w:hanging="360"/>
      </w:pPr>
      <w:rPr>
        <w:rFonts w:hint="default" w:ascii="Symbol" w:hAnsi="Symbol" w:eastAsia="Symbol" w:cs="Symbol"/>
        <w:w w:val="102"/>
        <w:sz w:val="21"/>
        <w:szCs w:val="21"/>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6">
    <w:multiLevelType w:val="hybridMultilevel"/>
    <w:lvl w:ilvl="0">
      <w:start w:val="4"/>
      <w:numFmt w:val="upperRoman"/>
      <w:lvlText w:val="%1"/>
      <w:lvlJc w:val="left"/>
      <w:pPr>
        <w:ind w:left="524" w:hanging="416"/>
        <w:jc w:val="left"/>
      </w:pPr>
      <w:rPr>
        <w:rFonts w:hint="default"/>
      </w:rPr>
    </w:lvl>
    <w:lvl w:ilvl="1">
      <w:start w:val="5"/>
      <w:numFmt w:val="upperRoman"/>
      <w:lvlText w:val="%1.%2"/>
      <w:lvlJc w:val="left"/>
      <w:pPr>
        <w:ind w:left="524" w:hanging="416"/>
        <w:jc w:val="left"/>
      </w:pPr>
      <w:rPr>
        <w:rFonts w:hint="default" w:ascii="Arial" w:hAnsi="Arial" w:eastAsia="Arial" w:cs="Arial"/>
        <w:b/>
        <w:bCs/>
        <w:spacing w:val="1"/>
        <w:w w:val="102"/>
        <w:sz w:val="21"/>
        <w:szCs w:val="21"/>
      </w:rPr>
    </w:lvl>
    <w:lvl w:ilvl="2">
      <w:start w:val="1"/>
      <w:numFmt w:val="lowerLetter"/>
      <w:lvlText w:val="%3)"/>
      <w:lvlJc w:val="left"/>
      <w:pPr>
        <w:ind w:left="1548" w:hanging="360"/>
        <w:jc w:val="left"/>
      </w:pPr>
      <w:rPr>
        <w:rFonts w:hint="default" w:ascii="Arial" w:hAnsi="Arial" w:eastAsia="Arial" w:cs="Arial"/>
        <w:spacing w:val="0"/>
        <w:w w:val="102"/>
        <w:sz w:val="21"/>
        <w:szCs w:val="21"/>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5">
    <w:multiLevelType w:val="hybridMultilevel"/>
    <w:lvl w:ilvl="0">
      <w:start w:val="3"/>
      <w:numFmt w:val="upperRoman"/>
      <w:lvlText w:val="%1"/>
      <w:lvlJc w:val="left"/>
      <w:pPr>
        <w:ind w:left="536" w:hanging="429"/>
        <w:jc w:val="left"/>
      </w:pPr>
      <w:rPr>
        <w:rFonts w:hint="default"/>
      </w:rPr>
    </w:lvl>
    <w:lvl w:ilvl="1">
      <w:start w:val="1"/>
      <w:numFmt w:val="decimal"/>
      <w:lvlText w:val="%1.%2"/>
      <w:lvlJc w:val="left"/>
      <w:pPr>
        <w:ind w:left="536" w:hanging="429"/>
        <w:jc w:val="left"/>
      </w:pPr>
      <w:rPr>
        <w:rFonts w:hint="default" w:ascii="Arial" w:hAnsi="Arial" w:eastAsia="Arial" w:cs="Arial"/>
        <w:b/>
        <w:bCs/>
        <w:spacing w:val="0"/>
        <w:w w:val="102"/>
        <w:sz w:val="21"/>
        <w:szCs w:val="21"/>
      </w:rPr>
    </w:lvl>
    <w:lvl w:ilvl="2">
      <w:start w:val="1"/>
      <w:numFmt w:val="bullet"/>
      <w:lvlText w:val="•"/>
      <w:lvlJc w:val="left"/>
      <w:pPr>
        <w:ind w:left="2244" w:hanging="429"/>
      </w:pPr>
      <w:rPr>
        <w:rFonts w:hint="default"/>
      </w:rPr>
    </w:lvl>
    <w:lvl w:ilvl="3">
      <w:start w:val="1"/>
      <w:numFmt w:val="bullet"/>
      <w:lvlText w:val="•"/>
      <w:lvlJc w:val="left"/>
      <w:pPr>
        <w:ind w:left="3096" w:hanging="429"/>
      </w:pPr>
      <w:rPr>
        <w:rFonts w:hint="default"/>
      </w:rPr>
    </w:lvl>
    <w:lvl w:ilvl="4">
      <w:start w:val="1"/>
      <w:numFmt w:val="bullet"/>
      <w:lvlText w:val="•"/>
      <w:lvlJc w:val="left"/>
      <w:pPr>
        <w:ind w:left="3948" w:hanging="429"/>
      </w:pPr>
      <w:rPr>
        <w:rFonts w:hint="default"/>
      </w:rPr>
    </w:lvl>
    <w:lvl w:ilvl="5">
      <w:start w:val="1"/>
      <w:numFmt w:val="bullet"/>
      <w:lvlText w:val="•"/>
      <w:lvlJc w:val="left"/>
      <w:pPr>
        <w:ind w:left="4800" w:hanging="429"/>
      </w:pPr>
      <w:rPr>
        <w:rFonts w:hint="default"/>
      </w:rPr>
    </w:lvl>
    <w:lvl w:ilvl="6">
      <w:start w:val="1"/>
      <w:numFmt w:val="bullet"/>
      <w:lvlText w:val="•"/>
      <w:lvlJc w:val="left"/>
      <w:pPr>
        <w:ind w:left="5652" w:hanging="429"/>
      </w:pPr>
      <w:rPr>
        <w:rFonts w:hint="default"/>
      </w:rPr>
    </w:lvl>
    <w:lvl w:ilvl="7">
      <w:start w:val="1"/>
      <w:numFmt w:val="bullet"/>
      <w:lvlText w:val="•"/>
      <w:lvlJc w:val="left"/>
      <w:pPr>
        <w:ind w:left="6504" w:hanging="429"/>
      </w:pPr>
      <w:rPr>
        <w:rFonts w:hint="default"/>
      </w:rPr>
    </w:lvl>
    <w:lvl w:ilvl="8">
      <w:start w:val="1"/>
      <w:numFmt w:val="bullet"/>
      <w:lvlText w:val="•"/>
      <w:lvlJc w:val="left"/>
      <w:pPr>
        <w:ind w:left="7356" w:hanging="429"/>
      </w:pPr>
      <w:rPr>
        <w:rFonts w:hint="default"/>
      </w:rPr>
    </w:lvl>
  </w:abstractNum>
  <w:abstractNum w:abstractNumId="4">
    <w:multiLevelType w:val="hybridMultilevel"/>
    <w:lvl w:ilvl="0">
      <w:start w:val="2"/>
      <w:numFmt w:val="upperRoman"/>
      <w:lvlText w:val="%1"/>
      <w:lvlJc w:val="left"/>
      <w:pPr>
        <w:ind w:left="475" w:hanging="367"/>
        <w:jc w:val="left"/>
      </w:pPr>
      <w:rPr>
        <w:rFonts w:hint="default"/>
      </w:rPr>
    </w:lvl>
    <w:lvl w:ilvl="1">
      <w:start w:val="1"/>
      <w:numFmt w:val="decimal"/>
      <w:lvlText w:val="%1.%2"/>
      <w:lvlJc w:val="left"/>
      <w:pPr>
        <w:ind w:left="475" w:hanging="367"/>
        <w:jc w:val="left"/>
      </w:pPr>
      <w:rPr>
        <w:rFonts w:hint="default" w:ascii="Arial" w:hAnsi="Arial" w:eastAsia="Arial" w:cs="Arial"/>
        <w:b/>
        <w:bCs/>
        <w:spacing w:val="0"/>
        <w:w w:val="102"/>
        <w:sz w:val="21"/>
        <w:szCs w:val="21"/>
      </w:rPr>
    </w:lvl>
    <w:lvl w:ilvl="2">
      <w:start w:val="1"/>
      <w:numFmt w:val="bullet"/>
      <w:lvlText w:val="•"/>
      <w:lvlJc w:val="left"/>
      <w:pPr>
        <w:ind w:left="2196" w:hanging="367"/>
      </w:pPr>
      <w:rPr>
        <w:rFonts w:hint="default"/>
      </w:rPr>
    </w:lvl>
    <w:lvl w:ilvl="3">
      <w:start w:val="1"/>
      <w:numFmt w:val="bullet"/>
      <w:lvlText w:val="•"/>
      <w:lvlJc w:val="left"/>
      <w:pPr>
        <w:ind w:left="3054" w:hanging="367"/>
      </w:pPr>
      <w:rPr>
        <w:rFonts w:hint="default"/>
      </w:rPr>
    </w:lvl>
    <w:lvl w:ilvl="4">
      <w:start w:val="1"/>
      <w:numFmt w:val="bullet"/>
      <w:lvlText w:val="•"/>
      <w:lvlJc w:val="left"/>
      <w:pPr>
        <w:ind w:left="3912" w:hanging="367"/>
      </w:pPr>
      <w:rPr>
        <w:rFonts w:hint="default"/>
      </w:rPr>
    </w:lvl>
    <w:lvl w:ilvl="5">
      <w:start w:val="1"/>
      <w:numFmt w:val="bullet"/>
      <w:lvlText w:val="•"/>
      <w:lvlJc w:val="left"/>
      <w:pPr>
        <w:ind w:left="4770" w:hanging="367"/>
      </w:pPr>
      <w:rPr>
        <w:rFonts w:hint="default"/>
      </w:rPr>
    </w:lvl>
    <w:lvl w:ilvl="6">
      <w:start w:val="1"/>
      <w:numFmt w:val="bullet"/>
      <w:lvlText w:val="•"/>
      <w:lvlJc w:val="left"/>
      <w:pPr>
        <w:ind w:left="5628" w:hanging="367"/>
      </w:pPr>
      <w:rPr>
        <w:rFonts w:hint="default"/>
      </w:rPr>
    </w:lvl>
    <w:lvl w:ilvl="7">
      <w:start w:val="1"/>
      <w:numFmt w:val="bullet"/>
      <w:lvlText w:val="•"/>
      <w:lvlJc w:val="left"/>
      <w:pPr>
        <w:ind w:left="6486" w:hanging="367"/>
      </w:pPr>
      <w:rPr>
        <w:rFonts w:hint="default"/>
      </w:rPr>
    </w:lvl>
    <w:lvl w:ilvl="8">
      <w:start w:val="1"/>
      <w:numFmt w:val="bullet"/>
      <w:lvlText w:val="•"/>
      <w:lvlJc w:val="left"/>
      <w:pPr>
        <w:ind w:left="7344" w:hanging="367"/>
      </w:pPr>
      <w:rPr>
        <w:rFonts w:hint="default"/>
      </w:rPr>
    </w:lvl>
  </w:abstractNum>
  <w:abstractNum w:abstractNumId="3">
    <w:multiLevelType w:val="hybridMultilevel"/>
    <w:lvl w:ilvl="0">
      <w:start w:val="1"/>
      <w:numFmt w:val="upperRoman"/>
      <w:lvlText w:val="%1"/>
      <w:lvlJc w:val="left"/>
      <w:pPr>
        <w:ind w:left="598" w:hanging="490"/>
        <w:jc w:val="left"/>
      </w:pPr>
      <w:rPr>
        <w:rFonts w:hint="default"/>
      </w:rPr>
    </w:lvl>
    <w:lvl w:ilvl="1">
      <w:start w:val="1"/>
      <w:numFmt w:val="decimal"/>
      <w:lvlText w:val="%1.%2"/>
      <w:lvlJc w:val="left"/>
      <w:pPr>
        <w:ind w:left="598" w:hanging="490"/>
        <w:jc w:val="left"/>
      </w:pPr>
      <w:rPr>
        <w:rFonts w:hint="default"/>
      </w:rPr>
    </w:lvl>
    <w:lvl w:ilvl="2">
      <w:start w:val="1"/>
      <w:numFmt w:val="decimal"/>
      <w:lvlText w:val="%1.%2.%3"/>
      <w:lvlJc w:val="left"/>
      <w:pPr>
        <w:ind w:left="598" w:hanging="490"/>
        <w:jc w:val="left"/>
      </w:pPr>
      <w:rPr>
        <w:rFonts w:hint="default" w:ascii="Arial" w:hAnsi="Arial" w:eastAsia="Arial" w:cs="Arial"/>
        <w:b/>
        <w:bCs/>
        <w:spacing w:val="0"/>
        <w:w w:val="102"/>
        <w:sz w:val="21"/>
        <w:szCs w:val="21"/>
      </w:rPr>
    </w:lvl>
    <w:lvl w:ilvl="3">
      <w:start w:val="1"/>
      <w:numFmt w:val="decimal"/>
      <w:lvlText w:val="%1.%2.%3.%4"/>
      <w:lvlJc w:val="left"/>
      <w:pPr>
        <w:ind w:left="781" w:hanging="673"/>
        <w:jc w:val="left"/>
      </w:pPr>
      <w:rPr>
        <w:rFonts w:hint="default" w:ascii="Arial" w:hAnsi="Arial" w:eastAsia="Arial" w:cs="Arial"/>
        <w:b/>
        <w:bCs/>
        <w:spacing w:val="0"/>
        <w:w w:val="102"/>
        <w:sz w:val="21"/>
        <w:szCs w:val="21"/>
      </w:rPr>
    </w:lvl>
    <w:lvl w:ilvl="4">
      <w:start w:val="1"/>
      <w:numFmt w:val="bullet"/>
      <w:lvlText w:val="•"/>
      <w:lvlJc w:val="left"/>
      <w:pPr>
        <w:ind w:left="3540" w:hanging="673"/>
      </w:pPr>
      <w:rPr>
        <w:rFonts w:hint="default"/>
      </w:rPr>
    </w:lvl>
    <w:lvl w:ilvl="5">
      <w:start w:val="1"/>
      <w:numFmt w:val="bullet"/>
      <w:lvlText w:val="•"/>
      <w:lvlJc w:val="left"/>
      <w:pPr>
        <w:ind w:left="4460" w:hanging="673"/>
      </w:pPr>
      <w:rPr>
        <w:rFonts w:hint="default"/>
      </w:rPr>
    </w:lvl>
    <w:lvl w:ilvl="6">
      <w:start w:val="1"/>
      <w:numFmt w:val="bullet"/>
      <w:lvlText w:val="•"/>
      <w:lvlJc w:val="left"/>
      <w:pPr>
        <w:ind w:left="5380" w:hanging="673"/>
      </w:pPr>
      <w:rPr>
        <w:rFonts w:hint="default"/>
      </w:rPr>
    </w:lvl>
    <w:lvl w:ilvl="7">
      <w:start w:val="1"/>
      <w:numFmt w:val="bullet"/>
      <w:lvlText w:val="•"/>
      <w:lvlJc w:val="left"/>
      <w:pPr>
        <w:ind w:left="6300" w:hanging="673"/>
      </w:pPr>
      <w:rPr>
        <w:rFonts w:hint="default"/>
      </w:rPr>
    </w:lvl>
    <w:lvl w:ilvl="8">
      <w:start w:val="1"/>
      <w:numFmt w:val="bullet"/>
      <w:lvlText w:val="•"/>
      <w:lvlJc w:val="left"/>
      <w:pPr>
        <w:ind w:left="7220" w:hanging="673"/>
      </w:pPr>
      <w:rPr>
        <w:rFonts w:hint="default"/>
      </w:rPr>
    </w:lvl>
  </w:abstractNum>
  <w:abstractNum w:abstractNumId="2">
    <w:multiLevelType w:val="hybridMultilevel"/>
    <w:lvl w:ilvl="0">
      <w:start w:val="1"/>
      <w:numFmt w:val="upperRoman"/>
      <w:lvlText w:val="%1."/>
      <w:lvlJc w:val="left"/>
      <w:pPr>
        <w:ind w:left="230" w:hanging="123"/>
        <w:jc w:val="left"/>
      </w:pPr>
      <w:rPr>
        <w:rFonts w:hint="default" w:ascii="Arial" w:hAnsi="Arial" w:eastAsia="Arial" w:cs="Arial"/>
        <w:b/>
        <w:bCs/>
        <w:spacing w:val="1"/>
        <w:w w:val="102"/>
        <w:sz w:val="21"/>
        <w:szCs w:val="21"/>
      </w:rPr>
    </w:lvl>
    <w:lvl w:ilvl="1">
      <w:start w:val="1"/>
      <w:numFmt w:val="upperRoman"/>
      <w:lvlText w:val="%2."/>
      <w:lvlJc w:val="left"/>
      <w:pPr>
        <w:ind w:left="828" w:hanging="483"/>
        <w:jc w:val="right"/>
      </w:pPr>
      <w:rPr>
        <w:rFonts w:hint="default" w:ascii="Arial" w:hAnsi="Arial" w:eastAsia="Arial" w:cs="Arial"/>
        <w:spacing w:val="0"/>
        <w:w w:val="102"/>
        <w:sz w:val="21"/>
        <w:szCs w:val="21"/>
      </w:rPr>
    </w:lvl>
    <w:lvl w:ilvl="2">
      <w:start w:val="1"/>
      <w:numFmt w:val="bullet"/>
      <w:lvlText w:val="•"/>
      <w:lvlJc w:val="left"/>
      <w:pPr>
        <w:ind w:left="820" w:hanging="483"/>
      </w:pPr>
      <w:rPr>
        <w:rFonts w:hint="default"/>
      </w:rPr>
    </w:lvl>
    <w:lvl w:ilvl="3">
      <w:start w:val="1"/>
      <w:numFmt w:val="bullet"/>
      <w:lvlText w:val="•"/>
      <w:lvlJc w:val="left"/>
      <w:pPr>
        <w:ind w:left="1850" w:hanging="483"/>
      </w:pPr>
      <w:rPr>
        <w:rFonts w:hint="default"/>
      </w:rPr>
    </w:lvl>
    <w:lvl w:ilvl="4">
      <w:start w:val="1"/>
      <w:numFmt w:val="bullet"/>
      <w:lvlText w:val="•"/>
      <w:lvlJc w:val="left"/>
      <w:pPr>
        <w:ind w:left="2880" w:hanging="483"/>
      </w:pPr>
      <w:rPr>
        <w:rFonts w:hint="default"/>
      </w:rPr>
    </w:lvl>
    <w:lvl w:ilvl="5">
      <w:start w:val="1"/>
      <w:numFmt w:val="bullet"/>
      <w:lvlText w:val="•"/>
      <w:lvlJc w:val="left"/>
      <w:pPr>
        <w:ind w:left="3910" w:hanging="483"/>
      </w:pPr>
      <w:rPr>
        <w:rFonts w:hint="default"/>
      </w:rPr>
    </w:lvl>
    <w:lvl w:ilvl="6">
      <w:start w:val="1"/>
      <w:numFmt w:val="bullet"/>
      <w:lvlText w:val="•"/>
      <w:lvlJc w:val="left"/>
      <w:pPr>
        <w:ind w:left="4940" w:hanging="483"/>
      </w:pPr>
      <w:rPr>
        <w:rFonts w:hint="default"/>
      </w:rPr>
    </w:lvl>
    <w:lvl w:ilvl="7">
      <w:start w:val="1"/>
      <w:numFmt w:val="bullet"/>
      <w:lvlText w:val="•"/>
      <w:lvlJc w:val="left"/>
      <w:pPr>
        <w:ind w:left="5970" w:hanging="483"/>
      </w:pPr>
      <w:rPr>
        <w:rFonts w:hint="default"/>
      </w:rPr>
    </w:lvl>
    <w:lvl w:ilvl="8">
      <w:start w:val="1"/>
      <w:numFmt w:val="bullet"/>
      <w:lvlText w:val="•"/>
      <w:lvlJc w:val="left"/>
      <w:pPr>
        <w:ind w:left="7000" w:hanging="483"/>
      </w:pPr>
      <w:rPr>
        <w:rFonts w:hint="default"/>
      </w:rPr>
    </w:lvl>
  </w:abstractNum>
  <w:abstractNum w:abstractNumId="1">
    <w:multiLevelType w:val="hybridMultilevel"/>
    <w:lvl w:ilvl="0">
      <w:start w:val="2"/>
      <w:numFmt w:val="upperRoman"/>
      <w:lvlText w:val="%1."/>
      <w:lvlJc w:val="left"/>
      <w:pPr>
        <w:ind w:left="903" w:hanging="428"/>
        <w:jc w:val="right"/>
      </w:pPr>
      <w:rPr>
        <w:rFonts w:hint="default" w:ascii="Arial" w:hAnsi="Arial" w:eastAsia="Arial" w:cs="Arial"/>
        <w:spacing w:val="0"/>
        <w:w w:val="102"/>
        <w:sz w:val="21"/>
        <w:szCs w:val="21"/>
      </w:rPr>
    </w:lvl>
    <w:lvl w:ilvl="1">
      <w:start w:val="1"/>
      <w:numFmt w:val="decimal"/>
      <w:lvlText w:val="%1.%2"/>
      <w:lvlJc w:val="left"/>
      <w:pPr>
        <w:ind w:left="1270" w:hanging="367"/>
        <w:jc w:val="left"/>
      </w:pPr>
      <w:rPr>
        <w:rFonts w:hint="default" w:ascii="Arial" w:hAnsi="Arial" w:eastAsia="Arial" w:cs="Arial"/>
        <w:spacing w:val="0"/>
        <w:w w:val="102"/>
        <w:sz w:val="21"/>
        <w:szCs w:val="21"/>
      </w:rPr>
    </w:lvl>
    <w:lvl w:ilvl="2">
      <w:start w:val="1"/>
      <w:numFmt w:val="decimal"/>
      <w:lvlText w:val="%1.%2.%3"/>
      <w:lvlJc w:val="left"/>
      <w:pPr>
        <w:ind w:left="2329" w:hanging="636"/>
        <w:jc w:val="left"/>
      </w:pPr>
      <w:rPr>
        <w:rFonts w:hint="default" w:ascii="Arial" w:hAnsi="Arial" w:eastAsia="Arial" w:cs="Arial"/>
        <w:spacing w:val="0"/>
        <w:w w:val="102"/>
        <w:sz w:val="21"/>
        <w:szCs w:val="21"/>
      </w:rPr>
    </w:lvl>
    <w:lvl w:ilvl="3">
      <w:start w:val="1"/>
      <w:numFmt w:val="bullet"/>
      <w:lvlText w:val="•"/>
      <w:lvlJc w:val="left"/>
      <w:pPr>
        <w:ind w:left="1660" w:hanging="636"/>
      </w:pPr>
      <w:rPr>
        <w:rFonts w:hint="default"/>
      </w:rPr>
    </w:lvl>
    <w:lvl w:ilvl="4">
      <w:start w:val="1"/>
      <w:numFmt w:val="bullet"/>
      <w:lvlText w:val="•"/>
      <w:lvlJc w:val="left"/>
      <w:pPr>
        <w:ind w:left="1720" w:hanging="636"/>
      </w:pPr>
      <w:rPr>
        <w:rFonts w:hint="default"/>
      </w:rPr>
    </w:lvl>
    <w:lvl w:ilvl="5">
      <w:start w:val="1"/>
      <w:numFmt w:val="bullet"/>
      <w:lvlText w:val="•"/>
      <w:lvlJc w:val="left"/>
      <w:pPr>
        <w:ind w:left="2320" w:hanging="636"/>
      </w:pPr>
      <w:rPr>
        <w:rFonts w:hint="default"/>
      </w:rPr>
    </w:lvl>
    <w:lvl w:ilvl="6">
      <w:start w:val="1"/>
      <w:numFmt w:val="bullet"/>
      <w:lvlText w:val="•"/>
      <w:lvlJc w:val="left"/>
      <w:pPr>
        <w:ind w:left="3644" w:hanging="636"/>
      </w:pPr>
      <w:rPr>
        <w:rFonts w:hint="default"/>
      </w:rPr>
    </w:lvl>
    <w:lvl w:ilvl="7">
      <w:start w:val="1"/>
      <w:numFmt w:val="bullet"/>
      <w:lvlText w:val="•"/>
      <w:lvlJc w:val="left"/>
      <w:pPr>
        <w:ind w:left="4968" w:hanging="636"/>
      </w:pPr>
      <w:rPr>
        <w:rFonts w:hint="default"/>
      </w:rPr>
    </w:lvl>
    <w:lvl w:ilvl="8">
      <w:start w:val="1"/>
      <w:numFmt w:val="bullet"/>
      <w:lvlText w:val="•"/>
      <w:lvlJc w:val="left"/>
      <w:pPr>
        <w:ind w:left="6292" w:hanging="636"/>
      </w:pPr>
      <w:rPr>
        <w:rFonts w:hint="default"/>
      </w:rPr>
    </w:lvl>
  </w:abstractNum>
  <w:abstractNum w:abstractNumId="0">
    <w:multiLevelType w:val="hybridMultilevel"/>
    <w:lvl w:ilvl="0">
      <w:start w:val="5"/>
      <w:numFmt w:val="upperLetter"/>
      <w:lvlText w:val="%1."/>
      <w:lvlJc w:val="left"/>
      <w:pPr>
        <w:ind w:left="2158" w:hanging="272"/>
        <w:jc w:val="left"/>
      </w:pPr>
      <w:rPr>
        <w:rFonts w:hint="default" w:ascii="Arial" w:hAnsi="Arial" w:eastAsia="Arial" w:cs="Arial"/>
        <w:spacing w:val="0"/>
        <w:w w:val="102"/>
        <w:sz w:val="21"/>
        <w:szCs w:val="21"/>
      </w:rPr>
    </w:lvl>
    <w:lvl w:ilvl="1">
      <w:start w:val="5"/>
      <w:numFmt w:val="upperLetter"/>
      <w:lvlText w:val="%2."/>
      <w:lvlJc w:val="left"/>
      <w:pPr>
        <w:ind w:left="2690" w:hanging="272"/>
        <w:jc w:val="left"/>
      </w:pPr>
      <w:rPr>
        <w:rFonts w:hint="default" w:ascii="Arial" w:hAnsi="Arial" w:eastAsia="Arial" w:cs="Arial"/>
        <w:spacing w:val="0"/>
        <w:w w:val="102"/>
        <w:sz w:val="21"/>
        <w:szCs w:val="21"/>
      </w:rPr>
    </w:lvl>
    <w:lvl w:ilvl="2">
      <w:start w:val="5"/>
      <w:numFmt w:val="upperLetter"/>
      <w:lvlText w:val="%3."/>
      <w:lvlJc w:val="left"/>
      <w:pPr>
        <w:ind w:left="2690" w:hanging="272"/>
        <w:jc w:val="right"/>
      </w:pPr>
      <w:rPr>
        <w:rFonts w:hint="default" w:ascii="Arial" w:hAnsi="Arial" w:eastAsia="Arial" w:cs="Arial"/>
        <w:spacing w:val="0"/>
        <w:w w:val="102"/>
        <w:sz w:val="21"/>
        <w:szCs w:val="21"/>
      </w:rPr>
    </w:lvl>
    <w:lvl w:ilvl="3">
      <w:start w:val="1"/>
      <w:numFmt w:val="bullet"/>
      <w:lvlText w:val="•"/>
      <w:lvlJc w:val="left"/>
      <w:pPr>
        <w:ind w:left="4055" w:hanging="272"/>
      </w:pPr>
      <w:rPr>
        <w:rFonts w:hint="default"/>
      </w:rPr>
    </w:lvl>
    <w:lvl w:ilvl="4">
      <w:start w:val="1"/>
      <w:numFmt w:val="bullet"/>
      <w:lvlText w:val="•"/>
      <w:lvlJc w:val="left"/>
      <w:pPr>
        <w:ind w:left="4733" w:hanging="272"/>
      </w:pPr>
      <w:rPr>
        <w:rFonts w:hint="default"/>
      </w:rPr>
    </w:lvl>
    <w:lvl w:ilvl="5">
      <w:start w:val="1"/>
      <w:numFmt w:val="bullet"/>
      <w:lvlText w:val="•"/>
      <w:lvlJc w:val="left"/>
      <w:pPr>
        <w:ind w:left="5411" w:hanging="272"/>
      </w:pPr>
      <w:rPr>
        <w:rFonts w:hint="default"/>
      </w:rPr>
    </w:lvl>
    <w:lvl w:ilvl="6">
      <w:start w:val="1"/>
      <w:numFmt w:val="bullet"/>
      <w:lvlText w:val="•"/>
      <w:lvlJc w:val="left"/>
      <w:pPr>
        <w:ind w:left="6088" w:hanging="272"/>
      </w:pPr>
      <w:rPr>
        <w:rFonts w:hint="default"/>
      </w:rPr>
    </w:lvl>
    <w:lvl w:ilvl="7">
      <w:start w:val="1"/>
      <w:numFmt w:val="bullet"/>
      <w:lvlText w:val="•"/>
      <w:lvlJc w:val="left"/>
      <w:pPr>
        <w:ind w:left="6766" w:hanging="272"/>
      </w:pPr>
      <w:rPr>
        <w:rFonts w:hint="default"/>
      </w:rPr>
    </w:lvl>
    <w:lvl w:ilvl="8">
      <w:start w:val="1"/>
      <w:numFmt w:val="bullet"/>
      <w:lvlText w:val="•"/>
      <w:lvlJc w:val="left"/>
      <w:pPr>
        <w:ind w:left="7444" w:hanging="272"/>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0"/>
      <w:ind w:left="624" w:hanging="330"/>
    </w:pPr>
    <w:rPr>
      <w:rFonts w:ascii="Arial" w:hAnsi="Arial" w:eastAsia="Arial" w:cs="Arial"/>
      <w:sz w:val="21"/>
      <w:szCs w:val="21"/>
    </w:rPr>
  </w:style>
  <w:style w:styleId="TOC2" w:type="paragraph">
    <w:name w:val="TOC 2"/>
    <w:basedOn w:val="Normal"/>
    <w:uiPriority w:val="1"/>
    <w:qFormat/>
    <w:pPr>
      <w:spacing w:before="267"/>
      <w:ind w:left="617" w:hanging="452"/>
    </w:pPr>
    <w:rPr>
      <w:rFonts w:ascii="Arial" w:hAnsi="Arial" w:eastAsia="Arial" w:cs="Arial"/>
      <w:sz w:val="21"/>
      <w:szCs w:val="21"/>
    </w:rPr>
  </w:style>
  <w:style w:styleId="TOC3" w:type="paragraph">
    <w:name w:val="TOC 3"/>
    <w:basedOn w:val="Normal"/>
    <w:uiPriority w:val="1"/>
    <w:qFormat/>
    <w:pPr>
      <w:spacing w:before="262"/>
      <w:ind w:left="1717" w:hanging="452"/>
    </w:pPr>
    <w:rPr>
      <w:rFonts w:ascii="Arial" w:hAnsi="Arial" w:eastAsia="Arial" w:cs="Arial"/>
      <w:sz w:val="21"/>
      <w:szCs w:val="21"/>
    </w:rPr>
  </w:style>
  <w:style w:styleId="TOC4" w:type="paragraph">
    <w:name w:val="TOC 4"/>
    <w:basedOn w:val="Normal"/>
    <w:uiPriority w:val="1"/>
    <w:qFormat/>
    <w:pPr>
      <w:spacing w:before="262"/>
      <w:ind w:left="2329" w:hanging="636"/>
    </w:pPr>
    <w:rPr>
      <w:rFonts w:ascii="Arial" w:hAnsi="Arial" w:eastAsia="Arial" w:cs="Arial"/>
      <w:sz w:val="21"/>
      <w:szCs w:val="21"/>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ind w:left="108" w:hanging="520"/>
      <w:outlineLvl w:val="1"/>
    </w:pPr>
    <w:rPr>
      <w:rFonts w:ascii="Arial" w:hAnsi="Arial" w:eastAsia="Arial" w:cs="Arial"/>
      <w:b/>
      <w:bCs/>
      <w:sz w:val="24"/>
      <w:szCs w:val="24"/>
    </w:rPr>
  </w:style>
  <w:style w:styleId="Heading2" w:type="paragraph">
    <w:name w:val="Heading 2"/>
    <w:basedOn w:val="Normal"/>
    <w:uiPriority w:val="1"/>
    <w:qFormat/>
    <w:pPr>
      <w:spacing w:before="2"/>
      <w:ind w:left="631" w:right="111" w:hanging="360"/>
      <w:jc w:val="both"/>
      <w:outlineLvl w:val="2"/>
    </w:pPr>
    <w:rPr>
      <w:rFonts w:ascii="Arial" w:hAnsi="Arial" w:eastAsia="Arial" w:cs="Arial"/>
      <w:sz w:val="24"/>
      <w:szCs w:val="24"/>
    </w:rPr>
  </w:style>
  <w:style w:styleId="Heading3" w:type="paragraph">
    <w:name w:val="Heading 3"/>
    <w:basedOn w:val="Normal"/>
    <w:uiPriority w:val="1"/>
    <w:qFormat/>
    <w:pPr>
      <w:ind w:left="781" w:hanging="673"/>
      <w:jc w:val="both"/>
      <w:outlineLvl w:val="3"/>
    </w:pPr>
    <w:rPr>
      <w:rFonts w:ascii="Arial" w:hAnsi="Arial" w:eastAsia="Arial" w:cs="Arial"/>
      <w:b/>
      <w:bCs/>
      <w:sz w:val="21"/>
      <w:szCs w:val="21"/>
    </w:rPr>
  </w:style>
  <w:style w:styleId="ListParagraph" w:type="paragraph">
    <w:name w:val="List Paragraph"/>
    <w:basedOn w:val="Normal"/>
    <w:uiPriority w:val="1"/>
    <w:qFormat/>
    <w:pPr>
      <w:ind w:left="631" w:hanging="360"/>
      <w:jc w:val="both"/>
    </w:pPr>
    <w:rPr>
      <w:rFonts w:ascii="Arial" w:hAnsi="Arial" w:eastAsia="Arial" w:cs="Arial"/>
    </w:rPr>
  </w:style>
  <w:style w:styleId="TableParagraph" w:type="paragraph">
    <w:name w:val="Table Paragraph"/>
    <w:basedOn w:val="Normal"/>
    <w:uiPriority w:val="1"/>
    <w:qFormat/>
    <w:pPr>
      <w:spacing w:before="4"/>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2017-05-18T01:54:26Z</dcterms:created>
  <dcterms:modified xsi:type="dcterms:W3CDTF">2017-05-18T01:54:26Z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2017-01-06T00:00:00Z</vt:filetime>
  </property>
  <property fmtid="{D5CDD505-2E9C-101B-9397-08002B2CF9AE}" pid="3" name="Creator">
    <vt:lpwstr>Word</vt:lpwstr>
  </property>
  <property fmtid="{D5CDD505-2E9C-101B-9397-08002B2CF9AE}" pid="4" name="LastSaved">
    <vt:filetime>2017-05-17T00:00:00Z</vt:filetime>
  </property>
</Properties>
</file>