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Default Extension="png" ContentType="image/png"/>
  <Override PartName="/word/header5.xml" ContentType="application/vnd.openxmlformats-officedocument.wordprocessingml.header+xml"/>
  <Override PartName="/word/header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sz w:val="23"/>
        </w:rPr>
      </w:pPr>
    </w:p>
    <w:p>
      <w:pPr>
        <w:pStyle w:val="BodyText"/>
        <w:spacing w:line="20" w:lineRule="exact"/>
        <w:ind w:left="2875"/>
        <w:rPr>
          <w:sz w:val="2"/>
        </w:rPr>
      </w:pPr>
      <w:r>
        <w:rPr>
          <w:sz w:val="2"/>
        </w:rPr>
        <w:pict>
          <v:group style="width:350.15pt;height:.1pt;mso-position-horizontal-relative:char;mso-position-vertical-relative:line" coordorigin="0,0" coordsize="7003,2">
            <v:line style="position:absolute" from="1,1" to="7003,1" stroked="true" strokeweight=".05pt" strokecolor="#000000"/>
          </v:group>
        </w:pict>
      </w:r>
      <w:r>
        <w:rPr>
          <w:sz w:val="2"/>
        </w:rPr>
      </w:r>
    </w:p>
    <w:p>
      <w:pPr>
        <w:pStyle w:val="BodyText"/>
        <w:rPr>
          <w:sz w:val="20"/>
        </w:rPr>
      </w:pPr>
    </w:p>
    <w:p>
      <w:pPr>
        <w:pStyle w:val="BodyText"/>
        <w:spacing w:before="11"/>
        <w:rPr>
          <w:sz w:val="22"/>
        </w:rPr>
      </w:pPr>
      <w:r>
        <w:rPr/>
        <w:pict>
          <v:line style="position:absolute;mso-position-horizontal-relative:page;mso-position-vertical-relative:paragraph;z-index:1048;mso-wrap-distance-left:0;mso-wrap-distance-right:0" from="180.779999pt,17.165977pt" to="530.829999pt,17.165977pt" stroked="true" strokeweight="3.96pt" strokecolor="#000000">
            <w10:wrap type="topAndBottom"/>
          </v:line>
        </w:pict>
      </w:r>
    </w:p>
    <w:p>
      <w:pPr>
        <w:pStyle w:val="BodyText"/>
        <w:rPr>
          <w:sz w:val="20"/>
        </w:rPr>
      </w:pPr>
    </w:p>
    <w:p>
      <w:pPr>
        <w:pStyle w:val="BodyText"/>
        <w:rPr>
          <w:sz w:val="20"/>
        </w:rPr>
      </w:pPr>
    </w:p>
    <w:p>
      <w:pPr>
        <w:pStyle w:val="BodyText"/>
        <w:rPr>
          <w:sz w:val="20"/>
        </w:rPr>
      </w:pPr>
    </w:p>
    <w:p>
      <w:pPr>
        <w:spacing w:before="213"/>
        <w:ind w:left="3425" w:right="699" w:firstLine="0"/>
        <w:jc w:val="center"/>
        <w:rPr>
          <w:sz w:val="32"/>
        </w:rPr>
      </w:pPr>
      <w:r>
        <w:rPr/>
        <w:drawing>
          <wp:anchor distT="0" distB="0" distL="0" distR="0" allowOverlap="1" layoutInCell="1" locked="0" behindDoc="0" simplePos="0" relativeHeight="1072">
            <wp:simplePos x="0" y="0"/>
            <wp:positionH relativeFrom="page">
              <wp:posOffset>545591</wp:posOffset>
            </wp:positionH>
            <wp:positionV relativeFrom="paragraph">
              <wp:posOffset>-1031652</wp:posOffset>
            </wp:positionV>
            <wp:extent cx="1684020" cy="144932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684020" cy="1449324"/>
                    </a:xfrm>
                    <a:prstGeom prst="rect">
                      <a:avLst/>
                    </a:prstGeom>
                  </pic:spPr>
                </pic:pic>
              </a:graphicData>
            </a:graphic>
          </wp:anchor>
        </w:drawing>
      </w:r>
      <w:r>
        <w:rPr/>
        <w:pict>
          <v:line style="position:absolute;mso-position-horizontal-relative:page;mso-position-vertical-relative:paragraph;z-index:1096" from="86.339996pt,47.107494pt" to="86.339996pt,633.807494pt" stroked="true" strokeweight="3.96pt" strokecolor="#000000">
            <w10:wrap type="none"/>
          </v:line>
        </w:pict>
      </w:r>
      <w:r>
        <w:rPr/>
        <w:pict>
          <v:line style="position:absolute;mso-position-horizontal-relative:page;mso-position-vertical-relative:paragraph;z-index:1120" from="123.540001pt,47.107494pt" to="123.540001pt,595.807494pt" stroked="true" strokeweight="3.96pt" strokecolor="#000000">
            <w10:wrap type="none"/>
          </v:line>
        </w:pict>
      </w:r>
      <w:r>
        <w:rPr>
          <w:sz w:val="32"/>
        </w:rPr>
        <w:t>Universidad Autónoma del Estado de México Facultad de Medicina</w:t>
      </w:r>
    </w:p>
    <w:p>
      <w:pPr>
        <w:pStyle w:val="BodyText"/>
        <w:rPr>
          <w:sz w:val="32"/>
        </w:rPr>
      </w:pPr>
    </w:p>
    <w:p>
      <w:pPr>
        <w:pStyle w:val="BodyText"/>
        <w:rPr>
          <w:sz w:val="32"/>
        </w:rPr>
      </w:pPr>
    </w:p>
    <w:p>
      <w:pPr>
        <w:spacing w:before="0"/>
        <w:ind w:left="4281" w:right="0" w:firstLine="0"/>
        <w:jc w:val="left"/>
        <w:rPr>
          <w:sz w:val="32"/>
        </w:rPr>
      </w:pPr>
      <w:r>
        <w:rPr>
          <w:sz w:val="32"/>
        </w:rPr>
        <w:t>Maestría en Ciencias de la Salud</w:t>
      </w:r>
    </w:p>
    <w:p>
      <w:pPr>
        <w:pStyle w:val="BodyText"/>
        <w:rPr>
          <w:sz w:val="32"/>
        </w:rPr>
      </w:pPr>
    </w:p>
    <w:p>
      <w:pPr>
        <w:pStyle w:val="BodyText"/>
        <w:spacing w:before="7"/>
        <w:rPr>
          <w:sz w:val="32"/>
        </w:rPr>
      </w:pPr>
    </w:p>
    <w:p>
      <w:pPr>
        <w:spacing w:before="1"/>
        <w:ind w:left="3232" w:right="506" w:firstLine="5"/>
        <w:jc w:val="center"/>
        <w:rPr>
          <w:b/>
          <w:sz w:val="32"/>
        </w:rPr>
      </w:pPr>
      <w:r>
        <w:rPr>
          <w:b/>
          <w:sz w:val="32"/>
        </w:rPr>
        <w:t>Evaluación de las concentraciones salivales de IL-6 en pacientes con enfermedad</w:t>
      </w:r>
      <w:r>
        <w:rPr>
          <w:b/>
          <w:spacing w:val="-17"/>
          <w:sz w:val="32"/>
        </w:rPr>
        <w:t> </w:t>
      </w:r>
      <w:r>
        <w:rPr>
          <w:b/>
          <w:sz w:val="32"/>
        </w:rPr>
        <w:t>periodontal con y sin diabetes mellitus tipo</w:t>
      </w:r>
      <w:r>
        <w:rPr>
          <w:b/>
          <w:spacing w:val="-10"/>
          <w:sz w:val="32"/>
        </w:rPr>
        <w:t> </w:t>
      </w:r>
      <w:r>
        <w:rPr>
          <w:b/>
          <w:sz w:val="32"/>
        </w:rPr>
        <w:t>2</w:t>
      </w:r>
    </w:p>
    <w:p>
      <w:pPr>
        <w:pStyle w:val="BodyText"/>
        <w:rPr>
          <w:b/>
          <w:sz w:val="32"/>
        </w:rPr>
      </w:pPr>
    </w:p>
    <w:p>
      <w:pPr>
        <w:pStyle w:val="BodyText"/>
        <w:rPr>
          <w:b/>
          <w:sz w:val="32"/>
        </w:rPr>
      </w:pPr>
    </w:p>
    <w:p>
      <w:pPr>
        <w:spacing w:before="0"/>
        <w:ind w:left="3425" w:right="697" w:firstLine="0"/>
        <w:jc w:val="center"/>
        <w:rPr>
          <w:b/>
          <w:sz w:val="32"/>
        </w:rPr>
      </w:pPr>
      <w:r>
        <w:rPr>
          <w:b/>
          <w:sz w:val="32"/>
        </w:rPr>
        <w:t>TESIS</w:t>
      </w:r>
    </w:p>
    <w:p>
      <w:pPr>
        <w:pStyle w:val="BodyText"/>
        <w:spacing w:before="3"/>
        <w:rPr>
          <w:b/>
          <w:sz w:val="31"/>
        </w:rPr>
      </w:pPr>
    </w:p>
    <w:p>
      <w:pPr>
        <w:spacing w:before="0"/>
        <w:ind w:left="4327" w:right="1596" w:hanging="2"/>
        <w:jc w:val="center"/>
        <w:rPr>
          <w:sz w:val="32"/>
        </w:rPr>
      </w:pPr>
      <w:r>
        <w:rPr>
          <w:sz w:val="32"/>
        </w:rPr>
        <w:t>Que para obtener el grado de Maestra en Ciencias de la Salud</w:t>
      </w:r>
    </w:p>
    <w:p>
      <w:pPr>
        <w:pStyle w:val="BodyText"/>
        <w:rPr>
          <w:sz w:val="32"/>
        </w:rPr>
      </w:pPr>
    </w:p>
    <w:p>
      <w:pPr>
        <w:pStyle w:val="BodyText"/>
        <w:rPr>
          <w:sz w:val="32"/>
        </w:rPr>
      </w:pPr>
    </w:p>
    <w:p>
      <w:pPr>
        <w:spacing w:line="368" w:lineRule="exact" w:before="0"/>
        <w:ind w:left="3425" w:right="696" w:firstLine="0"/>
        <w:jc w:val="center"/>
        <w:rPr>
          <w:sz w:val="32"/>
        </w:rPr>
      </w:pPr>
      <w:r>
        <w:rPr>
          <w:sz w:val="32"/>
        </w:rPr>
        <w:t>Presenta:</w:t>
      </w:r>
    </w:p>
    <w:p>
      <w:pPr>
        <w:spacing w:line="480" w:lineRule="auto" w:before="0"/>
        <w:ind w:left="3425" w:right="693" w:firstLine="0"/>
        <w:jc w:val="center"/>
        <w:rPr>
          <w:sz w:val="32"/>
        </w:rPr>
      </w:pPr>
      <w:r>
        <w:rPr>
          <w:sz w:val="32"/>
        </w:rPr>
        <w:t>E.OP. Diana Guadalupe Guadarrama López Comité de Tutores</w:t>
      </w:r>
    </w:p>
    <w:p>
      <w:pPr>
        <w:spacing w:before="15"/>
        <w:ind w:left="4362" w:right="1634" w:firstLine="0"/>
        <w:jc w:val="center"/>
        <w:rPr>
          <w:sz w:val="32"/>
        </w:rPr>
      </w:pPr>
      <w:r>
        <w:rPr>
          <w:sz w:val="32"/>
        </w:rPr>
        <w:t>Dra. Patricia Cerecero Aguirre Tutor Académico</w:t>
      </w:r>
    </w:p>
    <w:p>
      <w:pPr>
        <w:spacing w:before="1"/>
        <w:ind w:left="4364" w:right="1634" w:firstLine="0"/>
        <w:jc w:val="center"/>
        <w:rPr>
          <w:sz w:val="32"/>
        </w:rPr>
      </w:pPr>
      <w:r>
        <w:rPr>
          <w:sz w:val="32"/>
        </w:rPr>
        <w:t>Dr. Gilberto Vázquez de Anda Tutor Interno</w:t>
      </w:r>
    </w:p>
    <w:p>
      <w:pPr>
        <w:spacing w:before="0"/>
        <w:ind w:left="4364" w:right="1634" w:firstLine="0"/>
        <w:jc w:val="center"/>
        <w:rPr>
          <w:sz w:val="32"/>
        </w:rPr>
      </w:pPr>
      <w:r>
        <w:rPr>
          <w:sz w:val="32"/>
        </w:rPr>
        <w:t>Dr. Bernardo Hernández Prado Tutor Externo</w:t>
      </w:r>
    </w:p>
    <w:p>
      <w:pPr>
        <w:pStyle w:val="BodyText"/>
        <w:rPr>
          <w:sz w:val="32"/>
        </w:rPr>
      </w:pPr>
    </w:p>
    <w:p>
      <w:pPr>
        <w:pStyle w:val="BodyText"/>
        <w:spacing w:before="7"/>
        <w:rPr>
          <w:sz w:val="32"/>
        </w:rPr>
      </w:pPr>
    </w:p>
    <w:p>
      <w:pPr>
        <w:tabs>
          <w:tab w:pos="7525" w:val="left" w:leader="none"/>
        </w:tabs>
        <w:spacing w:before="0"/>
        <w:ind w:left="2728" w:right="0" w:firstLine="0"/>
        <w:jc w:val="center"/>
        <w:rPr>
          <w:b/>
          <w:sz w:val="32"/>
        </w:rPr>
      </w:pPr>
      <w:r>
        <w:rPr>
          <w:b/>
          <w:sz w:val="32"/>
        </w:rPr>
        <w:t>Toluca, Estado</w:t>
      </w:r>
      <w:r>
        <w:rPr>
          <w:b/>
          <w:spacing w:val="-4"/>
          <w:sz w:val="32"/>
        </w:rPr>
        <w:t> </w:t>
      </w:r>
      <w:r>
        <w:rPr>
          <w:b/>
          <w:sz w:val="32"/>
        </w:rPr>
        <w:t>de</w:t>
      </w:r>
      <w:r>
        <w:rPr>
          <w:b/>
          <w:spacing w:val="-1"/>
          <w:sz w:val="32"/>
        </w:rPr>
        <w:t> </w:t>
      </w:r>
      <w:r>
        <w:rPr>
          <w:b/>
          <w:sz w:val="32"/>
        </w:rPr>
        <w:t>México</w:t>
        <w:tab/>
        <w:t>2016</w:t>
      </w:r>
    </w:p>
    <w:p>
      <w:pPr>
        <w:spacing w:after="0"/>
        <w:jc w:val="center"/>
        <w:rPr>
          <w:sz w:val="32"/>
        </w:rPr>
        <w:sectPr>
          <w:type w:val="continuous"/>
          <w:pgSz w:w="12240" w:h="15840"/>
          <w:pgMar w:top="1200" w:bottom="0" w:left="740" w:right="1480"/>
        </w:sectPr>
      </w:pPr>
    </w:p>
    <w:p>
      <w:pPr>
        <w:pStyle w:val="BodyText"/>
        <w:rPr>
          <w:sz w:val="20"/>
        </w:rPr>
      </w:pPr>
    </w:p>
    <w:p>
      <w:pPr>
        <w:pStyle w:val="BodyText"/>
        <w:rPr>
          <w:sz w:val="20"/>
        </w:rPr>
      </w:pPr>
    </w:p>
    <w:p>
      <w:pPr>
        <w:pStyle w:val="BodyText"/>
        <w:spacing w:before="6"/>
        <w:rPr>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1713"/>
        <w:gridCol w:w="5549"/>
        <w:gridCol w:w="1545"/>
      </w:tblGrid>
      <w:tr>
        <w:trPr>
          <w:trHeight w:val="268" w:hRule="exact"/>
        </w:trPr>
        <w:tc>
          <w:tcPr>
            <w:tcW w:w="9414" w:type="dxa"/>
            <w:gridSpan w:val="4"/>
          </w:tcPr>
          <w:p>
            <w:pPr>
              <w:pStyle w:val="TableParagraph"/>
              <w:spacing w:line="255" w:lineRule="exact"/>
              <w:ind w:left="200"/>
              <w:rPr>
                <w:b/>
                <w:sz w:val="25"/>
              </w:rPr>
            </w:pPr>
            <w:r>
              <w:rPr>
                <w:b/>
                <w:sz w:val="25"/>
              </w:rPr>
              <w:t>INDICE</w:t>
            </w:r>
          </w:p>
        </w:tc>
      </w:tr>
      <w:tr>
        <w:trPr>
          <w:trHeight w:val="287" w:hRule="exact"/>
        </w:trPr>
        <w:tc>
          <w:tcPr>
            <w:tcW w:w="607" w:type="dxa"/>
          </w:tcPr>
          <w:p>
            <w:pPr/>
          </w:p>
        </w:tc>
        <w:tc>
          <w:tcPr>
            <w:tcW w:w="1713" w:type="dxa"/>
          </w:tcPr>
          <w:p>
            <w:pPr/>
          </w:p>
        </w:tc>
        <w:tc>
          <w:tcPr>
            <w:tcW w:w="5549" w:type="dxa"/>
          </w:tcPr>
          <w:p>
            <w:pPr/>
          </w:p>
        </w:tc>
        <w:tc>
          <w:tcPr>
            <w:tcW w:w="1545" w:type="dxa"/>
          </w:tcPr>
          <w:p>
            <w:pPr>
              <w:pStyle w:val="TableParagraph"/>
              <w:spacing w:line="273" w:lineRule="exact"/>
              <w:ind w:left="235"/>
              <w:rPr>
                <w:sz w:val="25"/>
              </w:rPr>
            </w:pPr>
            <w:r>
              <w:rPr>
                <w:sz w:val="25"/>
              </w:rPr>
              <w:t>No. Página</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Resumen</w:t>
            </w:r>
          </w:p>
        </w:tc>
        <w:tc>
          <w:tcPr>
            <w:tcW w:w="5549" w:type="dxa"/>
          </w:tcPr>
          <w:p>
            <w:pPr/>
          </w:p>
        </w:tc>
        <w:tc>
          <w:tcPr>
            <w:tcW w:w="1545" w:type="dxa"/>
          </w:tcPr>
          <w:p>
            <w:pPr>
              <w:pStyle w:val="TableParagraph"/>
              <w:spacing w:line="274" w:lineRule="exact"/>
              <w:ind w:left="235"/>
              <w:rPr>
                <w:sz w:val="25"/>
              </w:rPr>
            </w:pPr>
            <w:r>
              <w:rPr>
                <w:w w:val="99"/>
                <w:sz w:val="25"/>
              </w:rPr>
              <w:t>5</w:t>
            </w:r>
          </w:p>
        </w:tc>
      </w:tr>
      <w:tr>
        <w:trPr>
          <w:trHeight w:val="287" w:hRule="exact"/>
        </w:trPr>
        <w:tc>
          <w:tcPr>
            <w:tcW w:w="607" w:type="dxa"/>
          </w:tcPr>
          <w:p>
            <w:pPr/>
          </w:p>
        </w:tc>
        <w:tc>
          <w:tcPr>
            <w:tcW w:w="1713" w:type="dxa"/>
          </w:tcPr>
          <w:p>
            <w:pPr>
              <w:pStyle w:val="TableParagraph"/>
              <w:spacing w:line="274" w:lineRule="exact"/>
              <w:ind w:left="219"/>
              <w:rPr>
                <w:sz w:val="25"/>
              </w:rPr>
            </w:pPr>
            <w:r>
              <w:rPr>
                <w:sz w:val="25"/>
              </w:rPr>
              <w:t>Summary</w:t>
            </w:r>
          </w:p>
        </w:tc>
        <w:tc>
          <w:tcPr>
            <w:tcW w:w="5549" w:type="dxa"/>
          </w:tcPr>
          <w:p>
            <w:pPr/>
          </w:p>
        </w:tc>
        <w:tc>
          <w:tcPr>
            <w:tcW w:w="1545" w:type="dxa"/>
          </w:tcPr>
          <w:p>
            <w:pPr>
              <w:pStyle w:val="TableParagraph"/>
              <w:spacing w:line="274" w:lineRule="exact"/>
              <w:ind w:left="235"/>
              <w:rPr>
                <w:sz w:val="25"/>
              </w:rPr>
            </w:pPr>
            <w:r>
              <w:rPr>
                <w:w w:val="99"/>
                <w:sz w:val="25"/>
              </w:rPr>
              <w:t>7</w:t>
            </w:r>
          </w:p>
        </w:tc>
      </w:tr>
      <w:tr>
        <w:trPr>
          <w:trHeight w:val="287" w:hRule="exact"/>
        </w:trPr>
        <w:tc>
          <w:tcPr>
            <w:tcW w:w="607" w:type="dxa"/>
          </w:tcPr>
          <w:p>
            <w:pPr>
              <w:pStyle w:val="TableParagraph"/>
              <w:spacing w:line="273" w:lineRule="exact"/>
              <w:ind w:left="181" w:right="198"/>
              <w:jc w:val="center"/>
              <w:rPr>
                <w:sz w:val="25"/>
              </w:rPr>
            </w:pPr>
            <w:r>
              <w:rPr>
                <w:sz w:val="25"/>
              </w:rPr>
              <w:t>1.</w:t>
            </w:r>
          </w:p>
        </w:tc>
        <w:tc>
          <w:tcPr>
            <w:tcW w:w="1713" w:type="dxa"/>
          </w:tcPr>
          <w:p>
            <w:pPr>
              <w:pStyle w:val="TableParagraph"/>
              <w:spacing w:line="273" w:lineRule="exact"/>
              <w:ind w:left="219"/>
              <w:rPr>
                <w:sz w:val="25"/>
              </w:rPr>
            </w:pPr>
            <w:r>
              <w:rPr>
                <w:sz w:val="25"/>
              </w:rPr>
              <w:t>Antecedentes</w:t>
            </w:r>
          </w:p>
        </w:tc>
        <w:tc>
          <w:tcPr>
            <w:tcW w:w="5549" w:type="dxa"/>
          </w:tcPr>
          <w:p>
            <w:pPr/>
          </w:p>
        </w:tc>
        <w:tc>
          <w:tcPr>
            <w:tcW w:w="1545" w:type="dxa"/>
          </w:tcPr>
          <w:p>
            <w:pPr>
              <w:pStyle w:val="TableParagraph"/>
              <w:spacing w:line="273" w:lineRule="exact"/>
              <w:ind w:left="235"/>
              <w:rPr>
                <w:sz w:val="25"/>
              </w:rPr>
            </w:pPr>
            <w:r>
              <w:rPr>
                <w:w w:val="99"/>
                <w:sz w:val="25"/>
              </w:rPr>
              <w:t>9</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1.1</w:t>
            </w:r>
          </w:p>
        </w:tc>
        <w:tc>
          <w:tcPr>
            <w:tcW w:w="5549" w:type="dxa"/>
          </w:tcPr>
          <w:p>
            <w:pPr>
              <w:pStyle w:val="TableParagraph"/>
              <w:spacing w:line="274" w:lineRule="exact"/>
              <w:ind w:left="148"/>
              <w:rPr>
                <w:sz w:val="25"/>
              </w:rPr>
            </w:pPr>
            <w:r>
              <w:rPr>
                <w:sz w:val="25"/>
              </w:rPr>
              <w:t>Enfermedad periodontal</w:t>
            </w:r>
          </w:p>
        </w:tc>
        <w:tc>
          <w:tcPr>
            <w:tcW w:w="1545" w:type="dxa"/>
          </w:tcPr>
          <w:p>
            <w:pPr>
              <w:pStyle w:val="TableParagraph"/>
              <w:spacing w:line="274" w:lineRule="exact"/>
              <w:ind w:left="235"/>
              <w:rPr>
                <w:sz w:val="25"/>
              </w:rPr>
            </w:pPr>
            <w:r>
              <w:rPr>
                <w:w w:val="99"/>
                <w:sz w:val="25"/>
              </w:rPr>
              <w:t>9</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1.1.1</w:t>
            </w:r>
          </w:p>
        </w:tc>
        <w:tc>
          <w:tcPr>
            <w:tcW w:w="5549" w:type="dxa"/>
          </w:tcPr>
          <w:p>
            <w:pPr>
              <w:pStyle w:val="TableParagraph"/>
              <w:spacing w:line="274" w:lineRule="exact"/>
              <w:ind w:left="148"/>
              <w:rPr>
                <w:sz w:val="25"/>
              </w:rPr>
            </w:pPr>
            <w:r>
              <w:rPr>
                <w:sz w:val="25"/>
              </w:rPr>
              <w:t>Factores de riesgo</w:t>
            </w:r>
          </w:p>
        </w:tc>
        <w:tc>
          <w:tcPr>
            <w:tcW w:w="1545" w:type="dxa"/>
          </w:tcPr>
          <w:p>
            <w:pPr>
              <w:pStyle w:val="TableParagraph"/>
              <w:spacing w:line="274" w:lineRule="exact"/>
              <w:ind w:left="235"/>
              <w:rPr>
                <w:sz w:val="25"/>
              </w:rPr>
            </w:pPr>
            <w:r>
              <w:rPr>
                <w:sz w:val="25"/>
              </w:rPr>
              <w:t>10</w:t>
            </w:r>
          </w:p>
        </w:tc>
      </w:tr>
      <w:tr>
        <w:trPr>
          <w:trHeight w:val="287" w:hRule="exact"/>
        </w:trPr>
        <w:tc>
          <w:tcPr>
            <w:tcW w:w="607" w:type="dxa"/>
          </w:tcPr>
          <w:p>
            <w:pPr/>
          </w:p>
        </w:tc>
        <w:tc>
          <w:tcPr>
            <w:tcW w:w="1713" w:type="dxa"/>
          </w:tcPr>
          <w:p>
            <w:pPr>
              <w:pStyle w:val="TableParagraph"/>
              <w:spacing w:line="274" w:lineRule="exact"/>
              <w:ind w:left="219"/>
              <w:rPr>
                <w:sz w:val="25"/>
              </w:rPr>
            </w:pPr>
            <w:r>
              <w:rPr>
                <w:sz w:val="25"/>
              </w:rPr>
              <w:t>1.1.2</w:t>
            </w:r>
          </w:p>
        </w:tc>
        <w:tc>
          <w:tcPr>
            <w:tcW w:w="5549" w:type="dxa"/>
          </w:tcPr>
          <w:p>
            <w:pPr>
              <w:pStyle w:val="TableParagraph"/>
              <w:spacing w:line="274" w:lineRule="exact"/>
              <w:ind w:left="148"/>
              <w:rPr>
                <w:sz w:val="25"/>
              </w:rPr>
            </w:pPr>
            <w:r>
              <w:rPr>
                <w:sz w:val="25"/>
              </w:rPr>
              <w:t>Fisiopatología</w:t>
            </w:r>
          </w:p>
        </w:tc>
        <w:tc>
          <w:tcPr>
            <w:tcW w:w="1545" w:type="dxa"/>
          </w:tcPr>
          <w:p>
            <w:pPr>
              <w:pStyle w:val="TableParagraph"/>
              <w:spacing w:line="274" w:lineRule="exact"/>
              <w:ind w:left="235"/>
              <w:rPr>
                <w:sz w:val="25"/>
              </w:rPr>
            </w:pPr>
            <w:r>
              <w:rPr>
                <w:sz w:val="25"/>
              </w:rPr>
              <w:t>11</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1.1.3</w:t>
            </w:r>
          </w:p>
        </w:tc>
        <w:tc>
          <w:tcPr>
            <w:tcW w:w="5549" w:type="dxa"/>
          </w:tcPr>
          <w:p>
            <w:pPr>
              <w:pStyle w:val="TableParagraph"/>
              <w:spacing w:line="273" w:lineRule="exact"/>
              <w:ind w:left="148"/>
              <w:rPr>
                <w:sz w:val="25"/>
              </w:rPr>
            </w:pPr>
            <w:r>
              <w:rPr>
                <w:sz w:val="25"/>
              </w:rPr>
              <w:t>Características clínicas</w:t>
            </w:r>
          </w:p>
        </w:tc>
        <w:tc>
          <w:tcPr>
            <w:tcW w:w="1545" w:type="dxa"/>
          </w:tcPr>
          <w:p>
            <w:pPr>
              <w:pStyle w:val="TableParagraph"/>
              <w:spacing w:line="273" w:lineRule="exact"/>
              <w:ind w:left="235"/>
              <w:rPr>
                <w:sz w:val="25"/>
              </w:rPr>
            </w:pPr>
            <w:r>
              <w:rPr>
                <w:sz w:val="25"/>
              </w:rPr>
              <w:t>12</w:t>
            </w:r>
          </w:p>
        </w:tc>
      </w:tr>
      <w:tr>
        <w:trPr>
          <w:trHeight w:val="294" w:hRule="exact"/>
        </w:trPr>
        <w:tc>
          <w:tcPr>
            <w:tcW w:w="607" w:type="dxa"/>
          </w:tcPr>
          <w:p>
            <w:pPr/>
          </w:p>
        </w:tc>
        <w:tc>
          <w:tcPr>
            <w:tcW w:w="1713" w:type="dxa"/>
          </w:tcPr>
          <w:p>
            <w:pPr>
              <w:pStyle w:val="TableParagraph"/>
              <w:spacing w:line="274" w:lineRule="exact"/>
              <w:ind w:left="219"/>
              <w:rPr>
                <w:sz w:val="25"/>
              </w:rPr>
            </w:pPr>
            <w:r>
              <w:rPr>
                <w:sz w:val="25"/>
              </w:rPr>
              <w:t>1.1.4</w:t>
            </w:r>
          </w:p>
        </w:tc>
        <w:tc>
          <w:tcPr>
            <w:tcW w:w="5549" w:type="dxa"/>
          </w:tcPr>
          <w:p>
            <w:pPr>
              <w:pStyle w:val="TableParagraph"/>
              <w:spacing w:line="274" w:lineRule="exact"/>
              <w:ind w:left="148"/>
              <w:rPr>
                <w:sz w:val="25"/>
              </w:rPr>
            </w:pPr>
            <w:r>
              <w:rPr>
                <w:sz w:val="25"/>
              </w:rPr>
              <w:t>Diagnóstico</w:t>
            </w:r>
          </w:p>
        </w:tc>
        <w:tc>
          <w:tcPr>
            <w:tcW w:w="1545" w:type="dxa"/>
          </w:tcPr>
          <w:p>
            <w:pPr>
              <w:pStyle w:val="TableParagraph"/>
              <w:spacing w:line="279" w:lineRule="exact"/>
              <w:ind w:left="235"/>
              <w:rPr>
                <w:sz w:val="25"/>
              </w:rPr>
            </w:pPr>
            <w:r>
              <w:rPr>
                <w:sz w:val="25"/>
              </w:rPr>
              <w:t>12</w:t>
            </w:r>
          </w:p>
        </w:tc>
      </w:tr>
      <w:tr>
        <w:trPr>
          <w:trHeight w:val="289" w:hRule="exact"/>
        </w:trPr>
        <w:tc>
          <w:tcPr>
            <w:tcW w:w="607" w:type="dxa"/>
          </w:tcPr>
          <w:p>
            <w:pPr/>
          </w:p>
        </w:tc>
        <w:tc>
          <w:tcPr>
            <w:tcW w:w="1713" w:type="dxa"/>
          </w:tcPr>
          <w:p>
            <w:pPr>
              <w:pStyle w:val="TableParagraph"/>
              <w:spacing w:line="275" w:lineRule="exact"/>
              <w:ind w:left="219"/>
              <w:rPr>
                <w:sz w:val="25"/>
              </w:rPr>
            </w:pPr>
            <w:r>
              <w:rPr>
                <w:sz w:val="25"/>
              </w:rPr>
              <w:t>1.1.4.1</w:t>
            </w:r>
          </w:p>
        </w:tc>
        <w:tc>
          <w:tcPr>
            <w:tcW w:w="5549" w:type="dxa"/>
          </w:tcPr>
          <w:p>
            <w:pPr>
              <w:pStyle w:val="TableParagraph"/>
              <w:spacing w:line="275" w:lineRule="exact"/>
              <w:ind w:left="148"/>
              <w:rPr>
                <w:sz w:val="25"/>
              </w:rPr>
            </w:pPr>
            <w:r>
              <w:rPr>
                <w:sz w:val="25"/>
              </w:rPr>
              <w:t>Índice Periodóntico Comunitario (IPC)</w:t>
            </w:r>
          </w:p>
        </w:tc>
        <w:tc>
          <w:tcPr>
            <w:tcW w:w="1545" w:type="dxa"/>
          </w:tcPr>
          <w:p>
            <w:pPr>
              <w:pStyle w:val="TableParagraph"/>
              <w:spacing w:line="275" w:lineRule="exact"/>
              <w:ind w:left="235"/>
              <w:rPr>
                <w:sz w:val="25"/>
              </w:rPr>
            </w:pPr>
            <w:r>
              <w:rPr>
                <w:sz w:val="25"/>
              </w:rPr>
              <w:t>13</w:t>
            </w:r>
          </w:p>
        </w:tc>
      </w:tr>
      <w:tr>
        <w:trPr>
          <w:trHeight w:val="287" w:hRule="exact"/>
        </w:trPr>
        <w:tc>
          <w:tcPr>
            <w:tcW w:w="607" w:type="dxa"/>
          </w:tcPr>
          <w:p>
            <w:pPr/>
          </w:p>
        </w:tc>
        <w:tc>
          <w:tcPr>
            <w:tcW w:w="1713" w:type="dxa"/>
          </w:tcPr>
          <w:p>
            <w:pPr>
              <w:pStyle w:val="TableParagraph"/>
              <w:spacing w:line="274" w:lineRule="exact"/>
              <w:ind w:left="219"/>
              <w:rPr>
                <w:sz w:val="25"/>
              </w:rPr>
            </w:pPr>
            <w:r>
              <w:rPr>
                <w:sz w:val="25"/>
              </w:rPr>
              <w:t>1.2</w:t>
            </w:r>
          </w:p>
        </w:tc>
        <w:tc>
          <w:tcPr>
            <w:tcW w:w="5549" w:type="dxa"/>
          </w:tcPr>
          <w:p>
            <w:pPr>
              <w:pStyle w:val="TableParagraph"/>
              <w:spacing w:line="274" w:lineRule="exact"/>
              <w:ind w:left="148"/>
              <w:rPr>
                <w:sz w:val="25"/>
              </w:rPr>
            </w:pPr>
            <w:r>
              <w:rPr>
                <w:sz w:val="25"/>
              </w:rPr>
              <w:t>Flujo salival</w:t>
            </w:r>
          </w:p>
        </w:tc>
        <w:tc>
          <w:tcPr>
            <w:tcW w:w="1545" w:type="dxa"/>
          </w:tcPr>
          <w:p>
            <w:pPr>
              <w:pStyle w:val="TableParagraph"/>
              <w:spacing w:line="274" w:lineRule="exact"/>
              <w:ind w:left="235"/>
              <w:rPr>
                <w:sz w:val="25"/>
              </w:rPr>
            </w:pPr>
            <w:r>
              <w:rPr>
                <w:sz w:val="25"/>
              </w:rPr>
              <w:t>13</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1.2.1</w:t>
            </w:r>
          </w:p>
        </w:tc>
        <w:tc>
          <w:tcPr>
            <w:tcW w:w="5549" w:type="dxa"/>
          </w:tcPr>
          <w:p>
            <w:pPr>
              <w:pStyle w:val="TableParagraph"/>
              <w:spacing w:line="273" w:lineRule="exact"/>
              <w:ind w:left="148"/>
              <w:rPr>
                <w:sz w:val="25"/>
              </w:rPr>
            </w:pPr>
            <w:r>
              <w:rPr>
                <w:sz w:val="25"/>
              </w:rPr>
              <w:t>Marcadores específicos</w:t>
            </w:r>
          </w:p>
        </w:tc>
        <w:tc>
          <w:tcPr>
            <w:tcW w:w="1545" w:type="dxa"/>
          </w:tcPr>
          <w:p>
            <w:pPr>
              <w:pStyle w:val="TableParagraph"/>
              <w:spacing w:line="273" w:lineRule="exact"/>
              <w:ind w:left="235"/>
              <w:rPr>
                <w:sz w:val="25"/>
              </w:rPr>
            </w:pPr>
            <w:r>
              <w:rPr>
                <w:sz w:val="25"/>
              </w:rPr>
              <w:t>14</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1.3</w:t>
            </w:r>
          </w:p>
        </w:tc>
        <w:tc>
          <w:tcPr>
            <w:tcW w:w="5549" w:type="dxa"/>
          </w:tcPr>
          <w:p>
            <w:pPr>
              <w:pStyle w:val="TableParagraph"/>
              <w:spacing w:line="274" w:lineRule="exact"/>
              <w:ind w:left="148"/>
              <w:rPr>
                <w:sz w:val="25"/>
              </w:rPr>
            </w:pPr>
            <w:r>
              <w:rPr>
                <w:sz w:val="25"/>
              </w:rPr>
              <w:t>Diabetes mellitus tipo 2</w:t>
            </w:r>
          </w:p>
        </w:tc>
        <w:tc>
          <w:tcPr>
            <w:tcW w:w="1545" w:type="dxa"/>
          </w:tcPr>
          <w:p>
            <w:pPr>
              <w:pStyle w:val="TableParagraph"/>
              <w:spacing w:line="274" w:lineRule="exact"/>
              <w:ind w:left="235"/>
              <w:rPr>
                <w:sz w:val="25"/>
              </w:rPr>
            </w:pPr>
            <w:r>
              <w:rPr>
                <w:sz w:val="25"/>
              </w:rPr>
              <w:t>15</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1.3.1</w:t>
            </w:r>
          </w:p>
        </w:tc>
        <w:tc>
          <w:tcPr>
            <w:tcW w:w="5549" w:type="dxa"/>
          </w:tcPr>
          <w:p>
            <w:pPr>
              <w:pStyle w:val="TableParagraph"/>
              <w:spacing w:line="274" w:lineRule="exact"/>
              <w:ind w:left="148"/>
              <w:rPr>
                <w:sz w:val="25"/>
              </w:rPr>
            </w:pPr>
            <w:r>
              <w:rPr>
                <w:sz w:val="25"/>
              </w:rPr>
              <w:t>Fisiopatología</w:t>
            </w:r>
          </w:p>
        </w:tc>
        <w:tc>
          <w:tcPr>
            <w:tcW w:w="1545" w:type="dxa"/>
          </w:tcPr>
          <w:p>
            <w:pPr>
              <w:pStyle w:val="TableParagraph"/>
              <w:spacing w:line="274" w:lineRule="exact"/>
              <w:ind w:left="235"/>
              <w:rPr>
                <w:sz w:val="25"/>
              </w:rPr>
            </w:pPr>
            <w:r>
              <w:rPr>
                <w:sz w:val="25"/>
              </w:rPr>
              <w:t>15</w:t>
            </w:r>
          </w:p>
        </w:tc>
      </w:tr>
      <w:tr>
        <w:trPr>
          <w:trHeight w:val="287" w:hRule="exact"/>
        </w:trPr>
        <w:tc>
          <w:tcPr>
            <w:tcW w:w="607" w:type="dxa"/>
          </w:tcPr>
          <w:p>
            <w:pPr/>
          </w:p>
        </w:tc>
        <w:tc>
          <w:tcPr>
            <w:tcW w:w="1713" w:type="dxa"/>
          </w:tcPr>
          <w:p>
            <w:pPr>
              <w:pStyle w:val="TableParagraph"/>
              <w:spacing w:line="274" w:lineRule="exact"/>
              <w:ind w:left="219"/>
              <w:rPr>
                <w:sz w:val="25"/>
              </w:rPr>
            </w:pPr>
            <w:r>
              <w:rPr>
                <w:sz w:val="25"/>
              </w:rPr>
              <w:t>1.3.2</w:t>
            </w:r>
          </w:p>
        </w:tc>
        <w:tc>
          <w:tcPr>
            <w:tcW w:w="5549" w:type="dxa"/>
          </w:tcPr>
          <w:p>
            <w:pPr>
              <w:pStyle w:val="TableParagraph"/>
              <w:spacing w:line="274" w:lineRule="exact"/>
              <w:ind w:left="148"/>
              <w:rPr>
                <w:sz w:val="25"/>
              </w:rPr>
            </w:pPr>
            <w:r>
              <w:rPr>
                <w:sz w:val="25"/>
              </w:rPr>
              <w:t>Diagnóstico</w:t>
            </w:r>
          </w:p>
        </w:tc>
        <w:tc>
          <w:tcPr>
            <w:tcW w:w="1545" w:type="dxa"/>
          </w:tcPr>
          <w:p>
            <w:pPr>
              <w:pStyle w:val="TableParagraph"/>
              <w:spacing w:line="274" w:lineRule="exact"/>
              <w:ind w:left="235"/>
              <w:rPr>
                <w:sz w:val="25"/>
              </w:rPr>
            </w:pPr>
            <w:r>
              <w:rPr>
                <w:sz w:val="25"/>
              </w:rPr>
              <w:t>16</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1.3.3</w:t>
            </w:r>
          </w:p>
        </w:tc>
        <w:tc>
          <w:tcPr>
            <w:tcW w:w="5549" w:type="dxa"/>
          </w:tcPr>
          <w:p>
            <w:pPr>
              <w:pStyle w:val="TableParagraph"/>
              <w:spacing w:line="273" w:lineRule="exact"/>
              <w:ind w:left="148"/>
              <w:rPr>
                <w:sz w:val="25"/>
              </w:rPr>
            </w:pPr>
            <w:r>
              <w:rPr>
                <w:sz w:val="25"/>
              </w:rPr>
              <w:t>Citocinas</w:t>
            </w:r>
          </w:p>
        </w:tc>
        <w:tc>
          <w:tcPr>
            <w:tcW w:w="1545" w:type="dxa"/>
          </w:tcPr>
          <w:p>
            <w:pPr>
              <w:pStyle w:val="TableParagraph"/>
              <w:spacing w:line="273" w:lineRule="exact"/>
              <w:ind w:left="235"/>
              <w:rPr>
                <w:sz w:val="25"/>
              </w:rPr>
            </w:pPr>
            <w:r>
              <w:rPr>
                <w:sz w:val="25"/>
              </w:rPr>
              <w:t>17</w:t>
            </w:r>
          </w:p>
        </w:tc>
      </w:tr>
      <w:tr>
        <w:trPr>
          <w:trHeight w:val="320" w:hRule="exact"/>
        </w:trPr>
        <w:tc>
          <w:tcPr>
            <w:tcW w:w="607" w:type="dxa"/>
          </w:tcPr>
          <w:p>
            <w:pPr/>
          </w:p>
        </w:tc>
        <w:tc>
          <w:tcPr>
            <w:tcW w:w="1713" w:type="dxa"/>
          </w:tcPr>
          <w:p>
            <w:pPr>
              <w:pStyle w:val="TableParagraph"/>
              <w:spacing w:line="274" w:lineRule="exact"/>
              <w:ind w:left="219"/>
              <w:rPr>
                <w:sz w:val="25"/>
              </w:rPr>
            </w:pPr>
            <w:r>
              <w:rPr>
                <w:sz w:val="25"/>
              </w:rPr>
              <w:t>1.3.4</w:t>
            </w:r>
          </w:p>
        </w:tc>
        <w:tc>
          <w:tcPr>
            <w:tcW w:w="5549" w:type="dxa"/>
          </w:tcPr>
          <w:p>
            <w:pPr>
              <w:pStyle w:val="TableParagraph"/>
              <w:spacing w:line="274" w:lineRule="exact"/>
              <w:ind w:left="148"/>
              <w:rPr>
                <w:sz w:val="25"/>
              </w:rPr>
            </w:pPr>
            <w:r>
              <w:rPr>
                <w:sz w:val="25"/>
              </w:rPr>
              <w:t>Interleucina 6 (IL-6)</w:t>
            </w:r>
          </w:p>
        </w:tc>
        <w:tc>
          <w:tcPr>
            <w:tcW w:w="1545" w:type="dxa"/>
          </w:tcPr>
          <w:p>
            <w:pPr>
              <w:pStyle w:val="TableParagraph"/>
              <w:spacing w:before="8"/>
              <w:ind w:left="235"/>
              <w:rPr>
                <w:sz w:val="25"/>
              </w:rPr>
            </w:pPr>
            <w:r>
              <w:rPr>
                <w:sz w:val="25"/>
              </w:rPr>
              <w:t>18</w:t>
            </w:r>
          </w:p>
        </w:tc>
      </w:tr>
      <w:tr>
        <w:trPr>
          <w:trHeight w:val="299" w:hRule="exact"/>
        </w:trPr>
        <w:tc>
          <w:tcPr>
            <w:tcW w:w="607" w:type="dxa"/>
          </w:tcPr>
          <w:p>
            <w:pPr/>
          </w:p>
        </w:tc>
        <w:tc>
          <w:tcPr>
            <w:tcW w:w="1713" w:type="dxa"/>
          </w:tcPr>
          <w:p>
            <w:pPr>
              <w:pStyle w:val="TableParagraph"/>
              <w:spacing w:line="285" w:lineRule="exact"/>
              <w:ind w:left="219"/>
              <w:rPr>
                <w:sz w:val="25"/>
              </w:rPr>
            </w:pPr>
            <w:r>
              <w:rPr>
                <w:sz w:val="25"/>
              </w:rPr>
              <w:t>1.4</w:t>
            </w:r>
          </w:p>
        </w:tc>
        <w:tc>
          <w:tcPr>
            <w:tcW w:w="5549" w:type="dxa"/>
          </w:tcPr>
          <w:p>
            <w:pPr>
              <w:pStyle w:val="TableParagraph"/>
              <w:spacing w:line="285" w:lineRule="exact"/>
              <w:ind w:left="148"/>
              <w:rPr>
                <w:sz w:val="25"/>
              </w:rPr>
            </w:pPr>
            <w:r>
              <w:rPr>
                <w:sz w:val="25"/>
              </w:rPr>
              <w:t>Enfermedad periodontal y Diabetes Mellitus Tipo 2</w:t>
            </w:r>
          </w:p>
        </w:tc>
        <w:tc>
          <w:tcPr>
            <w:tcW w:w="1545" w:type="dxa"/>
          </w:tcPr>
          <w:p>
            <w:pPr>
              <w:pStyle w:val="TableParagraph"/>
              <w:spacing w:line="285" w:lineRule="exact"/>
              <w:ind w:left="235"/>
              <w:rPr>
                <w:sz w:val="25"/>
              </w:rPr>
            </w:pPr>
            <w:r>
              <w:rPr>
                <w:sz w:val="25"/>
              </w:rPr>
              <w:t>20</w:t>
            </w:r>
          </w:p>
        </w:tc>
      </w:tr>
      <w:tr>
        <w:trPr>
          <w:trHeight w:val="292" w:hRule="exact"/>
        </w:trPr>
        <w:tc>
          <w:tcPr>
            <w:tcW w:w="607" w:type="dxa"/>
          </w:tcPr>
          <w:p>
            <w:pPr>
              <w:pStyle w:val="TableParagraph"/>
              <w:spacing w:line="274" w:lineRule="exact"/>
              <w:ind w:left="181" w:right="198"/>
              <w:jc w:val="center"/>
              <w:rPr>
                <w:sz w:val="25"/>
              </w:rPr>
            </w:pPr>
            <w:r>
              <w:rPr>
                <w:sz w:val="25"/>
              </w:rPr>
              <w:t>2.</w:t>
            </w:r>
          </w:p>
        </w:tc>
        <w:tc>
          <w:tcPr>
            <w:tcW w:w="7262" w:type="dxa"/>
            <w:gridSpan w:val="2"/>
          </w:tcPr>
          <w:p>
            <w:pPr>
              <w:pStyle w:val="TableParagraph"/>
              <w:spacing w:line="274" w:lineRule="exact"/>
              <w:ind w:left="219"/>
              <w:rPr>
                <w:sz w:val="25"/>
              </w:rPr>
            </w:pPr>
            <w:r>
              <w:rPr>
                <w:sz w:val="25"/>
              </w:rPr>
              <w:t>Planteamiento del Problema</w:t>
            </w:r>
          </w:p>
        </w:tc>
        <w:tc>
          <w:tcPr>
            <w:tcW w:w="1545" w:type="dxa"/>
          </w:tcPr>
          <w:p>
            <w:pPr>
              <w:pStyle w:val="TableParagraph"/>
              <w:spacing w:line="277" w:lineRule="exact"/>
              <w:ind w:left="235"/>
              <w:rPr>
                <w:sz w:val="25"/>
              </w:rPr>
            </w:pPr>
            <w:r>
              <w:rPr>
                <w:sz w:val="25"/>
              </w:rPr>
              <w:t>24</w:t>
            </w:r>
          </w:p>
        </w:tc>
      </w:tr>
      <w:tr>
        <w:trPr>
          <w:trHeight w:val="289" w:hRule="exact"/>
        </w:trPr>
        <w:tc>
          <w:tcPr>
            <w:tcW w:w="607" w:type="dxa"/>
          </w:tcPr>
          <w:p>
            <w:pPr>
              <w:pStyle w:val="TableParagraph"/>
              <w:spacing w:line="275" w:lineRule="exact"/>
              <w:ind w:left="181" w:right="198"/>
              <w:jc w:val="center"/>
              <w:rPr>
                <w:sz w:val="25"/>
              </w:rPr>
            </w:pPr>
            <w:r>
              <w:rPr>
                <w:sz w:val="25"/>
              </w:rPr>
              <w:t>3.</w:t>
            </w:r>
          </w:p>
        </w:tc>
        <w:tc>
          <w:tcPr>
            <w:tcW w:w="1713" w:type="dxa"/>
          </w:tcPr>
          <w:p>
            <w:pPr>
              <w:pStyle w:val="TableParagraph"/>
              <w:spacing w:line="275" w:lineRule="exact"/>
              <w:ind w:left="219"/>
              <w:rPr>
                <w:sz w:val="25"/>
              </w:rPr>
            </w:pPr>
            <w:r>
              <w:rPr>
                <w:sz w:val="25"/>
              </w:rPr>
              <w:t>Hipótesis</w:t>
            </w:r>
          </w:p>
        </w:tc>
        <w:tc>
          <w:tcPr>
            <w:tcW w:w="5549" w:type="dxa"/>
          </w:tcPr>
          <w:p>
            <w:pPr/>
          </w:p>
        </w:tc>
        <w:tc>
          <w:tcPr>
            <w:tcW w:w="1545" w:type="dxa"/>
          </w:tcPr>
          <w:p>
            <w:pPr>
              <w:pStyle w:val="TableParagraph"/>
              <w:spacing w:line="275" w:lineRule="exact"/>
              <w:ind w:left="235"/>
              <w:rPr>
                <w:sz w:val="25"/>
              </w:rPr>
            </w:pPr>
            <w:r>
              <w:rPr>
                <w:sz w:val="25"/>
              </w:rPr>
              <w:t>26</w:t>
            </w:r>
          </w:p>
        </w:tc>
      </w:tr>
      <w:tr>
        <w:trPr>
          <w:trHeight w:val="288" w:hRule="exact"/>
        </w:trPr>
        <w:tc>
          <w:tcPr>
            <w:tcW w:w="607" w:type="dxa"/>
          </w:tcPr>
          <w:p>
            <w:pPr>
              <w:pStyle w:val="TableParagraph"/>
              <w:spacing w:line="274" w:lineRule="exact"/>
              <w:ind w:left="181" w:right="198"/>
              <w:jc w:val="center"/>
              <w:rPr>
                <w:sz w:val="25"/>
              </w:rPr>
            </w:pPr>
            <w:r>
              <w:rPr>
                <w:sz w:val="25"/>
              </w:rPr>
              <w:t>4.</w:t>
            </w:r>
          </w:p>
        </w:tc>
        <w:tc>
          <w:tcPr>
            <w:tcW w:w="1713" w:type="dxa"/>
          </w:tcPr>
          <w:p>
            <w:pPr>
              <w:pStyle w:val="TableParagraph"/>
              <w:spacing w:line="274" w:lineRule="exact"/>
              <w:ind w:left="219"/>
              <w:rPr>
                <w:sz w:val="25"/>
              </w:rPr>
            </w:pPr>
            <w:r>
              <w:rPr>
                <w:sz w:val="25"/>
              </w:rPr>
              <w:t>Objetivos</w:t>
            </w:r>
          </w:p>
        </w:tc>
        <w:tc>
          <w:tcPr>
            <w:tcW w:w="5549" w:type="dxa"/>
          </w:tcPr>
          <w:p>
            <w:pPr/>
          </w:p>
        </w:tc>
        <w:tc>
          <w:tcPr>
            <w:tcW w:w="1545" w:type="dxa"/>
          </w:tcPr>
          <w:p>
            <w:pPr>
              <w:pStyle w:val="TableParagraph"/>
              <w:spacing w:line="274" w:lineRule="exact"/>
              <w:ind w:left="235"/>
              <w:rPr>
                <w:sz w:val="25"/>
              </w:rPr>
            </w:pPr>
            <w:r>
              <w:rPr>
                <w:sz w:val="25"/>
              </w:rPr>
              <w:t>27</w:t>
            </w:r>
          </w:p>
        </w:tc>
      </w:tr>
      <w:tr>
        <w:trPr>
          <w:trHeight w:val="288" w:hRule="exact"/>
        </w:trPr>
        <w:tc>
          <w:tcPr>
            <w:tcW w:w="607" w:type="dxa"/>
          </w:tcPr>
          <w:p>
            <w:pPr>
              <w:pStyle w:val="TableParagraph"/>
              <w:spacing w:line="274" w:lineRule="exact"/>
              <w:ind w:left="181" w:right="198"/>
              <w:jc w:val="center"/>
              <w:rPr>
                <w:sz w:val="25"/>
              </w:rPr>
            </w:pPr>
            <w:r>
              <w:rPr>
                <w:sz w:val="25"/>
              </w:rPr>
              <w:t>5.</w:t>
            </w:r>
          </w:p>
        </w:tc>
        <w:tc>
          <w:tcPr>
            <w:tcW w:w="1713" w:type="dxa"/>
          </w:tcPr>
          <w:p>
            <w:pPr>
              <w:pStyle w:val="TableParagraph"/>
              <w:spacing w:line="274" w:lineRule="exact"/>
              <w:ind w:left="219"/>
              <w:rPr>
                <w:sz w:val="25"/>
              </w:rPr>
            </w:pPr>
            <w:r>
              <w:rPr>
                <w:sz w:val="25"/>
              </w:rPr>
              <w:t>Justificación</w:t>
            </w:r>
          </w:p>
        </w:tc>
        <w:tc>
          <w:tcPr>
            <w:tcW w:w="5549" w:type="dxa"/>
          </w:tcPr>
          <w:p>
            <w:pPr/>
          </w:p>
        </w:tc>
        <w:tc>
          <w:tcPr>
            <w:tcW w:w="1545" w:type="dxa"/>
          </w:tcPr>
          <w:p>
            <w:pPr>
              <w:pStyle w:val="TableParagraph"/>
              <w:spacing w:line="274" w:lineRule="exact"/>
              <w:ind w:left="235"/>
              <w:rPr>
                <w:sz w:val="25"/>
              </w:rPr>
            </w:pPr>
            <w:r>
              <w:rPr>
                <w:sz w:val="25"/>
              </w:rPr>
              <w:t>28</w:t>
            </w:r>
          </w:p>
        </w:tc>
      </w:tr>
      <w:tr>
        <w:trPr>
          <w:trHeight w:val="287" w:hRule="exact"/>
        </w:trPr>
        <w:tc>
          <w:tcPr>
            <w:tcW w:w="607" w:type="dxa"/>
          </w:tcPr>
          <w:p>
            <w:pPr>
              <w:pStyle w:val="TableParagraph"/>
              <w:spacing w:line="274" w:lineRule="exact"/>
              <w:ind w:left="181" w:right="198"/>
              <w:jc w:val="center"/>
              <w:rPr>
                <w:sz w:val="25"/>
              </w:rPr>
            </w:pPr>
            <w:r>
              <w:rPr>
                <w:sz w:val="25"/>
              </w:rPr>
              <w:t>6.</w:t>
            </w:r>
          </w:p>
        </w:tc>
        <w:tc>
          <w:tcPr>
            <w:tcW w:w="7262" w:type="dxa"/>
            <w:gridSpan w:val="2"/>
          </w:tcPr>
          <w:p>
            <w:pPr>
              <w:pStyle w:val="TableParagraph"/>
              <w:spacing w:line="274" w:lineRule="exact"/>
              <w:ind w:left="219"/>
              <w:rPr>
                <w:sz w:val="25"/>
              </w:rPr>
            </w:pPr>
            <w:r>
              <w:rPr>
                <w:sz w:val="25"/>
              </w:rPr>
              <w:t>Material y Métodos</w:t>
            </w:r>
          </w:p>
        </w:tc>
        <w:tc>
          <w:tcPr>
            <w:tcW w:w="1545" w:type="dxa"/>
          </w:tcPr>
          <w:p>
            <w:pPr>
              <w:pStyle w:val="TableParagraph"/>
              <w:spacing w:line="274" w:lineRule="exact"/>
              <w:ind w:left="235"/>
              <w:rPr>
                <w:sz w:val="25"/>
              </w:rPr>
            </w:pPr>
            <w:r>
              <w:rPr>
                <w:sz w:val="25"/>
              </w:rPr>
              <w:t>29</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6.1.</w:t>
            </w:r>
          </w:p>
        </w:tc>
        <w:tc>
          <w:tcPr>
            <w:tcW w:w="5549" w:type="dxa"/>
          </w:tcPr>
          <w:p>
            <w:pPr>
              <w:pStyle w:val="TableParagraph"/>
              <w:spacing w:line="273" w:lineRule="exact"/>
              <w:ind w:left="148"/>
              <w:rPr>
                <w:sz w:val="25"/>
              </w:rPr>
            </w:pPr>
            <w:r>
              <w:rPr>
                <w:sz w:val="25"/>
              </w:rPr>
              <w:t>Diseño de estudio</w:t>
            </w:r>
          </w:p>
        </w:tc>
        <w:tc>
          <w:tcPr>
            <w:tcW w:w="1545" w:type="dxa"/>
          </w:tcPr>
          <w:p>
            <w:pPr>
              <w:pStyle w:val="TableParagraph"/>
              <w:spacing w:line="273" w:lineRule="exact"/>
              <w:ind w:left="235"/>
              <w:rPr>
                <w:sz w:val="25"/>
              </w:rPr>
            </w:pPr>
            <w:r>
              <w:rPr>
                <w:sz w:val="25"/>
              </w:rPr>
              <w:t>29</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6.2.</w:t>
            </w:r>
          </w:p>
        </w:tc>
        <w:tc>
          <w:tcPr>
            <w:tcW w:w="5549" w:type="dxa"/>
          </w:tcPr>
          <w:p>
            <w:pPr>
              <w:pStyle w:val="TableParagraph"/>
              <w:spacing w:line="274" w:lineRule="exact"/>
              <w:ind w:left="148"/>
              <w:rPr>
                <w:sz w:val="25"/>
              </w:rPr>
            </w:pPr>
            <w:r>
              <w:rPr>
                <w:sz w:val="25"/>
              </w:rPr>
              <w:t>Criterios de inclusión, exclusión y eliminación</w:t>
            </w:r>
          </w:p>
        </w:tc>
        <w:tc>
          <w:tcPr>
            <w:tcW w:w="1545" w:type="dxa"/>
          </w:tcPr>
          <w:p>
            <w:pPr>
              <w:pStyle w:val="TableParagraph"/>
              <w:spacing w:line="274" w:lineRule="exact"/>
              <w:ind w:left="235"/>
              <w:rPr>
                <w:sz w:val="25"/>
              </w:rPr>
            </w:pPr>
            <w:r>
              <w:rPr>
                <w:sz w:val="25"/>
              </w:rPr>
              <w:t>29</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6.3.</w:t>
            </w:r>
          </w:p>
        </w:tc>
        <w:tc>
          <w:tcPr>
            <w:tcW w:w="5549" w:type="dxa"/>
          </w:tcPr>
          <w:p>
            <w:pPr>
              <w:pStyle w:val="TableParagraph"/>
              <w:spacing w:line="274" w:lineRule="exact"/>
              <w:ind w:left="148"/>
              <w:rPr>
                <w:sz w:val="25"/>
              </w:rPr>
            </w:pPr>
            <w:r>
              <w:rPr>
                <w:sz w:val="25"/>
              </w:rPr>
              <w:t>Procedimientos</w:t>
            </w:r>
          </w:p>
        </w:tc>
        <w:tc>
          <w:tcPr>
            <w:tcW w:w="1545" w:type="dxa"/>
          </w:tcPr>
          <w:p>
            <w:pPr>
              <w:pStyle w:val="TableParagraph"/>
              <w:spacing w:line="274" w:lineRule="exact"/>
              <w:ind w:left="235"/>
              <w:rPr>
                <w:sz w:val="25"/>
              </w:rPr>
            </w:pPr>
            <w:r>
              <w:rPr>
                <w:sz w:val="25"/>
              </w:rPr>
              <w:t>30</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6.3.1</w:t>
            </w:r>
          </w:p>
        </w:tc>
        <w:tc>
          <w:tcPr>
            <w:tcW w:w="5549" w:type="dxa"/>
          </w:tcPr>
          <w:p>
            <w:pPr>
              <w:pStyle w:val="TableParagraph"/>
              <w:spacing w:line="274" w:lineRule="exact"/>
              <w:ind w:left="148"/>
              <w:rPr>
                <w:sz w:val="25"/>
              </w:rPr>
            </w:pPr>
            <w:r>
              <w:rPr>
                <w:sz w:val="25"/>
              </w:rPr>
              <w:t>Selección de sujetos</w:t>
            </w:r>
          </w:p>
        </w:tc>
        <w:tc>
          <w:tcPr>
            <w:tcW w:w="1545" w:type="dxa"/>
          </w:tcPr>
          <w:p>
            <w:pPr>
              <w:pStyle w:val="TableParagraph"/>
              <w:spacing w:line="274" w:lineRule="exact"/>
              <w:ind w:left="235"/>
              <w:rPr>
                <w:sz w:val="25"/>
              </w:rPr>
            </w:pPr>
            <w:r>
              <w:rPr>
                <w:sz w:val="25"/>
              </w:rPr>
              <w:t>30</w:t>
            </w:r>
          </w:p>
        </w:tc>
      </w:tr>
      <w:tr>
        <w:trPr>
          <w:trHeight w:val="287" w:hRule="exact"/>
        </w:trPr>
        <w:tc>
          <w:tcPr>
            <w:tcW w:w="607" w:type="dxa"/>
          </w:tcPr>
          <w:p>
            <w:pPr/>
          </w:p>
        </w:tc>
        <w:tc>
          <w:tcPr>
            <w:tcW w:w="1713" w:type="dxa"/>
          </w:tcPr>
          <w:p>
            <w:pPr>
              <w:pStyle w:val="TableParagraph"/>
              <w:spacing w:line="274" w:lineRule="exact"/>
              <w:ind w:left="219"/>
              <w:rPr>
                <w:sz w:val="25"/>
              </w:rPr>
            </w:pPr>
            <w:r>
              <w:rPr>
                <w:sz w:val="25"/>
              </w:rPr>
              <w:t>6.3.2</w:t>
            </w:r>
          </w:p>
        </w:tc>
        <w:tc>
          <w:tcPr>
            <w:tcW w:w="5549" w:type="dxa"/>
          </w:tcPr>
          <w:p>
            <w:pPr>
              <w:pStyle w:val="TableParagraph"/>
              <w:spacing w:line="274" w:lineRule="exact"/>
              <w:ind w:left="148"/>
              <w:rPr>
                <w:sz w:val="25"/>
              </w:rPr>
            </w:pPr>
            <w:r>
              <w:rPr>
                <w:sz w:val="25"/>
              </w:rPr>
              <w:t>Historia clínica</w:t>
            </w:r>
          </w:p>
        </w:tc>
        <w:tc>
          <w:tcPr>
            <w:tcW w:w="1545" w:type="dxa"/>
          </w:tcPr>
          <w:p>
            <w:pPr>
              <w:pStyle w:val="TableParagraph"/>
              <w:spacing w:line="274" w:lineRule="exact"/>
              <w:ind w:left="235"/>
              <w:rPr>
                <w:sz w:val="25"/>
              </w:rPr>
            </w:pPr>
            <w:r>
              <w:rPr>
                <w:sz w:val="25"/>
              </w:rPr>
              <w:t>31</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6.3.3</w:t>
            </w:r>
          </w:p>
        </w:tc>
        <w:tc>
          <w:tcPr>
            <w:tcW w:w="5549" w:type="dxa"/>
          </w:tcPr>
          <w:p>
            <w:pPr>
              <w:pStyle w:val="TableParagraph"/>
              <w:spacing w:line="273" w:lineRule="exact"/>
              <w:ind w:left="148"/>
              <w:rPr>
                <w:sz w:val="25"/>
              </w:rPr>
            </w:pPr>
            <w:r>
              <w:rPr>
                <w:sz w:val="25"/>
              </w:rPr>
              <w:t>Evaluación periodontal</w:t>
            </w:r>
          </w:p>
        </w:tc>
        <w:tc>
          <w:tcPr>
            <w:tcW w:w="1545" w:type="dxa"/>
          </w:tcPr>
          <w:p>
            <w:pPr>
              <w:pStyle w:val="TableParagraph"/>
              <w:spacing w:line="273" w:lineRule="exact"/>
              <w:ind w:left="235"/>
              <w:rPr>
                <w:sz w:val="25"/>
              </w:rPr>
            </w:pPr>
            <w:r>
              <w:rPr>
                <w:sz w:val="25"/>
              </w:rPr>
              <w:t>31</w:t>
            </w:r>
          </w:p>
        </w:tc>
      </w:tr>
      <w:tr>
        <w:trPr>
          <w:trHeight w:val="293" w:hRule="exact"/>
        </w:trPr>
        <w:tc>
          <w:tcPr>
            <w:tcW w:w="607" w:type="dxa"/>
          </w:tcPr>
          <w:p>
            <w:pPr/>
          </w:p>
        </w:tc>
        <w:tc>
          <w:tcPr>
            <w:tcW w:w="1713" w:type="dxa"/>
          </w:tcPr>
          <w:p>
            <w:pPr>
              <w:pStyle w:val="TableParagraph"/>
              <w:spacing w:line="274" w:lineRule="exact"/>
              <w:ind w:left="219"/>
              <w:rPr>
                <w:sz w:val="25"/>
              </w:rPr>
            </w:pPr>
            <w:r>
              <w:rPr>
                <w:sz w:val="25"/>
              </w:rPr>
              <w:t>6.3.4</w:t>
            </w:r>
          </w:p>
        </w:tc>
        <w:tc>
          <w:tcPr>
            <w:tcW w:w="5549" w:type="dxa"/>
          </w:tcPr>
          <w:p>
            <w:pPr>
              <w:pStyle w:val="TableParagraph"/>
              <w:spacing w:line="274" w:lineRule="exact"/>
              <w:ind w:left="148"/>
              <w:rPr>
                <w:sz w:val="25"/>
              </w:rPr>
            </w:pPr>
            <w:r>
              <w:rPr>
                <w:sz w:val="25"/>
              </w:rPr>
              <w:t>Toma de muestra salival</w:t>
            </w:r>
          </w:p>
        </w:tc>
        <w:tc>
          <w:tcPr>
            <w:tcW w:w="1545" w:type="dxa"/>
          </w:tcPr>
          <w:p>
            <w:pPr>
              <w:pStyle w:val="TableParagraph"/>
              <w:spacing w:line="277" w:lineRule="exact"/>
              <w:ind w:left="235"/>
              <w:rPr>
                <w:sz w:val="25"/>
              </w:rPr>
            </w:pPr>
            <w:r>
              <w:rPr>
                <w:sz w:val="25"/>
              </w:rPr>
              <w:t>32</w:t>
            </w:r>
          </w:p>
        </w:tc>
      </w:tr>
      <w:tr>
        <w:trPr>
          <w:trHeight w:val="289" w:hRule="exact"/>
        </w:trPr>
        <w:tc>
          <w:tcPr>
            <w:tcW w:w="607" w:type="dxa"/>
          </w:tcPr>
          <w:p>
            <w:pPr/>
          </w:p>
        </w:tc>
        <w:tc>
          <w:tcPr>
            <w:tcW w:w="1713" w:type="dxa"/>
          </w:tcPr>
          <w:p>
            <w:pPr>
              <w:pStyle w:val="TableParagraph"/>
              <w:spacing w:line="277" w:lineRule="exact"/>
              <w:ind w:left="219"/>
              <w:rPr>
                <w:sz w:val="25"/>
              </w:rPr>
            </w:pPr>
            <w:r>
              <w:rPr>
                <w:sz w:val="25"/>
              </w:rPr>
              <w:t>6.3.5</w:t>
            </w:r>
          </w:p>
        </w:tc>
        <w:tc>
          <w:tcPr>
            <w:tcW w:w="5549" w:type="dxa"/>
          </w:tcPr>
          <w:p>
            <w:pPr>
              <w:pStyle w:val="TableParagraph"/>
              <w:spacing w:line="277" w:lineRule="exact"/>
              <w:ind w:left="148"/>
              <w:rPr>
                <w:sz w:val="25"/>
              </w:rPr>
            </w:pPr>
            <w:r>
              <w:rPr>
                <w:sz w:val="25"/>
              </w:rPr>
              <w:t>Toma de muestra sanguínea</w:t>
            </w:r>
          </w:p>
        </w:tc>
        <w:tc>
          <w:tcPr>
            <w:tcW w:w="1545" w:type="dxa"/>
          </w:tcPr>
          <w:p>
            <w:pPr>
              <w:pStyle w:val="TableParagraph"/>
              <w:spacing w:line="277" w:lineRule="exact"/>
              <w:ind w:left="235"/>
              <w:rPr>
                <w:sz w:val="25"/>
              </w:rPr>
            </w:pPr>
            <w:r>
              <w:rPr>
                <w:sz w:val="25"/>
              </w:rPr>
              <w:t>32</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6.3.6</w:t>
            </w:r>
          </w:p>
        </w:tc>
        <w:tc>
          <w:tcPr>
            <w:tcW w:w="5549" w:type="dxa"/>
          </w:tcPr>
          <w:p>
            <w:pPr>
              <w:pStyle w:val="TableParagraph"/>
              <w:spacing w:line="273" w:lineRule="exact"/>
              <w:ind w:left="148"/>
              <w:rPr>
                <w:sz w:val="25"/>
              </w:rPr>
            </w:pPr>
            <w:r>
              <w:rPr>
                <w:sz w:val="25"/>
              </w:rPr>
              <w:t>Evaluación bioquímica</w:t>
            </w:r>
          </w:p>
        </w:tc>
        <w:tc>
          <w:tcPr>
            <w:tcW w:w="1545" w:type="dxa"/>
          </w:tcPr>
          <w:p>
            <w:pPr>
              <w:pStyle w:val="TableParagraph"/>
              <w:spacing w:line="273" w:lineRule="exact"/>
              <w:ind w:left="235"/>
              <w:rPr>
                <w:sz w:val="25"/>
              </w:rPr>
            </w:pPr>
            <w:r>
              <w:rPr>
                <w:sz w:val="25"/>
              </w:rPr>
              <w:t>33</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6.3.7</w:t>
            </w:r>
          </w:p>
        </w:tc>
        <w:tc>
          <w:tcPr>
            <w:tcW w:w="5549" w:type="dxa"/>
          </w:tcPr>
          <w:p>
            <w:pPr>
              <w:pStyle w:val="TableParagraph"/>
              <w:spacing w:line="274" w:lineRule="exact"/>
              <w:ind w:left="148"/>
              <w:rPr>
                <w:sz w:val="25"/>
              </w:rPr>
            </w:pPr>
            <w:r>
              <w:rPr>
                <w:sz w:val="25"/>
              </w:rPr>
              <w:t>Determinación de IL-6 en saliva</w:t>
            </w:r>
          </w:p>
        </w:tc>
        <w:tc>
          <w:tcPr>
            <w:tcW w:w="1545" w:type="dxa"/>
          </w:tcPr>
          <w:p>
            <w:pPr>
              <w:pStyle w:val="TableParagraph"/>
              <w:spacing w:line="274" w:lineRule="exact"/>
              <w:ind w:left="235"/>
              <w:rPr>
                <w:sz w:val="25"/>
              </w:rPr>
            </w:pPr>
            <w:r>
              <w:rPr>
                <w:sz w:val="25"/>
              </w:rPr>
              <w:t>33</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6.3.9</w:t>
            </w:r>
          </w:p>
        </w:tc>
        <w:tc>
          <w:tcPr>
            <w:tcW w:w="5549" w:type="dxa"/>
          </w:tcPr>
          <w:p>
            <w:pPr>
              <w:pStyle w:val="TableParagraph"/>
              <w:spacing w:line="274" w:lineRule="exact"/>
              <w:ind w:left="148"/>
              <w:rPr>
                <w:sz w:val="25"/>
              </w:rPr>
            </w:pPr>
            <w:r>
              <w:rPr>
                <w:sz w:val="25"/>
              </w:rPr>
              <w:t>Evaluación antropométrica</w:t>
            </w:r>
          </w:p>
        </w:tc>
        <w:tc>
          <w:tcPr>
            <w:tcW w:w="1545" w:type="dxa"/>
          </w:tcPr>
          <w:p>
            <w:pPr>
              <w:pStyle w:val="TableParagraph"/>
              <w:spacing w:line="274" w:lineRule="exact"/>
              <w:ind w:left="235"/>
              <w:rPr>
                <w:sz w:val="25"/>
              </w:rPr>
            </w:pPr>
            <w:r>
              <w:rPr>
                <w:sz w:val="25"/>
              </w:rPr>
              <w:t>33</w:t>
            </w:r>
          </w:p>
        </w:tc>
      </w:tr>
      <w:tr>
        <w:trPr>
          <w:trHeight w:val="287" w:hRule="exact"/>
        </w:trPr>
        <w:tc>
          <w:tcPr>
            <w:tcW w:w="607" w:type="dxa"/>
          </w:tcPr>
          <w:p>
            <w:pPr/>
          </w:p>
        </w:tc>
        <w:tc>
          <w:tcPr>
            <w:tcW w:w="1713" w:type="dxa"/>
          </w:tcPr>
          <w:p>
            <w:pPr>
              <w:pStyle w:val="TableParagraph"/>
              <w:spacing w:line="274" w:lineRule="exact"/>
              <w:ind w:left="219"/>
              <w:rPr>
                <w:sz w:val="25"/>
              </w:rPr>
            </w:pPr>
            <w:r>
              <w:rPr>
                <w:sz w:val="25"/>
              </w:rPr>
              <w:t>6.4.</w:t>
            </w:r>
          </w:p>
        </w:tc>
        <w:tc>
          <w:tcPr>
            <w:tcW w:w="5549" w:type="dxa"/>
          </w:tcPr>
          <w:p>
            <w:pPr>
              <w:pStyle w:val="TableParagraph"/>
              <w:spacing w:line="274" w:lineRule="exact"/>
              <w:ind w:left="148"/>
              <w:rPr>
                <w:sz w:val="25"/>
              </w:rPr>
            </w:pPr>
            <w:r>
              <w:rPr>
                <w:sz w:val="25"/>
              </w:rPr>
              <w:t>Variables de estudio</w:t>
            </w:r>
          </w:p>
        </w:tc>
        <w:tc>
          <w:tcPr>
            <w:tcW w:w="1545" w:type="dxa"/>
          </w:tcPr>
          <w:p>
            <w:pPr>
              <w:pStyle w:val="TableParagraph"/>
              <w:spacing w:line="274" w:lineRule="exact"/>
              <w:ind w:left="235"/>
              <w:rPr>
                <w:sz w:val="25"/>
              </w:rPr>
            </w:pPr>
            <w:r>
              <w:rPr>
                <w:sz w:val="25"/>
              </w:rPr>
              <w:t>34</w:t>
            </w:r>
          </w:p>
        </w:tc>
      </w:tr>
      <w:tr>
        <w:trPr>
          <w:trHeight w:val="287" w:hRule="exact"/>
        </w:trPr>
        <w:tc>
          <w:tcPr>
            <w:tcW w:w="607" w:type="dxa"/>
          </w:tcPr>
          <w:p>
            <w:pPr/>
          </w:p>
        </w:tc>
        <w:tc>
          <w:tcPr>
            <w:tcW w:w="1713" w:type="dxa"/>
          </w:tcPr>
          <w:p>
            <w:pPr>
              <w:pStyle w:val="TableParagraph"/>
              <w:spacing w:line="273" w:lineRule="exact"/>
              <w:ind w:left="219"/>
              <w:rPr>
                <w:sz w:val="25"/>
              </w:rPr>
            </w:pPr>
            <w:r>
              <w:rPr>
                <w:sz w:val="25"/>
              </w:rPr>
              <w:t>6.5.</w:t>
            </w:r>
          </w:p>
        </w:tc>
        <w:tc>
          <w:tcPr>
            <w:tcW w:w="5549" w:type="dxa"/>
          </w:tcPr>
          <w:p>
            <w:pPr>
              <w:pStyle w:val="TableParagraph"/>
              <w:spacing w:line="273" w:lineRule="exact"/>
              <w:ind w:left="148"/>
              <w:rPr>
                <w:sz w:val="25"/>
              </w:rPr>
            </w:pPr>
            <w:r>
              <w:rPr>
                <w:sz w:val="25"/>
              </w:rPr>
              <w:t>Implicaciones bioéticas</w:t>
            </w:r>
          </w:p>
        </w:tc>
        <w:tc>
          <w:tcPr>
            <w:tcW w:w="1545" w:type="dxa"/>
          </w:tcPr>
          <w:p>
            <w:pPr>
              <w:pStyle w:val="TableParagraph"/>
              <w:spacing w:line="273" w:lineRule="exact"/>
              <w:ind w:left="235"/>
              <w:rPr>
                <w:sz w:val="25"/>
              </w:rPr>
            </w:pPr>
            <w:r>
              <w:rPr>
                <w:sz w:val="25"/>
              </w:rPr>
              <w:t>37</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6.6</w:t>
            </w:r>
          </w:p>
        </w:tc>
        <w:tc>
          <w:tcPr>
            <w:tcW w:w="5549" w:type="dxa"/>
          </w:tcPr>
          <w:p>
            <w:pPr>
              <w:pStyle w:val="TableParagraph"/>
              <w:spacing w:line="274" w:lineRule="exact"/>
              <w:ind w:left="148"/>
              <w:rPr>
                <w:sz w:val="25"/>
              </w:rPr>
            </w:pPr>
            <w:r>
              <w:rPr>
                <w:sz w:val="25"/>
              </w:rPr>
              <w:t>Infraestructura y disponibilidad</w:t>
            </w:r>
          </w:p>
        </w:tc>
        <w:tc>
          <w:tcPr>
            <w:tcW w:w="1545" w:type="dxa"/>
          </w:tcPr>
          <w:p>
            <w:pPr>
              <w:pStyle w:val="TableParagraph"/>
              <w:spacing w:line="274" w:lineRule="exact"/>
              <w:ind w:left="235"/>
              <w:rPr>
                <w:sz w:val="25"/>
              </w:rPr>
            </w:pPr>
            <w:r>
              <w:rPr>
                <w:sz w:val="25"/>
              </w:rPr>
              <w:t>37</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6.7</w:t>
            </w:r>
          </w:p>
        </w:tc>
        <w:tc>
          <w:tcPr>
            <w:tcW w:w="5549" w:type="dxa"/>
          </w:tcPr>
          <w:p>
            <w:pPr>
              <w:pStyle w:val="TableParagraph"/>
              <w:spacing w:line="274" w:lineRule="exact"/>
              <w:ind w:left="148"/>
              <w:rPr>
                <w:sz w:val="25"/>
              </w:rPr>
            </w:pPr>
            <w:r>
              <w:rPr>
                <w:sz w:val="25"/>
              </w:rPr>
              <w:t>Recolección de datos</w:t>
            </w:r>
          </w:p>
        </w:tc>
        <w:tc>
          <w:tcPr>
            <w:tcW w:w="1545" w:type="dxa"/>
          </w:tcPr>
          <w:p>
            <w:pPr>
              <w:pStyle w:val="TableParagraph"/>
              <w:spacing w:line="274" w:lineRule="exact"/>
              <w:ind w:left="235"/>
              <w:rPr>
                <w:sz w:val="25"/>
              </w:rPr>
            </w:pPr>
            <w:r>
              <w:rPr>
                <w:sz w:val="25"/>
              </w:rPr>
              <w:t>37</w:t>
            </w:r>
          </w:p>
        </w:tc>
      </w:tr>
      <w:tr>
        <w:trPr>
          <w:trHeight w:val="288" w:hRule="exact"/>
        </w:trPr>
        <w:tc>
          <w:tcPr>
            <w:tcW w:w="607" w:type="dxa"/>
          </w:tcPr>
          <w:p>
            <w:pPr/>
          </w:p>
        </w:tc>
        <w:tc>
          <w:tcPr>
            <w:tcW w:w="1713" w:type="dxa"/>
          </w:tcPr>
          <w:p>
            <w:pPr>
              <w:pStyle w:val="TableParagraph"/>
              <w:spacing w:line="274" w:lineRule="exact"/>
              <w:ind w:left="219"/>
              <w:rPr>
                <w:sz w:val="25"/>
              </w:rPr>
            </w:pPr>
            <w:r>
              <w:rPr>
                <w:sz w:val="25"/>
              </w:rPr>
              <w:t>6.8</w:t>
            </w:r>
          </w:p>
        </w:tc>
        <w:tc>
          <w:tcPr>
            <w:tcW w:w="5549" w:type="dxa"/>
          </w:tcPr>
          <w:p>
            <w:pPr>
              <w:pStyle w:val="TableParagraph"/>
              <w:spacing w:line="274" w:lineRule="exact"/>
              <w:ind w:left="148"/>
              <w:rPr>
                <w:sz w:val="25"/>
              </w:rPr>
            </w:pPr>
            <w:r>
              <w:rPr>
                <w:sz w:val="25"/>
              </w:rPr>
              <w:t>Análisis estadístico</w:t>
            </w:r>
          </w:p>
        </w:tc>
        <w:tc>
          <w:tcPr>
            <w:tcW w:w="1545" w:type="dxa"/>
          </w:tcPr>
          <w:p>
            <w:pPr>
              <w:pStyle w:val="TableParagraph"/>
              <w:spacing w:line="274" w:lineRule="exact"/>
              <w:ind w:left="235"/>
              <w:rPr>
                <w:sz w:val="25"/>
              </w:rPr>
            </w:pPr>
            <w:r>
              <w:rPr>
                <w:sz w:val="25"/>
              </w:rPr>
              <w:t>38</w:t>
            </w:r>
          </w:p>
        </w:tc>
      </w:tr>
      <w:tr>
        <w:trPr>
          <w:trHeight w:val="291" w:hRule="exact"/>
        </w:trPr>
        <w:tc>
          <w:tcPr>
            <w:tcW w:w="607" w:type="dxa"/>
          </w:tcPr>
          <w:p>
            <w:pPr>
              <w:pStyle w:val="TableParagraph"/>
              <w:spacing w:line="274" w:lineRule="exact"/>
              <w:ind w:left="181" w:right="198"/>
              <w:jc w:val="center"/>
              <w:rPr>
                <w:sz w:val="25"/>
              </w:rPr>
            </w:pPr>
            <w:r>
              <w:rPr>
                <w:sz w:val="25"/>
              </w:rPr>
              <w:t>7.</w:t>
            </w:r>
          </w:p>
        </w:tc>
        <w:tc>
          <w:tcPr>
            <w:tcW w:w="1713" w:type="dxa"/>
          </w:tcPr>
          <w:p>
            <w:pPr>
              <w:pStyle w:val="TableParagraph"/>
              <w:spacing w:line="274" w:lineRule="exact"/>
              <w:ind w:left="219"/>
              <w:rPr>
                <w:sz w:val="25"/>
              </w:rPr>
            </w:pPr>
            <w:r>
              <w:rPr>
                <w:sz w:val="25"/>
              </w:rPr>
              <w:t>Resultados</w:t>
            </w:r>
          </w:p>
        </w:tc>
        <w:tc>
          <w:tcPr>
            <w:tcW w:w="5549" w:type="dxa"/>
          </w:tcPr>
          <w:p>
            <w:pPr/>
          </w:p>
        </w:tc>
        <w:tc>
          <w:tcPr>
            <w:tcW w:w="1545" w:type="dxa"/>
          </w:tcPr>
          <w:p>
            <w:pPr>
              <w:pStyle w:val="TableParagraph"/>
              <w:spacing w:line="277" w:lineRule="exact"/>
              <w:ind w:left="235"/>
              <w:rPr>
                <w:sz w:val="25"/>
              </w:rPr>
            </w:pPr>
            <w:r>
              <w:rPr>
                <w:sz w:val="25"/>
              </w:rPr>
              <w:t>39</w:t>
            </w:r>
          </w:p>
        </w:tc>
      </w:tr>
      <w:tr>
        <w:trPr>
          <w:trHeight w:val="294" w:hRule="exact"/>
        </w:trPr>
        <w:tc>
          <w:tcPr>
            <w:tcW w:w="607" w:type="dxa"/>
          </w:tcPr>
          <w:p>
            <w:pPr/>
          </w:p>
        </w:tc>
        <w:tc>
          <w:tcPr>
            <w:tcW w:w="1713" w:type="dxa"/>
          </w:tcPr>
          <w:p>
            <w:pPr>
              <w:pStyle w:val="TableParagraph"/>
              <w:spacing w:line="264" w:lineRule="exact"/>
              <w:ind w:left="219"/>
              <w:rPr>
                <w:sz w:val="24"/>
              </w:rPr>
            </w:pPr>
            <w:r>
              <w:rPr>
                <w:sz w:val="24"/>
              </w:rPr>
              <w:t>7.1.</w:t>
            </w:r>
          </w:p>
        </w:tc>
        <w:tc>
          <w:tcPr>
            <w:tcW w:w="5549" w:type="dxa"/>
          </w:tcPr>
          <w:p>
            <w:pPr>
              <w:pStyle w:val="TableParagraph"/>
              <w:spacing w:line="264" w:lineRule="exact"/>
              <w:ind w:left="148"/>
              <w:rPr>
                <w:sz w:val="24"/>
              </w:rPr>
            </w:pPr>
            <w:r>
              <w:rPr>
                <w:sz w:val="24"/>
              </w:rPr>
              <w:t>Titulo corto del artículo enviado</w:t>
            </w:r>
          </w:p>
        </w:tc>
        <w:tc>
          <w:tcPr>
            <w:tcW w:w="1545" w:type="dxa"/>
          </w:tcPr>
          <w:p>
            <w:pPr>
              <w:pStyle w:val="TableParagraph"/>
              <w:spacing w:line="279" w:lineRule="exact"/>
              <w:ind w:left="235"/>
              <w:rPr>
                <w:sz w:val="25"/>
              </w:rPr>
            </w:pPr>
            <w:r>
              <w:rPr>
                <w:sz w:val="25"/>
              </w:rPr>
              <w:t>39</w:t>
            </w:r>
          </w:p>
        </w:tc>
      </w:tr>
      <w:tr>
        <w:trPr>
          <w:trHeight w:val="294" w:hRule="exact"/>
        </w:trPr>
        <w:tc>
          <w:tcPr>
            <w:tcW w:w="607" w:type="dxa"/>
          </w:tcPr>
          <w:p>
            <w:pPr/>
          </w:p>
        </w:tc>
        <w:tc>
          <w:tcPr>
            <w:tcW w:w="1713" w:type="dxa"/>
          </w:tcPr>
          <w:p>
            <w:pPr>
              <w:pStyle w:val="TableParagraph"/>
              <w:spacing w:line="266" w:lineRule="exact"/>
              <w:ind w:left="219"/>
              <w:rPr>
                <w:sz w:val="24"/>
              </w:rPr>
            </w:pPr>
            <w:r>
              <w:rPr>
                <w:sz w:val="24"/>
              </w:rPr>
              <w:t>7.1.1</w:t>
            </w:r>
          </w:p>
        </w:tc>
        <w:tc>
          <w:tcPr>
            <w:tcW w:w="5549" w:type="dxa"/>
          </w:tcPr>
          <w:p>
            <w:pPr>
              <w:pStyle w:val="TableParagraph"/>
              <w:spacing w:line="266" w:lineRule="exact"/>
              <w:ind w:left="148"/>
              <w:rPr>
                <w:sz w:val="24"/>
              </w:rPr>
            </w:pPr>
            <w:r>
              <w:rPr>
                <w:sz w:val="24"/>
              </w:rPr>
              <w:t>Página frontal del manuscrito</w:t>
            </w:r>
          </w:p>
        </w:tc>
        <w:tc>
          <w:tcPr>
            <w:tcW w:w="1545" w:type="dxa"/>
          </w:tcPr>
          <w:p>
            <w:pPr>
              <w:pStyle w:val="TableParagraph"/>
              <w:spacing w:line="280" w:lineRule="exact"/>
              <w:ind w:left="235"/>
              <w:rPr>
                <w:sz w:val="25"/>
              </w:rPr>
            </w:pPr>
            <w:r>
              <w:rPr>
                <w:sz w:val="25"/>
              </w:rPr>
              <w:t>40</w:t>
            </w:r>
          </w:p>
        </w:tc>
      </w:tr>
      <w:tr>
        <w:trPr>
          <w:trHeight w:val="273" w:hRule="exact"/>
        </w:trPr>
        <w:tc>
          <w:tcPr>
            <w:tcW w:w="607" w:type="dxa"/>
          </w:tcPr>
          <w:p>
            <w:pPr/>
          </w:p>
        </w:tc>
        <w:tc>
          <w:tcPr>
            <w:tcW w:w="1713" w:type="dxa"/>
          </w:tcPr>
          <w:p>
            <w:pPr>
              <w:pStyle w:val="TableParagraph"/>
              <w:spacing w:line="264" w:lineRule="exact"/>
              <w:ind w:left="219"/>
              <w:rPr>
                <w:sz w:val="24"/>
              </w:rPr>
            </w:pPr>
            <w:r>
              <w:rPr>
                <w:sz w:val="24"/>
              </w:rPr>
              <w:t>7.1.2</w:t>
            </w:r>
          </w:p>
        </w:tc>
        <w:tc>
          <w:tcPr>
            <w:tcW w:w="5549" w:type="dxa"/>
          </w:tcPr>
          <w:p>
            <w:pPr>
              <w:pStyle w:val="TableParagraph"/>
              <w:spacing w:line="264" w:lineRule="exact"/>
              <w:ind w:left="148"/>
              <w:rPr>
                <w:sz w:val="24"/>
              </w:rPr>
            </w:pPr>
            <w:r>
              <w:rPr>
                <w:sz w:val="24"/>
              </w:rPr>
              <w:t>Carta de envío o aceptación</w:t>
            </w:r>
          </w:p>
        </w:tc>
        <w:tc>
          <w:tcPr>
            <w:tcW w:w="1545" w:type="dxa"/>
          </w:tcPr>
          <w:p>
            <w:pPr>
              <w:pStyle w:val="TableParagraph"/>
              <w:spacing w:line="279" w:lineRule="exact"/>
              <w:ind w:left="235"/>
              <w:rPr>
                <w:sz w:val="25"/>
              </w:rPr>
            </w:pPr>
            <w:r>
              <w:rPr>
                <w:sz w:val="25"/>
              </w:rPr>
              <w:t>41</w:t>
            </w:r>
          </w:p>
        </w:tc>
      </w:tr>
    </w:tbl>
    <w:p>
      <w:pPr>
        <w:spacing w:after="0" w:line="279" w:lineRule="exact"/>
        <w:rPr>
          <w:sz w:val="25"/>
        </w:rPr>
        <w:sectPr>
          <w:headerReference w:type="default" r:id="rId6"/>
          <w:pgSz w:w="12240" w:h="15840"/>
          <w:pgMar w:header="731" w:footer="0" w:top="960" w:bottom="280" w:left="1500" w:right="1100"/>
          <w:pgNumType w:start="2"/>
        </w:sectPr>
      </w:pPr>
    </w:p>
    <w:p>
      <w:pPr>
        <w:pStyle w:val="BodyText"/>
        <w:rPr>
          <w:sz w:val="20"/>
        </w:rPr>
      </w:pPr>
    </w:p>
    <w:p>
      <w:pPr>
        <w:pStyle w:val="BodyText"/>
        <w:rPr>
          <w:sz w:val="12"/>
        </w:rPr>
      </w:pPr>
    </w:p>
    <w:tbl>
      <w:tblPr>
        <w:tblW w:w="0" w:type="auto"/>
        <w:jc w:val="left"/>
        <w:tblInd w:w="7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6"/>
        <w:gridCol w:w="4614"/>
        <w:gridCol w:w="1828"/>
      </w:tblGrid>
      <w:tr>
        <w:trPr>
          <w:trHeight w:val="376" w:hRule="exact"/>
        </w:trPr>
        <w:tc>
          <w:tcPr>
            <w:tcW w:w="1156" w:type="dxa"/>
          </w:tcPr>
          <w:p>
            <w:pPr>
              <w:pStyle w:val="TableParagraph"/>
              <w:spacing w:before="69"/>
              <w:ind w:left="35"/>
              <w:rPr>
                <w:sz w:val="24"/>
              </w:rPr>
            </w:pPr>
            <w:r>
              <w:rPr>
                <w:sz w:val="24"/>
              </w:rPr>
              <w:t>7.1.3</w:t>
            </w:r>
          </w:p>
        </w:tc>
        <w:tc>
          <w:tcPr>
            <w:tcW w:w="4614" w:type="dxa"/>
          </w:tcPr>
          <w:p>
            <w:pPr>
              <w:pStyle w:val="TableParagraph"/>
              <w:spacing w:before="69"/>
              <w:ind w:left="521"/>
              <w:rPr>
                <w:sz w:val="24"/>
              </w:rPr>
            </w:pPr>
            <w:r>
              <w:rPr>
                <w:sz w:val="24"/>
              </w:rPr>
              <w:t>Resumen</w:t>
            </w:r>
          </w:p>
        </w:tc>
        <w:tc>
          <w:tcPr>
            <w:tcW w:w="1828" w:type="dxa"/>
          </w:tcPr>
          <w:p>
            <w:pPr>
              <w:pStyle w:val="TableParagraph"/>
              <w:spacing w:before="74"/>
              <w:ind w:right="33"/>
              <w:jc w:val="right"/>
              <w:rPr>
                <w:sz w:val="25"/>
              </w:rPr>
            </w:pPr>
            <w:r>
              <w:rPr>
                <w:w w:val="95"/>
                <w:sz w:val="25"/>
              </w:rPr>
              <w:t>43</w:t>
            </w:r>
          </w:p>
        </w:tc>
      </w:tr>
      <w:tr>
        <w:trPr>
          <w:trHeight w:val="293" w:hRule="exact"/>
        </w:trPr>
        <w:tc>
          <w:tcPr>
            <w:tcW w:w="1156" w:type="dxa"/>
          </w:tcPr>
          <w:p>
            <w:pPr>
              <w:pStyle w:val="TableParagraph"/>
              <w:spacing w:line="265" w:lineRule="exact"/>
              <w:ind w:left="35"/>
              <w:rPr>
                <w:sz w:val="24"/>
              </w:rPr>
            </w:pPr>
            <w:r>
              <w:rPr>
                <w:sz w:val="24"/>
              </w:rPr>
              <w:t>7.1.4</w:t>
            </w:r>
          </w:p>
        </w:tc>
        <w:tc>
          <w:tcPr>
            <w:tcW w:w="4614" w:type="dxa"/>
          </w:tcPr>
          <w:p>
            <w:pPr>
              <w:pStyle w:val="TableParagraph"/>
              <w:spacing w:line="265" w:lineRule="exact"/>
              <w:ind w:left="521"/>
              <w:rPr>
                <w:sz w:val="24"/>
              </w:rPr>
            </w:pPr>
            <w:r>
              <w:rPr>
                <w:sz w:val="24"/>
              </w:rPr>
              <w:t>Abstract</w:t>
            </w:r>
          </w:p>
        </w:tc>
        <w:tc>
          <w:tcPr>
            <w:tcW w:w="1828" w:type="dxa"/>
          </w:tcPr>
          <w:p>
            <w:pPr>
              <w:pStyle w:val="TableParagraph"/>
              <w:spacing w:line="279" w:lineRule="exact"/>
              <w:ind w:right="33"/>
              <w:jc w:val="right"/>
              <w:rPr>
                <w:sz w:val="25"/>
              </w:rPr>
            </w:pPr>
            <w:r>
              <w:rPr>
                <w:w w:val="95"/>
                <w:sz w:val="25"/>
              </w:rPr>
              <w:t>45</w:t>
            </w:r>
          </w:p>
        </w:tc>
      </w:tr>
      <w:tr>
        <w:trPr>
          <w:trHeight w:val="295" w:hRule="exact"/>
        </w:trPr>
        <w:tc>
          <w:tcPr>
            <w:tcW w:w="1156" w:type="dxa"/>
          </w:tcPr>
          <w:p>
            <w:pPr>
              <w:pStyle w:val="TableParagraph"/>
              <w:spacing w:line="264" w:lineRule="exact"/>
              <w:ind w:left="35"/>
              <w:rPr>
                <w:sz w:val="24"/>
              </w:rPr>
            </w:pPr>
            <w:r>
              <w:rPr>
                <w:sz w:val="24"/>
              </w:rPr>
              <w:t>7.1.5</w:t>
            </w:r>
          </w:p>
        </w:tc>
        <w:tc>
          <w:tcPr>
            <w:tcW w:w="4614" w:type="dxa"/>
          </w:tcPr>
          <w:p>
            <w:pPr>
              <w:pStyle w:val="TableParagraph"/>
              <w:spacing w:line="264" w:lineRule="exact"/>
              <w:ind w:left="521"/>
              <w:rPr>
                <w:sz w:val="24"/>
              </w:rPr>
            </w:pPr>
            <w:r>
              <w:rPr>
                <w:sz w:val="24"/>
              </w:rPr>
              <w:t>Antecedentes</w:t>
            </w:r>
          </w:p>
        </w:tc>
        <w:tc>
          <w:tcPr>
            <w:tcW w:w="1828" w:type="dxa"/>
          </w:tcPr>
          <w:p>
            <w:pPr>
              <w:pStyle w:val="TableParagraph"/>
              <w:spacing w:line="281" w:lineRule="exact"/>
              <w:ind w:right="33"/>
              <w:jc w:val="right"/>
              <w:rPr>
                <w:sz w:val="25"/>
              </w:rPr>
            </w:pPr>
            <w:r>
              <w:rPr>
                <w:w w:val="95"/>
                <w:sz w:val="25"/>
              </w:rPr>
              <w:t>47</w:t>
            </w:r>
          </w:p>
        </w:tc>
      </w:tr>
      <w:tr>
        <w:trPr>
          <w:trHeight w:val="293" w:hRule="exact"/>
        </w:trPr>
        <w:tc>
          <w:tcPr>
            <w:tcW w:w="1156" w:type="dxa"/>
          </w:tcPr>
          <w:p>
            <w:pPr>
              <w:pStyle w:val="TableParagraph"/>
              <w:spacing w:line="264" w:lineRule="exact"/>
              <w:ind w:left="35"/>
              <w:rPr>
                <w:sz w:val="24"/>
              </w:rPr>
            </w:pPr>
            <w:r>
              <w:rPr>
                <w:sz w:val="24"/>
              </w:rPr>
              <w:t>7.1.6</w:t>
            </w:r>
          </w:p>
        </w:tc>
        <w:tc>
          <w:tcPr>
            <w:tcW w:w="4614" w:type="dxa"/>
          </w:tcPr>
          <w:p>
            <w:pPr>
              <w:pStyle w:val="TableParagraph"/>
              <w:spacing w:line="264" w:lineRule="exact"/>
              <w:ind w:left="521"/>
              <w:rPr>
                <w:sz w:val="24"/>
              </w:rPr>
            </w:pPr>
            <w:r>
              <w:rPr>
                <w:sz w:val="24"/>
              </w:rPr>
              <w:t>Método</w:t>
            </w:r>
          </w:p>
        </w:tc>
        <w:tc>
          <w:tcPr>
            <w:tcW w:w="1828" w:type="dxa"/>
          </w:tcPr>
          <w:p>
            <w:pPr>
              <w:pStyle w:val="TableParagraph"/>
              <w:spacing w:line="279" w:lineRule="exact"/>
              <w:ind w:right="33"/>
              <w:jc w:val="right"/>
              <w:rPr>
                <w:sz w:val="25"/>
              </w:rPr>
            </w:pPr>
            <w:r>
              <w:rPr>
                <w:w w:val="95"/>
                <w:sz w:val="25"/>
              </w:rPr>
              <w:t>48</w:t>
            </w:r>
          </w:p>
        </w:tc>
      </w:tr>
      <w:tr>
        <w:trPr>
          <w:trHeight w:val="295" w:hRule="exact"/>
        </w:trPr>
        <w:tc>
          <w:tcPr>
            <w:tcW w:w="1156" w:type="dxa"/>
          </w:tcPr>
          <w:p>
            <w:pPr>
              <w:pStyle w:val="TableParagraph"/>
              <w:spacing w:line="264" w:lineRule="exact"/>
              <w:ind w:left="35"/>
              <w:rPr>
                <w:sz w:val="24"/>
              </w:rPr>
            </w:pPr>
            <w:r>
              <w:rPr>
                <w:sz w:val="24"/>
              </w:rPr>
              <w:t>7.1.7</w:t>
            </w:r>
          </w:p>
        </w:tc>
        <w:tc>
          <w:tcPr>
            <w:tcW w:w="4614" w:type="dxa"/>
          </w:tcPr>
          <w:p>
            <w:pPr>
              <w:pStyle w:val="TableParagraph"/>
              <w:spacing w:line="264" w:lineRule="exact"/>
              <w:ind w:left="521"/>
              <w:rPr>
                <w:sz w:val="24"/>
              </w:rPr>
            </w:pPr>
            <w:r>
              <w:rPr>
                <w:sz w:val="24"/>
              </w:rPr>
              <w:t>Análisis estadístico</w:t>
            </w:r>
          </w:p>
        </w:tc>
        <w:tc>
          <w:tcPr>
            <w:tcW w:w="1828" w:type="dxa"/>
          </w:tcPr>
          <w:p>
            <w:pPr>
              <w:pStyle w:val="TableParagraph"/>
              <w:spacing w:line="281" w:lineRule="exact"/>
              <w:ind w:right="33"/>
              <w:jc w:val="right"/>
              <w:rPr>
                <w:sz w:val="25"/>
              </w:rPr>
            </w:pPr>
            <w:r>
              <w:rPr>
                <w:w w:val="95"/>
                <w:sz w:val="25"/>
              </w:rPr>
              <w:t>51</w:t>
            </w:r>
          </w:p>
        </w:tc>
      </w:tr>
      <w:tr>
        <w:trPr>
          <w:trHeight w:val="293" w:hRule="exact"/>
        </w:trPr>
        <w:tc>
          <w:tcPr>
            <w:tcW w:w="1156" w:type="dxa"/>
          </w:tcPr>
          <w:p>
            <w:pPr>
              <w:pStyle w:val="TableParagraph"/>
              <w:spacing w:line="264" w:lineRule="exact"/>
              <w:ind w:left="35"/>
              <w:rPr>
                <w:sz w:val="24"/>
              </w:rPr>
            </w:pPr>
            <w:r>
              <w:rPr>
                <w:sz w:val="24"/>
              </w:rPr>
              <w:t>7.1.8</w:t>
            </w:r>
          </w:p>
        </w:tc>
        <w:tc>
          <w:tcPr>
            <w:tcW w:w="4614" w:type="dxa"/>
          </w:tcPr>
          <w:p>
            <w:pPr>
              <w:pStyle w:val="TableParagraph"/>
              <w:spacing w:line="264" w:lineRule="exact"/>
              <w:ind w:left="521"/>
              <w:rPr>
                <w:sz w:val="24"/>
              </w:rPr>
            </w:pPr>
            <w:r>
              <w:rPr>
                <w:sz w:val="24"/>
              </w:rPr>
              <w:t>Resultados</w:t>
            </w:r>
          </w:p>
        </w:tc>
        <w:tc>
          <w:tcPr>
            <w:tcW w:w="1828" w:type="dxa"/>
          </w:tcPr>
          <w:p>
            <w:pPr>
              <w:pStyle w:val="TableParagraph"/>
              <w:spacing w:line="279" w:lineRule="exact"/>
              <w:ind w:right="33"/>
              <w:jc w:val="right"/>
              <w:rPr>
                <w:sz w:val="25"/>
              </w:rPr>
            </w:pPr>
            <w:r>
              <w:rPr>
                <w:w w:val="95"/>
                <w:sz w:val="25"/>
              </w:rPr>
              <w:t>52</w:t>
            </w:r>
          </w:p>
        </w:tc>
      </w:tr>
      <w:tr>
        <w:trPr>
          <w:trHeight w:val="295" w:hRule="exact"/>
        </w:trPr>
        <w:tc>
          <w:tcPr>
            <w:tcW w:w="1156" w:type="dxa"/>
          </w:tcPr>
          <w:p>
            <w:pPr>
              <w:pStyle w:val="TableParagraph"/>
              <w:spacing w:line="264" w:lineRule="exact"/>
              <w:ind w:left="35"/>
              <w:rPr>
                <w:sz w:val="24"/>
              </w:rPr>
            </w:pPr>
            <w:r>
              <w:rPr>
                <w:sz w:val="24"/>
              </w:rPr>
              <w:t>7.1.9</w:t>
            </w:r>
          </w:p>
        </w:tc>
        <w:tc>
          <w:tcPr>
            <w:tcW w:w="4614" w:type="dxa"/>
          </w:tcPr>
          <w:p>
            <w:pPr>
              <w:pStyle w:val="TableParagraph"/>
              <w:spacing w:line="264" w:lineRule="exact"/>
              <w:ind w:left="521"/>
              <w:rPr>
                <w:sz w:val="24"/>
              </w:rPr>
            </w:pPr>
            <w:r>
              <w:rPr>
                <w:sz w:val="24"/>
              </w:rPr>
              <w:t>Discusión</w:t>
            </w:r>
          </w:p>
        </w:tc>
        <w:tc>
          <w:tcPr>
            <w:tcW w:w="1828" w:type="dxa"/>
          </w:tcPr>
          <w:p>
            <w:pPr>
              <w:pStyle w:val="TableParagraph"/>
              <w:spacing w:line="281" w:lineRule="exact"/>
              <w:ind w:right="33"/>
              <w:jc w:val="right"/>
              <w:rPr>
                <w:sz w:val="25"/>
              </w:rPr>
            </w:pPr>
            <w:r>
              <w:rPr>
                <w:w w:val="95"/>
                <w:sz w:val="25"/>
              </w:rPr>
              <w:t>53</w:t>
            </w:r>
          </w:p>
        </w:tc>
      </w:tr>
      <w:tr>
        <w:trPr>
          <w:trHeight w:val="293" w:hRule="exact"/>
        </w:trPr>
        <w:tc>
          <w:tcPr>
            <w:tcW w:w="1156" w:type="dxa"/>
          </w:tcPr>
          <w:p>
            <w:pPr>
              <w:pStyle w:val="TableParagraph"/>
              <w:spacing w:line="264" w:lineRule="exact"/>
              <w:ind w:left="35"/>
              <w:rPr>
                <w:sz w:val="24"/>
              </w:rPr>
            </w:pPr>
            <w:r>
              <w:rPr>
                <w:sz w:val="24"/>
              </w:rPr>
              <w:t>7.1.10</w:t>
            </w:r>
          </w:p>
        </w:tc>
        <w:tc>
          <w:tcPr>
            <w:tcW w:w="4614" w:type="dxa"/>
          </w:tcPr>
          <w:p>
            <w:pPr>
              <w:pStyle w:val="TableParagraph"/>
              <w:spacing w:line="264" w:lineRule="exact"/>
              <w:ind w:left="521"/>
              <w:rPr>
                <w:sz w:val="24"/>
              </w:rPr>
            </w:pPr>
            <w:r>
              <w:rPr>
                <w:sz w:val="24"/>
              </w:rPr>
              <w:t>Conclusiones</w:t>
            </w:r>
          </w:p>
        </w:tc>
        <w:tc>
          <w:tcPr>
            <w:tcW w:w="1828" w:type="dxa"/>
          </w:tcPr>
          <w:p>
            <w:pPr>
              <w:pStyle w:val="TableParagraph"/>
              <w:spacing w:line="279" w:lineRule="exact"/>
              <w:ind w:right="33"/>
              <w:jc w:val="right"/>
              <w:rPr>
                <w:sz w:val="25"/>
              </w:rPr>
            </w:pPr>
            <w:r>
              <w:rPr>
                <w:w w:val="95"/>
                <w:sz w:val="25"/>
              </w:rPr>
              <w:t>56</w:t>
            </w:r>
          </w:p>
        </w:tc>
      </w:tr>
      <w:tr>
        <w:trPr>
          <w:trHeight w:val="295" w:hRule="exact"/>
        </w:trPr>
        <w:tc>
          <w:tcPr>
            <w:tcW w:w="1156" w:type="dxa"/>
          </w:tcPr>
          <w:p>
            <w:pPr>
              <w:pStyle w:val="TableParagraph"/>
              <w:spacing w:line="264" w:lineRule="exact"/>
              <w:ind w:left="35"/>
              <w:rPr>
                <w:sz w:val="24"/>
              </w:rPr>
            </w:pPr>
            <w:r>
              <w:rPr>
                <w:sz w:val="24"/>
              </w:rPr>
              <w:t>7.1.11</w:t>
            </w:r>
          </w:p>
        </w:tc>
        <w:tc>
          <w:tcPr>
            <w:tcW w:w="4614" w:type="dxa"/>
          </w:tcPr>
          <w:p>
            <w:pPr>
              <w:pStyle w:val="TableParagraph"/>
              <w:spacing w:line="264" w:lineRule="exact"/>
              <w:ind w:left="521"/>
              <w:rPr>
                <w:sz w:val="24"/>
              </w:rPr>
            </w:pPr>
            <w:r>
              <w:rPr>
                <w:sz w:val="24"/>
              </w:rPr>
              <w:t>Agradecimientos</w:t>
            </w:r>
          </w:p>
        </w:tc>
        <w:tc>
          <w:tcPr>
            <w:tcW w:w="1828" w:type="dxa"/>
          </w:tcPr>
          <w:p>
            <w:pPr>
              <w:pStyle w:val="TableParagraph"/>
              <w:spacing w:line="281" w:lineRule="exact"/>
              <w:ind w:right="33"/>
              <w:jc w:val="right"/>
              <w:rPr>
                <w:sz w:val="25"/>
              </w:rPr>
            </w:pPr>
            <w:r>
              <w:rPr>
                <w:w w:val="95"/>
                <w:sz w:val="25"/>
              </w:rPr>
              <w:t>57</w:t>
            </w:r>
          </w:p>
        </w:tc>
      </w:tr>
      <w:tr>
        <w:trPr>
          <w:trHeight w:val="293" w:hRule="exact"/>
        </w:trPr>
        <w:tc>
          <w:tcPr>
            <w:tcW w:w="1156" w:type="dxa"/>
          </w:tcPr>
          <w:p>
            <w:pPr>
              <w:pStyle w:val="TableParagraph"/>
              <w:spacing w:line="264" w:lineRule="exact"/>
              <w:ind w:left="35"/>
              <w:rPr>
                <w:sz w:val="24"/>
              </w:rPr>
            </w:pPr>
            <w:r>
              <w:rPr>
                <w:sz w:val="24"/>
              </w:rPr>
              <w:t>7.1.12</w:t>
            </w:r>
          </w:p>
        </w:tc>
        <w:tc>
          <w:tcPr>
            <w:tcW w:w="4614" w:type="dxa"/>
          </w:tcPr>
          <w:p>
            <w:pPr>
              <w:pStyle w:val="TableParagraph"/>
              <w:spacing w:line="264" w:lineRule="exact"/>
              <w:ind w:left="521"/>
              <w:rPr>
                <w:sz w:val="24"/>
              </w:rPr>
            </w:pPr>
            <w:r>
              <w:rPr>
                <w:sz w:val="24"/>
              </w:rPr>
              <w:t>Referencias Bibliográficas</w:t>
            </w:r>
          </w:p>
        </w:tc>
        <w:tc>
          <w:tcPr>
            <w:tcW w:w="1828" w:type="dxa"/>
          </w:tcPr>
          <w:p>
            <w:pPr>
              <w:pStyle w:val="TableParagraph"/>
              <w:spacing w:line="279" w:lineRule="exact"/>
              <w:ind w:right="33"/>
              <w:jc w:val="right"/>
              <w:rPr>
                <w:sz w:val="25"/>
              </w:rPr>
            </w:pPr>
            <w:r>
              <w:rPr>
                <w:w w:val="95"/>
                <w:sz w:val="25"/>
              </w:rPr>
              <w:t>58</w:t>
            </w:r>
          </w:p>
        </w:tc>
      </w:tr>
      <w:tr>
        <w:trPr>
          <w:trHeight w:val="295" w:hRule="exact"/>
        </w:trPr>
        <w:tc>
          <w:tcPr>
            <w:tcW w:w="1156" w:type="dxa"/>
          </w:tcPr>
          <w:p>
            <w:pPr>
              <w:pStyle w:val="TableParagraph"/>
              <w:spacing w:line="264" w:lineRule="exact"/>
              <w:ind w:left="35"/>
              <w:rPr>
                <w:sz w:val="24"/>
              </w:rPr>
            </w:pPr>
            <w:r>
              <w:rPr>
                <w:sz w:val="24"/>
              </w:rPr>
              <w:t>7.1.13</w:t>
            </w:r>
          </w:p>
        </w:tc>
        <w:tc>
          <w:tcPr>
            <w:tcW w:w="4614" w:type="dxa"/>
          </w:tcPr>
          <w:p>
            <w:pPr>
              <w:pStyle w:val="TableParagraph"/>
              <w:spacing w:line="264" w:lineRule="exact"/>
              <w:ind w:left="521"/>
              <w:rPr>
                <w:sz w:val="24"/>
              </w:rPr>
            </w:pPr>
            <w:r>
              <w:rPr>
                <w:sz w:val="24"/>
              </w:rPr>
              <w:t>Tablas</w:t>
            </w:r>
          </w:p>
        </w:tc>
        <w:tc>
          <w:tcPr>
            <w:tcW w:w="1828" w:type="dxa"/>
          </w:tcPr>
          <w:p>
            <w:pPr>
              <w:pStyle w:val="TableParagraph"/>
              <w:spacing w:line="281" w:lineRule="exact"/>
              <w:ind w:right="33"/>
              <w:jc w:val="right"/>
              <w:rPr>
                <w:sz w:val="25"/>
              </w:rPr>
            </w:pPr>
            <w:r>
              <w:rPr>
                <w:w w:val="95"/>
                <w:sz w:val="25"/>
              </w:rPr>
              <w:t>64</w:t>
            </w:r>
          </w:p>
        </w:tc>
      </w:tr>
      <w:tr>
        <w:trPr>
          <w:trHeight w:val="273" w:hRule="exact"/>
        </w:trPr>
        <w:tc>
          <w:tcPr>
            <w:tcW w:w="1156" w:type="dxa"/>
          </w:tcPr>
          <w:p>
            <w:pPr>
              <w:pStyle w:val="TableParagraph"/>
              <w:spacing w:line="264" w:lineRule="exact"/>
              <w:ind w:left="35"/>
              <w:rPr>
                <w:sz w:val="24"/>
              </w:rPr>
            </w:pPr>
            <w:r>
              <w:rPr>
                <w:sz w:val="24"/>
              </w:rPr>
              <w:t>7.2.</w:t>
            </w:r>
          </w:p>
        </w:tc>
        <w:tc>
          <w:tcPr>
            <w:tcW w:w="4614" w:type="dxa"/>
          </w:tcPr>
          <w:p>
            <w:pPr>
              <w:pStyle w:val="TableParagraph"/>
              <w:spacing w:line="264" w:lineRule="exact"/>
              <w:ind w:left="521"/>
              <w:rPr>
                <w:sz w:val="24"/>
              </w:rPr>
            </w:pPr>
            <w:r>
              <w:rPr>
                <w:sz w:val="24"/>
              </w:rPr>
              <w:t>Resultados Adicionales</w:t>
            </w:r>
          </w:p>
        </w:tc>
        <w:tc>
          <w:tcPr>
            <w:tcW w:w="1828" w:type="dxa"/>
          </w:tcPr>
          <w:p>
            <w:pPr>
              <w:pStyle w:val="TableParagraph"/>
              <w:spacing w:line="279" w:lineRule="exact"/>
              <w:ind w:right="33"/>
              <w:jc w:val="right"/>
              <w:rPr>
                <w:sz w:val="25"/>
              </w:rPr>
            </w:pPr>
            <w:r>
              <w:rPr>
                <w:w w:val="95"/>
                <w:sz w:val="25"/>
              </w:rPr>
              <w:t>69</w:t>
            </w:r>
          </w:p>
        </w:tc>
      </w:tr>
    </w:tbl>
    <w:sdt>
      <w:sdtPr>
        <w:docPartObj>
          <w:docPartGallery w:val="Table of Contents"/>
          <w:docPartUnique/>
        </w:docPartObj>
      </w:sdtPr>
      <w:sdtEndPr/>
      <w:sdtContent>
        <w:p>
          <w:pPr>
            <w:pStyle w:val="TOC2"/>
            <w:numPr>
              <w:ilvl w:val="0"/>
              <w:numId w:val="1"/>
            </w:numPr>
            <w:tabs>
              <w:tab w:pos="736" w:val="left" w:leader="none"/>
              <w:tab w:pos="737" w:val="left" w:leader="none"/>
              <w:tab w:pos="8264" w:val="right" w:leader="none"/>
            </w:tabs>
            <w:spacing w:line="240" w:lineRule="auto" w:before="13" w:after="0"/>
            <w:ind w:left="736" w:right="0" w:hanging="626"/>
            <w:jc w:val="left"/>
            <w:rPr>
              <w:sz w:val="25"/>
            </w:rPr>
          </w:pPr>
          <w:hyperlink w:history="true" w:anchor="_TOC_250004">
            <w:r>
              <w:rPr>
                <w:position w:val="1"/>
              </w:rPr>
              <w:t>Conclusiones</w:t>
            </w:r>
            <w:r>
              <w:rPr>
                <w:spacing w:val="-1"/>
                <w:position w:val="1"/>
              </w:rPr>
              <w:t> </w:t>
            </w:r>
            <w:r>
              <w:rPr>
                <w:position w:val="1"/>
              </w:rPr>
              <w:t>Generales</w:t>
            </w:r>
            <w:r>
              <w:rPr>
                <w:sz w:val="25"/>
              </w:rPr>
              <w:tab/>
              <w:t>72</w:t>
            </w:r>
          </w:hyperlink>
        </w:p>
        <w:p>
          <w:pPr>
            <w:pStyle w:val="TOC3"/>
            <w:numPr>
              <w:ilvl w:val="1"/>
              <w:numId w:val="1"/>
            </w:numPr>
            <w:tabs>
              <w:tab w:pos="977" w:val="left" w:leader="none"/>
              <w:tab w:pos="2378" w:val="left" w:leader="none"/>
              <w:tab w:pos="8264" w:val="right" w:leader="none"/>
            </w:tabs>
            <w:spacing w:line="240" w:lineRule="auto" w:before="4" w:after="0"/>
            <w:ind w:left="736" w:right="0" w:firstLine="0"/>
            <w:jc w:val="left"/>
          </w:pPr>
          <w:hyperlink w:history="true" w:anchor="_TOC_250003">
            <w:r>
              <w:rPr>
                <w:position w:val="1"/>
              </w:rPr>
              <w:t>1</w:t>
              <w:tab/>
              <w:t>Conclusiones</w:t>
            </w:r>
            <w:r>
              <w:rPr>
                <w:sz w:val="25"/>
              </w:rPr>
              <w:tab/>
              <w:t>72</w:t>
            </w:r>
          </w:hyperlink>
        </w:p>
        <w:p>
          <w:pPr>
            <w:pStyle w:val="TOC3"/>
            <w:numPr>
              <w:ilvl w:val="2"/>
              <w:numId w:val="1"/>
            </w:numPr>
            <w:tabs>
              <w:tab w:pos="2378" w:val="left" w:leader="none"/>
              <w:tab w:pos="2379" w:val="left" w:leader="none"/>
              <w:tab w:pos="8264" w:val="right" w:leader="none"/>
            </w:tabs>
            <w:spacing w:line="240" w:lineRule="auto" w:before="7" w:after="0"/>
            <w:ind w:left="2378" w:right="0" w:hanging="1642"/>
            <w:jc w:val="left"/>
          </w:pPr>
          <w:hyperlink w:history="true" w:anchor="_TOC_250002">
            <w:r>
              <w:rPr>
                <w:position w:val="1"/>
              </w:rPr>
              <w:t>Limitaciones</w:t>
            </w:r>
            <w:r>
              <w:rPr>
                <w:sz w:val="25"/>
              </w:rPr>
              <w:tab/>
              <w:t>72</w:t>
            </w:r>
          </w:hyperlink>
        </w:p>
        <w:p>
          <w:pPr>
            <w:pStyle w:val="TOC3"/>
            <w:numPr>
              <w:ilvl w:val="2"/>
              <w:numId w:val="1"/>
            </w:numPr>
            <w:tabs>
              <w:tab w:pos="2378" w:val="left" w:leader="none"/>
              <w:tab w:pos="2379" w:val="left" w:leader="none"/>
              <w:tab w:pos="8264" w:val="right" w:leader="none"/>
            </w:tabs>
            <w:spacing w:line="240" w:lineRule="auto" w:before="4" w:after="0"/>
            <w:ind w:left="2378" w:right="0" w:hanging="1642"/>
            <w:jc w:val="left"/>
          </w:pPr>
          <w:hyperlink w:history="true" w:anchor="_TOC_250001">
            <w:r>
              <w:rPr>
                <w:position w:val="1"/>
              </w:rPr>
              <w:t>Recomendaciones</w:t>
            </w:r>
            <w:r>
              <w:rPr>
                <w:sz w:val="25"/>
              </w:rPr>
              <w:tab/>
              <w:t>72</w:t>
            </w:r>
          </w:hyperlink>
        </w:p>
        <w:p>
          <w:pPr>
            <w:pStyle w:val="TOC1"/>
            <w:numPr>
              <w:ilvl w:val="1"/>
              <w:numId w:val="1"/>
            </w:numPr>
            <w:tabs>
              <w:tab w:pos="736" w:val="left" w:leader="none"/>
              <w:tab w:pos="737" w:val="left" w:leader="none"/>
              <w:tab w:pos="8264" w:val="right" w:leader="none"/>
            </w:tabs>
            <w:spacing w:line="240" w:lineRule="auto" w:before="7" w:after="0"/>
            <w:ind w:left="736" w:right="0" w:hanging="626"/>
            <w:jc w:val="left"/>
          </w:pPr>
          <w:hyperlink w:history="true" w:anchor="_TOC_250000">
            <w:r>
              <w:rPr/>
              <w:t>Referencias</w:t>
            </w:r>
            <w:r>
              <w:rPr>
                <w:spacing w:val="-3"/>
              </w:rPr>
              <w:t> </w:t>
            </w:r>
            <w:r>
              <w:rPr/>
              <w:t>bibliográficas</w:t>
              <w:tab/>
              <w:t>73</w:t>
            </w:r>
          </w:hyperlink>
        </w:p>
      </w:sdtContent>
    </w:sdt>
    <w:p>
      <w:pPr>
        <w:spacing w:after="0" w:line="240" w:lineRule="auto"/>
        <w:jc w:val="left"/>
        <w:sectPr>
          <w:pgSz w:w="12240" w:h="15840"/>
          <w:pgMar w:header="731" w:footer="0" w:top="960" w:bottom="280" w:left="1700" w:right="1580"/>
        </w:sectPr>
      </w:pPr>
    </w:p>
    <w:p>
      <w:pPr>
        <w:pStyle w:val="ListParagraph"/>
        <w:numPr>
          <w:ilvl w:val="1"/>
          <w:numId w:val="1"/>
        </w:numPr>
        <w:tabs>
          <w:tab w:pos="736" w:val="left" w:leader="none"/>
          <w:tab w:pos="737" w:val="left" w:leader="none"/>
        </w:tabs>
        <w:spacing w:line="240" w:lineRule="auto" w:before="3" w:after="0"/>
        <w:ind w:left="736" w:right="0" w:hanging="626"/>
        <w:jc w:val="left"/>
        <w:rPr>
          <w:sz w:val="25"/>
        </w:rPr>
      </w:pPr>
      <w:r>
        <w:rPr>
          <w:w w:val="95"/>
          <w:sz w:val="25"/>
        </w:rPr>
        <w:t>Anexos </w:t>
      </w:r>
      <w:r>
        <w:rPr>
          <w:sz w:val="25"/>
        </w:rPr>
        <w:t>10.1.</w:t>
      </w:r>
    </w:p>
    <w:p>
      <w:pPr>
        <w:spacing w:before="3"/>
        <w:ind w:left="0" w:right="693" w:firstLine="0"/>
        <w:jc w:val="right"/>
        <w:rPr>
          <w:sz w:val="25"/>
        </w:rPr>
      </w:pPr>
      <w:r>
        <w:rPr/>
        <w:br w:type="column"/>
      </w:r>
      <w:r>
        <w:rPr>
          <w:w w:val="95"/>
          <w:sz w:val="25"/>
        </w:rPr>
        <w:t>78</w:t>
      </w:r>
    </w:p>
    <w:p>
      <w:pPr>
        <w:tabs>
          <w:tab w:pos="5746" w:val="left" w:leader="none"/>
        </w:tabs>
        <w:spacing w:before="3"/>
        <w:ind w:left="110" w:right="0" w:firstLine="0"/>
        <w:jc w:val="left"/>
        <w:rPr>
          <w:sz w:val="25"/>
        </w:rPr>
      </w:pPr>
      <w:r>
        <w:rPr>
          <w:sz w:val="25"/>
        </w:rPr>
        <w:t>Anexo1. Carta de consentimiento</w:t>
      </w:r>
      <w:r>
        <w:rPr>
          <w:spacing w:val="-8"/>
          <w:sz w:val="25"/>
        </w:rPr>
        <w:t> </w:t>
      </w:r>
      <w:r>
        <w:rPr>
          <w:sz w:val="25"/>
        </w:rPr>
        <w:t>bajo</w:t>
      </w:r>
      <w:r>
        <w:rPr>
          <w:spacing w:val="-2"/>
          <w:sz w:val="25"/>
        </w:rPr>
        <w:t> </w:t>
      </w:r>
      <w:r>
        <w:rPr>
          <w:sz w:val="25"/>
        </w:rPr>
        <w:t>información</w:t>
        <w:tab/>
        <w:t>78</w:t>
      </w:r>
    </w:p>
    <w:p>
      <w:pPr>
        <w:spacing w:after="0"/>
        <w:jc w:val="left"/>
        <w:rPr>
          <w:sz w:val="25"/>
        </w:rPr>
        <w:sectPr>
          <w:type w:val="continuous"/>
          <w:pgSz w:w="12240" w:h="15840"/>
          <w:pgMar w:top="1200" w:bottom="0" w:left="1700" w:right="1580"/>
          <w:cols w:num="2" w:equalWidth="0">
            <w:col w:w="1499" w:space="769"/>
            <w:col w:w="6692"/>
          </w:cols>
        </w:sectPr>
      </w:pPr>
    </w:p>
    <w:p>
      <w:pPr>
        <w:pStyle w:val="ListParagraph"/>
        <w:numPr>
          <w:ilvl w:val="2"/>
          <w:numId w:val="1"/>
        </w:numPr>
        <w:tabs>
          <w:tab w:pos="2378" w:val="left" w:leader="none"/>
          <w:tab w:pos="2379" w:val="left" w:leader="none"/>
          <w:tab w:pos="8014" w:val="left" w:leader="none"/>
        </w:tabs>
        <w:spacing w:line="240" w:lineRule="auto" w:before="197" w:after="0"/>
        <w:ind w:left="2378" w:right="693" w:hanging="1642"/>
        <w:jc w:val="left"/>
        <w:rPr>
          <w:sz w:val="25"/>
        </w:rPr>
      </w:pPr>
      <w:r>
        <w:rPr>
          <w:sz w:val="25"/>
        </w:rPr>
        <w:t>Anexo  2.  Historia  clínica  e  índice </w:t>
      </w:r>
      <w:r>
        <w:rPr>
          <w:spacing w:val="61"/>
          <w:sz w:val="25"/>
        </w:rPr>
        <w:t> </w:t>
      </w:r>
      <w:r>
        <w:rPr>
          <w:sz w:val="25"/>
        </w:rPr>
        <w:t>de </w:t>
      </w:r>
      <w:r>
        <w:rPr>
          <w:spacing w:val="12"/>
          <w:sz w:val="25"/>
        </w:rPr>
        <w:t> </w:t>
      </w:r>
      <w:r>
        <w:rPr>
          <w:sz w:val="25"/>
        </w:rPr>
        <w:t>enfermedad</w:t>
        <w:tab/>
        <w:t>81 periodontal</w:t>
      </w:r>
    </w:p>
    <w:p>
      <w:pPr>
        <w:spacing w:after="0" w:line="240" w:lineRule="auto"/>
        <w:jc w:val="left"/>
        <w:rPr>
          <w:sz w:val="25"/>
        </w:rPr>
        <w:sectPr>
          <w:type w:val="continuous"/>
          <w:pgSz w:w="12240" w:h="15840"/>
          <w:pgMar w:top="1200" w:bottom="0" w:left="1700" w:right="1580"/>
        </w:sectPr>
      </w:pPr>
    </w:p>
    <w:p>
      <w:pPr>
        <w:pStyle w:val="BodyText"/>
        <w:spacing w:before="5"/>
        <w:rPr>
          <w:sz w:val="38"/>
        </w:rPr>
      </w:pPr>
    </w:p>
    <w:p>
      <w:pPr>
        <w:pStyle w:val="Heading1"/>
        <w:spacing w:before="1"/>
        <w:ind w:left="102" w:firstLine="0"/>
        <w:jc w:val="both"/>
      </w:pPr>
      <w:r>
        <w:rPr/>
        <w:t>Resumen</w:t>
      </w:r>
    </w:p>
    <w:p>
      <w:pPr>
        <w:pStyle w:val="BodyText"/>
        <w:spacing w:before="8"/>
        <w:rPr>
          <w:b/>
          <w:sz w:val="34"/>
        </w:rPr>
      </w:pPr>
    </w:p>
    <w:p>
      <w:pPr>
        <w:pStyle w:val="BodyText"/>
        <w:spacing w:line="360" w:lineRule="auto" w:before="1"/>
        <w:ind w:left="102" w:right="116"/>
        <w:jc w:val="both"/>
      </w:pPr>
      <w:r>
        <w:rPr>
          <w:b/>
        </w:rPr>
        <w:t>Antecedentes. </w:t>
      </w:r>
      <w:r>
        <w:rPr/>
        <w:t>La enfermedad periodontal (EP) es una enfermedad inflamatoria que afecta los</w:t>
      </w:r>
      <w:r>
        <w:rPr>
          <w:spacing w:val="-10"/>
        </w:rPr>
        <w:t> </w:t>
      </w:r>
      <w:r>
        <w:rPr/>
        <w:t>tejidos</w:t>
      </w:r>
      <w:r>
        <w:rPr>
          <w:spacing w:val="-11"/>
        </w:rPr>
        <w:t> </w:t>
      </w:r>
      <w:r>
        <w:rPr/>
        <w:t>de</w:t>
      </w:r>
      <w:r>
        <w:rPr>
          <w:spacing w:val="-12"/>
        </w:rPr>
        <w:t> </w:t>
      </w:r>
      <w:r>
        <w:rPr/>
        <w:t>soporte</w:t>
      </w:r>
      <w:r>
        <w:rPr>
          <w:spacing w:val="-12"/>
        </w:rPr>
        <w:t> </w:t>
      </w:r>
      <w:r>
        <w:rPr/>
        <w:t>de</w:t>
      </w:r>
      <w:r>
        <w:rPr>
          <w:spacing w:val="-12"/>
        </w:rPr>
        <w:t> </w:t>
      </w:r>
      <w:r>
        <w:rPr/>
        <w:t>los</w:t>
      </w:r>
      <w:r>
        <w:rPr>
          <w:spacing w:val="-11"/>
        </w:rPr>
        <w:t> </w:t>
      </w:r>
      <w:r>
        <w:rPr/>
        <w:t>dientes,</w:t>
      </w:r>
      <w:r>
        <w:rPr>
          <w:spacing w:val="-11"/>
        </w:rPr>
        <w:t> </w:t>
      </w:r>
      <w:r>
        <w:rPr/>
        <w:t>induciendo</w:t>
      </w:r>
      <w:r>
        <w:rPr>
          <w:spacing w:val="-12"/>
        </w:rPr>
        <w:t> </w:t>
      </w:r>
      <w:r>
        <w:rPr/>
        <w:t>a</w:t>
      </w:r>
      <w:r>
        <w:rPr>
          <w:spacing w:val="-12"/>
        </w:rPr>
        <w:t> </w:t>
      </w:r>
      <w:r>
        <w:rPr/>
        <w:t>la</w:t>
      </w:r>
      <w:r>
        <w:rPr>
          <w:spacing w:val="-12"/>
        </w:rPr>
        <w:t> </w:t>
      </w:r>
      <w:r>
        <w:rPr/>
        <w:t>producción</w:t>
      </w:r>
      <w:r>
        <w:rPr>
          <w:spacing w:val="-11"/>
        </w:rPr>
        <w:t> </w:t>
      </w:r>
      <w:r>
        <w:rPr/>
        <w:t>de</w:t>
      </w:r>
      <w:r>
        <w:rPr>
          <w:spacing w:val="-12"/>
        </w:rPr>
        <w:t> </w:t>
      </w:r>
      <w:r>
        <w:rPr/>
        <w:t>citocinas</w:t>
      </w:r>
      <w:r>
        <w:rPr>
          <w:spacing w:val="-9"/>
        </w:rPr>
        <w:t> </w:t>
      </w:r>
      <w:r>
        <w:rPr/>
        <w:t>proinflamatorias como interleucina-6. La EP es considerada como una de las afectaciones a nivel bucal de la Diabetes Mellitus Tipo 2 (DM2), la cual constituye un grave problema de salud en México. El objetivo del estudio fue determinar las concentraciones salivales de IL-6 en adultos con enfermedad periodontal con y sin</w:t>
      </w:r>
      <w:r>
        <w:rPr>
          <w:spacing w:val="-6"/>
        </w:rPr>
        <w:t> </w:t>
      </w:r>
      <w:r>
        <w:rPr/>
        <w:t>DM2.</w:t>
      </w:r>
    </w:p>
    <w:p>
      <w:pPr>
        <w:pStyle w:val="BodyText"/>
        <w:spacing w:line="357" w:lineRule="auto" w:before="6"/>
        <w:ind w:left="102" w:right="113"/>
        <w:jc w:val="both"/>
      </w:pPr>
      <w:r>
        <w:rPr>
          <w:b/>
        </w:rPr>
        <w:t>Metodología. </w:t>
      </w:r>
      <w:r>
        <w:rPr/>
        <w:t>Se realizó un estudio transversal descriptivo, que incluyó 90 pacientes, asignados en tres grupos: 30 con DM2 y con EP (DM2+EP); 30 sin DM2 con EP (EP) y 30 sin</w:t>
      </w:r>
      <w:r>
        <w:rPr>
          <w:spacing w:val="-3"/>
        </w:rPr>
        <w:t> </w:t>
      </w:r>
      <w:r>
        <w:rPr/>
        <w:t>DM2</w:t>
      </w:r>
      <w:r>
        <w:rPr>
          <w:spacing w:val="-4"/>
        </w:rPr>
        <w:t> </w:t>
      </w:r>
      <w:r>
        <w:rPr/>
        <w:t>ni</w:t>
      </w:r>
      <w:r>
        <w:rPr>
          <w:spacing w:val="-6"/>
        </w:rPr>
        <w:t> </w:t>
      </w:r>
      <w:r>
        <w:rPr/>
        <w:t>EP</w:t>
      </w:r>
      <w:r>
        <w:rPr>
          <w:spacing w:val="-6"/>
        </w:rPr>
        <w:t> </w:t>
      </w:r>
      <w:r>
        <w:rPr/>
        <w:t>(no</w:t>
      </w:r>
      <w:r>
        <w:rPr>
          <w:spacing w:val="-5"/>
        </w:rPr>
        <w:t> </w:t>
      </w:r>
      <w:r>
        <w:rPr/>
        <w:t>DM2-EP)</w:t>
      </w:r>
      <w:r>
        <w:rPr>
          <w:spacing w:val="-5"/>
        </w:rPr>
        <w:t> </w:t>
      </w:r>
      <w:r>
        <w:rPr/>
        <w:t>.Se</w:t>
      </w:r>
      <w:r>
        <w:rPr>
          <w:spacing w:val="-5"/>
        </w:rPr>
        <w:t> </w:t>
      </w:r>
      <w:r>
        <w:rPr/>
        <w:t>realizó</w:t>
      </w:r>
      <w:r>
        <w:rPr>
          <w:spacing w:val="-4"/>
        </w:rPr>
        <w:t> </w:t>
      </w:r>
      <w:r>
        <w:rPr/>
        <w:t>historia</w:t>
      </w:r>
      <w:r>
        <w:rPr>
          <w:spacing w:val="-5"/>
        </w:rPr>
        <w:t> </w:t>
      </w:r>
      <w:r>
        <w:rPr/>
        <w:t>clínica,</w:t>
      </w:r>
      <w:r>
        <w:rPr>
          <w:spacing w:val="-4"/>
        </w:rPr>
        <w:t> </w:t>
      </w:r>
      <w:r>
        <w:rPr/>
        <w:t>mediciones</w:t>
      </w:r>
      <w:r>
        <w:rPr>
          <w:spacing w:val="-4"/>
        </w:rPr>
        <w:t> </w:t>
      </w:r>
      <w:r>
        <w:rPr/>
        <w:t>de</w:t>
      </w:r>
      <w:r>
        <w:rPr>
          <w:spacing w:val="-5"/>
        </w:rPr>
        <w:t> </w:t>
      </w:r>
      <w:r>
        <w:rPr/>
        <w:t>peso</w:t>
      </w:r>
      <w:r>
        <w:rPr>
          <w:spacing w:val="-1"/>
        </w:rPr>
        <w:t> </w:t>
      </w:r>
      <w:r>
        <w:rPr/>
        <w:t>y</w:t>
      </w:r>
      <w:r>
        <w:rPr>
          <w:spacing w:val="-11"/>
        </w:rPr>
        <w:t> </w:t>
      </w:r>
      <w:r>
        <w:rPr/>
        <w:t>talla,</w:t>
      </w:r>
      <w:r>
        <w:rPr>
          <w:spacing w:val="-4"/>
        </w:rPr>
        <w:t> </w:t>
      </w:r>
      <w:r>
        <w:rPr/>
        <w:t>examen periodontal, evaluaciones bioquímicas (glucosa, triglicéridos, colesterol total y HDL-c) y determinación de las concentraciones salivales de IL-6. Se realizó estadística descriptiva, prueba</w:t>
      </w:r>
      <w:r>
        <w:rPr>
          <w:spacing w:val="-13"/>
        </w:rPr>
        <w:t> </w:t>
      </w:r>
      <w:r>
        <w:rPr/>
        <w:t>chi</w:t>
      </w:r>
      <w:r>
        <w:rPr>
          <w:position w:val="9"/>
          <w:sz w:val="16"/>
        </w:rPr>
        <w:t>2</w:t>
      </w:r>
      <w:r>
        <w:rPr>
          <w:spacing w:val="12"/>
          <w:position w:val="9"/>
          <w:sz w:val="16"/>
        </w:rPr>
        <w:t> </w:t>
      </w:r>
      <w:r>
        <w:rPr/>
        <w:t>y</w:t>
      </w:r>
      <w:r>
        <w:rPr>
          <w:spacing w:val="-17"/>
        </w:rPr>
        <w:t> </w:t>
      </w:r>
      <w:r>
        <w:rPr/>
        <w:t>ANOVA</w:t>
      </w:r>
      <w:r>
        <w:rPr>
          <w:spacing w:val="-13"/>
        </w:rPr>
        <w:t> </w:t>
      </w:r>
      <w:r>
        <w:rPr/>
        <w:t>de</w:t>
      </w:r>
      <w:r>
        <w:rPr>
          <w:spacing w:val="-11"/>
        </w:rPr>
        <w:t> </w:t>
      </w:r>
      <w:r>
        <w:rPr/>
        <w:t>una</w:t>
      </w:r>
      <w:r>
        <w:rPr>
          <w:spacing w:val="-13"/>
        </w:rPr>
        <w:t> </w:t>
      </w:r>
      <w:r>
        <w:rPr/>
        <w:t>vía</w:t>
      </w:r>
      <w:r>
        <w:rPr>
          <w:spacing w:val="-12"/>
        </w:rPr>
        <w:t> </w:t>
      </w:r>
      <w:r>
        <w:rPr/>
        <w:t>o</w:t>
      </w:r>
      <w:r>
        <w:rPr>
          <w:spacing w:val="-12"/>
        </w:rPr>
        <w:t> </w:t>
      </w:r>
      <w:r>
        <w:rPr/>
        <w:t>Kruskal-Wallis.</w:t>
      </w:r>
      <w:r>
        <w:rPr>
          <w:spacing w:val="-12"/>
        </w:rPr>
        <w:t> </w:t>
      </w:r>
      <w:r>
        <w:rPr/>
        <w:t>Se</w:t>
      </w:r>
      <w:r>
        <w:rPr>
          <w:spacing w:val="-13"/>
        </w:rPr>
        <w:t> </w:t>
      </w:r>
      <w:r>
        <w:rPr/>
        <w:t>compararon</w:t>
      </w:r>
      <w:r>
        <w:rPr>
          <w:spacing w:val="-13"/>
        </w:rPr>
        <w:t> </w:t>
      </w:r>
      <w:r>
        <w:rPr/>
        <w:t>los</w:t>
      </w:r>
      <w:r>
        <w:rPr>
          <w:spacing w:val="-10"/>
        </w:rPr>
        <w:t> </w:t>
      </w:r>
      <w:r>
        <w:rPr/>
        <w:t>valores</w:t>
      </w:r>
      <w:r>
        <w:rPr>
          <w:spacing w:val="-12"/>
        </w:rPr>
        <w:t> </w:t>
      </w:r>
      <w:r>
        <w:rPr/>
        <w:t>de</w:t>
      </w:r>
      <w:r>
        <w:rPr>
          <w:spacing w:val="-11"/>
        </w:rPr>
        <w:t> </w:t>
      </w:r>
      <w:r>
        <w:rPr/>
        <w:t>IL-6</w:t>
      </w:r>
      <w:r>
        <w:rPr>
          <w:spacing w:val="-12"/>
        </w:rPr>
        <w:t> </w:t>
      </w:r>
      <w:r>
        <w:rPr/>
        <w:t>según las</w:t>
      </w:r>
      <w:r>
        <w:rPr>
          <w:spacing w:val="-11"/>
        </w:rPr>
        <w:t> </w:t>
      </w:r>
      <w:r>
        <w:rPr/>
        <w:t>variables</w:t>
      </w:r>
      <w:r>
        <w:rPr>
          <w:spacing w:val="-11"/>
        </w:rPr>
        <w:t> </w:t>
      </w:r>
      <w:r>
        <w:rPr/>
        <w:t>sociodemográficas</w:t>
      </w:r>
      <w:r>
        <w:rPr>
          <w:spacing w:val="-6"/>
        </w:rPr>
        <w:t> </w:t>
      </w:r>
      <w:r>
        <w:rPr/>
        <w:t>y</w:t>
      </w:r>
      <w:r>
        <w:rPr>
          <w:spacing w:val="-13"/>
        </w:rPr>
        <w:t> </w:t>
      </w:r>
      <w:r>
        <w:rPr/>
        <w:t>clínicas</w:t>
      </w:r>
      <w:r>
        <w:rPr>
          <w:spacing w:val="-8"/>
        </w:rPr>
        <w:t> </w:t>
      </w:r>
      <w:r>
        <w:rPr/>
        <w:t>con</w:t>
      </w:r>
      <w:r>
        <w:rPr>
          <w:spacing w:val="-11"/>
        </w:rPr>
        <w:t> </w:t>
      </w:r>
      <w:r>
        <w:rPr/>
        <w:t>prueba</w:t>
      </w:r>
      <w:r>
        <w:rPr>
          <w:spacing w:val="-12"/>
        </w:rPr>
        <w:t> </w:t>
      </w:r>
      <w:r>
        <w:rPr/>
        <w:t>Mann-Whitney</w:t>
      </w:r>
      <w:r>
        <w:rPr>
          <w:spacing w:val="-13"/>
        </w:rPr>
        <w:t> </w:t>
      </w:r>
      <w:r>
        <w:rPr/>
        <w:t>U-Wilcoxon.</w:t>
      </w:r>
      <w:r>
        <w:rPr>
          <w:spacing w:val="-10"/>
        </w:rPr>
        <w:t> </w:t>
      </w:r>
      <w:r>
        <w:rPr/>
        <w:t>Se</w:t>
      </w:r>
      <w:r>
        <w:rPr>
          <w:spacing w:val="-12"/>
        </w:rPr>
        <w:t> </w:t>
      </w:r>
      <w:r>
        <w:rPr/>
        <w:t>ajustó un modelo de regresión lineal para comparar las concentraciones de IL-6 en el grupo DM2+EP frente a los grupos EP y no</w:t>
      </w:r>
      <w:r>
        <w:rPr>
          <w:spacing w:val="-9"/>
        </w:rPr>
        <w:t> </w:t>
      </w:r>
      <w:r>
        <w:rPr/>
        <w:t>DM2-EP.</w:t>
      </w:r>
    </w:p>
    <w:p>
      <w:pPr>
        <w:pStyle w:val="BodyText"/>
        <w:spacing w:line="360" w:lineRule="auto" w:before="9"/>
        <w:ind w:left="102" w:right="114"/>
        <w:jc w:val="both"/>
      </w:pPr>
      <w:r>
        <w:rPr>
          <w:b/>
        </w:rPr>
        <w:t>Resultados. </w:t>
      </w:r>
      <w:r>
        <w:rPr/>
        <w:t>Las concentraciones más elevadas de IL-6 salival se observaron en el grupo DM2+EP (1.7±4.5 pg/dL) comparadas con los grupos EP (0.6±2.1 pg/dL) y no DM2-EP (1.4±1.7</w:t>
      </w:r>
      <w:r>
        <w:rPr>
          <w:spacing w:val="-13"/>
        </w:rPr>
        <w:t> </w:t>
      </w:r>
      <w:r>
        <w:rPr/>
        <w:t>pg/dL).</w:t>
      </w:r>
      <w:r>
        <w:rPr>
          <w:spacing w:val="-9"/>
        </w:rPr>
        <w:t> </w:t>
      </w:r>
      <w:r>
        <w:rPr/>
        <w:t>Las</w:t>
      </w:r>
      <w:r>
        <w:rPr>
          <w:spacing w:val="-9"/>
        </w:rPr>
        <w:t> </w:t>
      </w:r>
      <w:r>
        <w:rPr/>
        <w:t>concentraciones</w:t>
      </w:r>
      <w:r>
        <w:rPr>
          <w:spacing w:val="-12"/>
        </w:rPr>
        <w:t> </w:t>
      </w:r>
      <w:r>
        <w:rPr/>
        <w:t>de</w:t>
      </w:r>
      <w:r>
        <w:rPr>
          <w:spacing w:val="-8"/>
        </w:rPr>
        <w:t> </w:t>
      </w:r>
      <w:r>
        <w:rPr/>
        <w:t>IL-6</w:t>
      </w:r>
      <w:r>
        <w:rPr>
          <w:spacing w:val="-10"/>
        </w:rPr>
        <w:t> </w:t>
      </w:r>
      <w:r>
        <w:rPr/>
        <w:t>fueron</w:t>
      </w:r>
      <w:r>
        <w:rPr>
          <w:spacing w:val="-12"/>
        </w:rPr>
        <w:t> </w:t>
      </w:r>
      <w:r>
        <w:rPr/>
        <w:t>mayores</w:t>
      </w:r>
      <w:r>
        <w:rPr>
          <w:spacing w:val="-12"/>
        </w:rPr>
        <w:t> </w:t>
      </w:r>
      <w:r>
        <w:rPr/>
        <w:t>en</w:t>
      </w:r>
      <w:r>
        <w:rPr>
          <w:spacing w:val="-9"/>
        </w:rPr>
        <w:t> </w:t>
      </w:r>
      <w:r>
        <w:rPr/>
        <w:t>los</w:t>
      </w:r>
      <w:r>
        <w:rPr>
          <w:spacing w:val="-11"/>
        </w:rPr>
        <w:t> </w:t>
      </w:r>
      <w:r>
        <w:rPr/>
        <w:t>individuos</w:t>
      </w:r>
      <w:r>
        <w:rPr>
          <w:spacing w:val="-12"/>
        </w:rPr>
        <w:t> </w:t>
      </w:r>
      <w:r>
        <w:rPr/>
        <w:t>con</w:t>
      </w:r>
      <w:r>
        <w:rPr>
          <w:spacing w:val="-12"/>
        </w:rPr>
        <w:t> </w:t>
      </w:r>
      <w:r>
        <w:rPr/>
        <w:t>obesidad y con DM2+EP (1.2±3.3 pg/dL, rango=0-11.4) que aquéllos no DM2-EP con obesidad (3.3±0.9 pg/dL, rango=0-4.2; p=0.027). Mediante análisis de regresión lineal ajustado por sexo, IMC y HDL-colesterol, los valores de IL-6 fueron mayores en los sujetos DM2+EP</w:t>
      </w:r>
      <w:r>
        <w:rPr>
          <w:spacing w:val="-40"/>
        </w:rPr>
        <w:t> </w:t>
      </w:r>
      <w:r>
        <w:rPr/>
        <w:t>de 39-60 años de edad que en los individuos EP del mismo rango de edad (β=3.03, IC95%: 0.172, 5.899); al incluir otras covariables, esta relación no fue significativa. Considerando los</w:t>
      </w:r>
      <w:r>
        <w:rPr>
          <w:spacing w:val="-8"/>
        </w:rPr>
        <w:t> </w:t>
      </w:r>
      <w:r>
        <w:rPr/>
        <w:t>datos</w:t>
      </w:r>
      <w:r>
        <w:rPr>
          <w:spacing w:val="-8"/>
        </w:rPr>
        <w:t> </w:t>
      </w:r>
      <w:r>
        <w:rPr/>
        <w:t>obtenidos</w:t>
      </w:r>
      <w:r>
        <w:rPr>
          <w:spacing w:val="-8"/>
        </w:rPr>
        <w:t> </w:t>
      </w:r>
      <w:r>
        <w:rPr/>
        <w:t>en</w:t>
      </w:r>
      <w:r>
        <w:rPr>
          <w:spacing w:val="-7"/>
        </w:rPr>
        <w:t> </w:t>
      </w:r>
      <w:r>
        <w:rPr/>
        <w:t>el</w:t>
      </w:r>
      <w:r>
        <w:rPr>
          <w:spacing w:val="-6"/>
        </w:rPr>
        <w:t> </w:t>
      </w:r>
      <w:r>
        <w:rPr/>
        <w:t>IPC,</w:t>
      </w:r>
      <w:r>
        <w:rPr>
          <w:spacing w:val="-9"/>
        </w:rPr>
        <w:t> </w:t>
      </w:r>
      <w:r>
        <w:rPr/>
        <w:t>los</w:t>
      </w:r>
      <w:r>
        <w:rPr>
          <w:spacing w:val="-8"/>
        </w:rPr>
        <w:t> </w:t>
      </w:r>
      <w:r>
        <w:rPr/>
        <w:t>individuos</w:t>
      </w:r>
      <w:r>
        <w:rPr>
          <w:spacing w:val="-8"/>
        </w:rPr>
        <w:t> </w:t>
      </w:r>
      <w:r>
        <w:rPr/>
        <w:t>del</w:t>
      </w:r>
      <w:r>
        <w:rPr>
          <w:spacing w:val="-6"/>
        </w:rPr>
        <w:t> </w:t>
      </w:r>
      <w:r>
        <w:rPr/>
        <w:t>grupo</w:t>
      </w:r>
      <w:r>
        <w:rPr>
          <w:spacing w:val="-9"/>
        </w:rPr>
        <w:t> </w:t>
      </w:r>
      <w:r>
        <w:rPr/>
        <w:t>DM2+EP</w:t>
      </w:r>
      <w:r>
        <w:rPr>
          <w:spacing w:val="-8"/>
        </w:rPr>
        <w:t> </w:t>
      </w:r>
      <w:r>
        <w:rPr/>
        <w:t>presentan</w:t>
      </w:r>
      <w:r>
        <w:rPr>
          <w:spacing w:val="-6"/>
        </w:rPr>
        <w:t> </w:t>
      </w:r>
      <w:r>
        <w:rPr/>
        <w:t>mayor</w:t>
      </w:r>
      <w:r>
        <w:rPr>
          <w:spacing w:val="-7"/>
        </w:rPr>
        <w:t> </w:t>
      </w:r>
      <w:r>
        <w:rPr/>
        <w:t>afectación a nivel periodontal que los otros grupos de estudio. En relación al control glicémico, se observó una incidencia de mal control glicémico en los individuos del grupo con DM2+EP. </w:t>
      </w:r>
      <w:r>
        <w:rPr>
          <w:b/>
        </w:rPr>
        <w:t>Conclusiones. </w:t>
      </w:r>
      <w:r>
        <w:rPr/>
        <w:t>Las concentraciones de IL-6 en saliva se encontraron más elevadas en el grupo DM2+ EP, con obesidad, lo cual pone de manifiesto la relación que existe entre el estado inflamatorio crónico de los pacientes con DM2, EP y obesidad. El mal control glicémico del paciente con DM2  desencadena complicaciones</w:t>
      </w:r>
      <w:r>
        <w:rPr>
          <w:spacing w:val="-10"/>
        </w:rPr>
        <w:t> </w:t>
      </w:r>
      <w:r>
        <w:rPr/>
        <w:t>orales.</w:t>
      </w:r>
    </w:p>
    <w:p>
      <w:pPr>
        <w:spacing w:after="0" w:line="360" w:lineRule="auto"/>
        <w:jc w:val="both"/>
        <w:sectPr>
          <w:headerReference w:type="default" r:id="rId7"/>
          <w:pgSz w:w="12240" w:h="15840"/>
          <w:pgMar w:header="731" w:footer="0" w:top="960" w:bottom="280" w:left="1600" w:right="1580"/>
          <w:pgNumType w:start="5"/>
        </w:sectPr>
      </w:pPr>
    </w:p>
    <w:p>
      <w:pPr>
        <w:pStyle w:val="BodyText"/>
        <w:rPr>
          <w:sz w:val="20"/>
        </w:rPr>
      </w:pPr>
    </w:p>
    <w:p>
      <w:pPr>
        <w:pStyle w:val="BodyText"/>
        <w:rPr>
          <w:sz w:val="20"/>
        </w:rPr>
      </w:pPr>
    </w:p>
    <w:p>
      <w:pPr>
        <w:pStyle w:val="BodyText"/>
        <w:spacing w:before="4"/>
        <w:rPr>
          <w:sz w:val="28"/>
        </w:rPr>
      </w:pPr>
    </w:p>
    <w:p>
      <w:pPr>
        <w:pStyle w:val="BodyText"/>
        <w:spacing w:line="360" w:lineRule="auto" w:before="69"/>
        <w:ind w:left="102" w:right="27"/>
      </w:pPr>
      <w:r>
        <w:rPr>
          <w:b/>
        </w:rPr>
        <w:t>Palabras clave: </w:t>
      </w:r>
      <w:r>
        <w:rPr/>
        <w:t>Diabetes mellitus tipo 2, interleucina-6, enfermedades periodontales, saliva, índice de masa corporal, índice periodontal comunitario.</w:t>
      </w:r>
    </w:p>
    <w:p>
      <w:pPr>
        <w:spacing w:after="0" w:line="360" w:lineRule="auto"/>
        <w:sectPr>
          <w:pgSz w:w="12240" w:h="15840"/>
          <w:pgMar w:header="731" w:footer="0" w:top="960" w:bottom="280" w:left="1600" w:right="1580"/>
        </w:sectPr>
      </w:pPr>
    </w:p>
    <w:p>
      <w:pPr>
        <w:pStyle w:val="BodyText"/>
        <w:rPr>
          <w:sz w:val="20"/>
        </w:rPr>
      </w:pPr>
    </w:p>
    <w:p>
      <w:pPr>
        <w:pStyle w:val="Heading1"/>
        <w:ind w:left="102" w:firstLine="0"/>
        <w:jc w:val="both"/>
      </w:pPr>
      <w:r>
        <w:rPr/>
        <w:t>Summary</w:t>
      </w:r>
    </w:p>
    <w:p>
      <w:pPr>
        <w:pStyle w:val="BodyText"/>
        <w:rPr>
          <w:b/>
          <w:sz w:val="28"/>
        </w:rPr>
      </w:pPr>
    </w:p>
    <w:p>
      <w:pPr>
        <w:pStyle w:val="BodyText"/>
        <w:spacing w:line="360" w:lineRule="auto" w:before="250"/>
        <w:ind w:left="102" w:right="114"/>
        <w:jc w:val="both"/>
      </w:pPr>
      <w:r>
        <w:rPr>
          <w:b/>
        </w:rPr>
        <w:t>Background</w:t>
      </w:r>
      <w:r>
        <w:rPr/>
        <w:t>.</w:t>
      </w:r>
      <w:r>
        <w:rPr>
          <w:spacing w:val="-13"/>
        </w:rPr>
        <w:t> </w:t>
      </w:r>
      <w:r>
        <w:rPr/>
        <w:t>Periodontal</w:t>
      </w:r>
      <w:r>
        <w:rPr>
          <w:spacing w:val="-14"/>
        </w:rPr>
        <w:t> </w:t>
      </w:r>
      <w:r>
        <w:rPr/>
        <w:t>disease</w:t>
      </w:r>
      <w:r>
        <w:rPr>
          <w:spacing w:val="-12"/>
        </w:rPr>
        <w:t> </w:t>
      </w:r>
      <w:r>
        <w:rPr/>
        <w:t>(PD)</w:t>
      </w:r>
      <w:r>
        <w:rPr>
          <w:spacing w:val="-14"/>
        </w:rPr>
        <w:t> </w:t>
      </w:r>
      <w:r>
        <w:rPr/>
        <w:t>is</w:t>
      </w:r>
      <w:r>
        <w:rPr>
          <w:spacing w:val="-10"/>
        </w:rPr>
        <w:t> </w:t>
      </w:r>
      <w:r>
        <w:rPr/>
        <w:t>an</w:t>
      </w:r>
      <w:r>
        <w:rPr>
          <w:spacing w:val="-13"/>
        </w:rPr>
        <w:t> </w:t>
      </w:r>
      <w:r>
        <w:rPr/>
        <w:t>inflammatory</w:t>
      </w:r>
      <w:r>
        <w:rPr>
          <w:spacing w:val="-16"/>
        </w:rPr>
        <w:t> </w:t>
      </w:r>
      <w:r>
        <w:rPr/>
        <w:t>disease</w:t>
      </w:r>
      <w:r>
        <w:rPr>
          <w:spacing w:val="-12"/>
        </w:rPr>
        <w:t> </w:t>
      </w:r>
      <w:r>
        <w:rPr/>
        <w:t>that</w:t>
      </w:r>
      <w:r>
        <w:rPr>
          <w:spacing w:val="-11"/>
        </w:rPr>
        <w:t> </w:t>
      </w:r>
      <w:r>
        <w:rPr/>
        <w:t>affects</w:t>
      </w:r>
      <w:r>
        <w:rPr>
          <w:spacing w:val="-13"/>
        </w:rPr>
        <w:t> </w:t>
      </w:r>
      <w:r>
        <w:rPr/>
        <w:t>the</w:t>
      </w:r>
      <w:r>
        <w:rPr>
          <w:spacing w:val="-14"/>
        </w:rPr>
        <w:t> </w:t>
      </w:r>
      <w:r>
        <w:rPr/>
        <w:t>supporting tissues of the teeth, inducing the production of proinflammatory cytokines such as interleukin-6.</w:t>
      </w:r>
      <w:r>
        <w:rPr>
          <w:spacing w:val="-11"/>
        </w:rPr>
        <w:t> </w:t>
      </w:r>
      <w:r>
        <w:rPr/>
        <w:t>PD</w:t>
      </w:r>
      <w:r>
        <w:rPr>
          <w:spacing w:val="-12"/>
        </w:rPr>
        <w:t> </w:t>
      </w:r>
      <w:r>
        <w:rPr/>
        <w:t>is</w:t>
      </w:r>
      <w:r>
        <w:rPr>
          <w:spacing w:val="-8"/>
        </w:rPr>
        <w:t> </w:t>
      </w:r>
      <w:r>
        <w:rPr/>
        <w:t>considered</w:t>
      </w:r>
      <w:r>
        <w:rPr>
          <w:spacing w:val="-9"/>
        </w:rPr>
        <w:t> </w:t>
      </w:r>
      <w:r>
        <w:rPr/>
        <w:t>to</w:t>
      </w:r>
      <w:r>
        <w:rPr>
          <w:spacing w:val="-11"/>
        </w:rPr>
        <w:t> </w:t>
      </w:r>
      <w:r>
        <w:rPr/>
        <w:t>be</w:t>
      </w:r>
      <w:r>
        <w:rPr>
          <w:spacing w:val="-10"/>
        </w:rPr>
        <w:t> </w:t>
      </w:r>
      <w:r>
        <w:rPr/>
        <w:t>one</w:t>
      </w:r>
      <w:r>
        <w:rPr>
          <w:spacing w:val="-12"/>
        </w:rPr>
        <w:t> </w:t>
      </w:r>
      <w:r>
        <w:rPr/>
        <w:t>of</w:t>
      </w:r>
      <w:r>
        <w:rPr>
          <w:spacing w:val="-12"/>
        </w:rPr>
        <w:t> </w:t>
      </w:r>
      <w:r>
        <w:rPr/>
        <w:t>the</w:t>
      </w:r>
      <w:r>
        <w:rPr>
          <w:spacing w:val="-9"/>
        </w:rPr>
        <w:t> </w:t>
      </w:r>
      <w:r>
        <w:rPr/>
        <w:t>affections</w:t>
      </w:r>
      <w:r>
        <w:rPr>
          <w:spacing w:val="-11"/>
        </w:rPr>
        <w:t> </w:t>
      </w:r>
      <w:r>
        <w:rPr/>
        <w:t>at</w:t>
      </w:r>
      <w:r>
        <w:rPr>
          <w:spacing w:val="-11"/>
        </w:rPr>
        <w:t> </w:t>
      </w:r>
      <w:r>
        <w:rPr/>
        <w:t>the</w:t>
      </w:r>
      <w:r>
        <w:rPr>
          <w:spacing w:val="-9"/>
        </w:rPr>
        <w:t> </w:t>
      </w:r>
      <w:r>
        <w:rPr/>
        <w:t>oral</w:t>
      </w:r>
      <w:r>
        <w:rPr>
          <w:spacing w:val="-11"/>
        </w:rPr>
        <w:t> </w:t>
      </w:r>
      <w:r>
        <w:rPr/>
        <w:t>level</w:t>
      </w:r>
      <w:r>
        <w:rPr>
          <w:spacing w:val="-8"/>
        </w:rPr>
        <w:t> </w:t>
      </w:r>
      <w:r>
        <w:rPr/>
        <w:t>of</w:t>
      </w:r>
      <w:r>
        <w:rPr>
          <w:spacing w:val="-10"/>
        </w:rPr>
        <w:t> </w:t>
      </w:r>
      <w:r>
        <w:rPr/>
        <w:t>Type</w:t>
      </w:r>
      <w:r>
        <w:rPr>
          <w:spacing w:val="-12"/>
        </w:rPr>
        <w:t> </w:t>
      </w:r>
      <w:r>
        <w:rPr/>
        <w:t>2</w:t>
      </w:r>
      <w:r>
        <w:rPr>
          <w:spacing w:val="-9"/>
        </w:rPr>
        <w:t> </w:t>
      </w:r>
      <w:r>
        <w:rPr/>
        <w:t>Diabetes Mellitus</w:t>
      </w:r>
      <w:r>
        <w:rPr>
          <w:spacing w:val="-11"/>
        </w:rPr>
        <w:t> </w:t>
      </w:r>
      <w:r>
        <w:rPr/>
        <w:t>(DM2),</w:t>
      </w:r>
      <w:r>
        <w:rPr>
          <w:spacing w:val="-12"/>
        </w:rPr>
        <w:t> </w:t>
      </w:r>
      <w:r>
        <w:rPr/>
        <w:t>which</w:t>
      </w:r>
      <w:r>
        <w:rPr>
          <w:spacing w:val="-11"/>
        </w:rPr>
        <w:t> </w:t>
      </w:r>
      <w:r>
        <w:rPr/>
        <w:t>is</w:t>
      </w:r>
      <w:r>
        <w:rPr>
          <w:spacing w:val="-8"/>
        </w:rPr>
        <w:t> </w:t>
      </w:r>
      <w:r>
        <w:rPr/>
        <w:t>a</w:t>
      </w:r>
      <w:r>
        <w:rPr>
          <w:spacing w:val="-12"/>
        </w:rPr>
        <w:t> </w:t>
      </w:r>
      <w:r>
        <w:rPr/>
        <w:t>serious</w:t>
      </w:r>
      <w:r>
        <w:rPr>
          <w:spacing w:val="-11"/>
        </w:rPr>
        <w:t> </w:t>
      </w:r>
      <w:r>
        <w:rPr/>
        <w:t>health</w:t>
      </w:r>
      <w:r>
        <w:rPr>
          <w:spacing w:val="-11"/>
        </w:rPr>
        <w:t> </w:t>
      </w:r>
      <w:r>
        <w:rPr/>
        <w:t>problem</w:t>
      </w:r>
      <w:r>
        <w:rPr>
          <w:spacing w:val="-8"/>
        </w:rPr>
        <w:t> </w:t>
      </w:r>
      <w:r>
        <w:rPr/>
        <w:t>in</w:t>
      </w:r>
      <w:r>
        <w:rPr>
          <w:spacing w:val="-11"/>
        </w:rPr>
        <w:t> </w:t>
      </w:r>
      <w:r>
        <w:rPr/>
        <w:t>Mexico.</w:t>
      </w:r>
      <w:r>
        <w:rPr>
          <w:spacing w:val="-12"/>
        </w:rPr>
        <w:t> </w:t>
      </w:r>
      <w:r>
        <w:rPr/>
        <w:t>The</w:t>
      </w:r>
      <w:r>
        <w:rPr>
          <w:spacing w:val="-12"/>
        </w:rPr>
        <w:t> </w:t>
      </w:r>
      <w:r>
        <w:rPr/>
        <w:t>main</w:t>
      </w:r>
      <w:r>
        <w:rPr>
          <w:spacing w:val="-11"/>
        </w:rPr>
        <w:t> </w:t>
      </w:r>
      <w:r>
        <w:rPr/>
        <w:t>aim</w:t>
      </w:r>
      <w:r>
        <w:rPr>
          <w:spacing w:val="-8"/>
        </w:rPr>
        <w:t> </w:t>
      </w:r>
      <w:r>
        <w:rPr/>
        <w:t>of</w:t>
      </w:r>
      <w:r>
        <w:rPr>
          <w:spacing w:val="-12"/>
        </w:rPr>
        <w:t> </w:t>
      </w:r>
      <w:r>
        <w:rPr/>
        <w:t>the</w:t>
      </w:r>
      <w:r>
        <w:rPr>
          <w:spacing w:val="-12"/>
        </w:rPr>
        <w:t> </w:t>
      </w:r>
      <w:r>
        <w:rPr/>
        <w:t>study</w:t>
      </w:r>
      <w:r>
        <w:rPr>
          <w:spacing w:val="-16"/>
        </w:rPr>
        <w:t> </w:t>
      </w:r>
      <w:r>
        <w:rPr/>
        <w:t>was to determine the salivary concentrations of IL-6 in adults with periodontal disease with and without</w:t>
      </w:r>
      <w:r>
        <w:rPr>
          <w:spacing w:val="-1"/>
        </w:rPr>
        <w:t> </w:t>
      </w:r>
      <w:r>
        <w:rPr/>
        <w:t>DM2.</w:t>
      </w:r>
    </w:p>
    <w:p>
      <w:pPr>
        <w:pStyle w:val="BodyText"/>
        <w:spacing w:line="360" w:lineRule="auto" w:before="4"/>
        <w:ind w:left="102" w:right="116"/>
        <w:jc w:val="both"/>
      </w:pPr>
      <w:r>
        <w:rPr>
          <w:b/>
        </w:rPr>
        <w:t>Methodology</w:t>
      </w:r>
      <w:r>
        <w:rPr/>
        <w:t>. A descriptive cross-sectional study was carried out, including 90 patients, assigned</w:t>
      </w:r>
      <w:r>
        <w:rPr>
          <w:spacing w:val="-9"/>
        </w:rPr>
        <w:t> </w:t>
      </w:r>
      <w:r>
        <w:rPr/>
        <w:t>in</w:t>
      </w:r>
      <w:r>
        <w:rPr>
          <w:spacing w:val="-8"/>
        </w:rPr>
        <w:t> </w:t>
      </w:r>
      <w:r>
        <w:rPr/>
        <w:t>three</w:t>
      </w:r>
      <w:r>
        <w:rPr>
          <w:spacing w:val="-7"/>
        </w:rPr>
        <w:t> </w:t>
      </w:r>
      <w:r>
        <w:rPr/>
        <w:t>groups:</w:t>
      </w:r>
      <w:r>
        <w:rPr>
          <w:spacing w:val="-6"/>
        </w:rPr>
        <w:t> </w:t>
      </w:r>
      <w:r>
        <w:rPr/>
        <w:t>30</w:t>
      </w:r>
      <w:r>
        <w:rPr>
          <w:spacing w:val="-9"/>
        </w:rPr>
        <w:t> </w:t>
      </w:r>
      <w:r>
        <w:rPr/>
        <w:t>with</w:t>
      </w:r>
      <w:r>
        <w:rPr>
          <w:spacing w:val="-8"/>
        </w:rPr>
        <w:t> </w:t>
      </w:r>
      <w:r>
        <w:rPr/>
        <w:t>DM2</w:t>
      </w:r>
      <w:r>
        <w:rPr>
          <w:spacing w:val="-9"/>
        </w:rPr>
        <w:t> </w:t>
      </w:r>
      <w:r>
        <w:rPr/>
        <w:t>and</w:t>
      </w:r>
      <w:r>
        <w:rPr>
          <w:spacing w:val="-9"/>
        </w:rPr>
        <w:t> </w:t>
      </w:r>
      <w:r>
        <w:rPr/>
        <w:t>with</w:t>
      </w:r>
      <w:r>
        <w:rPr>
          <w:spacing w:val="-8"/>
        </w:rPr>
        <w:t> </w:t>
      </w:r>
      <w:r>
        <w:rPr/>
        <w:t>PD</w:t>
      </w:r>
      <w:r>
        <w:rPr>
          <w:spacing w:val="-9"/>
        </w:rPr>
        <w:t> </w:t>
      </w:r>
      <w:r>
        <w:rPr/>
        <w:t>(DM2</w:t>
      </w:r>
      <w:r>
        <w:rPr>
          <w:spacing w:val="-8"/>
        </w:rPr>
        <w:t> </w:t>
      </w:r>
      <w:r>
        <w:rPr/>
        <w:t>+</w:t>
      </w:r>
      <w:r>
        <w:rPr>
          <w:spacing w:val="-10"/>
        </w:rPr>
        <w:t> </w:t>
      </w:r>
      <w:r>
        <w:rPr/>
        <w:t>PD);</w:t>
      </w:r>
      <w:r>
        <w:rPr>
          <w:spacing w:val="-8"/>
        </w:rPr>
        <w:t> </w:t>
      </w:r>
      <w:r>
        <w:rPr/>
        <w:t>30,</w:t>
      </w:r>
      <w:r>
        <w:rPr>
          <w:spacing w:val="-9"/>
        </w:rPr>
        <w:t> </w:t>
      </w:r>
      <w:r>
        <w:rPr/>
        <w:t>no</w:t>
      </w:r>
      <w:r>
        <w:rPr>
          <w:spacing w:val="-9"/>
        </w:rPr>
        <w:t> </w:t>
      </w:r>
      <w:r>
        <w:rPr/>
        <w:t>DM2</w:t>
      </w:r>
      <w:r>
        <w:rPr>
          <w:spacing w:val="-8"/>
        </w:rPr>
        <w:t> </w:t>
      </w:r>
      <w:r>
        <w:rPr/>
        <w:t>with</w:t>
      </w:r>
      <w:r>
        <w:rPr>
          <w:spacing w:val="-8"/>
        </w:rPr>
        <w:t> </w:t>
      </w:r>
      <w:r>
        <w:rPr/>
        <w:t>PD</w:t>
      </w:r>
      <w:r>
        <w:rPr>
          <w:spacing w:val="-9"/>
        </w:rPr>
        <w:t> </w:t>
      </w:r>
      <w:r>
        <w:rPr/>
        <w:t>(PD) and 30 without DM2 and PD (non DM2-PD). Clinical history, weight and height measurements, periodontal examination, biochemical assessments (glucose, triglycerides, total cholesterol and HDL-c). Determination of salivary IL-6 concentrations. Descriptive statistics,</w:t>
      </w:r>
      <w:r>
        <w:rPr>
          <w:spacing w:val="-16"/>
        </w:rPr>
        <w:t> </w:t>
      </w:r>
      <w:r>
        <w:rPr/>
        <w:t>chi2</w:t>
      </w:r>
      <w:r>
        <w:rPr>
          <w:spacing w:val="-15"/>
        </w:rPr>
        <w:t> </w:t>
      </w:r>
      <w:r>
        <w:rPr/>
        <w:t>test</w:t>
      </w:r>
      <w:r>
        <w:rPr>
          <w:spacing w:val="-16"/>
        </w:rPr>
        <w:t> </w:t>
      </w:r>
      <w:r>
        <w:rPr/>
        <w:t>and</w:t>
      </w:r>
      <w:r>
        <w:rPr>
          <w:spacing w:val="-14"/>
        </w:rPr>
        <w:t> </w:t>
      </w:r>
      <w:r>
        <w:rPr/>
        <w:t>one-way</w:t>
      </w:r>
      <w:r>
        <w:rPr>
          <w:spacing w:val="-18"/>
        </w:rPr>
        <w:t> </w:t>
      </w:r>
      <w:r>
        <w:rPr/>
        <w:t>ANOVA</w:t>
      </w:r>
      <w:r>
        <w:rPr>
          <w:spacing w:val="-17"/>
        </w:rPr>
        <w:t> </w:t>
      </w:r>
      <w:r>
        <w:rPr/>
        <w:t>or</w:t>
      </w:r>
      <w:r>
        <w:rPr>
          <w:spacing w:val="-17"/>
        </w:rPr>
        <w:t> </w:t>
      </w:r>
      <w:r>
        <w:rPr/>
        <w:t>Kruskal-Wallis</w:t>
      </w:r>
      <w:r>
        <w:rPr>
          <w:spacing w:val="-15"/>
        </w:rPr>
        <w:t> </w:t>
      </w:r>
      <w:r>
        <w:rPr/>
        <w:t>were</w:t>
      </w:r>
      <w:r>
        <w:rPr>
          <w:spacing w:val="-15"/>
        </w:rPr>
        <w:t> </w:t>
      </w:r>
      <w:r>
        <w:rPr/>
        <w:t>performed.</w:t>
      </w:r>
      <w:r>
        <w:rPr>
          <w:spacing w:val="-16"/>
        </w:rPr>
        <w:t> </w:t>
      </w:r>
      <w:r>
        <w:rPr/>
        <w:t>The</w:t>
      </w:r>
      <w:r>
        <w:rPr>
          <w:spacing w:val="-12"/>
        </w:rPr>
        <w:t> </w:t>
      </w:r>
      <w:r>
        <w:rPr/>
        <w:t>IL-6</w:t>
      </w:r>
      <w:r>
        <w:rPr>
          <w:spacing w:val="-14"/>
        </w:rPr>
        <w:t> </w:t>
      </w:r>
      <w:r>
        <w:rPr/>
        <w:t>values were compared according to sociodemographic and clinical variables with the Mann- Whitney U-Wilcoxon test. A linear regression model was fitted to compare IL-6 concentrations in the DM2 + PD group versus the PD and not DM2-PD</w:t>
      </w:r>
      <w:r>
        <w:rPr>
          <w:spacing w:val="-9"/>
        </w:rPr>
        <w:t> </w:t>
      </w:r>
      <w:r>
        <w:rPr/>
        <w:t>groups.</w:t>
      </w:r>
    </w:p>
    <w:p>
      <w:pPr>
        <w:pStyle w:val="BodyText"/>
        <w:spacing w:before="4"/>
        <w:ind w:left="102"/>
        <w:jc w:val="both"/>
      </w:pPr>
      <w:r>
        <w:rPr>
          <w:b/>
        </w:rPr>
        <w:t>Results</w:t>
      </w:r>
      <w:r>
        <w:rPr/>
        <w:t>. Highest concentrations of salivary IL-6 were observed in the DM2 + PD group (1.7</w:t>
      </w:r>
    </w:p>
    <w:p>
      <w:pPr>
        <w:pStyle w:val="BodyText"/>
        <w:spacing w:line="360" w:lineRule="auto" w:before="139"/>
        <w:ind w:left="102" w:right="107"/>
      </w:pPr>
      <w:r>
        <w:rPr/>
        <w:t>±</w:t>
      </w:r>
      <w:r>
        <w:rPr>
          <w:spacing w:val="-5"/>
        </w:rPr>
        <w:t> </w:t>
      </w:r>
      <w:r>
        <w:rPr/>
        <w:t>4.5</w:t>
      </w:r>
      <w:r>
        <w:rPr>
          <w:spacing w:val="-5"/>
        </w:rPr>
        <w:t> </w:t>
      </w:r>
      <w:r>
        <w:rPr/>
        <w:t>pg</w:t>
      </w:r>
      <w:r>
        <w:rPr>
          <w:spacing w:val="-5"/>
        </w:rPr>
        <w:t> </w:t>
      </w:r>
      <w:r>
        <w:rPr/>
        <w:t>/</w:t>
      </w:r>
      <w:r>
        <w:rPr>
          <w:spacing w:val="-5"/>
        </w:rPr>
        <w:t> </w:t>
      </w:r>
      <w:r>
        <w:rPr/>
        <w:t>dL)</w:t>
      </w:r>
      <w:r>
        <w:rPr>
          <w:spacing w:val="-6"/>
        </w:rPr>
        <w:t> </w:t>
      </w:r>
      <w:r>
        <w:rPr/>
        <w:t>than</w:t>
      </w:r>
      <w:r>
        <w:rPr>
          <w:spacing w:val="-5"/>
        </w:rPr>
        <w:t> </w:t>
      </w:r>
      <w:r>
        <w:rPr/>
        <w:t>in</w:t>
      </w:r>
      <w:r>
        <w:rPr>
          <w:spacing w:val="-4"/>
        </w:rPr>
        <w:t> </w:t>
      </w:r>
      <w:r>
        <w:rPr/>
        <w:t>the</w:t>
      </w:r>
      <w:r>
        <w:rPr>
          <w:spacing w:val="-3"/>
        </w:rPr>
        <w:t> </w:t>
      </w:r>
      <w:r>
        <w:rPr/>
        <w:t>PD</w:t>
      </w:r>
      <w:r>
        <w:rPr>
          <w:spacing w:val="-6"/>
        </w:rPr>
        <w:t> </w:t>
      </w:r>
      <w:r>
        <w:rPr/>
        <w:t>(0.6</w:t>
      </w:r>
      <w:r>
        <w:rPr>
          <w:spacing w:val="-6"/>
        </w:rPr>
        <w:t> </w:t>
      </w:r>
      <w:r>
        <w:rPr/>
        <w:t>±</w:t>
      </w:r>
      <w:r>
        <w:rPr>
          <w:spacing w:val="-5"/>
        </w:rPr>
        <w:t> </w:t>
      </w:r>
      <w:r>
        <w:rPr/>
        <w:t>2.1</w:t>
      </w:r>
      <w:r>
        <w:rPr>
          <w:spacing w:val="-5"/>
        </w:rPr>
        <w:t> </w:t>
      </w:r>
      <w:r>
        <w:rPr/>
        <w:t>pg</w:t>
      </w:r>
      <w:r>
        <w:rPr>
          <w:spacing w:val="-8"/>
        </w:rPr>
        <w:t> </w:t>
      </w:r>
      <w:r>
        <w:rPr/>
        <w:t>/</w:t>
      </w:r>
      <w:r>
        <w:rPr>
          <w:spacing w:val="-5"/>
        </w:rPr>
        <w:t> </w:t>
      </w:r>
      <w:r>
        <w:rPr/>
        <w:t>dL)</w:t>
      </w:r>
      <w:r>
        <w:rPr>
          <w:spacing w:val="-6"/>
        </w:rPr>
        <w:t> </w:t>
      </w:r>
      <w:r>
        <w:rPr/>
        <w:t>and</w:t>
      </w:r>
      <w:r>
        <w:rPr>
          <w:spacing w:val="-5"/>
        </w:rPr>
        <w:t> </w:t>
      </w:r>
      <w:r>
        <w:rPr/>
        <w:t>non-DM2-PD</w:t>
      </w:r>
      <w:r>
        <w:rPr>
          <w:spacing w:val="-6"/>
        </w:rPr>
        <w:t> </w:t>
      </w:r>
      <w:r>
        <w:rPr/>
        <w:t>(1.4</w:t>
      </w:r>
      <w:r>
        <w:rPr>
          <w:spacing w:val="-4"/>
        </w:rPr>
        <w:t> </w:t>
      </w:r>
      <w:r>
        <w:rPr/>
        <w:t>±</w:t>
      </w:r>
      <w:r>
        <w:rPr>
          <w:spacing w:val="-5"/>
        </w:rPr>
        <w:t> </w:t>
      </w:r>
      <w:r>
        <w:rPr/>
        <w:t>1.7</w:t>
      </w:r>
      <w:r>
        <w:rPr>
          <w:spacing w:val="-5"/>
        </w:rPr>
        <w:t> </w:t>
      </w:r>
      <w:r>
        <w:rPr/>
        <w:t>pg</w:t>
      </w:r>
      <w:r>
        <w:rPr>
          <w:spacing w:val="-5"/>
        </w:rPr>
        <w:t> </w:t>
      </w:r>
      <w:r>
        <w:rPr/>
        <w:t>/</w:t>
      </w:r>
      <w:r>
        <w:rPr>
          <w:spacing w:val="-5"/>
        </w:rPr>
        <w:t> </w:t>
      </w:r>
      <w:r>
        <w:rPr/>
        <w:t>dL)).</w:t>
      </w:r>
      <w:r>
        <w:rPr>
          <w:spacing w:val="-3"/>
        </w:rPr>
        <w:t> </w:t>
      </w:r>
      <w:r>
        <w:rPr/>
        <w:t>Were higher in obese individuals with DM2 + PD (1.2 ± 3.3 pg / dL, range = 0-11.4) than those with non-obese DM2-PD (3.3 ± 0.9 pg / dL, range = 0-4.2, p = 0.027). By linear regression analysis adjusted for sex, BMI and HDL-cholesterol, IL-6 values were higher in subjects DM2 + PD 39-60 years of age than in PD individuals of the same age range (β = 3.03 , 95% IC: 0.172, 5,899); When including other covariates, this relationship was not significant. Considering the data obtained in the CPI, the individuals of the DM2 + PD group present greater periodontal involvement than the other study groups. Regarding glycemic control, there was an incidence of poor glycemic control in the individuals in the DM2 + PD group. </w:t>
      </w:r>
      <w:r>
        <w:rPr>
          <w:b/>
        </w:rPr>
        <w:t>Conclusions.</w:t>
      </w:r>
      <w:r>
        <w:rPr>
          <w:b/>
          <w:spacing w:val="-15"/>
        </w:rPr>
        <w:t> </w:t>
      </w:r>
      <w:r>
        <w:rPr/>
        <w:t>Salivary</w:t>
      </w:r>
      <w:r>
        <w:rPr>
          <w:spacing w:val="-18"/>
        </w:rPr>
        <w:t> </w:t>
      </w:r>
      <w:r>
        <w:rPr/>
        <w:t>IL-6</w:t>
      </w:r>
      <w:r>
        <w:rPr>
          <w:spacing w:val="-16"/>
        </w:rPr>
        <w:t> </w:t>
      </w:r>
      <w:r>
        <w:rPr/>
        <w:t>concentrations</w:t>
      </w:r>
      <w:r>
        <w:rPr>
          <w:spacing w:val="-16"/>
        </w:rPr>
        <w:t> </w:t>
      </w:r>
      <w:r>
        <w:rPr/>
        <w:t>were</w:t>
      </w:r>
      <w:r>
        <w:rPr>
          <w:spacing w:val="-15"/>
        </w:rPr>
        <w:t> </w:t>
      </w:r>
      <w:r>
        <w:rPr/>
        <w:t>higher</w:t>
      </w:r>
      <w:r>
        <w:rPr>
          <w:spacing w:val="-17"/>
        </w:rPr>
        <w:t> </w:t>
      </w:r>
      <w:r>
        <w:rPr/>
        <w:t>in</w:t>
      </w:r>
      <w:r>
        <w:rPr>
          <w:spacing w:val="-15"/>
        </w:rPr>
        <w:t> </w:t>
      </w:r>
      <w:r>
        <w:rPr/>
        <w:t>the</w:t>
      </w:r>
      <w:r>
        <w:rPr>
          <w:spacing w:val="-14"/>
        </w:rPr>
        <w:t> </w:t>
      </w:r>
      <w:r>
        <w:rPr/>
        <w:t>DM2</w:t>
      </w:r>
      <w:r>
        <w:rPr>
          <w:spacing w:val="-14"/>
        </w:rPr>
        <w:t> </w:t>
      </w:r>
      <w:r>
        <w:rPr/>
        <w:t>+</w:t>
      </w:r>
      <w:r>
        <w:rPr>
          <w:spacing w:val="-17"/>
        </w:rPr>
        <w:t> </w:t>
      </w:r>
      <w:r>
        <w:rPr/>
        <w:t>PD</w:t>
      </w:r>
      <w:r>
        <w:rPr>
          <w:spacing w:val="-14"/>
        </w:rPr>
        <w:t> </w:t>
      </w:r>
      <w:r>
        <w:rPr/>
        <w:t>group,</w:t>
      </w:r>
      <w:r>
        <w:rPr>
          <w:spacing w:val="-16"/>
        </w:rPr>
        <w:t> </w:t>
      </w:r>
      <w:r>
        <w:rPr/>
        <w:t>with</w:t>
      </w:r>
      <w:r>
        <w:rPr>
          <w:spacing w:val="-15"/>
        </w:rPr>
        <w:t> </w:t>
      </w:r>
      <w:r>
        <w:rPr/>
        <w:t>obesity, which</w:t>
      </w:r>
      <w:r>
        <w:rPr>
          <w:spacing w:val="-10"/>
        </w:rPr>
        <w:t> </w:t>
      </w:r>
      <w:r>
        <w:rPr/>
        <w:t>shows</w:t>
      </w:r>
      <w:r>
        <w:rPr>
          <w:spacing w:val="-9"/>
        </w:rPr>
        <w:t> </w:t>
      </w:r>
      <w:r>
        <w:rPr/>
        <w:t>the</w:t>
      </w:r>
      <w:r>
        <w:rPr>
          <w:spacing w:val="-10"/>
        </w:rPr>
        <w:t> </w:t>
      </w:r>
      <w:r>
        <w:rPr/>
        <w:t>relationship</w:t>
      </w:r>
      <w:r>
        <w:rPr>
          <w:spacing w:val="-9"/>
        </w:rPr>
        <w:t> </w:t>
      </w:r>
      <w:r>
        <w:rPr/>
        <w:t>between</w:t>
      </w:r>
      <w:r>
        <w:rPr>
          <w:spacing w:val="-10"/>
        </w:rPr>
        <w:t> </w:t>
      </w:r>
      <w:r>
        <w:rPr/>
        <w:t>the</w:t>
      </w:r>
      <w:r>
        <w:rPr>
          <w:spacing w:val="-10"/>
        </w:rPr>
        <w:t> </w:t>
      </w:r>
      <w:r>
        <w:rPr/>
        <w:t>chronic</w:t>
      </w:r>
      <w:r>
        <w:rPr>
          <w:spacing w:val="-11"/>
        </w:rPr>
        <w:t> </w:t>
      </w:r>
      <w:r>
        <w:rPr/>
        <w:t>inflammatory</w:t>
      </w:r>
      <w:r>
        <w:rPr>
          <w:spacing w:val="-14"/>
        </w:rPr>
        <w:t> </w:t>
      </w:r>
      <w:r>
        <w:rPr/>
        <w:t>status</w:t>
      </w:r>
      <w:r>
        <w:rPr>
          <w:spacing w:val="-9"/>
        </w:rPr>
        <w:t> </w:t>
      </w:r>
      <w:r>
        <w:rPr/>
        <w:t>of</w:t>
      </w:r>
      <w:r>
        <w:rPr>
          <w:spacing w:val="-10"/>
        </w:rPr>
        <w:t> </w:t>
      </w:r>
      <w:r>
        <w:rPr/>
        <w:t>patients</w:t>
      </w:r>
      <w:r>
        <w:rPr>
          <w:spacing w:val="-9"/>
        </w:rPr>
        <w:t> </w:t>
      </w:r>
      <w:r>
        <w:rPr/>
        <w:t>with</w:t>
      </w:r>
      <w:r>
        <w:rPr>
          <w:spacing w:val="-9"/>
        </w:rPr>
        <w:t> </w:t>
      </w:r>
      <w:r>
        <w:rPr/>
        <w:t>DM2, PD and obesity. Poor glycemic control of DM2 patients trigger oral</w:t>
      </w:r>
      <w:r>
        <w:rPr>
          <w:spacing w:val="-15"/>
        </w:rPr>
        <w:t> </w:t>
      </w:r>
      <w:r>
        <w:rPr/>
        <w:t>complications.</w:t>
      </w:r>
    </w:p>
    <w:p>
      <w:pPr>
        <w:spacing w:after="0" w:line="360" w:lineRule="auto"/>
        <w:sectPr>
          <w:pgSz w:w="12240" w:h="15840"/>
          <w:pgMar w:header="731" w:footer="0" w:top="960" w:bottom="280" w:left="1600" w:right="1580"/>
        </w:sectPr>
      </w:pPr>
    </w:p>
    <w:p>
      <w:pPr>
        <w:pStyle w:val="BodyText"/>
        <w:rPr>
          <w:sz w:val="20"/>
        </w:rPr>
      </w:pPr>
    </w:p>
    <w:p>
      <w:pPr>
        <w:pStyle w:val="BodyText"/>
        <w:spacing w:line="362" w:lineRule="auto" w:before="209"/>
        <w:ind w:left="102" w:right="106"/>
      </w:pPr>
      <w:r>
        <w:rPr>
          <w:b/>
        </w:rPr>
        <w:t>Key words: </w:t>
      </w:r>
      <w:r>
        <w:rPr/>
        <w:t>Type 2 diabetes mellitus, interleukin-6, periodontal diseases, saliva, body mass index, community periodontal index.</w:t>
      </w:r>
    </w:p>
    <w:p>
      <w:pPr>
        <w:spacing w:after="0" w:line="362" w:lineRule="auto"/>
        <w:sectPr>
          <w:pgSz w:w="12240" w:h="15840"/>
          <w:pgMar w:header="731" w:footer="0" w:top="960" w:bottom="280" w:left="1600" w:right="1580"/>
        </w:sectPr>
      </w:pPr>
    </w:p>
    <w:p>
      <w:pPr>
        <w:pStyle w:val="BodyText"/>
        <w:rPr>
          <w:sz w:val="20"/>
        </w:rPr>
      </w:pPr>
    </w:p>
    <w:p>
      <w:pPr>
        <w:pStyle w:val="Heading1"/>
        <w:numPr>
          <w:ilvl w:val="0"/>
          <w:numId w:val="2"/>
        </w:numPr>
        <w:tabs>
          <w:tab w:pos="383" w:val="left" w:leader="none"/>
        </w:tabs>
        <w:spacing w:line="240" w:lineRule="auto" w:before="213" w:after="0"/>
        <w:ind w:left="382" w:right="0" w:hanging="280"/>
        <w:jc w:val="both"/>
      </w:pPr>
      <w:r>
        <w:rPr/>
        <w:t>Antecedentes</w:t>
      </w:r>
    </w:p>
    <w:p>
      <w:pPr>
        <w:pStyle w:val="BodyText"/>
        <w:rPr>
          <w:b/>
          <w:sz w:val="28"/>
        </w:rPr>
      </w:pPr>
    </w:p>
    <w:p>
      <w:pPr>
        <w:pStyle w:val="BodyText"/>
        <w:spacing w:before="2"/>
        <w:rPr>
          <w:b/>
          <w:sz w:val="22"/>
        </w:rPr>
      </w:pPr>
    </w:p>
    <w:p>
      <w:pPr>
        <w:pStyle w:val="Heading3"/>
        <w:numPr>
          <w:ilvl w:val="1"/>
          <w:numId w:val="2"/>
        </w:numPr>
        <w:tabs>
          <w:tab w:pos="463" w:val="left" w:leader="none"/>
        </w:tabs>
        <w:spacing w:line="240" w:lineRule="auto" w:before="0" w:after="0"/>
        <w:ind w:left="462" w:right="0" w:hanging="360"/>
        <w:jc w:val="both"/>
      </w:pPr>
      <w:r>
        <w:rPr/>
        <w:t>Enfermedad</w:t>
      </w:r>
      <w:r>
        <w:rPr>
          <w:spacing w:val="-8"/>
        </w:rPr>
        <w:t> </w:t>
      </w:r>
      <w:r>
        <w:rPr/>
        <w:t>periodontal.</w:t>
      </w:r>
    </w:p>
    <w:p>
      <w:pPr>
        <w:pStyle w:val="BodyText"/>
        <w:rPr>
          <w:b/>
        </w:rPr>
      </w:pPr>
    </w:p>
    <w:p>
      <w:pPr>
        <w:pStyle w:val="BodyText"/>
        <w:spacing w:before="6"/>
        <w:rPr>
          <w:b/>
          <w:sz w:val="23"/>
        </w:rPr>
      </w:pPr>
    </w:p>
    <w:p>
      <w:pPr>
        <w:pStyle w:val="BodyText"/>
        <w:spacing w:line="360" w:lineRule="auto"/>
        <w:ind w:left="102" w:right="118"/>
        <w:jc w:val="both"/>
      </w:pPr>
      <w:r>
        <w:rPr/>
        <w:t>El periodonto es un órgano que rodea a los dientes temporales o permanentes y se clasifica en periodonto de inserción que corresponde a la encía o tejido gingival y en periodonto de protección conformado por el ligamento periodontal, el cemento radicular y el hueso alveolar. Su función es dar protección y soporte a la estructura dentaria.</w:t>
      </w:r>
    </w:p>
    <w:p>
      <w:pPr>
        <w:pStyle w:val="BodyText"/>
      </w:pPr>
    </w:p>
    <w:p>
      <w:pPr>
        <w:pStyle w:val="BodyText"/>
        <w:spacing w:line="360" w:lineRule="auto" w:before="143"/>
        <w:ind w:left="102" w:right="116"/>
        <w:jc w:val="both"/>
      </w:pPr>
      <w:r>
        <w:rPr/>
        <w:t>La falta de higiene bucal causa la acumulación de placa dentobacteriana en los dientes y da como resultado el inicio de la enfermedad periodontal, conocida como gingivitis (1-4). La enfermedad periodontal es una infección del tejido periodontal ocasionada por la flora bacteriana en la cual influye el estado inmunológico e inflamatorio del paciente. Se caracteriza por la pérdida de tejido conectivo y de hueso alveolar del órgano dentario afectado, sangrado gingival, acúmulo de cálculo dental y finalmente pérdida de los órganos dentarios (1, 5-14).</w:t>
      </w:r>
    </w:p>
    <w:p>
      <w:pPr>
        <w:pStyle w:val="BodyText"/>
      </w:pPr>
    </w:p>
    <w:p>
      <w:pPr>
        <w:pStyle w:val="BodyText"/>
        <w:spacing w:line="360" w:lineRule="auto" w:before="143"/>
        <w:ind w:left="102" w:right="115"/>
        <w:jc w:val="both"/>
      </w:pPr>
      <w:r>
        <w:rPr/>
        <w:t>Los resultados de la Encuesta Nacional de Salud y Nutrición (NHANES por sus siglas en inglés) realizada en los Estados Unidos de Norteamérica en el período de 2009-2010</w:t>
      </w:r>
      <w:r>
        <w:rPr>
          <w:spacing w:val="-15"/>
        </w:rPr>
        <w:t> </w:t>
      </w:r>
      <w:r>
        <w:rPr/>
        <w:t>mostró que la prevalencia total de periodontitis en adultos de 30 años y más es de 47.2% (2). Se ha descrito también una elevada prevalencia de enfermedad periodontal en población México- Americana comparada con la no hispana</w:t>
      </w:r>
      <w:r>
        <w:rPr>
          <w:spacing w:val="-7"/>
        </w:rPr>
        <w:t> </w:t>
      </w:r>
      <w:r>
        <w:rPr/>
        <w:t>(15).</w:t>
      </w:r>
    </w:p>
    <w:p>
      <w:pPr>
        <w:pStyle w:val="BodyText"/>
      </w:pPr>
    </w:p>
    <w:p>
      <w:pPr>
        <w:pStyle w:val="BodyText"/>
        <w:spacing w:line="360" w:lineRule="auto" w:before="143"/>
        <w:ind w:left="102" w:right="117"/>
        <w:jc w:val="both"/>
      </w:pPr>
      <w:r>
        <w:rPr/>
        <w:t>Según</w:t>
      </w:r>
      <w:r>
        <w:rPr>
          <w:spacing w:val="-7"/>
        </w:rPr>
        <w:t> </w:t>
      </w:r>
      <w:r>
        <w:rPr/>
        <w:t>datos</w:t>
      </w:r>
      <w:r>
        <w:rPr>
          <w:spacing w:val="-7"/>
        </w:rPr>
        <w:t> </w:t>
      </w:r>
      <w:r>
        <w:rPr/>
        <w:t>presentados</w:t>
      </w:r>
      <w:r>
        <w:rPr>
          <w:spacing w:val="-5"/>
        </w:rPr>
        <w:t> </w:t>
      </w:r>
      <w:r>
        <w:rPr/>
        <w:t>por</w:t>
      </w:r>
      <w:r>
        <w:rPr>
          <w:spacing w:val="-8"/>
        </w:rPr>
        <w:t> </w:t>
      </w:r>
      <w:r>
        <w:rPr/>
        <w:t>el</w:t>
      </w:r>
      <w:r>
        <w:rPr>
          <w:spacing w:val="-7"/>
        </w:rPr>
        <w:t> </w:t>
      </w:r>
      <w:r>
        <w:rPr/>
        <w:t>Sistema</w:t>
      </w:r>
      <w:r>
        <w:rPr>
          <w:spacing w:val="-8"/>
        </w:rPr>
        <w:t> </w:t>
      </w:r>
      <w:r>
        <w:rPr/>
        <w:t>de</w:t>
      </w:r>
      <w:r>
        <w:rPr>
          <w:spacing w:val="-6"/>
        </w:rPr>
        <w:t> </w:t>
      </w:r>
      <w:r>
        <w:rPr/>
        <w:t>Vigilancia</w:t>
      </w:r>
      <w:r>
        <w:rPr>
          <w:spacing w:val="-8"/>
        </w:rPr>
        <w:t> </w:t>
      </w:r>
      <w:r>
        <w:rPr/>
        <w:t>Epidemiológica</w:t>
      </w:r>
      <w:r>
        <w:rPr>
          <w:spacing w:val="-8"/>
        </w:rPr>
        <w:t> </w:t>
      </w:r>
      <w:r>
        <w:rPr/>
        <w:t>de</w:t>
      </w:r>
      <w:r>
        <w:rPr>
          <w:spacing w:val="-8"/>
        </w:rPr>
        <w:t> </w:t>
      </w:r>
      <w:r>
        <w:rPr/>
        <w:t>Patologías</w:t>
      </w:r>
      <w:r>
        <w:rPr>
          <w:spacing w:val="-5"/>
        </w:rPr>
        <w:t> </w:t>
      </w:r>
      <w:r>
        <w:rPr/>
        <w:t>Bucales (SIVEPAB) de México, en 2010 se evaluó el Índice Periodóntico Comunitario (IPC) de 55,091 pacientes que acudieron por primera vez a los servicios de salud, aunque para la evaluación periodontal no se contaba con la sonda periodontal recomendada por la OMS, siendo</w:t>
      </w:r>
      <w:r>
        <w:rPr>
          <w:spacing w:val="-4"/>
        </w:rPr>
        <w:t> </w:t>
      </w:r>
      <w:r>
        <w:rPr/>
        <w:t>este</w:t>
      </w:r>
      <w:r>
        <w:rPr>
          <w:spacing w:val="-4"/>
        </w:rPr>
        <w:t> </w:t>
      </w:r>
      <w:r>
        <w:rPr/>
        <w:t>un</w:t>
      </w:r>
      <w:r>
        <w:rPr>
          <w:spacing w:val="-4"/>
        </w:rPr>
        <w:t> </w:t>
      </w:r>
      <w:r>
        <w:rPr/>
        <w:t>instrumento</w:t>
      </w:r>
      <w:r>
        <w:rPr>
          <w:spacing w:val="-4"/>
        </w:rPr>
        <w:t> </w:t>
      </w:r>
      <w:r>
        <w:rPr/>
        <w:t>indispensable</w:t>
      </w:r>
      <w:r>
        <w:rPr>
          <w:spacing w:val="-3"/>
        </w:rPr>
        <w:t> </w:t>
      </w:r>
      <w:r>
        <w:rPr/>
        <w:t>para</w:t>
      </w:r>
      <w:r>
        <w:rPr>
          <w:spacing w:val="-5"/>
        </w:rPr>
        <w:t> </w:t>
      </w:r>
      <w:r>
        <w:rPr/>
        <w:t>identificar</w:t>
      </w:r>
      <w:r>
        <w:rPr>
          <w:spacing w:val="-5"/>
        </w:rPr>
        <w:t> </w:t>
      </w:r>
      <w:r>
        <w:rPr/>
        <w:t>la</w:t>
      </w:r>
      <w:r>
        <w:rPr>
          <w:spacing w:val="-1"/>
        </w:rPr>
        <w:t> </w:t>
      </w:r>
      <w:r>
        <w:rPr/>
        <w:t>afectación</w:t>
      </w:r>
      <w:r>
        <w:rPr>
          <w:spacing w:val="-3"/>
        </w:rPr>
        <w:t> </w:t>
      </w:r>
      <w:r>
        <w:rPr/>
        <w:t>del</w:t>
      </w:r>
      <w:r>
        <w:rPr>
          <w:spacing w:val="-3"/>
        </w:rPr>
        <w:t> </w:t>
      </w:r>
      <w:r>
        <w:rPr/>
        <w:t>tejido</w:t>
      </w:r>
      <w:r>
        <w:rPr>
          <w:spacing w:val="-4"/>
        </w:rPr>
        <w:t> </w:t>
      </w:r>
      <w:r>
        <w:rPr/>
        <w:t>gingival;</w:t>
      </w:r>
      <w:r>
        <w:rPr>
          <w:spacing w:val="-3"/>
        </w:rPr>
        <w:t> </w:t>
      </w:r>
      <w:r>
        <w:rPr/>
        <w:t>se realizaron definiciones operacionales para obtener mayor información sobre el estado periodontal de la población. La prevalencia de gingivitis se determinó al examen clínico, si presentaban inflamación en las encías, edema, sangrado y cambios en el contorno </w:t>
      </w:r>
      <w:r>
        <w:rPr>
          <w:spacing w:val="12"/>
        </w:rPr>
        <w:t> </w:t>
      </w:r>
      <w:r>
        <w:rPr/>
        <w:t>gingival;</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5"/>
        <w:jc w:val="both"/>
      </w:pPr>
      <w:r>
        <w:rPr/>
        <w:t>la prevalencia de periodontitis, fue determinada si presentaban inflamación en las encías, edema, sangrado, cambios en el contorno gingival, movilidad dentaria, pérdida del tejido de inserción o de hueso, la existencia de bolsas periodontales mayores o iguales a 4 mm de profundidad. El 63.6% de los pacientes tuvieron algún signo de enfermedad periodontal, un poco más de la quinta parte (22.5%) tenía gingivitis (detectada a través del sangrado al sondeo), en el 7.4% se observaron signos de enfermedad periodontal leve (bolsas periodontales superficiales) y 1.7% tuvieron signos de enfermedad periodontal avanzada (bolsas periodontales profundas) (16).</w:t>
      </w:r>
    </w:p>
    <w:p>
      <w:pPr>
        <w:pStyle w:val="BodyText"/>
      </w:pPr>
    </w:p>
    <w:p>
      <w:pPr>
        <w:pStyle w:val="Heading3"/>
        <w:numPr>
          <w:ilvl w:val="2"/>
          <w:numId w:val="2"/>
        </w:numPr>
        <w:tabs>
          <w:tab w:pos="643" w:val="left" w:leader="none"/>
        </w:tabs>
        <w:spacing w:line="240" w:lineRule="auto" w:before="148" w:after="0"/>
        <w:ind w:left="642" w:right="0" w:hanging="540"/>
        <w:jc w:val="both"/>
      </w:pPr>
      <w:r>
        <w:rPr/>
        <w:t>Factores de</w:t>
      </w:r>
      <w:r>
        <w:rPr>
          <w:spacing w:val="-6"/>
        </w:rPr>
        <w:t> </w:t>
      </w:r>
      <w:r>
        <w:rPr/>
        <w:t>riesgo.</w:t>
      </w:r>
    </w:p>
    <w:p>
      <w:pPr>
        <w:pStyle w:val="BodyText"/>
        <w:rPr>
          <w:b/>
        </w:rPr>
      </w:pPr>
    </w:p>
    <w:p>
      <w:pPr>
        <w:pStyle w:val="BodyText"/>
        <w:spacing w:before="6"/>
        <w:rPr>
          <w:b/>
          <w:sz w:val="23"/>
        </w:rPr>
      </w:pPr>
    </w:p>
    <w:p>
      <w:pPr>
        <w:pStyle w:val="BodyText"/>
        <w:spacing w:line="360" w:lineRule="auto"/>
        <w:ind w:left="102" w:right="115"/>
        <w:jc w:val="both"/>
      </w:pPr>
      <w:r>
        <w:rPr/>
        <w:t>Los conceptos sobre la etiología de la enfermedad periodontal han evolucionado. Anteriormente</w:t>
      </w:r>
      <w:r>
        <w:rPr>
          <w:spacing w:val="-5"/>
        </w:rPr>
        <w:t> </w:t>
      </w:r>
      <w:r>
        <w:rPr/>
        <w:t>las</w:t>
      </w:r>
      <w:r>
        <w:rPr>
          <w:spacing w:val="-7"/>
        </w:rPr>
        <w:t> </w:t>
      </w:r>
      <w:r>
        <w:rPr/>
        <w:t>bacterias</w:t>
      </w:r>
      <w:r>
        <w:rPr>
          <w:spacing w:val="-6"/>
        </w:rPr>
        <w:t> </w:t>
      </w:r>
      <w:r>
        <w:rPr/>
        <w:t>eran</w:t>
      </w:r>
      <w:r>
        <w:rPr>
          <w:spacing w:val="-4"/>
        </w:rPr>
        <w:t> </w:t>
      </w:r>
      <w:r>
        <w:rPr/>
        <w:t>consideradas</w:t>
      </w:r>
      <w:r>
        <w:rPr>
          <w:spacing w:val="-4"/>
        </w:rPr>
        <w:t> </w:t>
      </w:r>
      <w:r>
        <w:rPr/>
        <w:t>como</w:t>
      </w:r>
      <w:r>
        <w:rPr>
          <w:spacing w:val="-6"/>
        </w:rPr>
        <w:t> </w:t>
      </w:r>
      <w:r>
        <w:rPr/>
        <w:t>el</w:t>
      </w:r>
      <w:r>
        <w:rPr>
          <w:spacing w:val="-6"/>
        </w:rPr>
        <w:t> </w:t>
      </w:r>
      <w:r>
        <w:rPr/>
        <w:t>único</w:t>
      </w:r>
      <w:r>
        <w:rPr>
          <w:spacing w:val="-5"/>
        </w:rPr>
        <w:t> </w:t>
      </w:r>
      <w:r>
        <w:rPr/>
        <w:t>factor</w:t>
      </w:r>
      <w:r>
        <w:rPr>
          <w:spacing w:val="-7"/>
        </w:rPr>
        <w:t> </w:t>
      </w:r>
      <w:r>
        <w:rPr/>
        <w:t>determinante</w:t>
      </w:r>
      <w:r>
        <w:rPr>
          <w:spacing w:val="-7"/>
        </w:rPr>
        <w:t> </w:t>
      </w:r>
      <w:r>
        <w:rPr/>
        <w:t>de</w:t>
      </w:r>
      <w:r>
        <w:rPr>
          <w:spacing w:val="-5"/>
        </w:rPr>
        <w:t> </w:t>
      </w:r>
      <w:r>
        <w:rPr/>
        <w:t>esta,</w:t>
      </w:r>
      <w:r>
        <w:rPr>
          <w:spacing w:val="-4"/>
        </w:rPr>
        <w:t> </w:t>
      </w:r>
      <w:r>
        <w:rPr/>
        <w:t>sin embargo en la actualidad se considera que ciertos criterios influyen en el desarrollo de la enfermedad. Hay diversos factores del huésped que son determinantes para la evolución de la periodontitis, además de un gran número de factores de riesgo que influyen en mayor o menor</w:t>
      </w:r>
      <w:r>
        <w:rPr>
          <w:spacing w:val="-15"/>
        </w:rPr>
        <w:t> </w:t>
      </w:r>
      <w:r>
        <w:rPr/>
        <w:t>medida</w:t>
      </w:r>
      <w:r>
        <w:rPr>
          <w:spacing w:val="-12"/>
        </w:rPr>
        <w:t> </w:t>
      </w:r>
      <w:r>
        <w:rPr/>
        <w:t>en</w:t>
      </w:r>
      <w:r>
        <w:rPr>
          <w:spacing w:val="-13"/>
        </w:rPr>
        <w:t> </w:t>
      </w:r>
      <w:r>
        <w:rPr/>
        <w:t>la</w:t>
      </w:r>
      <w:r>
        <w:rPr>
          <w:spacing w:val="-12"/>
        </w:rPr>
        <w:t> </w:t>
      </w:r>
      <w:r>
        <w:rPr/>
        <w:t>aparición</w:t>
      </w:r>
      <w:r>
        <w:rPr>
          <w:spacing w:val="-11"/>
        </w:rPr>
        <w:t> </w:t>
      </w:r>
      <w:r>
        <w:rPr/>
        <w:t>y</w:t>
      </w:r>
      <w:r>
        <w:rPr>
          <w:spacing w:val="-16"/>
        </w:rPr>
        <w:t> </w:t>
      </w:r>
      <w:r>
        <w:rPr/>
        <w:t>evolución</w:t>
      </w:r>
      <w:r>
        <w:rPr>
          <w:spacing w:val="-13"/>
        </w:rPr>
        <w:t> </w:t>
      </w:r>
      <w:r>
        <w:rPr/>
        <w:t>de</w:t>
      </w:r>
      <w:r>
        <w:rPr>
          <w:spacing w:val="-14"/>
        </w:rPr>
        <w:t> </w:t>
      </w:r>
      <w:r>
        <w:rPr/>
        <w:t>la</w:t>
      </w:r>
      <w:r>
        <w:rPr>
          <w:spacing w:val="-14"/>
        </w:rPr>
        <w:t> </w:t>
      </w:r>
      <w:r>
        <w:rPr/>
        <w:t>periodontitis</w:t>
      </w:r>
      <w:r>
        <w:rPr>
          <w:spacing w:val="-13"/>
        </w:rPr>
        <w:t> </w:t>
      </w:r>
      <w:r>
        <w:rPr/>
        <w:t>(10).</w:t>
      </w:r>
      <w:r>
        <w:rPr>
          <w:spacing w:val="-13"/>
        </w:rPr>
        <w:t> </w:t>
      </w:r>
      <w:r>
        <w:rPr/>
        <w:t>En</w:t>
      </w:r>
      <w:r>
        <w:rPr>
          <w:spacing w:val="-14"/>
        </w:rPr>
        <w:t> </w:t>
      </w:r>
      <w:r>
        <w:rPr/>
        <w:t>este</w:t>
      </w:r>
      <w:r>
        <w:rPr>
          <w:spacing w:val="-14"/>
        </w:rPr>
        <w:t> </w:t>
      </w:r>
      <w:r>
        <w:rPr/>
        <w:t>contexto</w:t>
      </w:r>
      <w:r>
        <w:rPr>
          <w:spacing w:val="-10"/>
        </w:rPr>
        <w:t> </w:t>
      </w:r>
      <w:r>
        <w:rPr/>
        <w:t>es</w:t>
      </w:r>
      <w:r>
        <w:rPr>
          <w:spacing w:val="-13"/>
        </w:rPr>
        <w:t> </w:t>
      </w:r>
      <w:r>
        <w:rPr/>
        <w:t>posible diferenciar hasta cierto punto entre factores de riesgo generales (sistémicos) y locales</w:t>
      </w:r>
      <w:r>
        <w:rPr>
          <w:spacing w:val="-20"/>
        </w:rPr>
        <w:t> </w:t>
      </w:r>
      <w:r>
        <w:rPr/>
        <w:t>(1):</w:t>
      </w:r>
    </w:p>
    <w:p>
      <w:pPr>
        <w:pStyle w:val="BodyText"/>
      </w:pPr>
    </w:p>
    <w:p>
      <w:pPr>
        <w:pStyle w:val="Heading3"/>
        <w:numPr>
          <w:ilvl w:val="3"/>
          <w:numId w:val="2"/>
        </w:numPr>
        <w:tabs>
          <w:tab w:pos="822" w:val="left" w:leader="none"/>
        </w:tabs>
        <w:spacing w:line="240" w:lineRule="auto" w:before="148" w:after="0"/>
        <w:ind w:left="822" w:right="0" w:hanging="360"/>
        <w:jc w:val="left"/>
      </w:pPr>
      <w:r>
        <w:rPr/>
        <w:t>Sistémicos</w:t>
      </w:r>
    </w:p>
    <w:p>
      <w:pPr>
        <w:pStyle w:val="ListParagraph"/>
        <w:numPr>
          <w:ilvl w:val="0"/>
          <w:numId w:val="3"/>
        </w:numPr>
        <w:tabs>
          <w:tab w:pos="821" w:val="left" w:leader="none"/>
          <w:tab w:pos="822" w:val="left" w:leader="none"/>
        </w:tabs>
        <w:spacing w:line="240" w:lineRule="auto" w:before="132" w:after="0"/>
        <w:ind w:left="822" w:right="0" w:hanging="360"/>
        <w:jc w:val="left"/>
        <w:rPr>
          <w:sz w:val="24"/>
        </w:rPr>
      </w:pPr>
      <w:r>
        <w:rPr>
          <w:sz w:val="24"/>
        </w:rPr>
        <w:t>Diabetes</w:t>
      </w:r>
      <w:r>
        <w:rPr>
          <w:spacing w:val="-4"/>
          <w:sz w:val="24"/>
        </w:rPr>
        <w:t> </w:t>
      </w:r>
      <w:r>
        <w:rPr>
          <w:sz w:val="24"/>
        </w:rPr>
        <w:t>mellitus</w:t>
      </w:r>
    </w:p>
    <w:p>
      <w:pPr>
        <w:pStyle w:val="ListParagraph"/>
        <w:numPr>
          <w:ilvl w:val="0"/>
          <w:numId w:val="3"/>
        </w:numPr>
        <w:tabs>
          <w:tab w:pos="821" w:val="left" w:leader="none"/>
          <w:tab w:pos="822" w:val="left" w:leader="none"/>
        </w:tabs>
        <w:spacing w:line="240" w:lineRule="auto" w:before="139" w:after="0"/>
        <w:ind w:left="822" w:right="0" w:hanging="360"/>
        <w:jc w:val="left"/>
        <w:rPr>
          <w:sz w:val="24"/>
        </w:rPr>
      </w:pPr>
      <w:r>
        <w:rPr>
          <w:sz w:val="24"/>
        </w:rPr>
        <w:t>Complicaciones</w:t>
      </w:r>
      <w:r>
        <w:rPr>
          <w:spacing w:val="-6"/>
          <w:sz w:val="24"/>
        </w:rPr>
        <w:t> </w:t>
      </w:r>
      <w:r>
        <w:rPr>
          <w:sz w:val="24"/>
        </w:rPr>
        <w:t>hormonales</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Alergias</w:t>
      </w:r>
    </w:p>
    <w:p>
      <w:pPr>
        <w:pStyle w:val="ListParagraph"/>
        <w:numPr>
          <w:ilvl w:val="0"/>
          <w:numId w:val="3"/>
        </w:numPr>
        <w:tabs>
          <w:tab w:pos="821" w:val="left" w:leader="none"/>
          <w:tab w:pos="822" w:val="left" w:leader="none"/>
        </w:tabs>
        <w:spacing w:line="240" w:lineRule="auto" w:before="139" w:after="0"/>
        <w:ind w:left="822" w:right="0" w:hanging="360"/>
        <w:jc w:val="left"/>
        <w:rPr>
          <w:sz w:val="24"/>
        </w:rPr>
      </w:pPr>
      <w:r>
        <w:rPr>
          <w:sz w:val="24"/>
        </w:rPr>
        <w:t>Desnutrición</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Síndromes de origen</w:t>
      </w:r>
      <w:r>
        <w:rPr>
          <w:spacing w:val="-8"/>
          <w:sz w:val="24"/>
        </w:rPr>
        <w:t> </w:t>
      </w:r>
      <w:r>
        <w:rPr>
          <w:sz w:val="24"/>
        </w:rPr>
        <w:t>genético</w:t>
      </w:r>
    </w:p>
    <w:p>
      <w:pPr>
        <w:pStyle w:val="ListParagraph"/>
        <w:numPr>
          <w:ilvl w:val="0"/>
          <w:numId w:val="3"/>
        </w:numPr>
        <w:tabs>
          <w:tab w:pos="821" w:val="left" w:leader="none"/>
          <w:tab w:pos="822" w:val="left" w:leader="none"/>
        </w:tabs>
        <w:spacing w:line="240" w:lineRule="auto" w:before="140" w:after="0"/>
        <w:ind w:left="822" w:right="0" w:hanging="360"/>
        <w:jc w:val="left"/>
        <w:rPr>
          <w:sz w:val="24"/>
        </w:rPr>
      </w:pPr>
      <w:r>
        <w:rPr>
          <w:sz w:val="24"/>
        </w:rPr>
        <w:t>Infección por</w:t>
      </w:r>
      <w:r>
        <w:rPr>
          <w:spacing w:val="-9"/>
          <w:sz w:val="24"/>
        </w:rPr>
        <w:t> </w:t>
      </w:r>
      <w:r>
        <w:rPr>
          <w:sz w:val="24"/>
        </w:rPr>
        <w:t>VIH</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Enfermedades</w:t>
      </w:r>
      <w:r>
        <w:rPr>
          <w:spacing w:val="-5"/>
          <w:sz w:val="24"/>
        </w:rPr>
        <w:t> </w:t>
      </w:r>
      <w:r>
        <w:rPr>
          <w:sz w:val="24"/>
        </w:rPr>
        <w:t>hematológicas</w:t>
      </w:r>
    </w:p>
    <w:p>
      <w:pPr>
        <w:pStyle w:val="ListParagraph"/>
        <w:numPr>
          <w:ilvl w:val="0"/>
          <w:numId w:val="3"/>
        </w:numPr>
        <w:tabs>
          <w:tab w:pos="821" w:val="left" w:leader="none"/>
          <w:tab w:pos="822" w:val="left" w:leader="none"/>
        </w:tabs>
        <w:spacing w:line="240" w:lineRule="auto" w:before="139" w:after="0"/>
        <w:ind w:left="822" w:right="0" w:hanging="360"/>
        <w:jc w:val="left"/>
        <w:rPr>
          <w:sz w:val="24"/>
        </w:rPr>
      </w:pPr>
      <w:r>
        <w:rPr>
          <w:sz w:val="24"/>
        </w:rPr>
        <w:t>Enfermedades crónicas (cardiopatía, enfermedad</w:t>
      </w:r>
      <w:r>
        <w:rPr>
          <w:spacing w:val="-12"/>
          <w:sz w:val="24"/>
        </w:rPr>
        <w:t> </w:t>
      </w:r>
      <w:r>
        <w:rPr>
          <w:sz w:val="24"/>
        </w:rPr>
        <w:t>pulmonar)</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Tabaquismo</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Estrés</w:t>
      </w:r>
    </w:p>
    <w:p>
      <w:pPr>
        <w:pStyle w:val="ListParagraph"/>
        <w:numPr>
          <w:ilvl w:val="0"/>
          <w:numId w:val="3"/>
        </w:numPr>
        <w:tabs>
          <w:tab w:pos="821" w:val="left" w:leader="none"/>
          <w:tab w:pos="822" w:val="left" w:leader="none"/>
        </w:tabs>
        <w:spacing w:line="240" w:lineRule="auto" w:before="139" w:after="0"/>
        <w:ind w:left="822" w:right="0" w:hanging="360"/>
        <w:jc w:val="left"/>
        <w:rPr>
          <w:sz w:val="24"/>
        </w:rPr>
      </w:pPr>
      <w:r>
        <w:rPr>
          <w:sz w:val="24"/>
        </w:rPr>
        <w:t>Medicamentos</w:t>
      </w:r>
    </w:p>
    <w:p>
      <w:pPr>
        <w:spacing w:after="0" w:line="240" w:lineRule="auto"/>
        <w:jc w:val="left"/>
        <w:rPr>
          <w:sz w:val="24"/>
        </w:rPr>
        <w:sectPr>
          <w:pgSz w:w="12240" w:h="15840"/>
          <w:pgMar w:header="731" w:footer="0" w:top="960" w:bottom="280" w:left="1600" w:right="1580"/>
        </w:sectPr>
      </w:pPr>
    </w:p>
    <w:p>
      <w:pPr>
        <w:pStyle w:val="BodyText"/>
        <w:rPr>
          <w:sz w:val="20"/>
        </w:rPr>
      </w:pPr>
    </w:p>
    <w:p>
      <w:pPr>
        <w:pStyle w:val="Heading3"/>
        <w:numPr>
          <w:ilvl w:val="3"/>
          <w:numId w:val="2"/>
        </w:numPr>
        <w:tabs>
          <w:tab w:pos="822" w:val="left" w:leader="none"/>
        </w:tabs>
        <w:spacing w:line="240" w:lineRule="auto" w:before="214" w:after="0"/>
        <w:ind w:left="822" w:right="0" w:hanging="360"/>
        <w:jc w:val="left"/>
      </w:pPr>
      <w:r>
        <w:rPr/>
        <w:t>Locales</w:t>
      </w:r>
    </w:p>
    <w:p>
      <w:pPr>
        <w:pStyle w:val="ListParagraph"/>
        <w:numPr>
          <w:ilvl w:val="0"/>
          <w:numId w:val="3"/>
        </w:numPr>
        <w:tabs>
          <w:tab w:pos="821" w:val="left" w:leader="none"/>
          <w:tab w:pos="822" w:val="left" w:leader="none"/>
        </w:tabs>
        <w:spacing w:line="240" w:lineRule="auto" w:before="135" w:after="0"/>
        <w:ind w:left="822" w:right="0" w:hanging="360"/>
        <w:jc w:val="left"/>
        <w:rPr>
          <w:sz w:val="24"/>
        </w:rPr>
      </w:pPr>
      <w:r>
        <w:rPr>
          <w:sz w:val="24"/>
        </w:rPr>
        <w:t>Placa</w:t>
      </w:r>
      <w:r>
        <w:rPr>
          <w:spacing w:val="-5"/>
          <w:sz w:val="24"/>
        </w:rPr>
        <w:t> </w:t>
      </w:r>
      <w:r>
        <w:rPr>
          <w:sz w:val="24"/>
        </w:rPr>
        <w:t>dentobacteriana</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Sarro</w:t>
      </w:r>
    </w:p>
    <w:p>
      <w:pPr>
        <w:pStyle w:val="ListParagraph"/>
        <w:numPr>
          <w:ilvl w:val="0"/>
          <w:numId w:val="3"/>
        </w:numPr>
        <w:tabs>
          <w:tab w:pos="821" w:val="left" w:leader="none"/>
          <w:tab w:pos="822" w:val="left" w:leader="none"/>
        </w:tabs>
        <w:spacing w:line="240" w:lineRule="auto" w:before="139" w:after="0"/>
        <w:ind w:left="822" w:right="0" w:hanging="360"/>
        <w:jc w:val="left"/>
        <w:rPr>
          <w:sz w:val="24"/>
        </w:rPr>
      </w:pPr>
      <w:r>
        <w:rPr>
          <w:sz w:val="24"/>
        </w:rPr>
        <w:t>Malposición</w:t>
      </w:r>
      <w:r>
        <w:rPr>
          <w:spacing w:val="-5"/>
          <w:sz w:val="24"/>
        </w:rPr>
        <w:t> </w:t>
      </w:r>
      <w:r>
        <w:rPr>
          <w:sz w:val="24"/>
        </w:rPr>
        <w:t>dentaria</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Obturaciones mal</w:t>
      </w:r>
      <w:r>
        <w:rPr>
          <w:spacing w:val="-5"/>
          <w:sz w:val="24"/>
        </w:rPr>
        <w:t> </w:t>
      </w:r>
      <w:r>
        <w:rPr>
          <w:sz w:val="24"/>
        </w:rPr>
        <w:t>adaptadas</w:t>
      </w:r>
    </w:p>
    <w:p>
      <w:pPr>
        <w:pStyle w:val="ListParagraph"/>
        <w:numPr>
          <w:ilvl w:val="0"/>
          <w:numId w:val="3"/>
        </w:numPr>
        <w:tabs>
          <w:tab w:pos="821" w:val="left" w:leader="none"/>
          <w:tab w:pos="822" w:val="left" w:leader="none"/>
        </w:tabs>
        <w:spacing w:line="240" w:lineRule="auto" w:before="139" w:after="0"/>
        <w:ind w:left="822" w:right="0" w:hanging="360"/>
        <w:jc w:val="left"/>
        <w:rPr>
          <w:sz w:val="24"/>
        </w:rPr>
      </w:pPr>
      <w:r>
        <w:rPr>
          <w:sz w:val="24"/>
        </w:rPr>
        <w:t>Deficiencia y composición de la</w:t>
      </w:r>
      <w:r>
        <w:rPr>
          <w:spacing w:val="-8"/>
          <w:sz w:val="24"/>
        </w:rPr>
        <w:t> </w:t>
      </w:r>
      <w:r>
        <w:rPr>
          <w:sz w:val="24"/>
        </w:rPr>
        <w:t>saliva</w:t>
      </w:r>
    </w:p>
    <w:p>
      <w:pPr>
        <w:pStyle w:val="ListParagraph"/>
        <w:numPr>
          <w:ilvl w:val="0"/>
          <w:numId w:val="3"/>
        </w:numPr>
        <w:tabs>
          <w:tab w:pos="821" w:val="left" w:leader="none"/>
          <w:tab w:pos="822" w:val="left" w:leader="none"/>
        </w:tabs>
        <w:spacing w:line="240" w:lineRule="auto" w:before="137" w:after="0"/>
        <w:ind w:left="822" w:right="0" w:hanging="360"/>
        <w:jc w:val="left"/>
        <w:rPr>
          <w:sz w:val="24"/>
        </w:rPr>
      </w:pPr>
      <w:r>
        <w:rPr>
          <w:sz w:val="24"/>
        </w:rPr>
        <w:t>Respiración</w:t>
      </w:r>
      <w:r>
        <w:rPr>
          <w:spacing w:val="-6"/>
          <w:sz w:val="24"/>
        </w:rPr>
        <w:t> </w:t>
      </w:r>
      <w:r>
        <w:rPr>
          <w:sz w:val="24"/>
        </w:rPr>
        <w:t>bucal</w:t>
      </w:r>
    </w:p>
    <w:p>
      <w:pPr>
        <w:pStyle w:val="BodyText"/>
      </w:pPr>
    </w:p>
    <w:p>
      <w:pPr>
        <w:pStyle w:val="BodyText"/>
        <w:spacing w:before="4"/>
      </w:pPr>
    </w:p>
    <w:p>
      <w:pPr>
        <w:pStyle w:val="Heading3"/>
        <w:numPr>
          <w:ilvl w:val="2"/>
          <w:numId w:val="2"/>
        </w:numPr>
        <w:tabs>
          <w:tab w:pos="822" w:val="left" w:leader="none"/>
        </w:tabs>
        <w:spacing w:line="240" w:lineRule="auto" w:before="1" w:after="0"/>
        <w:ind w:left="822" w:right="0" w:hanging="720"/>
        <w:jc w:val="both"/>
      </w:pPr>
      <w:r>
        <w:rPr/>
        <w:t>Fisiopatología</w:t>
      </w:r>
    </w:p>
    <w:p>
      <w:pPr>
        <w:pStyle w:val="BodyText"/>
        <w:rPr>
          <w:b/>
        </w:rPr>
      </w:pPr>
    </w:p>
    <w:p>
      <w:pPr>
        <w:pStyle w:val="BodyText"/>
        <w:spacing w:before="7"/>
        <w:rPr>
          <w:b/>
          <w:sz w:val="23"/>
        </w:rPr>
      </w:pPr>
    </w:p>
    <w:p>
      <w:pPr>
        <w:pStyle w:val="BodyText"/>
        <w:spacing w:line="360" w:lineRule="auto"/>
        <w:ind w:left="102" w:right="117"/>
        <w:jc w:val="both"/>
      </w:pPr>
      <w:r>
        <w:rPr/>
        <w:t>El</w:t>
      </w:r>
      <w:r>
        <w:rPr>
          <w:spacing w:val="-6"/>
        </w:rPr>
        <w:t> </w:t>
      </w:r>
      <w:r>
        <w:rPr/>
        <w:t>desarrollo</w:t>
      </w:r>
      <w:r>
        <w:rPr>
          <w:spacing w:val="-6"/>
        </w:rPr>
        <w:t> </w:t>
      </w:r>
      <w:r>
        <w:rPr/>
        <w:t>de</w:t>
      </w:r>
      <w:r>
        <w:rPr>
          <w:spacing w:val="-7"/>
        </w:rPr>
        <w:t> </w:t>
      </w:r>
      <w:r>
        <w:rPr/>
        <w:t>las</w:t>
      </w:r>
      <w:r>
        <w:rPr>
          <w:spacing w:val="-4"/>
        </w:rPr>
        <w:t> </w:t>
      </w:r>
      <w:r>
        <w:rPr/>
        <w:t>bacterias</w:t>
      </w:r>
      <w:r>
        <w:rPr>
          <w:spacing w:val="-6"/>
        </w:rPr>
        <w:t> </w:t>
      </w:r>
      <w:r>
        <w:rPr/>
        <w:t>es</w:t>
      </w:r>
      <w:r>
        <w:rPr>
          <w:spacing w:val="-4"/>
        </w:rPr>
        <w:t> </w:t>
      </w:r>
      <w:r>
        <w:rPr/>
        <w:t>el</w:t>
      </w:r>
      <w:r>
        <w:rPr>
          <w:spacing w:val="-6"/>
        </w:rPr>
        <w:t> </w:t>
      </w:r>
      <w:r>
        <w:rPr/>
        <w:t>principal</w:t>
      </w:r>
      <w:r>
        <w:rPr>
          <w:spacing w:val="-6"/>
        </w:rPr>
        <w:t> </w:t>
      </w:r>
      <w:r>
        <w:rPr/>
        <w:t>agente</w:t>
      </w:r>
      <w:r>
        <w:rPr>
          <w:spacing w:val="-5"/>
        </w:rPr>
        <w:t> </w:t>
      </w:r>
      <w:r>
        <w:rPr/>
        <w:t>que</w:t>
      </w:r>
      <w:r>
        <w:rPr>
          <w:spacing w:val="-7"/>
        </w:rPr>
        <w:t> </w:t>
      </w:r>
      <w:r>
        <w:rPr/>
        <w:t>da</w:t>
      </w:r>
      <w:r>
        <w:rPr>
          <w:spacing w:val="-7"/>
        </w:rPr>
        <w:t> </w:t>
      </w:r>
      <w:r>
        <w:rPr/>
        <w:t>inicio</w:t>
      </w:r>
      <w:r>
        <w:rPr>
          <w:spacing w:val="-6"/>
        </w:rPr>
        <w:t> </w:t>
      </w:r>
      <w:r>
        <w:rPr/>
        <w:t>a</w:t>
      </w:r>
      <w:r>
        <w:rPr>
          <w:spacing w:val="-5"/>
        </w:rPr>
        <w:t> </w:t>
      </w:r>
      <w:r>
        <w:rPr/>
        <w:t>la</w:t>
      </w:r>
      <w:r>
        <w:rPr>
          <w:spacing w:val="-4"/>
        </w:rPr>
        <w:t> </w:t>
      </w:r>
      <w:r>
        <w:rPr/>
        <w:t>enfermedad</w:t>
      </w:r>
      <w:r>
        <w:rPr>
          <w:spacing w:val="-6"/>
        </w:rPr>
        <w:t> </w:t>
      </w:r>
      <w:r>
        <w:rPr/>
        <w:t>periodontal (4).</w:t>
      </w:r>
      <w:r>
        <w:rPr>
          <w:spacing w:val="-6"/>
        </w:rPr>
        <w:t> </w:t>
      </w:r>
      <w:r>
        <w:rPr/>
        <w:t>Se</w:t>
      </w:r>
      <w:r>
        <w:rPr>
          <w:spacing w:val="-7"/>
        </w:rPr>
        <w:t> </w:t>
      </w:r>
      <w:r>
        <w:rPr/>
        <w:t>ha</w:t>
      </w:r>
      <w:r>
        <w:rPr>
          <w:spacing w:val="-7"/>
        </w:rPr>
        <w:t> </w:t>
      </w:r>
      <w:r>
        <w:rPr/>
        <w:t>caracterizado</w:t>
      </w:r>
      <w:r>
        <w:rPr>
          <w:spacing w:val="-6"/>
        </w:rPr>
        <w:t> </w:t>
      </w:r>
      <w:r>
        <w:rPr/>
        <w:t>por</w:t>
      </w:r>
      <w:r>
        <w:rPr>
          <w:spacing w:val="-7"/>
        </w:rPr>
        <w:t> </w:t>
      </w:r>
      <w:r>
        <w:rPr/>
        <w:t>condiciones</w:t>
      </w:r>
      <w:r>
        <w:rPr>
          <w:spacing w:val="-4"/>
        </w:rPr>
        <w:t> </w:t>
      </w:r>
      <w:r>
        <w:rPr/>
        <w:t>de</w:t>
      </w:r>
      <w:r>
        <w:rPr>
          <w:spacing w:val="-7"/>
        </w:rPr>
        <w:t> </w:t>
      </w:r>
      <w:r>
        <w:rPr/>
        <w:t>inflamación</w:t>
      </w:r>
      <w:r>
        <w:rPr>
          <w:spacing w:val="-6"/>
        </w:rPr>
        <w:t> </w:t>
      </w:r>
      <w:r>
        <w:rPr/>
        <w:t>e</w:t>
      </w:r>
      <w:r>
        <w:rPr>
          <w:spacing w:val="-5"/>
        </w:rPr>
        <w:t> </w:t>
      </w:r>
      <w:r>
        <w:rPr/>
        <w:t>infección</w:t>
      </w:r>
      <w:r>
        <w:rPr>
          <w:spacing w:val="-6"/>
        </w:rPr>
        <w:t> </w:t>
      </w:r>
      <w:r>
        <w:rPr/>
        <w:t>en</w:t>
      </w:r>
      <w:r>
        <w:rPr>
          <w:spacing w:val="-4"/>
        </w:rPr>
        <w:t> </w:t>
      </w:r>
      <w:r>
        <w:rPr/>
        <w:t>los</w:t>
      </w:r>
      <w:r>
        <w:rPr>
          <w:spacing w:val="-6"/>
        </w:rPr>
        <w:t> </w:t>
      </w:r>
      <w:r>
        <w:rPr/>
        <w:t>cuales</w:t>
      </w:r>
      <w:r>
        <w:rPr>
          <w:spacing w:val="-7"/>
        </w:rPr>
        <w:t> </w:t>
      </w:r>
      <w:r>
        <w:rPr/>
        <w:t>intervienen bacterias</w:t>
      </w:r>
      <w:r>
        <w:rPr>
          <w:spacing w:val="-10"/>
        </w:rPr>
        <w:t> </w:t>
      </w:r>
      <w:r>
        <w:rPr/>
        <w:t>anaerobias</w:t>
      </w:r>
      <w:r>
        <w:rPr>
          <w:spacing w:val="-7"/>
        </w:rPr>
        <w:t> </w:t>
      </w:r>
      <w:r>
        <w:rPr/>
        <w:t>gramm</w:t>
      </w:r>
      <w:r>
        <w:rPr>
          <w:spacing w:val="-11"/>
        </w:rPr>
        <w:t> </w:t>
      </w:r>
      <w:r>
        <w:rPr/>
        <w:t>negativo,</w:t>
      </w:r>
      <w:r>
        <w:rPr>
          <w:spacing w:val="-12"/>
        </w:rPr>
        <w:t> </w:t>
      </w:r>
      <w:r>
        <w:rPr/>
        <w:t>afectando</w:t>
      </w:r>
      <w:r>
        <w:rPr>
          <w:spacing w:val="-10"/>
        </w:rPr>
        <w:t> </w:t>
      </w:r>
      <w:r>
        <w:rPr/>
        <w:t>el</w:t>
      </w:r>
      <w:r>
        <w:rPr>
          <w:spacing w:val="-12"/>
        </w:rPr>
        <w:t> </w:t>
      </w:r>
      <w:r>
        <w:rPr/>
        <w:t>soporte</w:t>
      </w:r>
      <w:r>
        <w:rPr>
          <w:spacing w:val="-13"/>
        </w:rPr>
        <w:t> </w:t>
      </w:r>
      <w:r>
        <w:rPr/>
        <w:t>dentario</w:t>
      </w:r>
      <w:r>
        <w:rPr>
          <w:spacing w:val="-12"/>
        </w:rPr>
        <w:t> </w:t>
      </w:r>
      <w:r>
        <w:rPr/>
        <w:t>(17).</w:t>
      </w:r>
      <w:r>
        <w:rPr>
          <w:spacing w:val="-9"/>
        </w:rPr>
        <w:t> </w:t>
      </w:r>
      <w:r>
        <w:rPr/>
        <w:t>El</w:t>
      </w:r>
      <w:r>
        <w:rPr>
          <w:spacing w:val="-10"/>
        </w:rPr>
        <w:t> </w:t>
      </w:r>
      <w:r>
        <w:rPr/>
        <w:t>papel</w:t>
      </w:r>
      <w:r>
        <w:rPr>
          <w:spacing w:val="40"/>
        </w:rPr>
        <w:t> </w:t>
      </w:r>
      <w:r>
        <w:rPr/>
        <w:t>que</w:t>
      </w:r>
      <w:r>
        <w:rPr>
          <w:spacing w:val="-11"/>
        </w:rPr>
        <w:t> </w:t>
      </w:r>
      <w:r>
        <w:rPr/>
        <w:t>tienen éstas</w:t>
      </w:r>
      <w:r>
        <w:rPr>
          <w:spacing w:val="-13"/>
        </w:rPr>
        <w:t> </w:t>
      </w:r>
      <w:r>
        <w:rPr/>
        <w:t>y</w:t>
      </w:r>
      <w:r>
        <w:rPr>
          <w:spacing w:val="-18"/>
        </w:rPr>
        <w:t> </w:t>
      </w:r>
      <w:r>
        <w:rPr/>
        <w:t>su</w:t>
      </w:r>
      <w:r>
        <w:rPr>
          <w:spacing w:val="-16"/>
        </w:rPr>
        <w:t> </w:t>
      </w:r>
      <w:r>
        <w:rPr/>
        <w:t>interacción</w:t>
      </w:r>
      <w:r>
        <w:rPr>
          <w:spacing w:val="-15"/>
        </w:rPr>
        <w:t> </w:t>
      </w:r>
      <w:r>
        <w:rPr/>
        <w:t>con</w:t>
      </w:r>
      <w:r>
        <w:rPr>
          <w:spacing w:val="-13"/>
        </w:rPr>
        <w:t> </w:t>
      </w:r>
      <w:r>
        <w:rPr/>
        <w:t>la</w:t>
      </w:r>
      <w:r>
        <w:rPr>
          <w:spacing w:val="-16"/>
        </w:rPr>
        <w:t> </w:t>
      </w:r>
      <w:r>
        <w:rPr/>
        <w:t>microflora</w:t>
      </w:r>
      <w:r>
        <w:rPr>
          <w:spacing w:val="-17"/>
        </w:rPr>
        <w:t> </w:t>
      </w:r>
      <w:r>
        <w:rPr/>
        <w:t>bucal</w:t>
      </w:r>
      <w:r>
        <w:rPr>
          <w:spacing w:val="-15"/>
        </w:rPr>
        <w:t> </w:t>
      </w:r>
      <w:r>
        <w:rPr/>
        <w:t>son</w:t>
      </w:r>
      <w:r>
        <w:rPr>
          <w:spacing w:val="-16"/>
        </w:rPr>
        <w:t> </w:t>
      </w:r>
      <w:r>
        <w:rPr/>
        <w:t>determinantes</w:t>
      </w:r>
      <w:r>
        <w:rPr>
          <w:spacing w:val="-16"/>
        </w:rPr>
        <w:t> </w:t>
      </w:r>
      <w:r>
        <w:rPr/>
        <w:t>para</w:t>
      </w:r>
      <w:r>
        <w:rPr>
          <w:spacing w:val="-17"/>
        </w:rPr>
        <w:t> </w:t>
      </w:r>
      <w:r>
        <w:rPr/>
        <w:t>la</w:t>
      </w:r>
      <w:r>
        <w:rPr>
          <w:spacing w:val="-16"/>
        </w:rPr>
        <w:t> </w:t>
      </w:r>
      <w:r>
        <w:rPr/>
        <w:t>degradación</w:t>
      </w:r>
      <w:r>
        <w:rPr>
          <w:spacing w:val="-15"/>
        </w:rPr>
        <w:t> </w:t>
      </w:r>
      <w:r>
        <w:rPr/>
        <w:t>del</w:t>
      </w:r>
      <w:r>
        <w:rPr>
          <w:spacing w:val="-15"/>
        </w:rPr>
        <w:t> </w:t>
      </w:r>
      <w:r>
        <w:rPr/>
        <w:t>tejido gingival, incluyendo la influencia que ejercen en la liberación de mediadores biológicos como proteínas, citocinas y prostaglandinas cuyo objetivo es la defensa del tejido gingival. Se estima que 600 bacterias diferentes son capaces de colonizar la boca humana, cualquier individuo suele albergar de 150 a 200 de estas especies (4,</w:t>
      </w:r>
      <w:r>
        <w:rPr>
          <w:spacing w:val="-10"/>
        </w:rPr>
        <w:t> </w:t>
      </w:r>
      <w:r>
        <w:rPr/>
        <w:t>6).</w:t>
      </w:r>
    </w:p>
    <w:p>
      <w:pPr>
        <w:pStyle w:val="BodyText"/>
      </w:pPr>
    </w:p>
    <w:p>
      <w:pPr>
        <w:pStyle w:val="BodyText"/>
        <w:spacing w:line="360" w:lineRule="auto" w:before="143"/>
        <w:ind w:left="102" w:right="119"/>
        <w:jc w:val="both"/>
      </w:pPr>
      <w:r>
        <w:rPr/>
        <w:t>Los factores de virulencia inherentes a estas especies patógenas permiten que las bacterias colonicen en la superficie de los dientes y el surco gingival, el daño que causan al tejido periodontal por la producción de sustancias potentes desencadena la respuesta inflamatoria del huésped (9-11).</w:t>
      </w:r>
    </w:p>
    <w:p>
      <w:pPr>
        <w:pStyle w:val="BodyText"/>
      </w:pPr>
    </w:p>
    <w:p>
      <w:pPr>
        <w:pStyle w:val="BodyText"/>
        <w:spacing w:line="360" w:lineRule="auto" w:before="143"/>
        <w:ind w:left="102" w:right="117"/>
        <w:jc w:val="both"/>
      </w:pPr>
      <w:r>
        <w:rPr/>
        <w:t>Otra clase de moléculas que afecta al tejido periodontal son las enzimas producidas por los microorganismos tales como la enzima de degradación de colágena, enzima elastasa, proteasas, aminopeptidasa y dipeptidilpeptidasa. Los componentes celulares localizados en este área son lipopolisacáridos, monocitos, leucocitos polimorfonucleares, otros componentes</w:t>
      </w:r>
      <w:r>
        <w:rPr>
          <w:spacing w:val="-13"/>
        </w:rPr>
        <w:t> </w:t>
      </w:r>
      <w:r>
        <w:rPr/>
        <w:t>celulares</w:t>
      </w:r>
      <w:r>
        <w:rPr>
          <w:spacing w:val="-11"/>
        </w:rPr>
        <w:t> </w:t>
      </w:r>
      <w:r>
        <w:rPr/>
        <w:t>relacionados</w:t>
      </w:r>
      <w:r>
        <w:rPr>
          <w:spacing w:val="-14"/>
        </w:rPr>
        <w:t> </w:t>
      </w:r>
      <w:r>
        <w:rPr/>
        <w:t>son</w:t>
      </w:r>
      <w:r>
        <w:rPr>
          <w:spacing w:val="-13"/>
        </w:rPr>
        <w:t> </w:t>
      </w:r>
      <w:r>
        <w:rPr/>
        <w:t>la</w:t>
      </w:r>
      <w:r>
        <w:rPr>
          <w:spacing w:val="-14"/>
        </w:rPr>
        <w:t> </w:t>
      </w:r>
      <w:r>
        <w:rPr/>
        <w:t>interleucina</w:t>
      </w:r>
      <w:r>
        <w:rPr>
          <w:spacing w:val="-14"/>
        </w:rPr>
        <w:t> </w:t>
      </w:r>
      <w:r>
        <w:rPr/>
        <w:t>1</w:t>
      </w:r>
      <w:r>
        <w:rPr>
          <w:spacing w:val="-13"/>
        </w:rPr>
        <w:t> </w:t>
      </w:r>
      <w:r>
        <w:rPr/>
        <w:t>(IL-1),</w:t>
      </w:r>
      <w:r>
        <w:rPr>
          <w:spacing w:val="-14"/>
        </w:rPr>
        <w:t> </w:t>
      </w:r>
      <w:r>
        <w:rPr/>
        <w:t>interleucina</w:t>
      </w:r>
      <w:r>
        <w:rPr>
          <w:spacing w:val="-12"/>
        </w:rPr>
        <w:t> </w:t>
      </w:r>
      <w:r>
        <w:rPr/>
        <w:t>6</w:t>
      </w:r>
      <w:r>
        <w:rPr>
          <w:spacing w:val="-13"/>
        </w:rPr>
        <w:t> </w:t>
      </w:r>
      <w:r>
        <w:rPr/>
        <w:t>(IL-6)</w:t>
      </w:r>
      <w:r>
        <w:rPr>
          <w:spacing w:val="-9"/>
        </w:rPr>
        <w:t> </w:t>
      </w:r>
      <w:r>
        <w:rPr/>
        <w:t>y</w:t>
      </w:r>
      <w:r>
        <w:rPr>
          <w:spacing w:val="-18"/>
        </w:rPr>
        <w:t> </w:t>
      </w:r>
      <w:r>
        <w:rPr/>
        <w:t>factor de necrosis tumoral (TNF) (4, 5, 7,</w:t>
      </w:r>
      <w:r>
        <w:rPr>
          <w:spacing w:val="-6"/>
        </w:rPr>
        <w:t> </w:t>
      </w:r>
      <w:r>
        <w:rPr/>
        <w:t>11,18).</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6"/>
        <w:jc w:val="both"/>
      </w:pPr>
      <w:r>
        <w:rPr/>
        <w:t>La primera reacción del tejido gingival ante la presencia de placa dentobacteriana es ocasionada por las bacterias que producen metabolitos como los ácidos grasos de cadena corta (ácido butírico, ácido propiónico, el péptido de formilado prototipo</w:t>
      </w:r>
      <w:r>
        <w:rPr>
          <w:spacing w:val="-40"/>
        </w:rPr>
        <w:t> </w:t>
      </w:r>
      <w:r>
        <w:rPr/>
        <w:t>N-formil-metionil- leucil-fenilalanina (FMLP) y lipopolisacáridos (LPS)), que hacen que el epitelio de unión secrete mediadores de inflamación (interleucina 8 (IL-8), TNF-α, prostaglandina </w:t>
      </w:r>
      <w:r>
        <w:rPr>
          <w:position w:val="2"/>
        </w:rPr>
        <w:t>dinoprostona (PGE</w:t>
      </w:r>
      <w:r>
        <w:rPr>
          <w:sz w:val="16"/>
        </w:rPr>
        <w:t>2</w:t>
      </w:r>
      <w:r>
        <w:rPr>
          <w:position w:val="2"/>
        </w:rPr>
        <w:t>), matriz de metaloproteinasas (MPM)). Las terminaciones nerviosas </w:t>
      </w:r>
      <w:r>
        <w:rPr/>
        <w:t>producen neuropéptidos e histamina, que regulan la reacción vascular local y las células cebadas perivasculares producen histamina la cual llega al endotelio a liberar IL-8 (7, 11). La activación de macrófagos y del sistema de proteínas séricas, producen mediadores de </w:t>
      </w:r>
      <w:r>
        <w:rPr>
          <w:position w:val="2"/>
        </w:rPr>
        <w:t>inflamación como IL-1β, IL-1ra, IL-6, IL-10, IL-12, TNF-α, PGE</w:t>
      </w:r>
      <w:r>
        <w:rPr>
          <w:sz w:val="16"/>
        </w:rPr>
        <w:t>2 </w:t>
      </w:r>
      <w:r>
        <w:rPr>
          <w:position w:val="2"/>
        </w:rPr>
        <w:t>(5, 6, 9,</w:t>
      </w:r>
      <w:r>
        <w:rPr>
          <w:spacing w:val="5"/>
          <w:position w:val="2"/>
        </w:rPr>
        <w:t> </w:t>
      </w:r>
      <w:r>
        <w:rPr>
          <w:position w:val="2"/>
        </w:rPr>
        <w:t>19).</w:t>
      </w:r>
    </w:p>
    <w:p>
      <w:pPr>
        <w:pStyle w:val="BodyText"/>
      </w:pPr>
    </w:p>
    <w:p>
      <w:pPr>
        <w:pStyle w:val="BodyText"/>
        <w:spacing w:line="360" w:lineRule="auto" w:before="140"/>
        <w:ind w:left="102" w:right="116"/>
        <w:jc w:val="both"/>
      </w:pPr>
      <w:r>
        <w:rPr/>
        <w:t>La</w:t>
      </w:r>
      <w:r>
        <w:rPr>
          <w:spacing w:val="-11"/>
        </w:rPr>
        <w:t> </w:t>
      </w:r>
      <w:r>
        <w:rPr/>
        <w:t>regulación</w:t>
      </w:r>
      <w:r>
        <w:rPr>
          <w:spacing w:val="-9"/>
        </w:rPr>
        <w:t> </w:t>
      </w:r>
      <w:r>
        <w:rPr/>
        <w:t>de</w:t>
      </w:r>
      <w:r>
        <w:rPr>
          <w:spacing w:val="-11"/>
        </w:rPr>
        <w:t> </w:t>
      </w:r>
      <w:r>
        <w:rPr/>
        <w:t>la</w:t>
      </w:r>
      <w:r>
        <w:rPr>
          <w:spacing w:val="-10"/>
        </w:rPr>
        <w:t> </w:t>
      </w:r>
      <w:r>
        <w:rPr/>
        <w:t>actividad</w:t>
      </w:r>
      <w:r>
        <w:rPr>
          <w:spacing w:val="-10"/>
        </w:rPr>
        <w:t> </w:t>
      </w:r>
      <w:r>
        <w:rPr/>
        <w:t>de</w:t>
      </w:r>
      <w:r>
        <w:rPr>
          <w:spacing w:val="-11"/>
        </w:rPr>
        <w:t> </w:t>
      </w:r>
      <w:r>
        <w:rPr/>
        <w:t>las</w:t>
      </w:r>
      <w:r>
        <w:rPr>
          <w:spacing w:val="-10"/>
        </w:rPr>
        <w:t> </w:t>
      </w:r>
      <w:r>
        <w:rPr/>
        <w:t>células</w:t>
      </w:r>
      <w:r>
        <w:rPr>
          <w:spacing w:val="-9"/>
        </w:rPr>
        <w:t> </w:t>
      </w:r>
      <w:r>
        <w:rPr/>
        <w:t>inflamatorias</w:t>
      </w:r>
      <w:r>
        <w:rPr>
          <w:spacing w:val="-10"/>
        </w:rPr>
        <w:t> </w:t>
      </w:r>
      <w:r>
        <w:rPr/>
        <w:t>se</w:t>
      </w:r>
      <w:r>
        <w:rPr>
          <w:spacing w:val="-10"/>
        </w:rPr>
        <w:t> </w:t>
      </w:r>
      <w:r>
        <w:rPr/>
        <w:t>presenta</w:t>
      </w:r>
      <w:r>
        <w:rPr>
          <w:spacing w:val="-10"/>
        </w:rPr>
        <w:t> </w:t>
      </w:r>
      <w:r>
        <w:rPr/>
        <w:t>a</w:t>
      </w:r>
      <w:r>
        <w:rPr>
          <w:spacing w:val="-11"/>
        </w:rPr>
        <w:t> </w:t>
      </w:r>
      <w:r>
        <w:rPr/>
        <w:t>través</w:t>
      </w:r>
      <w:r>
        <w:rPr>
          <w:spacing w:val="-7"/>
        </w:rPr>
        <w:t> </w:t>
      </w:r>
      <w:r>
        <w:rPr/>
        <w:t>de</w:t>
      </w:r>
      <w:r>
        <w:rPr>
          <w:spacing w:val="-11"/>
        </w:rPr>
        <w:t> </w:t>
      </w:r>
      <w:r>
        <w:rPr/>
        <w:t>los</w:t>
      </w:r>
      <w:r>
        <w:rPr>
          <w:spacing w:val="-11"/>
        </w:rPr>
        <w:t> </w:t>
      </w:r>
      <w:r>
        <w:rPr/>
        <w:t>linfocitos que</w:t>
      </w:r>
      <w:r>
        <w:rPr>
          <w:spacing w:val="-10"/>
        </w:rPr>
        <w:t> </w:t>
      </w:r>
      <w:r>
        <w:rPr/>
        <w:t>predominan</w:t>
      </w:r>
      <w:r>
        <w:rPr>
          <w:spacing w:val="-6"/>
        </w:rPr>
        <w:t> </w:t>
      </w:r>
      <w:r>
        <w:rPr/>
        <w:t>en</w:t>
      </w:r>
      <w:r>
        <w:rPr>
          <w:spacing w:val="-9"/>
        </w:rPr>
        <w:t> </w:t>
      </w:r>
      <w:r>
        <w:rPr/>
        <w:t>el</w:t>
      </w:r>
      <w:r>
        <w:rPr>
          <w:spacing w:val="-8"/>
        </w:rPr>
        <w:t> </w:t>
      </w:r>
      <w:r>
        <w:rPr/>
        <w:t>infiltrado</w:t>
      </w:r>
      <w:r>
        <w:rPr>
          <w:spacing w:val="-9"/>
        </w:rPr>
        <w:t> </w:t>
      </w:r>
      <w:r>
        <w:rPr/>
        <w:t>inflamatorio,</w:t>
      </w:r>
      <w:r>
        <w:rPr>
          <w:spacing w:val="-8"/>
        </w:rPr>
        <w:t> </w:t>
      </w:r>
      <w:r>
        <w:rPr/>
        <w:t>las</w:t>
      </w:r>
      <w:r>
        <w:rPr>
          <w:spacing w:val="-9"/>
        </w:rPr>
        <w:t> </w:t>
      </w:r>
      <w:r>
        <w:rPr/>
        <w:t>células</w:t>
      </w:r>
      <w:r>
        <w:rPr>
          <w:spacing w:val="-8"/>
        </w:rPr>
        <w:t> </w:t>
      </w:r>
      <w:r>
        <w:rPr/>
        <w:t>T</w:t>
      </w:r>
      <w:r>
        <w:rPr>
          <w:spacing w:val="-9"/>
        </w:rPr>
        <w:t> </w:t>
      </w:r>
      <w:r>
        <w:rPr/>
        <w:t>activas</w:t>
      </w:r>
      <w:r>
        <w:rPr>
          <w:spacing w:val="-8"/>
        </w:rPr>
        <w:t> </w:t>
      </w:r>
      <w:r>
        <w:rPr/>
        <w:t>que</w:t>
      </w:r>
      <w:r>
        <w:rPr>
          <w:spacing w:val="-7"/>
        </w:rPr>
        <w:t> </w:t>
      </w:r>
      <w:r>
        <w:rPr/>
        <w:t>coordinan</w:t>
      </w:r>
      <w:r>
        <w:rPr>
          <w:spacing w:val="-9"/>
        </w:rPr>
        <w:t> </w:t>
      </w:r>
      <w:r>
        <w:rPr/>
        <w:t>la</w:t>
      </w:r>
      <w:r>
        <w:rPr>
          <w:spacing w:val="-9"/>
        </w:rPr>
        <w:t> </w:t>
      </w:r>
      <w:r>
        <w:rPr/>
        <w:t>respuesta inmunitaria de las citocinas (IL-6) ocasionan el desprendimiento del epitelio único y la formación</w:t>
      </w:r>
      <w:r>
        <w:rPr>
          <w:spacing w:val="-3"/>
        </w:rPr>
        <w:t> </w:t>
      </w:r>
      <w:r>
        <w:rPr/>
        <w:t>de</w:t>
      </w:r>
      <w:r>
        <w:rPr>
          <w:spacing w:val="-5"/>
        </w:rPr>
        <w:t> </w:t>
      </w:r>
      <w:r>
        <w:rPr/>
        <w:t>la</w:t>
      </w:r>
      <w:r>
        <w:rPr>
          <w:spacing w:val="-4"/>
        </w:rPr>
        <w:t> </w:t>
      </w:r>
      <w:r>
        <w:rPr/>
        <w:t>bolsa</w:t>
      </w:r>
      <w:r>
        <w:rPr>
          <w:spacing w:val="-5"/>
        </w:rPr>
        <w:t> </w:t>
      </w:r>
      <w:r>
        <w:rPr/>
        <w:t>periodontal.</w:t>
      </w:r>
      <w:r>
        <w:rPr>
          <w:spacing w:val="-3"/>
        </w:rPr>
        <w:t> </w:t>
      </w:r>
      <w:r>
        <w:rPr/>
        <w:t>El</w:t>
      </w:r>
      <w:r>
        <w:rPr>
          <w:spacing w:val="-4"/>
        </w:rPr>
        <w:t> </w:t>
      </w:r>
      <w:r>
        <w:rPr/>
        <w:t>aumento</w:t>
      </w:r>
      <w:r>
        <w:rPr>
          <w:spacing w:val="-4"/>
        </w:rPr>
        <w:t> </w:t>
      </w:r>
      <w:r>
        <w:rPr/>
        <w:t>de</w:t>
      </w:r>
      <w:r>
        <w:rPr>
          <w:spacing w:val="-3"/>
        </w:rPr>
        <w:t> </w:t>
      </w:r>
      <w:r>
        <w:rPr/>
        <w:t>la</w:t>
      </w:r>
      <w:r>
        <w:rPr>
          <w:spacing w:val="-4"/>
        </w:rPr>
        <w:t> </w:t>
      </w:r>
      <w:r>
        <w:rPr/>
        <w:t>actividad</w:t>
      </w:r>
      <w:r>
        <w:rPr>
          <w:spacing w:val="-2"/>
        </w:rPr>
        <w:t> </w:t>
      </w:r>
      <w:r>
        <w:rPr/>
        <w:t>de</w:t>
      </w:r>
      <w:r>
        <w:rPr>
          <w:spacing w:val="-5"/>
        </w:rPr>
        <w:t> </w:t>
      </w:r>
      <w:r>
        <w:rPr/>
        <w:t>los</w:t>
      </w:r>
      <w:r>
        <w:rPr>
          <w:spacing w:val="-3"/>
        </w:rPr>
        <w:t> </w:t>
      </w:r>
      <w:r>
        <w:rPr/>
        <w:t>macrófagos</w:t>
      </w:r>
      <w:r>
        <w:rPr>
          <w:spacing w:val="-1"/>
        </w:rPr>
        <w:t> </w:t>
      </w:r>
      <w:r>
        <w:rPr/>
        <w:t>aunado</w:t>
      </w:r>
      <w:r>
        <w:rPr>
          <w:spacing w:val="-2"/>
        </w:rPr>
        <w:t> </w:t>
      </w:r>
      <w:r>
        <w:rPr/>
        <w:t>a</w:t>
      </w:r>
      <w:r>
        <w:rPr>
          <w:spacing w:val="-5"/>
        </w:rPr>
        <w:t> </w:t>
      </w:r>
      <w:r>
        <w:rPr/>
        <w:t>la reacción</w:t>
      </w:r>
      <w:r>
        <w:rPr>
          <w:spacing w:val="-6"/>
        </w:rPr>
        <w:t> </w:t>
      </w:r>
      <w:r>
        <w:rPr/>
        <w:t>del</w:t>
      </w:r>
      <w:r>
        <w:rPr>
          <w:spacing w:val="-6"/>
        </w:rPr>
        <w:t> </w:t>
      </w:r>
      <w:r>
        <w:rPr/>
        <w:t>huésped</w:t>
      </w:r>
      <w:r>
        <w:rPr>
          <w:spacing w:val="-6"/>
        </w:rPr>
        <w:t> </w:t>
      </w:r>
      <w:r>
        <w:rPr/>
        <w:t>en</w:t>
      </w:r>
      <w:r>
        <w:rPr>
          <w:spacing w:val="-4"/>
        </w:rPr>
        <w:t> </w:t>
      </w:r>
      <w:r>
        <w:rPr/>
        <w:t>el</w:t>
      </w:r>
      <w:r>
        <w:rPr>
          <w:spacing w:val="-6"/>
        </w:rPr>
        <w:t> </w:t>
      </w:r>
      <w:r>
        <w:rPr/>
        <w:t>tejido</w:t>
      </w:r>
      <w:r>
        <w:rPr>
          <w:spacing w:val="-6"/>
        </w:rPr>
        <w:t> </w:t>
      </w:r>
      <w:r>
        <w:rPr/>
        <w:t>conjuntivo</w:t>
      </w:r>
      <w:r>
        <w:rPr>
          <w:spacing w:val="-6"/>
        </w:rPr>
        <w:t> </w:t>
      </w:r>
      <w:r>
        <w:rPr/>
        <w:t>infiltrado</w:t>
      </w:r>
      <w:r>
        <w:rPr>
          <w:spacing w:val="-6"/>
        </w:rPr>
        <w:t> </w:t>
      </w:r>
      <w:r>
        <w:rPr/>
        <w:t>ocasiona</w:t>
      </w:r>
      <w:r>
        <w:rPr>
          <w:spacing w:val="-6"/>
        </w:rPr>
        <w:t> </w:t>
      </w:r>
      <w:r>
        <w:rPr/>
        <w:t>la</w:t>
      </w:r>
      <w:r>
        <w:rPr>
          <w:spacing w:val="-7"/>
        </w:rPr>
        <w:t> </w:t>
      </w:r>
      <w:r>
        <w:rPr/>
        <w:t>pérdida</w:t>
      </w:r>
      <w:r>
        <w:rPr>
          <w:spacing w:val="-5"/>
        </w:rPr>
        <w:t> </w:t>
      </w:r>
      <w:r>
        <w:rPr/>
        <w:t>de</w:t>
      </w:r>
      <w:r>
        <w:rPr>
          <w:spacing w:val="-4"/>
        </w:rPr>
        <w:t> </w:t>
      </w:r>
      <w:r>
        <w:rPr/>
        <w:t>la</w:t>
      </w:r>
      <w:r>
        <w:rPr>
          <w:spacing w:val="-7"/>
        </w:rPr>
        <w:t> </w:t>
      </w:r>
      <w:r>
        <w:rPr/>
        <w:t>inserción</w:t>
      </w:r>
      <w:r>
        <w:rPr>
          <w:spacing w:val="-6"/>
        </w:rPr>
        <w:t> </w:t>
      </w:r>
      <w:r>
        <w:rPr/>
        <w:t>del epitelio (11,</w:t>
      </w:r>
      <w:r>
        <w:rPr>
          <w:spacing w:val="-3"/>
        </w:rPr>
        <w:t> </w:t>
      </w:r>
      <w:r>
        <w:rPr/>
        <w:t>20).</w:t>
      </w:r>
    </w:p>
    <w:p>
      <w:pPr>
        <w:pStyle w:val="BodyText"/>
      </w:pPr>
    </w:p>
    <w:p>
      <w:pPr>
        <w:pStyle w:val="Heading3"/>
        <w:numPr>
          <w:ilvl w:val="2"/>
          <w:numId w:val="2"/>
        </w:numPr>
        <w:tabs>
          <w:tab w:pos="822" w:val="left" w:leader="none"/>
        </w:tabs>
        <w:spacing w:line="240" w:lineRule="auto" w:before="148" w:after="0"/>
        <w:ind w:left="822" w:right="0" w:hanging="720"/>
        <w:jc w:val="both"/>
      </w:pPr>
      <w:r>
        <w:rPr/>
        <w:t>Características</w:t>
      </w:r>
      <w:r>
        <w:rPr>
          <w:spacing w:val="-6"/>
        </w:rPr>
        <w:t> </w:t>
      </w:r>
      <w:r>
        <w:rPr/>
        <w:t>Clínicas.</w:t>
      </w:r>
    </w:p>
    <w:p>
      <w:pPr>
        <w:pStyle w:val="BodyText"/>
        <w:rPr>
          <w:b/>
        </w:rPr>
      </w:pPr>
    </w:p>
    <w:p>
      <w:pPr>
        <w:pStyle w:val="BodyText"/>
        <w:spacing w:before="6"/>
        <w:rPr>
          <w:b/>
          <w:sz w:val="23"/>
        </w:rPr>
      </w:pPr>
    </w:p>
    <w:p>
      <w:pPr>
        <w:pStyle w:val="BodyText"/>
        <w:spacing w:line="360" w:lineRule="auto"/>
        <w:ind w:left="102" w:right="121"/>
        <w:jc w:val="both"/>
      </w:pPr>
      <w:r>
        <w:rPr/>
        <w:t>Desde el punto de vista clínico los hallazgos más relevantes son: inflamación gingival, sangrado espontáneo o al cepillado, movilidad dentaria, halitosis y la pérdida de hueso alveolar detectada radiográficamente (9).</w:t>
      </w:r>
    </w:p>
    <w:p>
      <w:pPr>
        <w:pStyle w:val="BodyText"/>
      </w:pPr>
    </w:p>
    <w:p>
      <w:pPr>
        <w:pStyle w:val="Heading3"/>
        <w:numPr>
          <w:ilvl w:val="2"/>
          <w:numId w:val="2"/>
        </w:numPr>
        <w:tabs>
          <w:tab w:pos="822" w:val="left" w:leader="none"/>
        </w:tabs>
        <w:spacing w:line="240" w:lineRule="auto" w:before="148" w:after="0"/>
        <w:ind w:left="822" w:right="0" w:hanging="720"/>
        <w:jc w:val="both"/>
      </w:pPr>
      <w:r>
        <w:rPr/>
        <w:t>Diagnóstico</w:t>
      </w:r>
    </w:p>
    <w:p>
      <w:pPr>
        <w:pStyle w:val="BodyText"/>
        <w:rPr>
          <w:b/>
        </w:rPr>
      </w:pPr>
    </w:p>
    <w:p>
      <w:pPr>
        <w:pStyle w:val="BodyText"/>
        <w:spacing w:before="7"/>
        <w:rPr>
          <w:b/>
          <w:sz w:val="23"/>
        </w:rPr>
      </w:pPr>
    </w:p>
    <w:p>
      <w:pPr>
        <w:pStyle w:val="BodyText"/>
        <w:spacing w:line="360" w:lineRule="auto"/>
        <w:ind w:left="102" w:right="122"/>
        <w:jc w:val="both"/>
      </w:pPr>
      <w:r>
        <w:rPr/>
        <w:t>El diagnóstico de la enfermedad periodontal, es realizado por el odontólogo, en el momento de llevar a cabo la observación e inspección de la cavidad bucal al identificar inflamación gingival, sangrado de la encía y la presencia de cálculo dental siendo éstos indicadores del desarrollo de la enfermedad (7).</w:t>
      </w:r>
    </w:p>
    <w:p>
      <w:pPr>
        <w:spacing w:after="0" w:line="360" w:lineRule="auto"/>
        <w:jc w:val="both"/>
        <w:sectPr>
          <w:pgSz w:w="12240" w:h="15840"/>
          <w:pgMar w:header="731" w:footer="0" w:top="960" w:bottom="280" w:left="1600" w:right="1580"/>
        </w:sectPr>
      </w:pPr>
    </w:p>
    <w:p>
      <w:pPr>
        <w:pStyle w:val="BodyText"/>
        <w:rPr>
          <w:sz w:val="20"/>
        </w:rPr>
      </w:pPr>
    </w:p>
    <w:p>
      <w:pPr>
        <w:pStyle w:val="Heading3"/>
        <w:numPr>
          <w:ilvl w:val="3"/>
          <w:numId w:val="4"/>
        </w:numPr>
        <w:tabs>
          <w:tab w:pos="823" w:val="left" w:leader="none"/>
        </w:tabs>
        <w:spacing w:line="240" w:lineRule="auto" w:before="214" w:after="0"/>
        <w:ind w:left="822" w:right="0" w:hanging="720"/>
        <w:jc w:val="both"/>
      </w:pPr>
      <w:r>
        <w:rPr/>
        <w:t>Índice Periodóntico Comunitario</w:t>
      </w:r>
      <w:r>
        <w:rPr>
          <w:spacing w:val="-13"/>
        </w:rPr>
        <w:t> </w:t>
      </w:r>
      <w:r>
        <w:rPr/>
        <w:t>(IPC)</w:t>
      </w:r>
    </w:p>
    <w:p>
      <w:pPr>
        <w:pStyle w:val="BodyText"/>
        <w:rPr>
          <w:b/>
        </w:rPr>
      </w:pPr>
    </w:p>
    <w:p>
      <w:pPr>
        <w:pStyle w:val="BodyText"/>
        <w:spacing w:before="7"/>
        <w:rPr>
          <w:b/>
          <w:sz w:val="23"/>
        </w:rPr>
      </w:pPr>
    </w:p>
    <w:p>
      <w:pPr>
        <w:pStyle w:val="BodyText"/>
        <w:spacing w:line="360" w:lineRule="auto"/>
        <w:ind w:left="102" w:right="119"/>
        <w:jc w:val="both"/>
      </w:pPr>
      <w:r>
        <w:rPr/>
        <w:t>Este índice es adecuado para la evaluación de pacientes que participan en proyectos de investigación o en encuestas nacionales de salud bucal, debido a la sencillez, velocidad, reproducibilidad y uniformidad internacional.</w:t>
      </w:r>
    </w:p>
    <w:p>
      <w:pPr>
        <w:pStyle w:val="BodyText"/>
      </w:pPr>
    </w:p>
    <w:p>
      <w:pPr>
        <w:pStyle w:val="BodyText"/>
        <w:spacing w:line="360" w:lineRule="auto" w:before="143"/>
        <w:ind w:left="102" w:right="120"/>
        <w:jc w:val="both"/>
      </w:pPr>
      <w:r>
        <w:rPr/>
        <w:t>El</w:t>
      </w:r>
      <w:r>
        <w:rPr>
          <w:spacing w:val="-6"/>
        </w:rPr>
        <w:t> </w:t>
      </w:r>
      <w:r>
        <w:rPr/>
        <w:t>examen</w:t>
      </w:r>
      <w:r>
        <w:rPr>
          <w:spacing w:val="-7"/>
        </w:rPr>
        <w:t> </w:t>
      </w:r>
      <w:r>
        <w:rPr/>
        <w:t>periodontal</w:t>
      </w:r>
      <w:r>
        <w:rPr>
          <w:spacing w:val="-6"/>
        </w:rPr>
        <w:t> </w:t>
      </w:r>
      <w:r>
        <w:rPr/>
        <w:t>se</w:t>
      </w:r>
      <w:r>
        <w:rPr>
          <w:spacing w:val="-5"/>
        </w:rPr>
        <w:t> </w:t>
      </w:r>
      <w:r>
        <w:rPr/>
        <w:t>lleva</w:t>
      </w:r>
      <w:r>
        <w:rPr>
          <w:spacing w:val="-7"/>
        </w:rPr>
        <w:t> </w:t>
      </w:r>
      <w:r>
        <w:rPr/>
        <w:t>a</w:t>
      </w:r>
      <w:r>
        <w:rPr>
          <w:spacing w:val="-7"/>
        </w:rPr>
        <w:t> </w:t>
      </w:r>
      <w:r>
        <w:rPr/>
        <w:t>cabo</w:t>
      </w:r>
      <w:r>
        <w:rPr>
          <w:spacing w:val="-6"/>
        </w:rPr>
        <w:t> </w:t>
      </w:r>
      <w:r>
        <w:rPr/>
        <w:t>con</w:t>
      </w:r>
      <w:r>
        <w:rPr>
          <w:spacing w:val="-4"/>
        </w:rPr>
        <w:t> </w:t>
      </w:r>
      <w:r>
        <w:rPr/>
        <w:t>el</w:t>
      </w:r>
      <w:r>
        <w:rPr>
          <w:spacing w:val="-6"/>
        </w:rPr>
        <w:t> </w:t>
      </w:r>
      <w:r>
        <w:rPr/>
        <w:t>auxilio</w:t>
      </w:r>
      <w:r>
        <w:rPr>
          <w:spacing w:val="-6"/>
        </w:rPr>
        <w:t> </w:t>
      </w:r>
      <w:r>
        <w:rPr/>
        <w:t>de</w:t>
      </w:r>
      <w:r>
        <w:rPr>
          <w:spacing w:val="-7"/>
        </w:rPr>
        <w:t> </w:t>
      </w:r>
      <w:r>
        <w:rPr/>
        <w:t>una</w:t>
      </w:r>
      <w:r>
        <w:rPr>
          <w:spacing w:val="-7"/>
        </w:rPr>
        <w:t> </w:t>
      </w:r>
      <w:r>
        <w:rPr/>
        <w:t>sonda</w:t>
      </w:r>
      <w:r>
        <w:rPr>
          <w:spacing w:val="-5"/>
        </w:rPr>
        <w:t> </w:t>
      </w:r>
      <w:r>
        <w:rPr/>
        <w:t>periodontal,</w:t>
      </w:r>
      <w:r>
        <w:rPr>
          <w:spacing w:val="-6"/>
        </w:rPr>
        <w:t> </w:t>
      </w:r>
      <w:r>
        <w:rPr/>
        <w:t>que</w:t>
      </w:r>
      <w:r>
        <w:rPr>
          <w:spacing w:val="-7"/>
        </w:rPr>
        <w:t> </w:t>
      </w:r>
      <w:r>
        <w:rPr/>
        <w:t>puede</w:t>
      </w:r>
      <w:r>
        <w:rPr>
          <w:spacing w:val="-7"/>
        </w:rPr>
        <w:t> </w:t>
      </w:r>
      <w:r>
        <w:rPr/>
        <w:t>ser rectangular</w:t>
      </w:r>
      <w:r>
        <w:rPr>
          <w:spacing w:val="-15"/>
        </w:rPr>
        <w:t> </w:t>
      </w:r>
      <w:r>
        <w:rPr/>
        <w:t>(plana),</w:t>
      </w:r>
      <w:r>
        <w:rPr>
          <w:spacing w:val="-15"/>
        </w:rPr>
        <w:t> </w:t>
      </w:r>
      <w:r>
        <w:rPr/>
        <w:t>oval</w:t>
      </w:r>
      <w:r>
        <w:rPr>
          <w:spacing w:val="-12"/>
        </w:rPr>
        <w:t> </w:t>
      </w:r>
      <w:r>
        <w:rPr/>
        <w:t>o</w:t>
      </w:r>
      <w:r>
        <w:rPr>
          <w:spacing w:val="-14"/>
        </w:rPr>
        <w:t> </w:t>
      </w:r>
      <w:r>
        <w:rPr/>
        <w:t>redonda</w:t>
      </w:r>
      <w:r>
        <w:rPr>
          <w:spacing w:val="-15"/>
        </w:rPr>
        <w:t> </w:t>
      </w:r>
      <w:r>
        <w:rPr/>
        <w:t>en</w:t>
      </w:r>
      <w:r>
        <w:rPr>
          <w:spacing w:val="-14"/>
        </w:rPr>
        <w:t> </w:t>
      </w:r>
      <w:r>
        <w:rPr/>
        <w:t>su</w:t>
      </w:r>
      <w:r>
        <w:rPr>
          <w:spacing w:val="-14"/>
        </w:rPr>
        <w:t> </w:t>
      </w:r>
      <w:r>
        <w:rPr/>
        <w:t>sección</w:t>
      </w:r>
      <w:r>
        <w:rPr>
          <w:spacing w:val="-14"/>
        </w:rPr>
        <w:t> </w:t>
      </w:r>
      <w:r>
        <w:rPr/>
        <w:t>transversal,</w:t>
      </w:r>
      <w:r>
        <w:rPr>
          <w:spacing w:val="-14"/>
        </w:rPr>
        <w:t> </w:t>
      </w:r>
      <w:r>
        <w:rPr/>
        <w:t>pero</w:t>
      </w:r>
      <w:r>
        <w:rPr>
          <w:spacing w:val="-15"/>
        </w:rPr>
        <w:t> </w:t>
      </w:r>
      <w:r>
        <w:rPr/>
        <w:t>lo</w:t>
      </w:r>
      <w:r>
        <w:rPr>
          <w:spacing w:val="-14"/>
        </w:rPr>
        <w:t> </w:t>
      </w:r>
      <w:r>
        <w:rPr/>
        <w:t>suficientemente</w:t>
      </w:r>
      <w:r>
        <w:rPr>
          <w:spacing w:val="-15"/>
        </w:rPr>
        <w:t> </w:t>
      </w:r>
      <w:r>
        <w:rPr/>
        <w:t>delgada como para permitir su fácil inserción en el surco o la bolsa. Ésta se encuentra calibrada de 1mm a 10mm con el fin de poder codificar la profundidad del tejido de</w:t>
      </w:r>
      <w:r>
        <w:rPr>
          <w:spacing w:val="-14"/>
        </w:rPr>
        <w:t> </w:t>
      </w:r>
      <w:r>
        <w:rPr/>
        <w:t>inserción.</w:t>
      </w:r>
    </w:p>
    <w:p>
      <w:pPr>
        <w:pStyle w:val="BodyText"/>
      </w:pPr>
    </w:p>
    <w:p>
      <w:pPr>
        <w:pStyle w:val="BodyText"/>
        <w:spacing w:before="143"/>
        <w:ind w:left="102"/>
        <w:jc w:val="both"/>
      </w:pPr>
      <w:r>
        <w:rPr/>
        <w:t>Se registra la medición más profunda encontrada utilizando las siguientes categorías:</w:t>
      </w:r>
    </w:p>
    <w:p>
      <w:pPr>
        <w:pStyle w:val="ListParagraph"/>
        <w:numPr>
          <w:ilvl w:val="4"/>
          <w:numId w:val="4"/>
        </w:numPr>
        <w:tabs>
          <w:tab w:pos="821" w:val="left" w:leader="none"/>
          <w:tab w:pos="822" w:val="left" w:leader="none"/>
        </w:tabs>
        <w:spacing w:line="240" w:lineRule="auto" w:before="136" w:after="0"/>
        <w:ind w:left="822" w:right="0" w:hanging="360"/>
        <w:jc w:val="left"/>
        <w:rPr>
          <w:sz w:val="24"/>
        </w:rPr>
      </w:pPr>
      <w:r>
        <w:rPr>
          <w:sz w:val="24"/>
        </w:rPr>
        <w:t>“0”</w:t>
      </w:r>
      <w:r>
        <w:rPr>
          <w:spacing w:val="-3"/>
          <w:sz w:val="24"/>
        </w:rPr>
        <w:t> </w:t>
      </w:r>
      <w:r>
        <w:rPr>
          <w:sz w:val="24"/>
        </w:rPr>
        <w:t>sano</w:t>
      </w:r>
    </w:p>
    <w:p>
      <w:pPr>
        <w:pStyle w:val="ListParagraph"/>
        <w:numPr>
          <w:ilvl w:val="4"/>
          <w:numId w:val="4"/>
        </w:numPr>
        <w:tabs>
          <w:tab w:pos="821" w:val="left" w:leader="none"/>
          <w:tab w:pos="822" w:val="left" w:leader="none"/>
        </w:tabs>
        <w:spacing w:line="240" w:lineRule="auto" w:before="138" w:after="0"/>
        <w:ind w:left="822" w:right="0" w:hanging="360"/>
        <w:jc w:val="left"/>
        <w:rPr>
          <w:sz w:val="24"/>
        </w:rPr>
      </w:pPr>
      <w:r>
        <w:rPr>
          <w:sz w:val="24"/>
        </w:rPr>
        <w:t>“1”</w:t>
      </w:r>
      <w:r>
        <w:rPr>
          <w:spacing w:val="-5"/>
          <w:sz w:val="24"/>
        </w:rPr>
        <w:t> </w:t>
      </w:r>
      <w:r>
        <w:rPr>
          <w:sz w:val="24"/>
        </w:rPr>
        <w:t>hemorragia</w:t>
      </w:r>
    </w:p>
    <w:p>
      <w:pPr>
        <w:pStyle w:val="ListParagraph"/>
        <w:numPr>
          <w:ilvl w:val="4"/>
          <w:numId w:val="4"/>
        </w:numPr>
        <w:tabs>
          <w:tab w:pos="821" w:val="left" w:leader="none"/>
          <w:tab w:pos="822" w:val="left" w:leader="none"/>
        </w:tabs>
        <w:spacing w:line="240" w:lineRule="auto" w:before="138" w:after="0"/>
        <w:ind w:left="822" w:right="0" w:hanging="360"/>
        <w:jc w:val="left"/>
        <w:rPr>
          <w:sz w:val="24"/>
        </w:rPr>
      </w:pPr>
      <w:r>
        <w:rPr>
          <w:sz w:val="24"/>
        </w:rPr>
        <w:t>“2”</w:t>
      </w:r>
      <w:r>
        <w:rPr>
          <w:spacing w:val="-2"/>
          <w:sz w:val="24"/>
        </w:rPr>
        <w:t> </w:t>
      </w:r>
      <w:r>
        <w:rPr>
          <w:sz w:val="24"/>
        </w:rPr>
        <w:t>cálculo</w:t>
      </w:r>
    </w:p>
    <w:p>
      <w:pPr>
        <w:pStyle w:val="ListParagraph"/>
        <w:numPr>
          <w:ilvl w:val="4"/>
          <w:numId w:val="4"/>
        </w:numPr>
        <w:tabs>
          <w:tab w:pos="821" w:val="left" w:leader="none"/>
          <w:tab w:pos="822" w:val="left" w:leader="none"/>
        </w:tabs>
        <w:spacing w:line="240" w:lineRule="auto" w:before="135" w:after="0"/>
        <w:ind w:left="822" w:right="0" w:hanging="360"/>
        <w:jc w:val="left"/>
        <w:rPr>
          <w:sz w:val="24"/>
        </w:rPr>
      </w:pPr>
      <w:r>
        <w:rPr>
          <w:sz w:val="24"/>
        </w:rPr>
        <w:t>"3” bolsas periodontales superficiales de 4-5</w:t>
      </w:r>
      <w:r>
        <w:rPr>
          <w:spacing w:val="-6"/>
          <w:sz w:val="24"/>
        </w:rPr>
        <w:t> </w:t>
      </w:r>
      <w:r>
        <w:rPr>
          <w:sz w:val="24"/>
        </w:rPr>
        <w:t>mm</w:t>
      </w:r>
    </w:p>
    <w:p>
      <w:pPr>
        <w:pStyle w:val="ListParagraph"/>
        <w:numPr>
          <w:ilvl w:val="4"/>
          <w:numId w:val="4"/>
        </w:numPr>
        <w:tabs>
          <w:tab w:pos="821" w:val="left" w:leader="none"/>
          <w:tab w:pos="822" w:val="left" w:leader="none"/>
        </w:tabs>
        <w:spacing w:line="240" w:lineRule="auto" w:before="138" w:after="0"/>
        <w:ind w:left="822" w:right="0" w:hanging="360"/>
        <w:jc w:val="left"/>
        <w:rPr>
          <w:sz w:val="24"/>
        </w:rPr>
      </w:pPr>
      <w:r>
        <w:rPr>
          <w:sz w:val="24"/>
        </w:rPr>
        <w:t>“4” bolsas periodontales profundas de ≥ 6</w:t>
      </w:r>
      <w:r>
        <w:rPr>
          <w:spacing w:val="-4"/>
          <w:sz w:val="24"/>
        </w:rPr>
        <w:t> </w:t>
      </w:r>
      <w:r>
        <w:rPr>
          <w:sz w:val="24"/>
        </w:rPr>
        <w:t>mm</w:t>
      </w:r>
    </w:p>
    <w:p>
      <w:pPr>
        <w:pStyle w:val="BodyText"/>
      </w:pPr>
    </w:p>
    <w:p>
      <w:pPr>
        <w:pStyle w:val="BodyText"/>
        <w:spacing w:before="11"/>
        <w:rPr>
          <w:sz w:val="23"/>
        </w:rPr>
      </w:pPr>
    </w:p>
    <w:p>
      <w:pPr>
        <w:pStyle w:val="BodyText"/>
        <w:spacing w:line="360" w:lineRule="auto"/>
        <w:ind w:left="102" w:right="116"/>
        <w:jc w:val="both"/>
      </w:pPr>
      <w:r>
        <w:rPr/>
        <w:t>El diagnóstico de las fases activas de la enfermedad periodontal y la identificación de pacientes en riesgo de enfermedad activa, son retos para los investigadores clínicos y profesionales por igual. Los investigadores se enfrentan a la necesidad de pruebas de diagnóstico innovadoras que se centran en el reconocimiento temprano de la exposición microbiana (21).</w:t>
      </w:r>
    </w:p>
    <w:p>
      <w:pPr>
        <w:pStyle w:val="BodyText"/>
      </w:pPr>
    </w:p>
    <w:p>
      <w:pPr>
        <w:pStyle w:val="Heading3"/>
        <w:numPr>
          <w:ilvl w:val="1"/>
          <w:numId w:val="5"/>
        </w:numPr>
        <w:tabs>
          <w:tab w:pos="582" w:val="left" w:leader="none"/>
        </w:tabs>
        <w:spacing w:line="240" w:lineRule="auto" w:before="148" w:after="0"/>
        <w:ind w:left="582" w:right="0" w:hanging="480"/>
        <w:jc w:val="both"/>
      </w:pPr>
      <w:r>
        <w:rPr/>
        <w:t>Flujo</w:t>
      </w:r>
      <w:r>
        <w:rPr>
          <w:spacing w:val="-3"/>
        </w:rPr>
        <w:t> </w:t>
      </w:r>
      <w:r>
        <w:rPr/>
        <w:t>salival</w:t>
      </w:r>
    </w:p>
    <w:p>
      <w:pPr>
        <w:pStyle w:val="BodyText"/>
        <w:rPr>
          <w:b/>
        </w:rPr>
      </w:pPr>
    </w:p>
    <w:p>
      <w:pPr>
        <w:pStyle w:val="BodyText"/>
        <w:spacing w:before="7"/>
        <w:rPr>
          <w:b/>
          <w:sz w:val="23"/>
        </w:rPr>
      </w:pPr>
    </w:p>
    <w:p>
      <w:pPr>
        <w:pStyle w:val="BodyText"/>
        <w:spacing w:line="360" w:lineRule="auto"/>
        <w:ind w:left="102" w:right="118"/>
        <w:jc w:val="both"/>
      </w:pPr>
      <w:r>
        <w:rPr/>
        <w:t>La saliva es un fluido acuoso que se encuentra en la cavidad oral, compuesto de una mezcla de secreciones de productos orgánicos e inorgánicos derivados de las glándulas salivales y otras substancias provenientes de la orofaringe, vía área alta, reflujo gastrointestinal, flujo gingival, depósito de alimentos y componentes sanguíneos (22).</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9"/>
        <w:jc w:val="both"/>
      </w:pPr>
      <w:r>
        <w:rPr/>
        <w:t>La saliva es uno de los más complejos, versátiles e importantes fluidos del cuerpo, en la cavidad</w:t>
      </w:r>
      <w:r>
        <w:rPr>
          <w:spacing w:val="-12"/>
        </w:rPr>
        <w:t> </w:t>
      </w:r>
      <w:r>
        <w:rPr/>
        <w:t>oral</w:t>
      </w:r>
      <w:r>
        <w:rPr>
          <w:spacing w:val="-12"/>
        </w:rPr>
        <w:t> </w:t>
      </w:r>
      <w:r>
        <w:rPr/>
        <w:t>participa</w:t>
      </w:r>
      <w:r>
        <w:rPr>
          <w:spacing w:val="-13"/>
        </w:rPr>
        <w:t> </w:t>
      </w:r>
      <w:r>
        <w:rPr/>
        <w:t>en</w:t>
      </w:r>
      <w:r>
        <w:rPr>
          <w:spacing w:val="-12"/>
        </w:rPr>
        <w:t> </w:t>
      </w:r>
      <w:r>
        <w:rPr/>
        <w:t>la</w:t>
      </w:r>
      <w:r>
        <w:rPr>
          <w:spacing w:val="-13"/>
        </w:rPr>
        <w:t> </w:t>
      </w:r>
      <w:r>
        <w:rPr/>
        <w:t>masticación,</w:t>
      </w:r>
      <w:r>
        <w:rPr>
          <w:spacing w:val="-12"/>
        </w:rPr>
        <w:t> </w:t>
      </w:r>
      <w:r>
        <w:rPr/>
        <w:t>deglución,</w:t>
      </w:r>
      <w:r>
        <w:rPr>
          <w:spacing w:val="-10"/>
        </w:rPr>
        <w:t> </w:t>
      </w:r>
      <w:r>
        <w:rPr/>
        <w:t>sentido</w:t>
      </w:r>
      <w:r>
        <w:rPr>
          <w:spacing w:val="-12"/>
        </w:rPr>
        <w:t> </w:t>
      </w:r>
      <w:r>
        <w:rPr/>
        <w:t>del</w:t>
      </w:r>
      <w:r>
        <w:rPr>
          <w:spacing w:val="-12"/>
        </w:rPr>
        <w:t> </w:t>
      </w:r>
      <w:r>
        <w:rPr/>
        <w:t>gusto,</w:t>
      </w:r>
      <w:r>
        <w:rPr>
          <w:spacing w:val="-11"/>
        </w:rPr>
        <w:t> </w:t>
      </w:r>
      <w:r>
        <w:rPr/>
        <w:t>lubricación</w:t>
      </w:r>
      <w:r>
        <w:rPr>
          <w:spacing w:val="-12"/>
        </w:rPr>
        <w:t> </w:t>
      </w:r>
      <w:r>
        <w:rPr/>
        <w:t>de</w:t>
      </w:r>
      <w:r>
        <w:rPr>
          <w:spacing w:val="-13"/>
        </w:rPr>
        <w:t> </w:t>
      </w:r>
      <w:r>
        <w:rPr/>
        <w:t>mucosa, protección de la mucosa, actividad antibacteriana, anti-fúngica, antiviral y actividad de remineralización y balance iónico</w:t>
      </w:r>
      <w:r>
        <w:rPr>
          <w:spacing w:val="-10"/>
        </w:rPr>
        <w:t> </w:t>
      </w:r>
      <w:r>
        <w:rPr/>
        <w:t>(22).</w:t>
      </w:r>
    </w:p>
    <w:p>
      <w:pPr>
        <w:pStyle w:val="BodyText"/>
      </w:pPr>
    </w:p>
    <w:p>
      <w:pPr>
        <w:pStyle w:val="BodyText"/>
        <w:spacing w:line="357" w:lineRule="auto" w:before="143"/>
        <w:ind w:left="102" w:right="116"/>
        <w:jc w:val="both"/>
      </w:pPr>
      <w:r>
        <w:rPr/>
        <w:t>Se encuentra compuesta en un 99% por agua. Los componentes sólidos, orgánicos e inorgánicos, se encuentran disueltos en el componente acuoso y varían ampliamente de un individuo a otro e incluso varían en el mismo individuo durante el día. La parte inorgánica está compuesta de iones fuertes y débiles, como Na+, K+, Cl, Ca</w:t>
      </w:r>
      <w:r>
        <w:rPr>
          <w:position w:val="9"/>
          <w:sz w:val="16"/>
        </w:rPr>
        <w:t>2</w:t>
      </w:r>
      <w:r>
        <w:rPr/>
        <w:t>+, HCO</w:t>
      </w:r>
      <w:r>
        <w:rPr>
          <w:position w:val="9"/>
          <w:sz w:val="16"/>
        </w:rPr>
        <w:t>3</w:t>
      </w:r>
      <w:r>
        <w:rPr/>
        <w:t>, Mg</w:t>
      </w:r>
      <w:r>
        <w:rPr>
          <w:position w:val="9"/>
          <w:sz w:val="16"/>
        </w:rPr>
        <w:t>2</w:t>
      </w:r>
      <w:r>
        <w:rPr/>
        <w:t>+y NH</w:t>
      </w:r>
      <w:r>
        <w:rPr>
          <w:position w:val="9"/>
          <w:sz w:val="16"/>
        </w:rPr>
        <w:t>3</w:t>
      </w:r>
      <w:r>
        <w:rPr/>
        <w:t>. La parte orgánica contiene productos de secreción del cuerpo (urea, ácido úrico y creatinina), productos de putrefacción (putrescina, cadaverina, colesterol y ácidos grasos) y más de 400 tipos de proteínas; las proteínas más relevantes tienen un origen glandular (amilasa, histatinas, cistatinas, lactoferrinas, lisozimas, mucinas), proteínas ricas en prolina (PRP) o derivados de plasma (albúmina, IgA, transferrina) (3, 8,22).</w:t>
      </w:r>
    </w:p>
    <w:p>
      <w:pPr>
        <w:pStyle w:val="BodyText"/>
      </w:pPr>
    </w:p>
    <w:p>
      <w:pPr>
        <w:pStyle w:val="BodyText"/>
        <w:spacing w:line="360" w:lineRule="auto" w:before="146"/>
        <w:ind w:left="102" w:right="116"/>
        <w:jc w:val="both"/>
      </w:pPr>
      <w:r>
        <w:rPr/>
        <w:t>El análisis de la saliva es cada vez más utilizado para monitorear la salud general y la aparición de enfermedades específicas. El uso de la saliva se ha incrementado con el fin de dar un diagnóstico y monitoreo de la enfermedad periodontal. La presencia de biomarcadores, en individuos sanos y en personas que cursan con una enfermedad</w:t>
      </w:r>
      <w:r>
        <w:rPr>
          <w:spacing w:val="-18"/>
        </w:rPr>
        <w:t> </w:t>
      </w:r>
      <w:r>
        <w:rPr/>
        <w:t>sistémica son moléculas indicadoras. Los biomarcadores son considerados como la alternativa prometedora para la epidemiología ambiental clásica (3, 8,</w:t>
      </w:r>
      <w:r>
        <w:rPr>
          <w:spacing w:val="-11"/>
        </w:rPr>
        <w:t> </w:t>
      </w:r>
      <w:r>
        <w:rPr/>
        <w:t>11).</w:t>
      </w:r>
    </w:p>
    <w:p>
      <w:pPr>
        <w:pStyle w:val="BodyText"/>
      </w:pPr>
    </w:p>
    <w:p>
      <w:pPr>
        <w:pStyle w:val="Heading3"/>
        <w:numPr>
          <w:ilvl w:val="2"/>
          <w:numId w:val="5"/>
        </w:numPr>
        <w:tabs>
          <w:tab w:pos="822" w:val="left" w:leader="none"/>
        </w:tabs>
        <w:spacing w:line="240" w:lineRule="auto" w:before="148" w:after="0"/>
        <w:ind w:left="822" w:right="0" w:hanging="720"/>
        <w:jc w:val="both"/>
      </w:pPr>
      <w:r>
        <w:rPr/>
        <w:t>Marcadores</w:t>
      </w:r>
      <w:r>
        <w:rPr>
          <w:spacing w:val="-5"/>
        </w:rPr>
        <w:t> </w:t>
      </w:r>
      <w:r>
        <w:rPr/>
        <w:t>Específicos</w:t>
      </w:r>
    </w:p>
    <w:p>
      <w:pPr>
        <w:pStyle w:val="BodyText"/>
        <w:rPr>
          <w:b/>
        </w:rPr>
      </w:pPr>
    </w:p>
    <w:p>
      <w:pPr>
        <w:pStyle w:val="BodyText"/>
        <w:spacing w:before="6"/>
        <w:rPr>
          <w:b/>
          <w:sz w:val="23"/>
        </w:rPr>
      </w:pPr>
    </w:p>
    <w:p>
      <w:pPr>
        <w:pStyle w:val="BodyText"/>
        <w:spacing w:line="360" w:lineRule="auto"/>
        <w:ind w:left="102" w:right="117"/>
        <w:jc w:val="both"/>
      </w:pPr>
      <w:r>
        <w:rPr/>
        <w:t>El</w:t>
      </w:r>
      <w:r>
        <w:rPr>
          <w:spacing w:val="-11"/>
        </w:rPr>
        <w:t> </w:t>
      </w:r>
      <w:r>
        <w:rPr/>
        <w:t>término</w:t>
      </w:r>
      <w:r>
        <w:rPr>
          <w:spacing w:val="-11"/>
        </w:rPr>
        <w:t> </w:t>
      </w:r>
      <w:r>
        <w:rPr/>
        <w:t>“biomarcador”</w:t>
      </w:r>
      <w:r>
        <w:rPr>
          <w:spacing w:val="-12"/>
        </w:rPr>
        <w:t> </w:t>
      </w:r>
      <w:r>
        <w:rPr/>
        <w:t>se</w:t>
      </w:r>
      <w:r>
        <w:rPr>
          <w:spacing w:val="-12"/>
        </w:rPr>
        <w:t> </w:t>
      </w:r>
      <w:r>
        <w:rPr/>
        <w:t>refiere</w:t>
      </w:r>
      <w:r>
        <w:rPr>
          <w:spacing w:val="-13"/>
        </w:rPr>
        <w:t> </w:t>
      </w:r>
      <w:r>
        <w:rPr/>
        <w:t>a</w:t>
      </w:r>
      <w:r>
        <w:rPr>
          <w:spacing w:val="-12"/>
        </w:rPr>
        <w:t> </w:t>
      </w:r>
      <w:r>
        <w:rPr/>
        <w:t>la</w:t>
      </w:r>
      <w:r>
        <w:rPr>
          <w:spacing w:val="-12"/>
        </w:rPr>
        <w:t> </w:t>
      </w:r>
      <w:r>
        <w:rPr/>
        <w:t>sustancia</w:t>
      </w:r>
      <w:r>
        <w:rPr>
          <w:spacing w:val="-9"/>
        </w:rPr>
        <w:t> </w:t>
      </w:r>
      <w:r>
        <w:rPr/>
        <w:t>biológica</w:t>
      </w:r>
      <w:r>
        <w:rPr>
          <w:spacing w:val="-12"/>
        </w:rPr>
        <w:t> </w:t>
      </w:r>
      <w:r>
        <w:rPr/>
        <w:t>que</w:t>
      </w:r>
      <w:r>
        <w:rPr>
          <w:spacing w:val="-12"/>
        </w:rPr>
        <w:t> </w:t>
      </w:r>
      <w:r>
        <w:rPr/>
        <w:t>puede</w:t>
      </w:r>
      <w:r>
        <w:rPr>
          <w:spacing w:val="-12"/>
        </w:rPr>
        <w:t> </w:t>
      </w:r>
      <w:r>
        <w:rPr/>
        <w:t>ser</w:t>
      </w:r>
      <w:r>
        <w:rPr>
          <w:spacing w:val="-9"/>
        </w:rPr>
        <w:t> </w:t>
      </w:r>
      <w:r>
        <w:rPr/>
        <w:t>medida</w:t>
      </w:r>
      <w:r>
        <w:rPr>
          <w:spacing w:val="-12"/>
        </w:rPr>
        <w:t> </w:t>
      </w:r>
      <w:r>
        <w:rPr/>
        <w:t>o</w:t>
      </w:r>
      <w:r>
        <w:rPr>
          <w:spacing w:val="-11"/>
        </w:rPr>
        <w:t> </w:t>
      </w:r>
      <w:r>
        <w:rPr/>
        <w:t>evaluada con el fin de servir como indicador de salud, procesos patológicos, exposición ambiental o farmacológico (23). La saliva como se ha mencionado, contiene biomarcadores de la enfermedad periodontal locales y sistémicos, su identificación no es tan invasiva</w:t>
      </w:r>
      <w:r>
        <w:rPr>
          <w:spacing w:val="-28"/>
        </w:rPr>
        <w:t> </w:t>
      </w:r>
      <w:r>
        <w:rPr/>
        <w:t>comparada con la identificación en suero (24). Los biomarcadores proteínicos salivales específicos han evidenciado</w:t>
      </w:r>
      <w:r>
        <w:rPr>
          <w:spacing w:val="-17"/>
        </w:rPr>
        <w:t> </w:t>
      </w:r>
      <w:r>
        <w:rPr/>
        <w:t>tres</w:t>
      </w:r>
      <w:r>
        <w:rPr>
          <w:spacing w:val="-17"/>
        </w:rPr>
        <w:t> </w:t>
      </w:r>
      <w:r>
        <w:rPr/>
        <w:t>características</w:t>
      </w:r>
      <w:r>
        <w:rPr>
          <w:spacing w:val="-17"/>
        </w:rPr>
        <w:t> </w:t>
      </w:r>
      <w:r>
        <w:rPr/>
        <w:t>patológicas</w:t>
      </w:r>
      <w:r>
        <w:rPr>
          <w:spacing w:val="-14"/>
        </w:rPr>
        <w:t> </w:t>
      </w:r>
      <w:r>
        <w:rPr/>
        <w:t>claves</w:t>
      </w:r>
      <w:r>
        <w:rPr>
          <w:spacing w:val="-12"/>
        </w:rPr>
        <w:t> </w:t>
      </w:r>
      <w:r>
        <w:rPr/>
        <w:t>en</w:t>
      </w:r>
      <w:r>
        <w:rPr>
          <w:spacing w:val="-17"/>
        </w:rPr>
        <w:t> </w:t>
      </w:r>
      <w:r>
        <w:rPr/>
        <w:t>el</w:t>
      </w:r>
      <w:r>
        <w:rPr>
          <w:spacing w:val="-16"/>
        </w:rPr>
        <w:t> </w:t>
      </w:r>
      <w:r>
        <w:rPr/>
        <w:t>proceso</w:t>
      </w:r>
      <w:r>
        <w:rPr>
          <w:spacing w:val="-16"/>
        </w:rPr>
        <w:t> </w:t>
      </w:r>
      <w:r>
        <w:rPr/>
        <w:t>de</w:t>
      </w:r>
      <w:r>
        <w:rPr>
          <w:spacing w:val="-18"/>
        </w:rPr>
        <w:t> </w:t>
      </w:r>
      <w:r>
        <w:rPr/>
        <w:t>la</w:t>
      </w:r>
      <w:r>
        <w:rPr>
          <w:spacing w:val="-15"/>
        </w:rPr>
        <w:t> </w:t>
      </w:r>
      <w:r>
        <w:rPr/>
        <w:t>enfermedad</w:t>
      </w:r>
      <w:r>
        <w:rPr>
          <w:spacing w:val="-17"/>
        </w:rPr>
        <w:t> </w:t>
      </w:r>
      <w:r>
        <w:rPr/>
        <w:t>periodontal tales como: inflamación, degradación del colágeno y recambio óseo</w:t>
      </w:r>
      <w:r>
        <w:rPr>
          <w:spacing w:val="-14"/>
        </w:rPr>
        <w:t> </w:t>
      </w:r>
      <w:r>
        <w:rPr/>
        <w:t>(7).</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9"/>
        <w:jc w:val="both"/>
      </w:pPr>
      <w:r>
        <w:rPr/>
        <w:t>Las enzimas en saliva son originadas por las glándulas salivales, por microorganismos y células epiteliales; las enzimas del tipo proteinasa juegan un papel importante en la destrucción y degradación del tejido periodontal (8).</w:t>
      </w:r>
    </w:p>
    <w:p>
      <w:pPr>
        <w:pStyle w:val="BodyText"/>
      </w:pPr>
    </w:p>
    <w:p>
      <w:pPr>
        <w:pStyle w:val="BodyText"/>
        <w:spacing w:line="360" w:lineRule="auto" w:before="143"/>
        <w:ind w:left="102" w:right="117"/>
        <w:jc w:val="both"/>
      </w:pPr>
      <w:r>
        <w:rPr/>
        <w:t>Durante el desarrollo de la enfermedad periodontal, se puede llegar a identificar tres fases: inflamación, degradación de tejido conectivo y reabsorción ósea. En cada fase de la enfermedad, se localizan biomarcadores específicos. En la etapa de inflamación de la enfermedad</w:t>
      </w:r>
      <w:r>
        <w:rPr>
          <w:spacing w:val="-17"/>
        </w:rPr>
        <w:t> </w:t>
      </w:r>
      <w:r>
        <w:rPr/>
        <w:t>periodontal</w:t>
      </w:r>
      <w:r>
        <w:rPr>
          <w:spacing w:val="-17"/>
        </w:rPr>
        <w:t> </w:t>
      </w:r>
      <w:r>
        <w:rPr/>
        <w:t>se</w:t>
      </w:r>
      <w:r>
        <w:rPr>
          <w:spacing w:val="-18"/>
        </w:rPr>
        <w:t> </w:t>
      </w:r>
      <w:r>
        <w:rPr/>
        <w:t>pueden</w:t>
      </w:r>
      <w:r>
        <w:rPr>
          <w:spacing w:val="-17"/>
        </w:rPr>
        <w:t> </w:t>
      </w:r>
      <w:r>
        <w:rPr/>
        <w:t>identificar</w:t>
      </w:r>
      <w:r>
        <w:rPr>
          <w:spacing w:val="-18"/>
        </w:rPr>
        <w:t> </w:t>
      </w:r>
      <w:r>
        <w:rPr/>
        <w:t>citocinas</w:t>
      </w:r>
      <w:r>
        <w:rPr>
          <w:spacing w:val="-17"/>
        </w:rPr>
        <w:t> </w:t>
      </w:r>
      <w:r>
        <w:rPr/>
        <w:t>como:</w:t>
      </w:r>
      <w:r>
        <w:rPr>
          <w:spacing w:val="-16"/>
        </w:rPr>
        <w:t> </w:t>
      </w:r>
      <w:r>
        <w:rPr/>
        <w:t>prostaglandina</w:t>
      </w:r>
      <w:r>
        <w:rPr>
          <w:spacing w:val="-15"/>
        </w:rPr>
        <w:t> </w:t>
      </w:r>
      <w:r>
        <w:rPr/>
        <w:t>E2,</w:t>
      </w:r>
      <w:r>
        <w:rPr>
          <w:spacing w:val="-17"/>
        </w:rPr>
        <w:t> </w:t>
      </w:r>
      <w:r>
        <w:rPr/>
        <w:t>interleucina (IL)-1, interleucina-6, Factor de Necrosis Tumoral-α (TNF-α), macrófagos, fibroblastos, neutrófilos. A medida que la enfermedad progresa, enzimas como la matriz de metaloproteínas 8, 9, 13 se liberan en el sitio afectado las cuales indicen a una destrucción de colágeno del tejido conectivo y pérdida de hueso alveolar. Conforme va incrementando la severidad de la enfermedad periodontal la IL-1, TNF-α  va aumentando en la saliva</w:t>
      </w:r>
      <w:r>
        <w:rPr>
          <w:spacing w:val="-14"/>
        </w:rPr>
        <w:t> </w:t>
      </w:r>
      <w:r>
        <w:rPr/>
        <w:t>(23).</w:t>
      </w:r>
    </w:p>
    <w:p>
      <w:pPr>
        <w:pStyle w:val="BodyText"/>
      </w:pPr>
    </w:p>
    <w:p>
      <w:pPr>
        <w:pStyle w:val="Heading3"/>
        <w:numPr>
          <w:ilvl w:val="1"/>
          <w:numId w:val="5"/>
        </w:numPr>
        <w:tabs>
          <w:tab w:pos="582" w:val="left" w:leader="none"/>
        </w:tabs>
        <w:spacing w:line="240" w:lineRule="auto" w:before="148" w:after="0"/>
        <w:ind w:left="582" w:right="0" w:hanging="480"/>
        <w:jc w:val="both"/>
      </w:pPr>
      <w:r>
        <w:rPr/>
        <w:t>Diabetes Mellitus Tipo 2</w:t>
      </w:r>
      <w:r>
        <w:rPr>
          <w:spacing w:val="-8"/>
        </w:rPr>
        <w:t> </w:t>
      </w:r>
      <w:r>
        <w:rPr/>
        <w:t>(DM2)</w:t>
      </w:r>
    </w:p>
    <w:p>
      <w:pPr>
        <w:pStyle w:val="BodyText"/>
        <w:rPr>
          <w:b/>
        </w:rPr>
      </w:pPr>
    </w:p>
    <w:p>
      <w:pPr>
        <w:pStyle w:val="BodyText"/>
        <w:spacing w:before="6"/>
        <w:rPr>
          <w:b/>
          <w:sz w:val="23"/>
        </w:rPr>
      </w:pPr>
    </w:p>
    <w:p>
      <w:pPr>
        <w:pStyle w:val="BodyText"/>
        <w:spacing w:line="360" w:lineRule="auto"/>
        <w:ind w:left="102" w:right="115"/>
        <w:jc w:val="both"/>
      </w:pPr>
      <w:r>
        <w:rPr/>
        <w:t>La Organización Mundial de la Salud, reporta que hay más de 346 millones de personas</w:t>
      </w:r>
      <w:r>
        <w:rPr>
          <w:spacing w:val="-23"/>
        </w:rPr>
        <w:t> </w:t>
      </w:r>
      <w:r>
        <w:rPr/>
        <w:t>con diabetes mellitus en el mundo, de estas, el 90% son de tipo 2 (27). De acuerdo con los resultados de la Encuesta Nacional de Salud y Nutrición 2012, en México existen 6.4 millones de personas con diabetes mellitus tipo 2 (DM2)</w:t>
      </w:r>
      <w:r>
        <w:rPr>
          <w:spacing w:val="-13"/>
        </w:rPr>
        <w:t> </w:t>
      </w:r>
      <w:r>
        <w:rPr/>
        <w:t>(28).</w:t>
      </w:r>
    </w:p>
    <w:p>
      <w:pPr>
        <w:pStyle w:val="BodyText"/>
      </w:pPr>
    </w:p>
    <w:p>
      <w:pPr>
        <w:pStyle w:val="BodyText"/>
        <w:spacing w:line="360" w:lineRule="auto" w:before="143"/>
        <w:ind w:left="102" w:right="123"/>
        <w:jc w:val="both"/>
      </w:pPr>
      <w:r>
        <w:rPr/>
        <w:t>Los antecedentes familiares positivos confieren un riesgo 2 a 4 veces mayor de presentar DM2 (29). Si bien los factores genéticos son importantes, debe tenerse en cuenta que la diabetes es una enfermedad muy heterogénea y multifactorial (27).</w:t>
      </w:r>
    </w:p>
    <w:p>
      <w:pPr>
        <w:pStyle w:val="BodyText"/>
      </w:pPr>
    </w:p>
    <w:p>
      <w:pPr>
        <w:pStyle w:val="Heading3"/>
        <w:numPr>
          <w:ilvl w:val="2"/>
          <w:numId w:val="5"/>
        </w:numPr>
        <w:tabs>
          <w:tab w:pos="643" w:val="left" w:leader="none"/>
        </w:tabs>
        <w:spacing w:line="240" w:lineRule="auto" w:before="148" w:after="0"/>
        <w:ind w:left="642" w:right="0" w:hanging="540"/>
        <w:jc w:val="both"/>
      </w:pPr>
      <w:r>
        <w:rPr/>
        <w:t>Fisiopatología</w:t>
      </w:r>
    </w:p>
    <w:p>
      <w:pPr>
        <w:pStyle w:val="BodyText"/>
        <w:spacing w:before="4"/>
        <w:rPr>
          <w:b/>
          <w:sz w:val="32"/>
        </w:rPr>
      </w:pPr>
    </w:p>
    <w:p>
      <w:pPr>
        <w:pStyle w:val="BodyText"/>
        <w:ind w:left="102"/>
        <w:jc w:val="both"/>
      </w:pPr>
      <w:r>
        <w:rPr/>
        <w:t>La diabetes tipo 2 se caracteriza por la coexistencia de dos alteraciones (28):</w:t>
      </w:r>
    </w:p>
    <w:p>
      <w:pPr>
        <w:pStyle w:val="ListParagraph"/>
        <w:numPr>
          <w:ilvl w:val="3"/>
          <w:numId w:val="5"/>
        </w:numPr>
        <w:tabs>
          <w:tab w:pos="821" w:val="left" w:leader="none"/>
          <w:tab w:pos="822" w:val="left" w:leader="none"/>
        </w:tabs>
        <w:spacing w:line="240" w:lineRule="auto" w:before="140" w:after="0"/>
        <w:ind w:left="822" w:right="0" w:hanging="360"/>
        <w:jc w:val="left"/>
        <w:rPr>
          <w:rFonts w:ascii="Symbol" w:hAnsi="Symbol"/>
          <w:sz w:val="32"/>
        </w:rPr>
      </w:pPr>
      <w:r>
        <w:rPr>
          <w:sz w:val="24"/>
        </w:rPr>
        <w:t>Insuficiencia en la secreción de insulina por las células β del</w:t>
      </w:r>
      <w:r>
        <w:rPr>
          <w:spacing w:val="-12"/>
          <w:sz w:val="24"/>
        </w:rPr>
        <w:t> </w:t>
      </w:r>
      <w:r>
        <w:rPr>
          <w:sz w:val="24"/>
        </w:rPr>
        <w:t>páncreas.</w:t>
      </w:r>
    </w:p>
    <w:p>
      <w:pPr>
        <w:pStyle w:val="ListParagraph"/>
        <w:numPr>
          <w:ilvl w:val="3"/>
          <w:numId w:val="5"/>
        </w:numPr>
        <w:tabs>
          <w:tab w:pos="821" w:val="left" w:leader="none"/>
          <w:tab w:pos="822" w:val="left" w:leader="none"/>
        </w:tabs>
        <w:spacing w:line="240" w:lineRule="auto" w:before="119" w:after="0"/>
        <w:ind w:left="822" w:right="0" w:hanging="360"/>
        <w:jc w:val="left"/>
        <w:rPr>
          <w:rFonts w:ascii="Symbol"/>
          <w:sz w:val="32"/>
        </w:rPr>
      </w:pPr>
      <w:r>
        <w:rPr>
          <w:sz w:val="24"/>
        </w:rPr>
        <w:t>Resistencia a la</w:t>
      </w:r>
      <w:r>
        <w:rPr>
          <w:spacing w:val="-6"/>
          <w:sz w:val="24"/>
        </w:rPr>
        <w:t> </w:t>
      </w:r>
      <w:r>
        <w:rPr>
          <w:sz w:val="24"/>
        </w:rPr>
        <w:t>insulina.</w:t>
      </w:r>
    </w:p>
    <w:p>
      <w:pPr>
        <w:spacing w:after="0" w:line="240" w:lineRule="auto"/>
        <w:jc w:val="left"/>
        <w:rPr>
          <w:rFonts w:ascii="Symbol"/>
          <w:sz w:val="32"/>
        </w:rPr>
        <w:sectPr>
          <w:pgSz w:w="12240" w:h="15840"/>
          <w:pgMar w:header="731" w:footer="0" w:top="960" w:bottom="280" w:left="1600" w:right="1580"/>
        </w:sectPr>
      </w:pPr>
    </w:p>
    <w:p>
      <w:pPr>
        <w:pStyle w:val="BodyText"/>
        <w:rPr>
          <w:sz w:val="20"/>
        </w:rPr>
      </w:pPr>
    </w:p>
    <w:p>
      <w:pPr>
        <w:pStyle w:val="BodyText"/>
        <w:spacing w:line="360" w:lineRule="auto" w:before="209"/>
        <w:ind w:left="102" w:right="117"/>
        <w:jc w:val="both"/>
      </w:pPr>
      <w:r>
        <w:rPr/>
        <w:t>La insulina es la hormona clave para la regulación de la glucemia y en general, la normoglucemia se mantiene por el equilibrio entre la acción y la secreción de la insulina (menor</w:t>
      </w:r>
      <w:r>
        <w:rPr>
          <w:spacing w:val="-10"/>
        </w:rPr>
        <w:t> </w:t>
      </w:r>
      <w:r>
        <w:rPr/>
        <w:t>acción,</w:t>
      </w:r>
      <w:r>
        <w:rPr>
          <w:spacing w:val="-9"/>
        </w:rPr>
        <w:t> </w:t>
      </w:r>
      <w:r>
        <w:rPr/>
        <w:t>mayor</w:t>
      </w:r>
      <w:r>
        <w:rPr>
          <w:spacing w:val="-10"/>
        </w:rPr>
        <w:t> </w:t>
      </w:r>
      <w:r>
        <w:rPr/>
        <w:t>secreción</w:t>
      </w:r>
      <w:r>
        <w:rPr>
          <w:spacing w:val="-7"/>
        </w:rPr>
        <w:t> </w:t>
      </w:r>
      <w:r>
        <w:rPr/>
        <w:t>y</w:t>
      </w:r>
      <w:r>
        <w:rPr>
          <w:spacing w:val="-14"/>
        </w:rPr>
        <w:t> </w:t>
      </w:r>
      <w:r>
        <w:rPr/>
        <w:t>viceversa)</w:t>
      </w:r>
      <w:r>
        <w:rPr>
          <w:spacing w:val="-6"/>
        </w:rPr>
        <w:t> </w:t>
      </w:r>
      <w:r>
        <w:rPr/>
        <w:t>y</w:t>
      </w:r>
      <w:r>
        <w:rPr>
          <w:spacing w:val="-17"/>
        </w:rPr>
        <w:t> </w:t>
      </w:r>
      <w:r>
        <w:rPr/>
        <w:t>las</w:t>
      </w:r>
      <w:r>
        <w:rPr>
          <w:spacing w:val="-8"/>
        </w:rPr>
        <w:t> </w:t>
      </w:r>
      <w:r>
        <w:rPr/>
        <w:t>células</w:t>
      </w:r>
      <w:r>
        <w:rPr>
          <w:spacing w:val="-9"/>
        </w:rPr>
        <w:t> </w:t>
      </w:r>
      <w:r>
        <w:rPr/>
        <w:t>beta</w:t>
      </w:r>
      <w:r>
        <w:rPr>
          <w:spacing w:val="-10"/>
        </w:rPr>
        <w:t> </w:t>
      </w:r>
      <w:r>
        <w:rPr/>
        <w:t>pancreáticas</w:t>
      </w:r>
      <w:r>
        <w:rPr>
          <w:spacing w:val="-9"/>
        </w:rPr>
        <w:t> </w:t>
      </w:r>
      <w:r>
        <w:rPr/>
        <w:t>normales</w:t>
      </w:r>
      <w:r>
        <w:rPr>
          <w:spacing w:val="-10"/>
        </w:rPr>
        <w:t> </w:t>
      </w:r>
      <w:r>
        <w:rPr/>
        <w:t>pueden adaptarse a los cambios en la acción de la insulina</w:t>
      </w:r>
      <w:r>
        <w:rPr>
          <w:spacing w:val="-14"/>
        </w:rPr>
        <w:t> </w:t>
      </w:r>
      <w:r>
        <w:rPr/>
        <w:t>(30,31).</w:t>
      </w:r>
    </w:p>
    <w:p>
      <w:pPr>
        <w:pStyle w:val="BodyText"/>
      </w:pPr>
    </w:p>
    <w:p>
      <w:pPr>
        <w:pStyle w:val="BodyText"/>
        <w:spacing w:line="360" w:lineRule="auto" w:before="143"/>
        <w:ind w:left="102" w:right="117"/>
        <w:jc w:val="both"/>
      </w:pPr>
      <w:r>
        <w:rPr/>
        <w:t>La</w:t>
      </w:r>
      <w:r>
        <w:rPr>
          <w:spacing w:val="-6"/>
        </w:rPr>
        <w:t> </w:t>
      </w:r>
      <w:r>
        <w:rPr/>
        <w:t>incapacidad</w:t>
      </w:r>
      <w:r>
        <w:rPr>
          <w:spacing w:val="-5"/>
        </w:rPr>
        <w:t> </w:t>
      </w:r>
      <w:r>
        <w:rPr/>
        <w:t>de</w:t>
      </w:r>
      <w:r>
        <w:rPr>
          <w:spacing w:val="-6"/>
        </w:rPr>
        <w:t> </w:t>
      </w:r>
      <w:r>
        <w:rPr/>
        <w:t>las</w:t>
      </w:r>
      <w:r>
        <w:rPr>
          <w:spacing w:val="-5"/>
        </w:rPr>
        <w:t> </w:t>
      </w:r>
      <w:r>
        <w:rPr/>
        <w:t>células</w:t>
      </w:r>
      <w:r>
        <w:rPr>
          <w:spacing w:val="-5"/>
        </w:rPr>
        <w:t> </w:t>
      </w:r>
      <w:r>
        <w:rPr/>
        <w:t>β</w:t>
      </w:r>
      <w:r>
        <w:rPr>
          <w:spacing w:val="-5"/>
        </w:rPr>
        <w:t> </w:t>
      </w:r>
      <w:r>
        <w:rPr/>
        <w:t>para</w:t>
      </w:r>
      <w:r>
        <w:rPr>
          <w:spacing w:val="-7"/>
        </w:rPr>
        <w:t> </w:t>
      </w:r>
      <w:r>
        <w:rPr/>
        <w:t>seguir</w:t>
      </w:r>
      <w:r>
        <w:rPr>
          <w:spacing w:val="-5"/>
        </w:rPr>
        <w:t> </w:t>
      </w:r>
      <w:r>
        <w:rPr/>
        <w:t>hipersecretando</w:t>
      </w:r>
      <w:r>
        <w:rPr>
          <w:spacing w:val="-5"/>
        </w:rPr>
        <w:t> </w:t>
      </w:r>
      <w:r>
        <w:rPr/>
        <w:t>insulina;</w:t>
      </w:r>
      <w:r>
        <w:rPr>
          <w:spacing w:val="-5"/>
        </w:rPr>
        <w:t> </w:t>
      </w:r>
      <w:r>
        <w:rPr/>
        <w:t>siendo</w:t>
      </w:r>
      <w:r>
        <w:rPr>
          <w:spacing w:val="-5"/>
        </w:rPr>
        <w:t> </w:t>
      </w:r>
      <w:r>
        <w:rPr/>
        <w:t>esta</w:t>
      </w:r>
      <w:r>
        <w:rPr>
          <w:spacing w:val="-5"/>
        </w:rPr>
        <w:t> </w:t>
      </w:r>
      <w:r>
        <w:rPr/>
        <w:t>responsable de la transición de resistencia a la insulina (disminución en la capacidad de la insulina para ejercer su acción biológica) e hiperinsulinismo compensador con normoglucemia, la resistencia a la insulina con hiperinsulinismo no compensador e intolerancia a la glucosa, para terminar en resistencia a la insulina con hiperinsulinismo e hiperglicemia</w:t>
      </w:r>
      <w:r>
        <w:rPr>
          <w:spacing w:val="-16"/>
        </w:rPr>
        <w:t> </w:t>
      </w:r>
      <w:r>
        <w:rPr/>
        <w:t>(32).</w:t>
      </w:r>
    </w:p>
    <w:p>
      <w:pPr>
        <w:pStyle w:val="BodyText"/>
      </w:pPr>
    </w:p>
    <w:p>
      <w:pPr>
        <w:pStyle w:val="BodyText"/>
        <w:spacing w:before="143"/>
        <w:ind w:left="102"/>
        <w:jc w:val="both"/>
      </w:pPr>
      <w:r>
        <w:rPr/>
        <w:t>Existen causas de los trastornos en la secreción de la insulina como (33-37):</w:t>
      </w:r>
    </w:p>
    <w:p>
      <w:pPr>
        <w:pStyle w:val="ListParagraph"/>
        <w:numPr>
          <w:ilvl w:val="3"/>
          <w:numId w:val="5"/>
        </w:numPr>
        <w:tabs>
          <w:tab w:pos="821" w:val="left" w:leader="none"/>
          <w:tab w:pos="822" w:val="left" w:leader="none"/>
        </w:tabs>
        <w:spacing w:line="240" w:lineRule="auto" w:before="136" w:after="0"/>
        <w:ind w:left="822" w:right="0" w:hanging="360"/>
        <w:jc w:val="left"/>
        <w:rPr>
          <w:rFonts w:ascii="Symbol" w:hAnsi="Symbol"/>
          <w:sz w:val="24"/>
        </w:rPr>
      </w:pPr>
      <w:r>
        <w:rPr>
          <w:sz w:val="24"/>
        </w:rPr>
        <w:t>Alteraciones en el volumen de las células</w:t>
      </w:r>
      <w:r>
        <w:rPr>
          <w:spacing w:val="-7"/>
          <w:sz w:val="24"/>
        </w:rPr>
        <w:t> </w:t>
      </w:r>
      <w:r>
        <w:rPr>
          <w:sz w:val="24"/>
        </w:rPr>
        <w:t>β.</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sz w:val="24"/>
        </w:rPr>
      </w:pPr>
      <w:r>
        <w:rPr>
          <w:sz w:val="24"/>
        </w:rPr>
        <w:t>Glucotoxicidad.</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sz w:val="24"/>
        </w:rPr>
      </w:pPr>
      <w:r>
        <w:rPr>
          <w:sz w:val="24"/>
        </w:rPr>
        <w:t>Lipotoxicidad.</w:t>
      </w:r>
    </w:p>
    <w:p>
      <w:pPr>
        <w:pStyle w:val="ListParagraph"/>
        <w:numPr>
          <w:ilvl w:val="3"/>
          <w:numId w:val="5"/>
        </w:numPr>
        <w:tabs>
          <w:tab w:pos="821" w:val="left" w:leader="none"/>
          <w:tab w:pos="822" w:val="left" w:leader="none"/>
        </w:tabs>
        <w:spacing w:line="240" w:lineRule="auto" w:before="135" w:after="0"/>
        <w:ind w:left="822" w:right="0" w:hanging="360"/>
        <w:jc w:val="left"/>
        <w:rPr>
          <w:rFonts w:ascii="Symbol" w:hAnsi="Symbol"/>
          <w:sz w:val="24"/>
        </w:rPr>
      </w:pPr>
      <w:r>
        <w:rPr>
          <w:sz w:val="24"/>
        </w:rPr>
        <w:t>Defectos en la función o en la síntesis de</w:t>
      </w:r>
      <w:r>
        <w:rPr>
          <w:spacing w:val="-11"/>
          <w:sz w:val="24"/>
        </w:rPr>
        <w:t> </w:t>
      </w:r>
      <w:r>
        <w:rPr>
          <w:sz w:val="24"/>
        </w:rPr>
        <w:t>incretinas.</w:t>
      </w:r>
    </w:p>
    <w:p>
      <w:pPr>
        <w:pStyle w:val="BodyText"/>
      </w:pPr>
    </w:p>
    <w:p>
      <w:pPr>
        <w:pStyle w:val="BodyText"/>
        <w:spacing w:before="4"/>
      </w:pPr>
    </w:p>
    <w:p>
      <w:pPr>
        <w:pStyle w:val="Heading3"/>
        <w:numPr>
          <w:ilvl w:val="2"/>
          <w:numId w:val="5"/>
        </w:numPr>
        <w:tabs>
          <w:tab w:pos="643" w:val="left" w:leader="none"/>
        </w:tabs>
        <w:spacing w:line="240" w:lineRule="auto" w:before="0" w:after="0"/>
        <w:ind w:left="642" w:right="0" w:hanging="540"/>
        <w:jc w:val="both"/>
      </w:pPr>
      <w:r>
        <w:rPr/>
        <w:t>Diagnóstico</w:t>
      </w:r>
    </w:p>
    <w:p>
      <w:pPr>
        <w:pStyle w:val="BodyText"/>
        <w:spacing w:before="6"/>
        <w:rPr>
          <w:b/>
          <w:sz w:val="32"/>
        </w:rPr>
      </w:pPr>
    </w:p>
    <w:p>
      <w:pPr>
        <w:pStyle w:val="BodyText"/>
        <w:spacing w:line="360" w:lineRule="auto"/>
        <w:ind w:left="102" w:right="122"/>
        <w:jc w:val="both"/>
      </w:pPr>
      <w:r>
        <w:rPr/>
        <w:t>Para</w:t>
      </w:r>
      <w:r>
        <w:rPr>
          <w:spacing w:val="-15"/>
        </w:rPr>
        <w:t> </w:t>
      </w:r>
      <w:r>
        <w:rPr/>
        <w:t>el</w:t>
      </w:r>
      <w:r>
        <w:rPr>
          <w:spacing w:val="-15"/>
        </w:rPr>
        <w:t> </w:t>
      </w:r>
      <w:r>
        <w:rPr/>
        <w:t>diagnóstico</w:t>
      </w:r>
      <w:r>
        <w:rPr>
          <w:spacing w:val="-16"/>
        </w:rPr>
        <w:t> </w:t>
      </w:r>
      <w:r>
        <w:rPr/>
        <w:t>de</w:t>
      </w:r>
      <w:r>
        <w:rPr>
          <w:spacing w:val="-17"/>
        </w:rPr>
        <w:t> </w:t>
      </w:r>
      <w:r>
        <w:rPr/>
        <w:t>la</w:t>
      </w:r>
      <w:r>
        <w:rPr>
          <w:spacing w:val="-12"/>
        </w:rPr>
        <w:t> </w:t>
      </w:r>
      <w:r>
        <w:rPr/>
        <w:t>diabetes</w:t>
      </w:r>
      <w:r>
        <w:rPr>
          <w:spacing w:val="-16"/>
        </w:rPr>
        <w:t> </w:t>
      </w:r>
      <w:r>
        <w:rPr/>
        <w:t>se</w:t>
      </w:r>
      <w:r>
        <w:rPr>
          <w:spacing w:val="-14"/>
        </w:rPr>
        <w:t> </w:t>
      </w:r>
      <w:r>
        <w:rPr/>
        <w:t>utilizan</w:t>
      </w:r>
      <w:r>
        <w:rPr>
          <w:spacing w:val="-16"/>
        </w:rPr>
        <w:t> </w:t>
      </w:r>
      <w:r>
        <w:rPr/>
        <w:t>los</w:t>
      </w:r>
      <w:r>
        <w:rPr>
          <w:spacing w:val="-15"/>
        </w:rPr>
        <w:t> </w:t>
      </w:r>
      <w:r>
        <w:rPr/>
        <w:t>criterios</w:t>
      </w:r>
      <w:r>
        <w:rPr>
          <w:spacing w:val="-15"/>
        </w:rPr>
        <w:t> </w:t>
      </w:r>
      <w:r>
        <w:rPr/>
        <w:t>actuales</w:t>
      </w:r>
      <w:r>
        <w:rPr>
          <w:spacing w:val="-16"/>
        </w:rPr>
        <w:t> </w:t>
      </w:r>
      <w:r>
        <w:rPr/>
        <w:t>de</w:t>
      </w:r>
      <w:r>
        <w:rPr>
          <w:spacing w:val="-17"/>
        </w:rPr>
        <w:t> </w:t>
      </w:r>
      <w:r>
        <w:rPr/>
        <w:t>la</w:t>
      </w:r>
      <w:r>
        <w:rPr>
          <w:spacing w:val="-14"/>
        </w:rPr>
        <w:t> </w:t>
      </w:r>
      <w:r>
        <w:rPr/>
        <w:t>Asociación</w:t>
      </w:r>
      <w:r>
        <w:rPr>
          <w:spacing w:val="-15"/>
        </w:rPr>
        <w:t> </w:t>
      </w:r>
      <w:r>
        <w:rPr/>
        <w:t>Americana de Diabetes (ADA), los cuales son</w:t>
      </w:r>
      <w:r>
        <w:rPr>
          <w:spacing w:val="-8"/>
        </w:rPr>
        <w:t> </w:t>
      </w:r>
      <w:r>
        <w:rPr/>
        <w:t>(38-40):</w:t>
      </w:r>
    </w:p>
    <w:p>
      <w:pPr>
        <w:pStyle w:val="BodyText"/>
        <w:spacing w:before="4"/>
        <w:rPr>
          <w:sz w:val="21"/>
        </w:rPr>
      </w:pPr>
    </w:p>
    <w:p>
      <w:pPr>
        <w:pStyle w:val="ListParagraph"/>
        <w:numPr>
          <w:ilvl w:val="3"/>
          <w:numId w:val="5"/>
        </w:numPr>
        <w:tabs>
          <w:tab w:pos="821" w:val="left" w:leader="none"/>
          <w:tab w:pos="822" w:val="left" w:leader="none"/>
        </w:tabs>
        <w:spacing w:line="240" w:lineRule="auto" w:before="0" w:after="0"/>
        <w:ind w:left="822" w:right="0" w:hanging="360"/>
        <w:jc w:val="left"/>
        <w:rPr>
          <w:rFonts w:ascii="Symbol" w:hAnsi="Symbol"/>
          <w:sz w:val="24"/>
        </w:rPr>
      </w:pPr>
      <w:r>
        <w:rPr>
          <w:sz w:val="24"/>
        </w:rPr>
        <w:t>Hemoglobina glucosilada ≥</w:t>
      </w:r>
      <w:r>
        <w:rPr>
          <w:spacing w:val="-7"/>
          <w:sz w:val="24"/>
        </w:rPr>
        <w:t> </w:t>
      </w:r>
      <w:r>
        <w:rPr>
          <w:sz w:val="24"/>
        </w:rPr>
        <w:t>6.5%.</w:t>
      </w:r>
    </w:p>
    <w:p>
      <w:pPr>
        <w:pStyle w:val="BodyText"/>
        <w:spacing w:before="7"/>
        <w:rPr>
          <w:sz w:val="32"/>
        </w:rPr>
      </w:pPr>
    </w:p>
    <w:p>
      <w:pPr>
        <w:pStyle w:val="ListParagraph"/>
        <w:numPr>
          <w:ilvl w:val="3"/>
          <w:numId w:val="5"/>
        </w:numPr>
        <w:tabs>
          <w:tab w:pos="821" w:val="left" w:leader="none"/>
          <w:tab w:pos="822" w:val="left" w:leader="none"/>
        </w:tabs>
        <w:spacing w:line="240" w:lineRule="auto" w:before="0" w:after="0"/>
        <w:ind w:left="822" w:right="0" w:hanging="360"/>
        <w:jc w:val="left"/>
        <w:rPr>
          <w:rFonts w:ascii="Symbol" w:hAnsi="Symbol"/>
          <w:sz w:val="24"/>
        </w:rPr>
      </w:pPr>
      <w:r>
        <w:rPr>
          <w:sz w:val="24"/>
        </w:rPr>
        <w:t>Glucosa plasmática en ayuno ≥ 126 mg/dl (7.0</w:t>
      </w:r>
      <w:r>
        <w:rPr>
          <w:spacing w:val="-11"/>
          <w:sz w:val="24"/>
        </w:rPr>
        <w:t> </w:t>
      </w:r>
      <w:r>
        <w:rPr>
          <w:sz w:val="24"/>
        </w:rPr>
        <w:t>mmol/L).</w:t>
      </w:r>
    </w:p>
    <w:p>
      <w:pPr>
        <w:pStyle w:val="BodyText"/>
        <w:spacing w:before="10"/>
        <w:rPr>
          <w:sz w:val="32"/>
        </w:rPr>
      </w:pPr>
    </w:p>
    <w:p>
      <w:pPr>
        <w:pStyle w:val="ListParagraph"/>
        <w:numPr>
          <w:ilvl w:val="3"/>
          <w:numId w:val="5"/>
        </w:numPr>
        <w:tabs>
          <w:tab w:pos="821" w:val="left" w:leader="none"/>
          <w:tab w:pos="822" w:val="left" w:leader="none"/>
        </w:tabs>
        <w:spacing w:line="352" w:lineRule="auto" w:before="0" w:after="0"/>
        <w:ind w:left="822" w:right="121" w:hanging="360"/>
        <w:jc w:val="left"/>
        <w:rPr>
          <w:rFonts w:ascii="Symbol" w:hAnsi="Symbol"/>
          <w:sz w:val="24"/>
        </w:rPr>
      </w:pPr>
      <w:r>
        <w:rPr>
          <w:sz w:val="24"/>
        </w:rPr>
        <w:t>Glucosa plasmática a las 2 horas posterior a ingerir una solución glucosada ≥ 200 mg/dL (11.1 mmol/L) durante una prueba de tolerancia a la</w:t>
      </w:r>
      <w:r>
        <w:rPr>
          <w:spacing w:val="-10"/>
          <w:sz w:val="24"/>
        </w:rPr>
        <w:t> </w:t>
      </w:r>
      <w:r>
        <w:rPr>
          <w:sz w:val="24"/>
        </w:rPr>
        <w:t>glucosa.</w:t>
      </w:r>
    </w:p>
    <w:p>
      <w:pPr>
        <w:pStyle w:val="BodyText"/>
      </w:pPr>
    </w:p>
    <w:p>
      <w:pPr>
        <w:pStyle w:val="BodyText"/>
        <w:rPr>
          <w:sz w:val="34"/>
        </w:rPr>
      </w:pPr>
    </w:p>
    <w:p>
      <w:pPr>
        <w:pStyle w:val="BodyText"/>
        <w:spacing w:line="360" w:lineRule="auto"/>
        <w:ind w:left="102" w:right="122"/>
        <w:jc w:val="both"/>
      </w:pPr>
      <w:r>
        <w:rPr/>
        <w:t>Los pacientes con síntomas clásicos de hiperglicemia o crisis hiperglicémica, presentan concentraciones de glucosa plasmática aleatoria iguales o mayores a 200 mg/dL (11.1 mmol/L) (38).</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8"/>
        <w:jc w:val="both"/>
      </w:pPr>
      <w:r>
        <w:rPr/>
        <w:t>Hasta</w:t>
      </w:r>
      <w:r>
        <w:rPr>
          <w:spacing w:val="-6"/>
        </w:rPr>
        <w:t> </w:t>
      </w:r>
      <w:r>
        <w:rPr/>
        <w:t>la</w:t>
      </w:r>
      <w:r>
        <w:rPr>
          <w:spacing w:val="-7"/>
        </w:rPr>
        <w:t> </w:t>
      </w:r>
      <w:r>
        <w:rPr/>
        <w:t>fecha,</w:t>
      </w:r>
      <w:r>
        <w:rPr>
          <w:spacing w:val="-6"/>
        </w:rPr>
        <w:t> </w:t>
      </w:r>
      <w:r>
        <w:rPr/>
        <w:t>los</w:t>
      </w:r>
      <w:r>
        <w:rPr>
          <w:spacing w:val="-6"/>
        </w:rPr>
        <w:t> </w:t>
      </w:r>
      <w:r>
        <w:rPr/>
        <w:t>investigadores</w:t>
      </w:r>
      <w:r>
        <w:rPr>
          <w:spacing w:val="-6"/>
        </w:rPr>
        <w:t> </w:t>
      </w:r>
      <w:r>
        <w:rPr/>
        <w:t>consideran</w:t>
      </w:r>
      <w:r>
        <w:rPr>
          <w:spacing w:val="-6"/>
        </w:rPr>
        <w:t> </w:t>
      </w:r>
      <w:r>
        <w:rPr/>
        <w:t>que</w:t>
      </w:r>
      <w:r>
        <w:rPr>
          <w:spacing w:val="-7"/>
        </w:rPr>
        <w:t> </w:t>
      </w:r>
      <w:r>
        <w:rPr/>
        <w:t>la</w:t>
      </w:r>
      <w:r>
        <w:rPr>
          <w:spacing w:val="-7"/>
        </w:rPr>
        <w:t> </w:t>
      </w:r>
      <w:r>
        <w:rPr/>
        <w:t>etiología</w:t>
      </w:r>
      <w:r>
        <w:rPr>
          <w:spacing w:val="-7"/>
        </w:rPr>
        <w:t> </w:t>
      </w:r>
      <w:r>
        <w:rPr/>
        <w:t>de</w:t>
      </w:r>
      <w:r>
        <w:rPr>
          <w:spacing w:val="-7"/>
        </w:rPr>
        <w:t> </w:t>
      </w:r>
      <w:r>
        <w:rPr/>
        <w:t>la</w:t>
      </w:r>
      <w:r>
        <w:rPr>
          <w:spacing w:val="-7"/>
        </w:rPr>
        <w:t> </w:t>
      </w:r>
      <w:r>
        <w:rPr/>
        <w:t>diabetes</w:t>
      </w:r>
      <w:r>
        <w:rPr>
          <w:spacing w:val="-4"/>
        </w:rPr>
        <w:t> </w:t>
      </w:r>
      <w:r>
        <w:rPr/>
        <w:t>mellitus</w:t>
      </w:r>
      <w:r>
        <w:rPr>
          <w:spacing w:val="-6"/>
        </w:rPr>
        <w:t> </w:t>
      </w:r>
      <w:r>
        <w:rPr/>
        <w:t>tipo</w:t>
      </w:r>
      <w:r>
        <w:rPr>
          <w:spacing w:val="-9"/>
        </w:rPr>
        <w:t> </w:t>
      </w:r>
      <w:r>
        <w:rPr/>
        <w:t>2</w:t>
      </w:r>
      <w:r>
        <w:rPr>
          <w:spacing w:val="-6"/>
        </w:rPr>
        <w:t> </w:t>
      </w:r>
      <w:r>
        <w:rPr/>
        <w:t>es desconocida. Existen diversas hipótesis que tratan de explicar el origen de esta enfermedad tales</w:t>
      </w:r>
      <w:r>
        <w:rPr>
          <w:spacing w:val="-6"/>
        </w:rPr>
        <w:t> </w:t>
      </w:r>
      <w:r>
        <w:rPr/>
        <w:t>como</w:t>
      </w:r>
      <w:r>
        <w:rPr>
          <w:spacing w:val="-6"/>
        </w:rPr>
        <w:t> </w:t>
      </w:r>
      <w:r>
        <w:rPr/>
        <w:t>que</w:t>
      </w:r>
      <w:r>
        <w:rPr>
          <w:spacing w:val="-5"/>
        </w:rPr>
        <w:t> </w:t>
      </w:r>
      <w:r>
        <w:rPr/>
        <w:t>es</w:t>
      </w:r>
      <w:r>
        <w:rPr>
          <w:spacing w:val="-6"/>
        </w:rPr>
        <w:t> </w:t>
      </w:r>
      <w:r>
        <w:rPr/>
        <w:t>un</w:t>
      </w:r>
      <w:r>
        <w:rPr>
          <w:spacing w:val="-6"/>
        </w:rPr>
        <w:t> </w:t>
      </w:r>
      <w:r>
        <w:rPr/>
        <w:t>desorden</w:t>
      </w:r>
      <w:r>
        <w:rPr>
          <w:spacing w:val="-6"/>
        </w:rPr>
        <w:t> </w:t>
      </w:r>
      <w:r>
        <w:rPr/>
        <w:t>del</w:t>
      </w:r>
      <w:r>
        <w:rPr>
          <w:spacing w:val="-6"/>
        </w:rPr>
        <w:t> </w:t>
      </w:r>
      <w:r>
        <w:rPr/>
        <w:t>hipotálamo</w:t>
      </w:r>
      <w:r>
        <w:rPr>
          <w:spacing w:val="-4"/>
        </w:rPr>
        <w:t> </w:t>
      </w:r>
      <w:r>
        <w:rPr/>
        <w:t>anterior</w:t>
      </w:r>
      <w:r>
        <w:rPr>
          <w:spacing w:val="-2"/>
        </w:rPr>
        <w:t> </w:t>
      </w:r>
      <w:r>
        <w:rPr/>
        <w:t>y</w:t>
      </w:r>
      <w:r>
        <w:rPr>
          <w:spacing w:val="-9"/>
        </w:rPr>
        <w:t> </w:t>
      </w:r>
      <w:r>
        <w:rPr/>
        <w:t>del</w:t>
      </w:r>
      <w:r>
        <w:rPr>
          <w:spacing w:val="-6"/>
        </w:rPr>
        <w:t> </w:t>
      </w:r>
      <w:r>
        <w:rPr/>
        <w:t>páncreas</w:t>
      </w:r>
      <w:r>
        <w:rPr>
          <w:spacing w:val="-4"/>
        </w:rPr>
        <w:t> </w:t>
      </w:r>
      <w:r>
        <w:rPr/>
        <w:t>endocrino</w:t>
      </w:r>
      <w:r>
        <w:rPr>
          <w:spacing w:val="-6"/>
        </w:rPr>
        <w:t> </w:t>
      </w:r>
      <w:r>
        <w:rPr/>
        <w:t>causado</w:t>
      </w:r>
      <w:r>
        <w:rPr>
          <w:spacing w:val="-6"/>
        </w:rPr>
        <w:t> </w:t>
      </w:r>
      <w:r>
        <w:rPr/>
        <w:t>por isquemia</w:t>
      </w:r>
      <w:r>
        <w:rPr>
          <w:spacing w:val="-12"/>
        </w:rPr>
        <w:t> </w:t>
      </w:r>
      <w:r>
        <w:rPr/>
        <w:t>progresiva</w:t>
      </w:r>
      <w:r>
        <w:rPr>
          <w:spacing w:val="-11"/>
        </w:rPr>
        <w:t> </w:t>
      </w:r>
      <w:r>
        <w:rPr/>
        <w:t>o</w:t>
      </w:r>
      <w:r>
        <w:rPr>
          <w:spacing w:val="-11"/>
        </w:rPr>
        <w:t> </w:t>
      </w:r>
      <w:r>
        <w:rPr/>
        <w:t>por</w:t>
      </w:r>
      <w:r>
        <w:rPr>
          <w:spacing w:val="-12"/>
        </w:rPr>
        <w:t> </w:t>
      </w:r>
      <w:r>
        <w:rPr/>
        <w:t>una</w:t>
      </w:r>
      <w:r>
        <w:rPr>
          <w:spacing w:val="-11"/>
        </w:rPr>
        <w:t> </w:t>
      </w:r>
      <w:r>
        <w:rPr/>
        <w:t>innervación</w:t>
      </w:r>
      <w:r>
        <w:rPr>
          <w:spacing w:val="-11"/>
        </w:rPr>
        <w:t> </w:t>
      </w:r>
      <w:r>
        <w:rPr/>
        <w:t>anormal</w:t>
      </w:r>
      <w:r>
        <w:rPr>
          <w:spacing w:val="-11"/>
        </w:rPr>
        <w:t> </w:t>
      </w:r>
      <w:r>
        <w:rPr/>
        <w:t>de</w:t>
      </w:r>
      <w:r>
        <w:rPr>
          <w:spacing w:val="-12"/>
        </w:rPr>
        <w:t> </w:t>
      </w:r>
      <w:r>
        <w:rPr/>
        <w:t>los</w:t>
      </w:r>
      <w:r>
        <w:rPr>
          <w:spacing w:val="-10"/>
        </w:rPr>
        <w:t> </w:t>
      </w:r>
      <w:r>
        <w:rPr/>
        <w:t>islotes</w:t>
      </w:r>
      <w:r>
        <w:rPr>
          <w:spacing w:val="-11"/>
        </w:rPr>
        <w:t> </w:t>
      </w:r>
      <w:r>
        <w:rPr/>
        <w:t>del</w:t>
      </w:r>
      <w:r>
        <w:rPr>
          <w:spacing w:val="-11"/>
        </w:rPr>
        <w:t> </w:t>
      </w:r>
      <w:r>
        <w:rPr/>
        <w:t>páncreas.</w:t>
      </w:r>
      <w:r>
        <w:rPr>
          <w:spacing w:val="-11"/>
        </w:rPr>
        <w:t> </w:t>
      </w:r>
      <w:r>
        <w:rPr/>
        <w:t>Una</w:t>
      </w:r>
      <w:r>
        <w:rPr>
          <w:spacing w:val="-12"/>
        </w:rPr>
        <w:t> </w:t>
      </w:r>
      <w:r>
        <w:rPr/>
        <w:t>respuesta inflamatoria de fase aguda inducida por citocinas está estrechamente vinculada con la generación de resistencia a la insulina y de DM2, así mismo estudios recientes han relacionado a la DM2 y la resistencia a la insulina con la presencia de biomarcadores del sistema inmunitario y de inflamación incluyendo TNF-α, IL-1, IL-6, leptina, adiponectina, resistina y visfatina (17,31,</w:t>
      </w:r>
      <w:r>
        <w:rPr>
          <w:spacing w:val="-6"/>
        </w:rPr>
        <w:t> </w:t>
      </w:r>
      <w:r>
        <w:rPr/>
        <w:t>41).</w:t>
      </w:r>
    </w:p>
    <w:p>
      <w:pPr>
        <w:pStyle w:val="BodyText"/>
      </w:pPr>
    </w:p>
    <w:p>
      <w:pPr>
        <w:pStyle w:val="BodyText"/>
        <w:spacing w:line="360" w:lineRule="auto" w:before="143"/>
        <w:ind w:left="102" w:right="118"/>
        <w:jc w:val="both"/>
      </w:pPr>
      <w:r>
        <w:rPr/>
        <w:t>Desde hace más de 15 años se ha generado evidencia que sustenta la hipótesis de que la inflamación crónica de bajo grado es un factor de riesgo para el desarrollo de DM2, sin embargo aún no se han clarificado totalmente los mecanismos involucrados; las teorías existentes incluyen la liberación de citocinas proinflamatorias (27).</w:t>
      </w:r>
    </w:p>
    <w:p>
      <w:pPr>
        <w:pStyle w:val="BodyText"/>
      </w:pPr>
    </w:p>
    <w:p>
      <w:pPr>
        <w:pStyle w:val="BodyText"/>
        <w:spacing w:line="360" w:lineRule="auto" w:before="143"/>
        <w:ind w:left="102" w:right="117"/>
        <w:jc w:val="both"/>
      </w:pPr>
      <w:r>
        <w:rPr/>
        <w:t>Por otra parte las proteínas de fase aguda y ciertas citocinas como IL-6 y TNF-α se interrelacionan con una gran cantidad de vías metabólicas como la regulación de insulina (31,42).</w:t>
      </w:r>
    </w:p>
    <w:p>
      <w:pPr>
        <w:pStyle w:val="BodyText"/>
      </w:pPr>
    </w:p>
    <w:p>
      <w:pPr>
        <w:pStyle w:val="Heading3"/>
        <w:numPr>
          <w:ilvl w:val="2"/>
          <w:numId w:val="5"/>
        </w:numPr>
        <w:tabs>
          <w:tab w:pos="643" w:val="left" w:leader="none"/>
        </w:tabs>
        <w:spacing w:line="240" w:lineRule="auto" w:before="148" w:after="0"/>
        <w:ind w:left="642" w:right="0" w:hanging="540"/>
        <w:jc w:val="both"/>
      </w:pPr>
      <w:r>
        <w:rPr/>
        <w:t>Citocinas</w:t>
      </w:r>
    </w:p>
    <w:p>
      <w:pPr>
        <w:pStyle w:val="BodyText"/>
        <w:rPr>
          <w:b/>
        </w:rPr>
      </w:pPr>
    </w:p>
    <w:p>
      <w:pPr>
        <w:pStyle w:val="BodyText"/>
        <w:spacing w:before="6"/>
        <w:rPr>
          <w:b/>
          <w:sz w:val="23"/>
        </w:rPr>
      </w:pPr>
    </w:p>
    <w:p>
      <w:pPr>
        <w:pStyle w:val="BodyText"/>
        <w:spacing w:line="360" w:lineRule="auto"/>
        <w:ind w:left="102" w:right="119"/>
        <w:jc w:val="both"/>
      </w:pPr>
      <w:r>
        <w:rPr/>
        <w:t>Las citocinas son un amplio grupo de moléculas de bajo peso molecular capaces de regular la respuesta inmunitaria, aunque también pueden poseer otras muchas funciones como en embriogénesis,</w:t>
      </w:r>
      <w:r>
        <w:rPr>
          <w:spacing w:val="-7"/>
        </w:rPr>
        <w:t> </w:t>
      </w:r>
      <w:r>
        <w:rPr/>
        <w:t>diferenciación</w:t>
      </w:r>
      <w:r>
        <w:rPr>
          <w:spacing w:val="-3"/>
        </w:rPr>
        <w:t> </w:t>
      </w:r>
      <w:r>
        <w:rPr/>
        <w:t>y</w:t>
      </w:r>
      <w:r>
        <w:rPr>
          <w:spacing w:val="-12"/>
        </w:rPr>
        <w:t> </w:t>
      </w:r>
      <w:r>
        <w:rPr/>
        <w:t>migración</w:t>
      </w:r>
      <w:r>
        <w:rPr>
          <w:spacing w:val="-7"/>
        </w:rPr>
        <w:t> </w:t>
      </w:r>
      <w:r>
        <w:rPr/>
        <w:t>celular</w:t>
      </w:r>
      <w:r>
        <w:rPr>
          <w:spacing w:val="-6"/>
        </w:rPr>
        <w:t> </w:t>
      </w:r>
      <w:r>
        <w:rPr/>
        <w:t>entre</w:t>
      </w:r>
      <w:r>
        <w:rPr>
          <w:spacing w:val="-8"/>
        </w:rPr>
        <w:t> </w:t>
      </w:r>
      <w:r>
        <w:rPr/>
        <w:t>otras.</w:t>
      </w:r>
      <w:r>
        <w:rPr>
          <w:spacing w:val="-7"/>
        </w:rPr>
        <w:t> </w:t>
      </w:r>
      <w:r>
        <w:rPr/>
        <w:t>Son</w:t>
      </w:r>
      <w:r>
        <w:rPr>
          <w:spacing w:val="-7"/>
        </w:rPr>
        <w:t> </w:t>
      </w:r>
      <w:r>
        <w:rPr/>
        <w:t>péptidos</w:t>
      </w:r>
      <w:r>
        <w:rPr>
          <w:spacing w:val="-5"/>
        </w:rPr>
        <w:t> </w:t>
      </w:r>
      <w:r>
        <w:rPr/>
        <w:t>producidos</w:t>
      </w:r>
      <w:r>
        <w:rPr>
          <w:spacing w:val="-7"/>
        </w:rPr>
        <w:t> </w:t>
      </w:r>
      <w:r>
        <w:rPr/>
        <w:t>en</w:t>
      </w:r>
      <w:r>
        <w:rPr>
          <w:spacing w:val="-5"/>
        </w:rPr>
        <w:t> </w:t>
      </w:r>
      <w:r>
        <w:rPr/>
        <w:t>el tejido</w:t>
      </w:r>
      <w:r>
        <w:rPr>
          <w:spacing w:val="-15"/>
        </w:rPr>
        <w:t> </w:t>
      </w:r>
      <w:r>
        <w:rPr/>
        <w:t>inflamatorio,</w:t>
      </w:r>
      <w:r>
        <w:rPr>
          <w:spacing w:val="-15"/>
        </w:rPr>
        <w:t> </w:t>
      </w:r>
      <w:r>
        <w:rPr/>
        <w:t>el</w:t>
      </w:r>
      <w:r>
        <w:rPr>
          <w:spacing w:val="-13"/>
        </w:rPr>
        <w:t> </w:t>
      </w:r>
      <w:r>
        <w:rPr/>
        <w:t>tejido</w:t>
      </w:r>
      <w:r>
        <w:rPr>
          <w:spacing w:val="-15"/>
        </w:rPr>
        <w:t> </w:t>
      </w:r>
      <w:r>
        <w:rPr/>
        <w:t>conectivo</w:t>
      </w:r>
      <w:r>
        <w:rPr>
          <w:spacing w:val="-12"/>
        </w:rPr>
        <w:t> </w:t>
      </w:r>
      <w:r>
        <w:rPr/>
        <w:t>y</w:t>
      </w:r>
      <w:r>
        <w:rPr>
          <w:spacing w:val="-21"/>
        </w:rPr>
        <w:t> </w:t>
      </w:r>
      <w:r>
        <w:rPr/>
        <w:t>las</w:t>
      </w:r>
      <w:r>
        <w:rPr>
          <w:spacing w:val="-13"/>
        </w:rPr>
        <w:t> </w:t>
      </w:r>
      <w:r>
        <w:rPr/>
        <w:t>células</w:t>
      </w:r>
      <w:r>
        <w:rPr>
          <w:spacing w:val="-13"/>
        </w:rPr>
        <w:t> </w:t>
      </w:r>
      <w:r>
        <w:rPr/>
        <w:t>del</w:t>
      </w:r>
      <w:r>
        <w:rPr>
          <w:spacing w:val="-15"/>
        </w:rPr>
        <w:t> </w:t>
      </w:r>
      <w:r>
        <w:rPr/>
        <w:t>sistema</w:t>
      </w:r>
      <w:r>
        <w:rPr>
          <w:spacing w:val="-15"/>
        </w:rPr>
        <w:t> </w:t>
      </w:r>
      <w:r>
        <w:rPr/>
        <w:t>inmunitario;</w:t>
      </w:r>
      <w:r>
        <w:rPr>
          <w:spacing w:val="-16"/>
        </w:rPr>
        <w:t> </w:t>
      </w:r>
      <w:r>
        <w:rPr/>
        <w:t>todas</w:t>
      </w:r>
      <w:r>
        <w:rPr>
          <w:spacing w:val="-16"/>
        </w:rPr>
        <w:t> </w:t>
      </w:r>
      <w:r>
        <w:rPr/>
        <w:t>ellas</w:t>
      </w:r>
      <w:r>
        <w:rPr>
          <w:spacing w:val="-13"/>
        </w:rPr>
        <w:t> </w:t>
      </w:r>
      <w:r>
        <w:rPr/>
        <w:t>tienen efectos autócrinos, parácrinos y</w:t>
      </w:r>
      <w:r>
        <w:rPr>
          <w:spacing w:val="-9"/>
        </w:rPr>
        <w:t> </w:t>
      </w:r>
      <w:r>
        <w:rPr/>
        <w:t>endócrinos.</w:t>
      </w:r>
    </w:p>
    <w:p>
      <w:pPr>
        <w:pStyle w:val="BodyText"/>
      </w:pPr>
    </w:p>
    <w:p>
      <w:pPr>
        <w:pStyle w:val="BodyText"/>
        <w:spacing w:line="360" w:lineRule="auto" w:before="143"/>
        <w:ind w:left="102" w:right="121"/>
        <w:jc w:val="both"/>
      </w:pPr>
      <w:r>
        <w:rPr/>
        <w:t>Las interleucinas (ILs) son secretadas por los leucocitos y estimulan la respuesta celular. Se han</w:t>
      </w:r>
      <w:r>
        <w:rPr>
          <w:spacing w:val="-11"/>
        </w:rPr>
        <w:t> </w:t>
      </w:r>
      <w:r>
        <w:rPr/>
        <w:t>identificado</w:t>
      </w:r>
      <w:r>
        <w:rPr>
          <w:spacing w:val="-11"/>
        </w:rPr>
        <w:t> </w:t>
      </w:r>
      <w:r>
        <w:rPr/>
        <w:t>más</w:t>
      </w:r>
      <w:r>
        <w:rPr>
          <w:spacing w:val="-11"/>
        </w:rPr>
        <w:t> </w:t>
      </w:r>
      <w:r>
        <w:rPr/>
        <w:t>de</w:t>
      </w:r>
      <w:r>
        <w:rPr>
          <w:spacing w:val="-12"/>
        </w:rPr>
        <w:t> </w:t>
      </w:r>
      <w:r>
        <w:rPr/>
        <w:t>50</w:t>
      </w:r>
      <w:r>
        <w:rPr>
          <w:spacing w:val="-11"/>
        </w:rPr>
        <w:t> </w:t>
      </w:r>
      <w:r>
        <w:rPr/>
        <w:t>citocinas</w:t>
      </w:r>
      <w:r>
        <w:rPr>
          <w:spacing w:val="-9"/>
        </w:rPr>
        <w:t> </w:t>
      </w:r>
      <w:r>
        <w:rPr/>
        <w:t>y</w:t>
      </w:r>
      <w:r>
        <w:rPr>
          <w:spacing w:val="-16"/>
        </w:rPr>
        <w:t> </w:t>
      </w:r>
      <w:r>
        <w:rPr/>
        <w:t>la</w:t>
      </w:r>
      <w:r>
        <w:rPr>
          <w:spacing w:val="-12"/>
        </w:rPr>
        <w:t> </w:t>
      </w:r>
      <w:r>
        <w:rPr/>
        <w:t>superfamilia</w:t>
      </w:r>
      <w:r>
        <w:rPr>
          <w:spacing w:val="-12"/>
        </w:rPr>
        <w:t> </w:t>
      </w:r>
      <w:r>
        <w:rPr/>
        <w:t>de</w:t>
      </w:r>
      <w:r>
        <w:rPr>
          <w:spacing w:val="-12"/>
        </w:rPr>
        <w:t> </w:t>
      </w:r>
      <w:r>
        <w:rPr/>
        <w:t>las</w:t>
      </w:r>
      <w:r>
        <w:rPr>
          <w:spacing w:val="-11"/>
        </w:rPr>
        <w:t> </w:t>
      </w:r>
      <w:r>
        <w:rPr/>
        <w:t>citocinas</w:t>
      </w:r>
      <w:r>
        <w:rPr>
          <w:spacing w:val="-11"/>
        </w:rPr>
        <w:t> </w:t>
      </w:r>
      <w:r>
        <w:rPr/>
        <w:t>incluye</w:t>
      </w:r>
      <w:r>
        <w:rPr>
          <w:spacing w:val="-12"/>
        </w:rPr>
        <w:t> </w:t>
      </w:r>
      <w:r>
        <w:rPr/>
        <w:t>7</w:t>
      </w:r>
      <w:r>
        <w:rPr>
          <w:spacing w:val="-11"/>
        </w:rPr>
        <w:t> </w:t>
      </w:r>
      <w:r>
        <w:rPr/>
        <w:t>familias:</w:t>
      </w:r>
      <w:r>
        <w:rPr>
          <w:spacing w:val="-8"/>
        </w:rPr>
        <w:t> </w:t>
      </w:r>
      <w:r>
        <w:rPr/>
        <w:t>ILs, quimiocinas,</w:t>
      </w:r>
      <w:r>
        <w:rPr>
          <w:spacing w:val="-17"/>
        </w:rPr>
        <w:t> </w:t>
      </w:r>
      <w:r>
        <w:rPr/>
        <w:t>factores</w:t>
      </w:r>
      <w:r>
        <w:rPr>
          <w:spacing w:val="-17"/>
        </w:rPr>
        <w:t> </w:t>
      </w:r>
      <w:r>
        <w:rPr/>
        <w:t>estimulantes</w:t>
      </w:r>
      <w:r>
        <w:rPr>
          <w:spacing w:val="-17"/>
        </w:rPr>
        <w:t> </w:t>
      </w:r>
      <w:r>
        <w:rPr/>
        <w:t>de</w:t>
      </w:r>
      <w:r>
        <w:rPr>
          <w:spacing w:val="-18"/>
        </w:rPr>
        <w:t> </w:t>
      </w:r>
      <w:r>
        <w:rPr/>
        <w:t>colonias,</w:t>
      </w:r>
      <w:r>
        <w:rPr>
          <w:spacing w:val="-14"/>
        </w:rPr>
        <w:t> </w:t>
      </w:r>
      <w:r>
        <w:rPr/>
        <w:t>factores</w:t>
      </w:r>
      <w:r>
        <w:rPr>
          <w:spacing w:val="-17"/>
        </w:rPr>
        <w:t> </w:t>
      </w:r>
      <w:r>
        <w:rPr/>
        <w:t>de</w:t>
      </w:r>
      <w:r>
        <w:rPr>
          <w:spacing w:val="-15"/>
        </w:rPr>
        <w:t> </w:t>
      </w:r>
      <w:r>
        <w:rPr/>
        <w:t>crecimiento,</w:t>
      </w:r>
      <w:r>
        <w:rPr>
          <w:spacing w:val="-17"/>
        </w:rPr>
        <w:t> </w:t>
      </w:r>
      <w:r>
        <w:rPr/>
        <w:t>interferones,</w:t>
      </w:r>
      <w:r>
        <w:rPr>
          <w:spacing w:val="-14"/>
        </w:rPr>
        <w:t> </w:t>
      </w:r>
      <w:r>
        <w:rPr/>
        <w:t>factores de crecimiento transformante y factores de necrosis tumoral</w:t>
      </w:r>
      <w:r>
        <w:rPr>
          <w:spacing w:val="-11"/>
        </w:rPr>
        <w:t> </w:t>
      </w:r>
      <w:r>
        <w:rPr/>
        <w:t>(43,44).</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9"/>
        <w:jc w:val="both"/>
      </w:pPr>
      <w:r>
        <w:rPr/>
        <w:t>En relación con la respuesta inflamatoria algunas citocinas favorecen el desarrollo de la misma (citocinas proinflamatorias) mientras que otras ejercen un efecto supresor de la inflamación (citocinas antiinflamatorias) (5, 44). El mecanismo indirecto de los mediadores de</w:t>
      </w:r>
      <w:r>
        <w:rPr>
          <w:spacing w:val="-10"/>
        </w:rPr>
        <w:t> </w:t>
      </w:r>
      <w:r>
        <w:rPr/>
        <w:t>inflamación</w:t>
      </w:r>
      <w:r>
        <w:rPr>
          <w:spacing w:val="-7"/>
        </w:rPr>
        <w:t> </w:t>
      </w:r>
      <w:r>
        <w:rPr/>
        <w:t>como</w:t>
      </w:r>
      <w:r>
        <w:rPr>
          <w:spacing w:val="-8"/>
        </w:rPr>
        <w:t> </w:t>
      </w:r>
      <w:r>
        <w:rPr/>
        <w:t>la</w:t>
      </w:r>
      <w:r>
        <w:rPr>
          <w:spacing w:val="-9"/>
        </w:rPr>
        <w:t> </w:t>
      </w:r>
      <w:r>
        <w:rPr/>
        <w:t>citocinas</w:t>
      </w:r>
      <w:r>
        <w:rPr>
          <w:spacing w:val="-9"/>
        </w:rPr>
        <w:t> </w:t>
      </w:r>
      <w:r>
        <w:rPr/>
        <w:t>inflamatorias,</w:t>
      </w:r>
      <w:r>
        <w:rPr>
          <w:spacing w:val="43"/>
        </w:rPr>
        <w:t> </w:t>
      </w:r>
      <w:r>
        <w:rPr/>
        <w:t>se</w:t>
      </w:r>
      <w:r>
        <w:rPr>
          <w:spacing w:val="-7"/>
        </w:rPr>
        <w:t> </w:t>
      </w:r>
      <w:r>
        <w:rPr/>
        <w:t>encargan</w:t>
      </w:r>
      <w:r>
        <w:rPr>
          <w:spacing w:val="-9"/>
        </w:rPr>
        <w:t> </w:t>
      </w:r>
      <w:r>
        <w:rPr/>
        <w:t>de</w:t>
      </w:r>
      <w:r>
        <w:rPr>
          <w:spacing w:val="-7"/>
        </w:rPr>
        <w:t> </w:t>
      </w:r>
      <w:r>
        <w:rPr/>
        <w:t>la</w:t>
      </w:r>
      <w:r>
        <w:rPr>
          <w:spacing w:val="-9"/>
        </w:rPr>
        <w:t> </w:t>
      </w:r>
      <w:r>
        <w:rPr/>
        <w:t>respuesta</w:t>
      </w:r>
      <w:r>
        <w:rPr>
          <w:spacing w:val="-7"/>
        </w:rPr>
        <w:t> </w:t>
      </w:r>
      <w:r>
        <w:rPr/>
        <w:t>bacteriana</w:t>
      </w:r>
      <w:r>
        <w:rPr>
          <w:spacing w:val="-10"/>
        </w:rPr>
        <w:t> </w:t>
      </w:r>
      <w:r>
        <w:rPr/>
        <w:t>en</w:t>
      </w:r>
      <w:r>
        <w:rPr>
          <w:spacing w:val="-9"/>
        </w:rPr>
        <w:t> </w:t>
      </w:r>
      <w:r>
        <w:rPr/>
        <w:t>las células de tejido gingival</w:t>
      </w:r>
      <w:r>
        <w:rPr>
          <w:spacing w:val="-6"/>
        </w:rPr>
        <w:t> </w:t>
      </w:r>
      <w:r>
        <w:rPr/>
        <w:t>(12).</w:t>
      </w:r>
    </w:p>
    <w:p>
      <w:pPr>
        <w:pStyle w:val="BodyText"/>
      </w:pPr>
    </w:p>
    <w:p>
      <w:pPr>
        <w:pStyle w:val="BodyText"/>
        <w:spacing w:line="360" w:lineRule="auto" w:before="143"/>
        <w:ind w:left="102" w:right="118"/>
        <w:jc w:val="both"/>
      </w:pPr>
      <w:r>
        <w:rPr/>
        <w:t>Las citocinas involucradas en la respuesta inflamatoria son las IL 1,6, 11, 18, TNF-α. Sin embargo en el periodonto las señales de TNF-α y de las IL-1, IL-2, IL-6, IL-7, IL-11,</w:t>
      </w:r>
      <w:r>
        <w:rPr>
          <w:spacing w:val="-38"/>
        </w:rPr>
        <w:t> </w:t>
      </w:r>
      <w:r>
        <w:rPr/>
        <w:t>IL-15, IL-17 también estimulan la pérdida ósea</w:t>
      </w:r>
      <w:r>
        <w:rPr>
          <w:spacing w:val="-11"/>
        </w:rPr>
        <w:t> </w:t>
      </w:r>
      <w:r>
        <w:rPr/>
        <w:t>(12).</w:t>
      </w:r>
    </w:p>
    <w:p>
      <w:pPr>
        <w:pStyle w:val="BodyText"/>
      </w:pPr>
    </w:p>
    <w:p>
      <w:pPr>
        <w:pStyle w:val="BodyText"/>
        <w:spacing w:before="4"/>
        <w:rPr>
          <w:sz w:val="33"/>
        </w:rPr>
      </w:pPr>
    </w:p>
    <w:p>
      <w:pPr>
        <w:pStyle w:val="BodyText"/>
        <w:spacing w:line="360" w:lineRule="auto"/>
        <w:ind w:left="102" w:right="119"/>
        <w:jc w:val="both"/>
      </w:pPr>
      <w:r>
        <w:rPr/>
        <w:t>Una de las citocinas que se ha asociado tanto a resistencia a la insulina como a la diabetes mellitus tipo 2 y enfermedad periodontal es la IL-6 que se describe brevemente a continuación.</w:t>
      </w:r>
    </w:p>
    <w:p>
      <w:pPr>
        <w:pStyle w:val="BodyText"/>
      </w:pPr>
    </w:p>
    <w:p>
      <w:pPr>
        <w:pStyle w:val="Heading3"/>
        <w:numPr>
          <w:ilvl w:val="2"/>
          <w:numId w:val="5"/>
        </w:numPr>
        <w:tabs>
          <w:tab w:pos="642" w:val="left" w:leader="none"/>
        </w:tabs>
        <w:spacing w:line="240" w:lineRule="auto" w:before="148" w:after="0"/>
        <w:ind w:left="642" w:right="0" w:hanging="540"/>
        <w:jc w:val="both"/>
      </w:pPr>
      <w:r>
        <w:rPr/>
        <w:t>Interleucina 6</w:t>
      </w:r>
      <w:r>
        <w:rPr>
          <w:spacing w:val="-4"/>
        </w:rPr>
        <w:t> </w:t>
      </w:r>
      <w:r>
        <w:rPr/>
        <w:t>(IL-6)</w:t>
      </w:r>
    </w:p>
    <w:p>
      <w:pPr>
        <w:pStyle w:val="BodyText"/>
        <w:rPr>
          <w:b/>
        </w:rPr>
      </w:pPr>
    </w:p>
    <w:p>
      <w:pPr>
        <w:pStyle w:val="BodyText"/>
        <w:spacing w:before="7"/>
        <w:rPr>
          <w:b/>
          <w:sz w:val="23"/>
        </w:rPr>
      </w:pPr>
    </w:p>
    <w:p>
      <w:pPr>
        <w:pStyle w:val="BodyText"/>
        <w:spacing w:line="360" w:lineRule="auto"/>
        <w:ind w:left="102" w:right="116"/>
        <w:jc w:val="both"/>
      </w:pPr>
      <w:r>
        <w:rPr/>
        <w:t>La IL-6 es una citocina proinflamatoria y multifuncional. Es sintetizada en respuesta a estímulos tales como la infección o trauma, por una gran variedad de células como los macrófagos, neutrofilos, queratinocitos, fibroblastos y células endoteliales (2,13, 19, 27,45</w:t>
      </w:r>
      <w:r>
        <w:rPr>
          <w:b/>
        </w:rPr>
        <w:t>- </w:t>
      </w:r>
      <w:r>
        <w:rPr/>
        <w:t>47).</w:t>
      </w:r>
    </w:p>
    <w:p>
      <w:pPr>
        <w:pStyle w:val="BodyText"/>
      </w:pPr>
    </w:p>
    <w:p>
      <w:pPr>
        <w:pStyle w:val="BodyText"/>
        <w:spacing w:line="360" w:lineRule="auto" w:before="143"/>
        <w:ind w:left="102" w:right="121"/>
        <w:jc w:val="both"/>
      </w:pPr>
      <w:r>
        <w:rPr/>
        <w:t>Se ha identificado en las células B y T, células hematopoyéticas, hepáticas y células nerviosas. La IL-6 realiza la estimulación e inhibición del crecimiento celular, inducción y diferenciación de las células (46, 48).</w:t>
      </w:r>
    </w:p>
    <w:p>
      <w:pPr>
        <w:pStyle w:val="BodyText"/>
      </w:pPr>
    </w:p>
    <w:p>
      <w:pPr>
        <w:pStyle w:val="BodyText"/>
        <w:spacing w:before="143"/>
        <w:ind w:left="102"/>
        <w:jc w:val="both"/>
      </w:pPr>
      <w:r>
        <w:rPr/>
        <w:t>La múltiple actividad biológica de la IL-6 incluye (45, 48):</w:t>
      </w:r>
    </w:p>
    <w:p>
      <w:pPr>
        <w:pStyle w:val="ListParagraph"/>
        <w:numPr>
          <w:ilvl w:val="3"/>
          <w:numId w:val="5"/>
        </w:numPr>
        <w:tabs>
          <w:tab w:pos="821" w:val="left" w:leader="none"/>
          <w:tab w:pos="822" w:val="left" w:leader="none"/>
        </w:tabs>
        <w:spacing w:line="240" w:lineRule="auto" w:before="136" w:after="0"/>
        <w:ind w:left="822" w:right="0" w:hanging="360"/>
        <w:jc w:val="left"/>
        <w:rPr>
          <w:rFonts w:ascii="Symbol" w:hAnsi="Symbol"/>
          <w:sz w:val="24"/>
        </w:rPr>
      </w:pPr>
      <w:r>
        <w:rPr>
          <w:sz w:val="24"/>
        </w:rPr>
        <w:t>Inducción y diferenciación</w:t>
      </w:r>
      <w:r>
        <w:rPr>
          <w:spacing w:val="-8"/>
          <w:sz w:val="24"/>
        </w:rPr>
        <w:t> </w:t>
      </w:r>
      <w:r>
        <w:rPr>
          <w:sz w:val="24"/>
        </w:rPr>
        <w:t>celular</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Inducción de células B diferenciación o secreción de</w:t>
      </w:r>
      <w:r>
        <w:rPr>
          <w:spacing w:val="-17"/>
          <w:sz w:val="24"/>
        </w:rPr>
        <w:t> </w:t>
      </w:r>
      <w:r>
        <w:rPr>
          <w:sz w:val="24"/>
        </w:rPr>
        <w:t>inmunoglobulinas</w:t>
      </w:r>
    </w:p>
    <w:p>
      <w:pPr>
        <w:pStyle w:val="ListParagraph"/>
        <w:numPr>
          <w:ilvl w:val="3"/>
          <w:numId w:val="5"/>
        </w:numPr>
        <w:tabs>
          <w:tab w:pos="821" w:val="left" w:leader="none"/>
          <w:tab w:pos="822" w:val="left" w:leader="none"/>
        </w:tabs>
        <w:spacing w:line="240" w:lineRule="auto" w:before="135" w:after="0"/>
        <w:ind w:left="822" w:right="0" w:hanging="360"/>
        <w:jc w:val="left"/>
        <w:rPr>
          <w:rFonts w:ascii="Symbol" w:hAnsi="Symbol"/>
          <w:sz w:val="24"/>
        </w:rPr>
      </w:pPr>
      <w:r>
        <w:rPr>
          <w:sz w:val="24"/>
        </w:rPr>
        <w:t>Inducción de la síntesis de</w:t>
      </w:r>
      <w:r>
        <w:rPr>
          <w:spacing w:val="-8"/>
          <w:sz w:val="24"/>
        </w:rPr>
        <w:t> </w:t>
      </w:r>
      <w:r>
        <w:rPr>
          <w:sz w:val="24"/>
        </w:rPr>
        <w:t>proteínas</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Inducción de células de diferenciación T</w:t>
      </w:r>
      <w:r>
        <w:rPr>
          <w:spacing w:val="-11"/>
          <w:sz w:val="24"/>
        </w:rPr>
        <w:t> </w:t>
      </w:r>
      <w:r>
        <w:rPr>
          <w:sz w:val="24"/>
        </w:rPr>
        <w:t>citotóxicas</w:t>
      </w:r>
    </w:p>
    <w:p>
      <w:pPr>
        <w:spacing w:after="0" w:line="240" w:lineRule="auto"/>
        <w:jc w:val="left"/>
        <w:rPr>
          <w:rFonts w:ascii="Symbol" w:hAnsi="Symbol"/>
          <w:sz w:val="24"/>
        </w:rPr>
        <w:sectPr>
          <w:pgSz w:w="12240" w:h="15840"/>
          <w:pgMar w:header="731" w:footer="0" w:top="960" w:bottom="280" w:left="1600" w:right="1580"/>
        </w:sectPr>
      </w:pPr>
    </w:p>
    <w:p>
      <w:pPr>
        <w:pStyle w:val="BodyText"/>
        <w:rPr>
          <w:sz w:val="20"/>
        </w:rPr>
      </w:pPr>
    </w:p>
    <w:p>
      <w:pPr>
        <w:pStyle w:val="ListParagraph"/>
        <w:numPr>
          <w:ilvl w:val="3"/>
          <w:numId w:val="5"/>
        </w:numPr>
        <w:tabs>
          <w:tab w:pos="821" w:val="left" w:leader="none"/>
          <w:tab w:pos="822" w:val="left" w:leader="none"/>
        </w:tabs>
        <w:spacing w:line="240" w:lineRule="auto" w:before="209" w:after="0"/>
        <w:ind w:left="822" w:right="0" w:hanging="360"/>
        <w:jc w:val="left"/>
        <w:rPr>
          <w:rFonts w:ascii="Symbol" w:hAnsi="Symbol"/>
          <w:sz w:val="24"/>
        </w:rPr>
      </w:pPr>
      <w:r>
        <w:rPr>
          <w:sz w:val="24"/>
        </w:rPr>
        <w:t>Inducción, producción de IL-2 y receptores de</w:t>
      </w:r>
      <w:r>
        <w:rPr>
          <w:spacing w:val="-10"/>
          <w:sz w:val="24"/>
        </w:rPr>
        <w:t> </w:t>
      </w:r>
      <w:r>
        <w:rPr>
          <w:sz w:val="24"/>
        </w:rPr>
        <w:t>IL-2</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Inducción y diferenciación de</w:t>
      </w:r>
      <w:r>
        <w:rPr>
          <w:spacing w:val="-10"/>
          <w:sz w:val="24"/>
        </w:rPr>
        <w:t> </w:t>
      </w:r>
      <w:r>
        <w:rPr>
          <w:sz w:val="24"/>
        </w:rPr>
        <w:t>macrófagos</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Inducción y diferenciación de células</w:t>
      </w:r>
      <w:r>
        <w:rPr>
          <w:spacing w:val="-9"/>
          <w:sz w:val="24"/>
        </w:rPr>
        <w:t> </w:t>
      </w:r>
      <w:r>
        <w:rPr>
          <w:sz w:val="24"/>
        </w:rPr>
        <w:t>nerviosas</w:t>
      </w:r>
    </w:p>
    <w:p>
      <w:pPr>
        <w:pStyle w:val="ListParagraph"/>
        <w:numPr>
          <w:ilvl w:val="3"/>
          <w:numId w:val="5"/>
        </w:numPr>
        <w:tabs>
          <w:tab w:pos="821" w:val="left" w:leader="none"/>
          <w:tab w:pos="822" w:val="left" w:leader="none"/>
        </w:tabs>
        <w:spacing w:line="240" w:lineRule="auto" w:before="135" w:after="0"/>
        <w:ind w:left="822" w:right="0" w:hanging="360"/>
        <w:jc w:val="left"/>
        <w:rPr>
          <w:rFonts w:ascii="Symbol" w:hAnsi="Symbol"/>
          <w:sz w:val="24"/>
        </w:rPr>
      </w:pPr>
      <w:r>
        <w:rPr>
          <w:sz w:val="24"/>
        </w:rPr>
        <w:t>Estimulación de crecimiento</w:t>
      </w:r>
      <w:r>
        <w:rPr>
          <w:spacing w:val="-10"/>
          <w:sz w:val="24"/>
        </w:rPr>
        <w:t> </w:t>
      </w:r>
      <w:r>
        <w:rPr>
          <w:sz w:val="24"/>
        </w:rPr>
        <w:t>celular</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Inducción de crecimiento de hibridoma, plasmacitoma y</w:t>
      </w:r>
      <w:r>
        <w:rPr>
          <w:spacing w:val="-14"/>
          <w:sz w:val="24"/>
        </w:rPr>
        <w:t> </w:t>
      </w:r>
      <w:r>
        <w:rPr>
          <w:sz w:val="24"/>
        </w:rPr>
        <w:t>mieloma</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Inducción de células</w:t>
      </w:r>
      <w:r>
        <w:rPr>
          <w:spacing w:val="-7"/>
          <w:sz w:val="24"/>
        </w:rPr>
        <w:t> </w:t>
      </w:r>
      <w:r>
        <w:rPr>
          <w:sz w:val="24"/>
        </w:rPr>
        <w:t>T</w:t>
      </w:r>
    </w:p>
    <w:p>
      <w:pPr>
        <w:pStyle w:val="ListParagraph"/>
        <w:numPr>
          <w:ilvl w:val="3"/>
          <w:numId w:val="5"/>
        </w:numPr>
        <w:tabs>
          <w:tab w:pos="821" w:val="left" w:leader="none"/>
          <w:tab w:pos="822" w:val="left" w:leader="none"/>
        </w:tabs>
        <w:spacing w:line="240" w:lineRule="auto" w:before="135" w:after="0"/>
        <w:ind w:left="822" w:right="0" w:hanging="360"/>
        <w:jc w:val="left"/>
        <w:rPr>
          <w:rFonts w:ascii="Symbol"/>
          <w:sz w:val="24"/>
        </w:rPr>
      </w:pPr>
      <w:r>
        <w:rPr>
          <w:sz w:val="24"/>
        </w:rPr>
        <w:t>Incremento de virus de Epstein Barr</w:t>
      </w:r>
      <w:r>
        <w:rPr>
          <w:spacing w:val="-11"/>
          <w:sz w:val="24"/>
        </w:rPr>
        <w:t> </w:t>
      </w:r>
      <w:r>
        <w:rPr>
          <w:sz w:val="24"/>
        </w:rPr>
        <w:t>(EBV)</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Inhibición del crecimiento</w:t>
      </w:r>
      <w:r>
        <w:rPr>
          <w:spacing w:val="-11"/>
          <w:sz w:val="24"/>
        </w:rPr>
        <w:t> </w:t>
      </w:r>
      <w:r>
        <w:rPr>
          <w:sz w:val="24"/>
        </w:rPr>
        <w:t>celular</w:t>
      </w:r>
    </w:p>
    <w:p>
      <w:pPr>
        <w:pStyle w:val="ListParagraph"/>
        <w:numPr>
          <w:ilvl w:val="3"/>
          <w:numId w:val="5"/>
        </w:numPr>
        <w:tabs>
          <w:tab w:pos="821" w:val="left" w:leader="none"/>
          <w:tab w:pos="822" w:val="left" w:leader="none"/>
        </w:tabs>
        <w:spacing w:line="240" w:lineRule="auto" w:before="138" w:after="0"/>
        <w:ind w:left="822" w:right="0" w:hanging="360"/>
        <w:jc w:val="left"/>
        <w:rPr>
          <w:rFonts w:ascii="Symbol" w:hAnsi="Symbol"/>
          <w:sz w:val="24"/>
        </w:rPr>
      </w:pPr>
      <w:r>
        <w:rPr>
          <w:sz w:val="24"/>
        </w:rPr>
        <w:t>Inhibición de crecimiento de células de leucemia</w:t>
      </w:r>
      <w:r>
        <w:rPr>
          <w:spacing w:val="-15"/>
          <w:sz w:val="24"/>
        </w:rPr>
        <w:t> </w:t>
      </w:r>
      <w:r>
        <w:rPr>
          <w:sz w:val="24"/>
        </w:rPr>
        <w:t>mieloide</w:t>
      </w:r>
    </w:p>
    <w:p>
      <w:pPr>
        <w:pStyle w:val="ListParagraph"/>
        <w:numPr>
          <w:ilvl w:val="3"/>
          <w:numId w:val="5"/>
        </w:numPr>
        <w:tabs>
          <w:tab w:pos="821" w:val="left" w:leader="none"/>
          <w:tab w:pos="822" w:val="left" w:leader="none"/>
        </w:tabs>
        <w:spacing w:line="240" w:lineRule="auto" w:before="135" w:after="0"/>
        <w:ind w:left="822" w:right="0" w:hanging="360"/>
        <w:jc w:val="left"/>
        <w:rPr>
          <w:rFonts w:ascii="Symbol" w:hAnsi="Symbol"/>
          <w:sz w:val="24"/>
        </w:rPr>
      </w:pPr>
      <w:r>
        <w:rPr>
          <w:sz w:val="24"/>
        </w:rPr>
        <w:t>Inhibición del crecimiento de células de</w:t>
      </w:r>
      <w:r>
        <w:rPr>
          <w:spacing w:val="-10"/>
          <w:sz w:val="24"/>
        </w:rPr>
        <w:t> </w:t>
      </w:r>
      <w:r>
        <w:rPr>
          <w:sz w:val="24"/>
        </w:rPr>
        <w:t>carcinoma</w:t>
      </w:r>
    </w:p>
    <w:p>
      <w:pPr>
        <w:pStyle w:val="BodyText"/>
      </w:pPr>
    </w:p>
    <w:p>
      <w:pPr>
        <w:pStyle w:val="BodyText"/>
        <w:spacing w:before="1"/>
      </w:pPr>
    </w:p>
    <w:p>
      <w:pPr>
        <w:pStyle w:val="BodyText"/>
        <w:spacing w:line="360" w:lineRule="auto"/>
        <w:ind w:left="102" w:right="117"/>
        <w:jc w:val="both"/>
      </w:pPr>
      <w:r>
        <w:rPr/>
        <w:t>Se ha identificado la relación de la IL-6 con diferentes enfermedades tales como: enfermedades autoinmunes, mixoma cardiaco, artritis reumatoide, y con enfermedades malignas como el mieloma múltiple (48). Las enfermedades orales como el cáncer oral, liquen plano y enfermedad periodontal influyen en la sobreproducción de IL-6 (45).</w:t>
      </w:r>
    </w:p>
    <w:p>
      <w:pPr>
        <w:pStyle w:val="BodyText"/>
      </w:pPr>
    </w:p>
    <w:p>
      <w:pPr>
        <w:pStyle w:val="BodyText"/>
        <w:spacing w:line="360" w:lineRule="auto" w:before="143"/>
        <w:ind w:left="102" w:right="121"/>
        <w:jc w:val="both"/>
      </w:pPr>
      <w:r>
        <w:rPr/>
        <w:t>La IL-6 en la respuesta periodontal da lugar a una inflamación local y sistémica. El exceso de</w:t>
      </w:r>
      <w:r>
        <w:rPr>
          <w:spacing w:val="-14"/>
        </w:rPr>
        <w:t> </w:t>
      </w:r>
      <w:r>
        <w:rPr/>
        <w:t>IL-6</w:t>
      </w:r>
      <w:r>
        <w:rPr>
          <w:spacing w:val="-16"/>
        </w:rPr>
        <w:t> </w:t>
      </w:r>
      <w:r>
        <w:rPr/>
        <w:t>puede</w:t>
      </w:r>
      <w:r>
        <w:rPr>
          <w:spacing w:val="-14"/>
        </w:rPr>
        <w:t> </w:t>
      </w:r>
      <w:r>
        <w:rPr/>
        <w:t>contribuir</w:t>
      </w:r>
      <w:r>
        <w:rPr>
          <w:spacing w:val="-14"/>
        </w:rPr>
        <w:t> </w:t>
      </w:r>
      <w:r>
        <w:rPr/>
        <w:t>al</w:t>
      </w:r>
      <w:r>
        <w:rPr>
          <w:spacing w:val="-15"/>
        </w:rPr>
        <w:t> </w:t>
      </w:r>
      <w:r>
        <w:rPr/>
        <w:t>desarrollo</w:t>
      </w:r>
      <w:r>
        <w:rPr>
          <w:spacing w:val="-16"/>
        </w:rPr>
        <w:t> </w:t>
      </w:r>
      <w:r>
        <w:rPr/>
        <w:t>de</w:t>
      </w:r>
      <w:r>
        <w:rPr>
          <w:spacing w:val="-15"/>
        </w:rPr>
        <w:t> </w:t>
      </w:r>
      <w:r>
        <w:rPr/>
        <w:t>una</w:t>
      </w:r>
      <w:r>
        <w:rPr>
          <w:spacing w:val="-15"/>
        </w:rPr>
        <w:t> </w:t>
      </w:r>
      <w:r>
        <w:rPr/>
        <w:t>inflamación</w:t>
      </w:r>
      <w:r>
        <w:rPr>
          <w:spacing w:val="-15"/>
        </w:rPr>
        <w:t> </w:t>
      </w:r>
      <w:r>
        <w:rPr/>
        <w:t>crónica,</w:t>
      </w:r>
      <w:r>
        <w:rPr>
          <w:spacing w:val="-14"/>
        </w:rPr>
        <w:t> </w:t>
      </w:r>
      <w:r>
        <w:rPr/>
        <w:t>lo</w:t>
      </w:r>
      <w:r>
        <w:rPr>
          <w:spacing w:val="-15"/>
        </w:rPr>
        <w:t> </w:t>
      </w:r>
      <w:r>
        <w:rPr/>
        <w:t>cual</w:t>
      </w:r>
      <w:r>
        <w:rPr>
          <w:spacing w:val="-15"/>
        </w:rPr>
        <w:t> </w:t>
      </w:r>
      <w:r>
        <w:rPr/>
        <w:t>resulta</w:t>
      </w:r>
      <w:r>
        <w:rPr>
          <w:spacing w:val="-17"/>
        </w:rPr>
        <w:t> </w:t>
      </w:r>
      <w:r>
        <w:rPr/>
        <w:t>en</w:t>
      </w:r>
      <w:r>
        <w:rPr>
          <w:spacing w:val="-16"/>
        </w:rPr>
        <w:t> </w:t>
      </w:r>
      <w:r>
        <w:rPr/>
        <w:t>la</w:t>
      </w:r>
      <w:r>
        <w:rPr>
          <w:spacing w:val="-14"/>
        </w:rPr>
        <w:t> </w:t>
      </w:r>
      <w:r>
        <w:rPr/>
        <w:t>pérdida del</w:t>
      </w:r>
      <w:r>
        <w:rPr>
          <w:spacing w:val="-4"/>
        </w:rPr>
        <w:t> </w:t>
      </w:r>
      <w:r>
        <w:rPr/>
        <w:t>ligamento</w:t>
      </w:r>
      <w:r>
        <w:rPr>
          <w:spacing w:val="-5"/>
        </w:rPr>
        <w:t> </w:t>
      </w:r>
      <w:r>
        <w:rPr/>
        <w:t>periodontal</w:t>
      </w:r>
      <w:r>
        <w:rPr>
          <w:spacing w:val="-2"/>
        </w:rPr>
        <w:t> </w:t>
      </w:r>
      <w:r>
        <w:rPr/>
        <w:t>y</w:t>
      </w:r>
      <w:r>
        <w:rPr>
          <w:spacing w:val="-8"/>
        </w:rPr>
        <w:t> </w:t>
      </w:r>
      <w:r>
        <w:rPr/>
        <w:t>el</w:t>
      </w:r>
      <w:r>
        <w:rPr>
          <w:spacing w:val="-4"/>
        </w:rPr>
        <w:t> </w:t>
      </w:r>
      <w:r>
        <w:rPr/>
        <w:t>hueso</w:t>
      </w:r>
      <w:r>
        <w:rPr>
          <w:spacing w:val="-5"/>
        </w:rPr>
        <w:t> </w:t>
      </w:r>
      <w:r>
        <w:rPr/>
        <w:t>alveolar.</w:t>
      </w:r>
      <w:r>
        <w:rPr>
          <w:spacing w:val="-5"/>
        </w:rPr>
        <w:t> </w:t>
      </w:r>
      <w:r>
        <w:rPr/>
        <w:t>Esto</w:t>
      </w:r>
      <w:r>
        <w:rPr>
          <w:spacing w:val="-4"/>
        </w:rPr>
        <w:t> </w:t>
      </w:r>
      <w:r>
        <w:rPr/>
        <w:t>ocurre</w:t>
      </w:r>
      <w:r>
        <w:rPr>
          <w:spacing w:val="-5"/>
        </w:rPr>
        <w:t> </w:t>
      </w:r>
      <w:r>
        <w:rPr/>
        <w:t>a</w:t>
      </w:r>
      <w:r>
        <w:rPr>
          <w:spacing w:val="-5"/>
        </w:rPr>
        <w:t> </w:t>
      </w:r>
      <w:r>
        <w:rPr/>
        <w:t>través</w:t>
      </w:r>
      <w:r>
        <w:rPr>
          <w:spacing w:val="-5"/>
        </w:rPr>
        <w:t> </w:t>
      </w:r>
      <w:r>
        <w:rPr/>
        <w:t>del</w:t>
      </w:r>
      <w:r>
        <w:rPr>
          <w:spacing w:val="-4"/>
        </w:rPr>
        <w:t> </w:t>
      </w:r>
      <w:r>
        <w:rPr/>
        <w:t>efecto</w:t>
      </w:r>
      <w:r>
        <w:rPr>
          <w:spacing w:val="-4"/>
        </w:rPr>
        <w:t> </w:t>
      </w:r>
      <w:r>
        <w:rPr/>
        <w:t>que</w:t>
      </w:r>
      <w:r>
        <w:rPr>
          <w:spacing w:val="-5"/>
        </w:rPr>
        <w:t> </w:t>
      </w:r>
      <w:r>
        <w:rPr/>
        <w:t>tiene</w:t>
      </w:r>
      <w:r>
        <w:rPr>
          <w:spacing w:val="-5"/>
        </w:rPr>
        <w:t> </w:t>
      </w:r>
      <w:r>
        <w:rPr/>
        <w:t>la</w:t>
      </w:r>
      <w:r>
        <w:rPr>
          <w:spacing w:val="-2"/>
        </w:rPr>
        <w:t> </w:t>
      </w:r>
      <w:r>
        <w:rPr/>
        <w:t>IL- 6 sobre el tejido conectivo y óseo, mediado por las metaloproteínasas (MP), osteoclastos, la activación de células T y la amplificación de la reacción inflamatoria (13,23,45,</w:t>
      </w:r>
      <w:r>
        <w:rPr>
          <w:spacing w:val="-11"/>
        </w:rPr>
        <w:t> </w:t>
      </w:r>
      <w:r>
        <w:rPr/>
        <w:t>46,49).</w:t>
      </w:r>
    </w:p>
    <w:p>
      <w:pPr>
        <w:pStyle w:val="BodyText"/>
      </w:pPr>
    </w:p>
    <w:p>
      <w:pPr>
        <w:pStyle w:val="BodyText"/>
        <w:spacing w:line="360" w:lineRule="auto" w:before="143"/>
        <w:ind w:left="102" w:right="121"/>
        <w:jc w:val="both"/>
      </w:pPr>
      <w:r>
        <w:rPr/>
        <w:t>El estudio realizado por Monea y colaboradores en el cual evaluaron en saliva y suero las concentraciones de TNF-α e IL-6 en adultos con DM2 y sanos con enfermedad periodontal, reporta que las concentraciones de TNF-α e IL-6 en saliva se encontraban incrementadas en los pacientes con DM2 con enfermedad periodontal (20).</w:t>
      </w:r>
    </w:p>
    <w:p>
      <w:pPr>
        <w:spacing w:after="0" w:line="360" w:lineRule="auto"/>
        <w:jc w:val="both"/>
        <w:sectPr>
          <w:pgSz w:w="12240" w:h="15840"/>
          <w:pgMar w:header="731" w:footer="0" w:top="960" w:bottom="280" w:left="1600" w:right="1580"/>
        </w:sectPr>
      </w:pPr>
    </w:p>
    <w:p>
      <w:pPr>
        <w:pStyle w:val="BodyText"/>
        <w:rPr>
          <w:sz w:val="20"/>
        </w:rPr>
      </w:pPr>
    </w:p>
    <w:p>
      <w:pPr>
        <w:pStyle w:val="Heading3"/>
        <w:numPr>
          <w:ilvl w:val="1"/>
          <w:numId w:val="5"/>
        </w:numPr>
        <w:tabs>
          <w:tab w:pos="582" w:val="left" w:leader="none"/>
        </w:tabs>
        <w:spacing w:line="240" w:lineRule="auto" w:before="214" w:after="0"/>
        <w:ind w:left="582" w:right="0" w:hanging="480"/>
        <w:jc w:val="both"/>
      </w:pPr>
      <w:r>
        <w:rPr/>
        <w:t>Enfermedad periodontal y Diabetes Mellitus Tipo</w:t>
      </w:r>
      <w:r>
        <w:rPr>
          <w:spacing w:val="-12"/>
        </w:rPr>
        <w:t> </w:t>
      </w:r>
      <w:r>
        <w:rPr/>
        <w:t>2</w:t>
      </w:r>
    </w:p>
    <w:p>
      <w:pPr>
        <w:pStyle w:val="BodyText"/>
        <w:rPr>
          <w:b/>
        </w:rPr>
      </w:pPr>
    </w:p>
    <w:p>
      <w:pPr>
        <w:pStyle w:val="BodyText"/>
        <w:spacing w:before="7"/>
        <w:rPr>
          <w:b/>
          <w:sz w:val="23"/>
        </w:rPr>
      </w:pPr>
    </w:p>
    <w:p>
      <w:pPr>
        <w:pStyle w:val="BodyText"/>
        <w:spacing w:line="360" w:lineRule="auto"/>
        <w:ind w:left="102" w:right="114"/>
        <w:jc w:val="both"/>
      </w:pPr>
      <w:r>
        <w:rPr/>
        <w:t>Las</w:t>
      </w:r>
      <w:r>
        <w:rPr>
          <w:spacing w:val="-5"/>
        </w:rPr>
        <w:t> </w:t>
      </w:r>
      <w:r>
        <w:rPr/>
        <w:t>características</w:t>
      </w:r>
      <w:r>
        <w:rPr>
          <w:spacing w:val="-7"/>
        </w:rPr>
        <w:t> </w:t>
      </w:r>
      <w:r>
        <w:rPr/>
        <w:t>bucales</w:t>
      </w:r>
      <w:r>
        <w:rPr>
          <w:spacing w:val="-7"/>
        </w:rPr>
        <w:t> </w:t>
      </w:r>
      <w:r>
        <w:rPr/>
        <w:t>frecuentes</w:t>
      </w:r>
      <w:r>
        <w:rPr>
          <w:spacing w:val="-7"/>
        </w:rPr>
        <w:t> </w:t>
      </w:r>
      <w:r>
        <w:rPr/>
        <w:t>del</w:t>
      </w:r>
      <w:r>
        <w:rPr>
          <w:spacing w:val="-7"/>
        </w:rPr>
        <w:t> </w:t>
      </w:r>
      <w:r>
        <w:rPr/>
        <w:t>paciente</w:t>
      </w:r>
      <w:r>
        <w:rPr>
          <w:spacing w:val="-5"/>
        </w:rPr>
        <w:t> </w:t>
      </w:r>
      <w:r>
        <w:rPr/>
        <w:t>con</w:t>
      </w:r>
      <w:r>
        <w:rPr>
          <w:spacing w:val="-7"/>
        </w:rPr>
        <w:t> </w:t>
      </w:r>
      <w:r>
        <w:rPr/>
        <w:t>diabetes</w:t>
      </w:r>
      <w:r>
        <w:rPr>
          <w:spacing w:val="-8"/>
        </w:rPr>
        <w:t> </w:t>
      </w:r>
      <w:r>
        <w:rPr/>
        <w:t>mellitus</w:t>
      </w:r>
      <w:r>
        <w:rPr>
          <w:spacing w:val="-7"/>
        </w:rPr>
        <w:t> </w:t>
      </w:r>
      <w:r>
        <w:rPr/>
        <w:t>tipo</w:t>
      </w:r>
      <w:r>
        <w:rPr>
          <w:spacing w:val="-9"/>
        </w:rPr>
        <w:t> </w:t>
      </w:r>
      <w:r>
        <w:rPr/>
        <w:t>2</w:t>
      </w:r>
      <w:r>
        <w:rPr>
          <w:spacing w:val="-7"/>
        </w:rPr>
        <w:t> </w:t>
      </w:r>
      <w:r>
        <w:rPr/>
        <w:t>son</w:t>
      </w:r>
      <w:r>
        <w:rPr>
          <w:spacing w:val="-7"/>
        </w:rPr>
        <w:t> </w:t>
      </w:r>
      <w:r>
        <w:rPr/>
        <w:t>sensación de ardor, infecciones fúngicas (cándida), caries y xerostomía; este tipo de cambios son identificados por el odontólogo en el momento en el que el paciente acude a la consulta</w:t>
      </w:r>
      <w:r>
        <w:rPr>
          <w:spacing w:val="-16"/>
        </w:rPr>
        <w:t> </w:t>
      </w:r>
      <w:r>
        <w:rPr/>
        <w:t>(50- 53).</w:t>
      </w:r>
    </w:p>
    <w:p>
      <w:pPr>
        <w:pStyle w:val="BodyText"/>
      </w:pPr>
    </w:p>
    <w:p>
      <w:pPr>
        <w:pStyle w:val="BodyText"/>
        <w:spacing w:line="360" w:lineRule="auto" w:before="143"/>
        <w:ind w:left="102" w:right="116"/>
        <w:jc w:val="both"/>
      </w:pPr>
      <w:r>
        <w:rPr/>
        <w:t>Dentro</w:t>
      </w:r>
      <w:r>
        <w:rPr>
          <w:spacing w:val="-11"/>
        </w:rPr>
        <w:t> </w:t>
      </w:r>
      <w:r>
        <w:rPr/>
        <w:t>de</w:t>
      </w:r>
      <w:r>
        <w:rPr>
          <w:spacing w:val="-12"/>
        </w:rPr>
        <w:t> </w:t>
      </w:r>
      <w:r>
        <w:rPr/>
        <w:t>las</w:t>
      </w:r>
      <w:r>
        <w:rPr>
          <w:spacing w:val="-9"/>
        </w:rPr>
        <w:t> </w:t>
      </w:r>
      <w:r>
        <w:rPr/>
        <w:t>complicaciones</w:t>
      </w:r>
      <w:r>
        <w:rPr>
          <w:spacing w:val="-11"/>
        </w:rPr>
        <w:t> </w:t>
      </w:r>
      <w:r>
        <w:rPr/>
        <w:t>a</w:t>
      </w:r>
      <w:r>
        <w:rPr>
          <w:spacing w:val="-10"/>
        </w:rPr>
        <w:t> </w:t>
      </w:r>
      <w:r>
        <w:rPr/>
        <w:t>nivel</w:t>
      </w:r>
      <w:r>
        <w:rPr>
          <w:spacing w:val="-11"/>
        </w:rPr>
        <w:t> </w:t>
      </w:r>
      <w:r>
        <w:rPr/>
        <w:t>bucal</w:t>
      </w:r>
      <w:r>
        <w:rPr>
          <w:spacing w:val="-11"/>
        </w:rPr>
        <w:t> </w:t>
      </w:r>
      <w:r>
        <w:rPr/>
        <w:t>del</w:t>
      </w:r>
      <w:r>
        <w:rPr>
          <w:spacing w:val="-8"/>
        </w:rPr>
        <w:t> </w:t>
      </w:r>
      <w:r>
        <w:rPr/>
        <w:t>paciente</w:t>
      </w:r>
      <w:r>
        <w:rPr>
          <w:spacing w:val="-12"/>
        </w:rPr>
        <w:t> </w:t>
      </w:r>
      <w:r>
        <w:rPr/>
        <w:t>diabético</w:t>
      </w:r>
      <w:r>
        <w:rPr>
          <w:spacing w:val="-9"/>
        </w:rPr>
        <w:t> </w:t>
      </w:r>
      <w:r>
        <w:rPr/>
        <w:t>se</w:t>
      </w:r>
      <w:r>
        <w:rPr>
          <w:spacing w:val="-10"/>
        </w:rPr>
        <w:t> </w:t>
      </w:r>
      <w:r>
        <w:rPr/>
        <w:t>encuentra</w:t>
      </w:r>
      <w:r>
        <w:rPr>
          <w:spacing w:val="-12"/>
        </w:rPr>
        <w:t> </w:t>
      </w:r>
      <w:r>
        <w:rPr/>
        <w:t>la</w:t>
      </w:r>
      <w:r>
        <w:rPr>
          <w:spacing w:val="-5"/>
        </w:rPr>
        <w:t> </w:t>
      </w:r>
      <w:r>
        <w:rPr/>
        <w:t>enfermedad periodontal, en la cual influye la prolongada exposición a hiperglucemia (5, 53,54), la cual es un factor responsable de la complicación del paciente diabético no controlado, llegando a presentarse</w:t>
      </w:r>
      <w:r>
        <w:rPr>
          <w:spacing w:val="-14"/>
        </w:rPr>
        <w:t> </w:t>
      </w:r>
      <w:r>
        <w:rPr/>
        <w:t>esta</w:t>
      </w:r>
      <w:r>
        <w:rPr>
          <w:spacing w:val="-14"/>
        </w:rPr>
        <w:t> </w:t>
      </w:r>
      <w:r>
        <w:rPr/>
        <w:t>en</w:t>
      </w:r>
      <w:r>
        <w:rPr>
          <w:spacing w:val="-13"/>
        </w:rPr>
        <w:t> </w:t>
      </w:r>
      <w:r>
        <w:rPr/>
        <w:t>una</w:t>
      </w:r>
      <w:r>
        <w:rPr>
          <w:spacing w:val="-14"/>
        </w:rPr>
        <w:t> </w:t>
      </w:r>
      <w:r>
        <w:rPr/>
        <w:t>etapa</w:t>
      </w:r>
      <w:r>
        <w:rPr>
          <w:spacing w:val="-14"/>
        </w:rPr>
        <w:t> </w:t>
      </w:r>
      <w:r>
        <w:rPr/>
        <w:t>severa</w:t>
      </w:r>
      <w:r>
        <w:rPr>
          <w:spacing w:val="-13"/>
        </w:rPr>
        <w:t> </w:t>
      </w:r>
      <w:r>
        <w:rPr/>
        <w:t>que</w:t>
      </w:r>
      <w:r>
        <w:rPr>
          <w:spacing w:val="-14"/>
        </w:rPr>
        <w:t> </w:t>
      </w:r>
      <w:r>
        <w:rPr/>
        <w:t>puede</w:t>
      </w:r>
      <w:r>
        <w:rPr>
          <w:spacing w:val="-12"/>
        </w:rPr>
        <w:t> </w:t>
      </w:r>
      <w:r>
        <w:rPr/>
        <w:t>resultar</w:t>
      </w:r>
      <w:r>
        <w:rPr>
          <w:spacing w:val="-14"/>
        </w:rPr>
        <w:t> </w:t>
      </w:r>
      <w:r>
        <w:rPr/>
        <w:t>en</w:t>
      </w:r>
      <w:r>
        <w:rPr>
          <w:spacing w:val="-13"/>
        </w:rPr>
        <w:t> </w:t>
      </w:r>
      <w:r>
        <w:rPr/>
        <w:t>la</w:t>
      </w:r>
      <w:r>
        <w:rPr>
          <w:spacing w:val="-12"/>
        </w:rPr>
        <w:t> </w:t>
      </w:r>
      <w:r>
        <w:rPr/>
        <w:t>pérdida</w:t>
      </w:r>
      <w:r>
        <w:rPr>
          <w:spacing w:val="-12"/>
        </w:rPr>
        <w:t> </w:t>
      </w:r>
      <w:r>
        <w:rPr/>
        <w:t>de</w:t>
      </w:r>
      <w:r>
        <w:rPr>
          <w:spacing w:val="-14"/>
        </w:rPr>
        <w:t> </w:t>
      </w:r>
      <w:r>
        <w:rPr/>
        <w:t>los</w:t>
      </w:r>
      <w:r>
        <w:rPr>
          <w:spacing w:val="-10"/>
        </w:rPr>
        <w:t> </w:t>
      </w:r>
      <w:r>
        <w:rPr/>
        <w:t>órganos</w:t>
      </w:r>
      <w:r>
        <w:rPr>
          <w:spacing w:val="-13"/>
        </w:rPr>
        <w:t> </w:t>
      </w:r>
      <w:r>
        <w:rPr/>
        <w:t>dentarios, en un estado aparentemente funcional que va a impedir una buena masticación, lo que conlleva a una dieta inadecuada. Los pacientes con diabetes no toleran las prótesis dentarias debido a la pérdida ósea alveolar y a las lesiones mucosas que presentan (5,</w:t>
      </w:r>
      <w:r>
        <w:rPr>
          <w:spacing w:val="-10"/>
        </w:rPr>
        <w:t> </w:t>
      </w:r>
      <w:r>
        <w:rPr/>
        <w:t>54).</w:t>
      </w:r>
    </w:p>
    <w:p>
      <w:pPr>
        <w:pStyle w:val="BodyText"/>
      </w:pPr>
    </w:p>
    <w:p>
      <w:pPr>
        <w:pStyle w:val="BodyText"/>
        <w:spacing w:line="360" w:lineRule="auto" w:before="143"/>
        <w:ind w:left="102" w:right="117"/>
        <w:jc w:val="both"/>
      </w:pPr>
      <w:r>
        <w:rPr/>
        <w:t>Cuando los pacientes no se encuentran controlados en sus concentraciones de glicemia, son tres veces más propensos a tener periodontitis con mayor gravedad en comparación con los individuos no diabéticos (2,14, 40, 55-57). La enfermedad periodontal podría presentarse</w:t>
      </w:r>
      <w:r>
        <w:rPr>
          <w:spacing w:val="-17"/>
        </w:rPr>
        <w:t> </w:t>
      </w:r>
      <w:r>
        <w:rPr/>
        <w:t>en estadios severos, ocasionando un incremento en la pérdida de la inserción periodontal, así como del hueso alveolar y como consecuencia, la profundidad de la bolsa periodontal esta aumentada (5, 54,</w:t>
      </w:r>
      <w:r>
        <w:rPr>
          <w:spacing w:val="-3"/>
        </w:rPr>
        <w:t> </w:t>
      </w:r>
      <w:r>
        <w:rPr/>
        <w:t>58).</w:t>
      </w:r>
    </w:p>
    <w:p>
      <w:pPr>
        <w:pStyle w:val="BodyText"/>
      </w:pPr>
    </w:p>
    <w:p>
      <w:pPr>
        <w:pStyle w:val="BodyText"/>
        <w:spacing w:line="360" w:lineRule="auto" w:before="143"/>
        <w:ind w:left="102" w:right="120"/>
        <w:jc w:val="both"/>
      </w:pPr>
      <w:r>
        <w:rPr/>
        <w:t>Algunos</w:t>
      </w:r>
      <w:r>
        <w:rPr>
          <w:spacing w:val="-6"/>
        </w:rPr>
        <w:t> </w:t>
      </w:r>
      <w:r>
        <w:rPr/>
        <w:t>autores</w:t>
      </w:r>
      <w:r>
        <w:rPr>
          <w:spacing w:val="-6"/>
        </w:rPr>
        <w:t> </w:t>
      </w:r>
      <w:r>
        <w:rPr/>
        <w:t>señalan</w:t>
      </w:r>
      <w:r>
        <w:rPr>
          <w:spacing w:val="-4"/>
        </w:rPr>
        <w:t> </w:t>
      </w:r>
      <w:r>
        <w:rPr/>
        <w:t>que</w:t>
      </w:r>
      <w:r>
        <w:rPr>
          <w:spacing w:val="-7"/>
        </w:rPr>
        <w:t> </w:t>
      </w:r>
      <w:r>
        <w:rPr/>
        <w:t>la</w:t>
      </w:r>
      <w:r>
        <w:rPr>
          <w:spacing w:val="-7"/>
        </w:rPr>
        <w:t> </w:t>
      </w:r>
      <w:r>
        <w:rPr/>
        <w:t>encía</w:t>
      </w:r>
      <w:r>
        <w:rPr>
          <w:spacing w:val="-7"/>
        </w:rPr>
        <w:t> </w:t>
      </w:r>
      <w:r>
        <w:rPr/>
        <w:t>de</w:t>
      </w:r>
      <w:r>
        <w:rPr>
          <w:spacing w:val="-7"/>
        </w:rPr>
        <w:t> </w:t>
      </w:r>
      <w:r>
        <w:rPr/>
        <w:t>los</w:t>
      </w:r>
      <w:r>
        <w:rPr>
          <w:spacing w:val="-6"/>
        </w:rPr>
        <w:t> </w:t>
      </w:r>
      <w:r>
        <w:rPr/>
        <w:t>pacientes</w:t>
      </w:r>
      <w:r>
        <w:rPr>
          <w:spacing w:val="-7"/>
        </w:rPr>
        <w:t> </w:t>
      </w:r>
      <w:r>
        <w:rPr/>
        <w:t>diabéticos</w:t>
      </w:r>
      <w:r>
        <w:rPr>
          <w:spacing w:val="-6"/>
        </w:rPr>
        <w:t> </w:t>
      </w:r>
      <w:r>
        <w:rPr/>
        <w:t>no</w:t>
      </w:r>
      <w:r>
        <w:rPr>
          <w:spacing w:val="-6"/>
        </w:rPr>
        <w:t> </w:t>
      </w:r>
      <w:r>
        <w:rPr/>
        <w:t>tratados</w:t>
      </w:r>
      <w:r>
        <w:rPr>
          <w:spacing w:val="-6"/>
        </w:rPr>
        <w:t> </w:t>
      </w:r>
      <w:r>
        <w:rPr/>
        <w:t>suelen</w:t>
      </w:r>
      <w:r>
        <w:rPr>
          <w:spacing w:val="-7"/>
        </w:rPr>
        <w:t> </w:t>
      </w:r>
      <w:r>
        <w:rPr/>
        <w:t>presentar un color rojo intenso; los tejidos gingivales tienen aspecto edematoso y a veces están hipertrofiados, incluso, es típica la supuración dolorosa de los bordes gingivales y de las papilas interdentarias</w:t>
      </w:r>
      <w:r>
        <w:rPr>
          <w:spacing w:val="-5"/>
        </w:rPr>
        <w:t> </w:t>
      </w:r>
      <w:r>
        <w:rPr/>
        <w:t>(59).</w:t>
      </w:r>
    </w:p>
    <w:p>
      <w:pPr>
        <w:pStyle w:val="BodyText"/>
      </w:pPr>
    </w:p>
    <w:p>
      <w:pPr>
        <w:pStyle w:val="BodyText"/>
        <w:spacing w:line="360" w:lineRule="auto" w:before="143"/>
        <w:ind w:left="102" w:right="117"/>
        <w:jc w:val="both"/>
      </w:pPr>
      <w:r>
        <w:rPr/>
        <w:t>La prevalencia y severidad de la enfermedad periodontal se ha mostrado significativamente mayor en pacientes diabéticos que en no diabéticos (60). La Academia Estadounidense de Periodontología, en el año 2006, señaló que la incidencia de periodontitis aumenta entre las</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2" w:lineRule="auto" w:before="209"/>
        <w:ind w:left="102" w:right="123"/>
        <w:jc w:val="both"/>
      </w:pPr>
      <w:r>
        <w:rPr/>
        <w:t>personas</w:t>
      </w:r>
      <w:r>
        <w:rPr>
          <w:spacing w:val="-9"/>
        </w:rPr>
        <w:t> </w:t>
      </w:r>
      <w:r>
        <w:rPr/>
        <w:t>diabéticas,</w:t>
      </w:r>
      <w:r>
        <w:rPr>
          <w:spacing w:val="-9"/>
        </w:rPr>
        <w:t> </w:t>
      </w:r>
      <w:r>
        <w:rPr/>
        <w:t>siendo</w:t>
      </w:r>
      <w:r>
        <w:rPr>
          <w:spacing w:val="-10"/>
        </w:rPr>
        <w:t> </w:t>
      </w:r>
      <w:r>
        <w:rPr/>
        <w:t>más</w:t>
      </w:r>
      <w:r>
        <w:rPr>
          <w:spacing w:val="-10"/>
        </w:rPr>
        <w:t> </w:t>
      </w:r>
      <w:r>
        <w:rPr/>
        <w:t>frecuente</w:t>
      </w:r>
      <w:r>
        <w:rPr>
          <w:spacing w:val="-5"/>
        </w:rPr>
        <w:t> </w:t>
      </w:r>
      <w:r>
        <w:rPr/>
        <w:t>y</w:t>
      </w:r>
      <w:r>
        <w:rPr>
          <w:spacing w:val="-14"/>
        </w:rPr>
        <w:t> </w:t>
      </w:r>
      <w:r>
        <w:rPr/>
        <w:t>severa</w:t>
      </w:r>
      <w:r>
        <w:rPr>
          <w:spacing w:val="-11"/>
        </w:rPr>
        <w:t> </w:t>
      </w:r>
      <w:r>
        <w:rPr/>
        <w:t>en</w:t>
      </w:r>
      <w:r>
        <w:rPr>
          <w:spacing w:val="-10"/>
        </w:rPr>
        <w:t> </w:t>
      </w:r>
      <w:r>
        <w:rPr/>
        <w:t>los</w:t>
      </w:r>
      <w:r>
        <w:rPr>
          <w:spacing w:val="-9"/>
        </w:rPr>
        <w:t> </w:t>
      </w:r>
      <w:r>
        <w:rPr/>
        <w:t>diabéticos</w:t>
      </w:r>
      <w:r>
        <w:rPr>
          <w:spacing w:val="-9"/>
        </w:rPr>
        <w:t> </w:t>
      </w:r>
      <w:r>
        <w:rPr/>
        <w:t>con</w:t>
      </w:r>
      <w:r>
        <w:rPr>
          <w:spacing w:val="-8"/>
        </w:rPr>
        <w:t> </w:t>
      </w:r>
      <w:r>
        <w:rPr/>
        <w:t>más</w:t>
      </w:r>
      <w:r>
        <w:rPr>
          <w:spacing w:val="-10"/>
        </w:rPr>
        <w:t> </w:t>
      </w:r>
      <w:r>
        <w:rPr/>
        <w:t>complicaciones sistémicas</w:t>
      </w:r>
      <w:r>
        <w:rPr>
          <w:spacing w:val="-5"/>
        </w:rPr>
        <w:t> </w:t>
      </w:r>
      <w:r>
        <w:rPr/>
        <w:t>(61,62).</w:t>
      </w:r>
    </w:p>
    <w:p>
      <w:pPr>
        <w:pStyle w:val="BodyText"/>
      </w:pPr>
    </w:p>
    <w:p>
      <w:pPr>
        <w:pStyle w:val="BodyText"/>
        <w:spacing w:line="360" w:lineRule="auto" w:before="140"/>
        <w:ind w:left="102" w:right="121"/>
        <w:jc w:val="both"/>
      </w:pPr>
      <w:r>
        <w:rPr/>
        <w:t>La</w:t>
      </w:r>
      <w:r>
        <w:rPr>
          <w:spacing w:val="-7"/>
        </w:rPr>
        <w:t> </w:t>
      </w:r>
      <w:r>
        <w:rPr/>
        <w:t>enfermedad</w:t>
      </w:r>
      <w:r>
        <w:rPr>
          <w:spacing w:val="-9"/>
        </w:rPr>
        <w:t> </w:t>
      </w:r>
      <w:r>
        <w:rPr/>
        <w:t>periodontal</w:t>
      </w:r>
      <w:r>
        <w:rPr>
          <w:spacing w:val="-8"/>
        </w:rPr>
        <w:t> </w:t>
      </w:r>
      <w:r>
        <w:rPr/>
        <w:t>ha</w:t>
      </w:r>
      <w:r>
        <w:rPr>
          <w:spacing w:val="-7"/>
        </w:rPr>
        <w:t> </w:t>
      </w:r>
      <w:r>
        <w:rPr/>
        <w:t>sido</w:t>
      </w:r>
      <w:r>
        <w:rPr>
          <w:spacing w:val="-8"/>
        </w:rPr>
        <w:t> </w:t>
      </w:r>
      <w:r>
        <w:rPr/>
        <w:t>reportada</w:t>
      </w:r>
      <w:r>
        <w:rPr>
          <w:spacing w:val="-7"/>
        </w:rPr>
        <w:t> </w:t>
      </w:r>
      <w:r>
        <w:rPr/>
        <w:t>como</w:t>
      </w:r>
      <w:r>
        <w:rPr>
          <w:spacing w:val="-6"/>
        </w:rPr>
        <w:t> </w:t>
      </w:r>
      <w:r>
        <w:rPr/>
        <w:t>la</w:t>
      </w:r>
      <w:r>
        <w:rPr>
          <w:spacing w:val="-9"/>
        </w:rPr>
        <w:t> </w:t>
      </w:r>
      <w:r>
        <w:rPr/>
        <w:t>sexta</w:t>
      </w:r>
      <w:r>
        <w:rPr>
          <w:spacing w:val="-7"/>
        </w:rPr>
        <w:t> </w:t>
      </w:r>
      <w:r>
        <w:rPr/>
        <w:t>complicación</w:t>
      </w:r>
      <w:r>
        <w:rPr>
          <w:spacing w:val="-8"/>
        </w:rPr>
        <w:t> </w:t>
      </w:r>
      <w:r>
        <w:rPr/>
        <w:t>de</w:t>
      </w:r>
      <w:r>
        <w:rPr>
          <w:spacing w:val="-7"/>
        </w:rPr>
        <w:t> </w:t>
      </w:r>
      <w:r>
        <w:rPr/>
        <w:t>la</w:t>
      </w:r>
      <w:r>
        <w:rPr>
          <w:spacing w:val="-9"/>
        </w:rPr>
        <w:t> </w:t>
      </w:r>
      <w:r>
        <w:rPr/>
        <w:t>diabetes,</w:t>
      </w:r>
      <w:r>
        <w:rPr>
          <w:spacing w:val="-7"/>
        </w:rPr>
        <w:t> </w:t>
      </w:r>
      <w:r>
        <w:rPr/>
        <w:t>esto es debido a los mecanismos que explican la asociación biológica entre estas enfermedades que incluyen: las alteraciones microvasculares, la flora subgingival, los cambios en los componentes del fluido del surco gingival, cambios en el metabolismo del colágeno, la respuesta del huésped alterada y la predisposición genética</w:t>
      </w:r>
      <w:r>
        <w:rPr>
          <w:spacing w:val="-11"/>
        </w:rPr>
        <w:t> </w:t>
      </w:r>
      <w:r>
        <w:rPr/>
        <w:t>(51,57).</w:t>
      </w:r>
    </w:p>
    <w:p>
      <w:pPr>
        <w:pStyle w:val="BodyText"/>
      </w:pPr>
    </w:p>
    <w:p>
      <w:pPr>
        <w:pStyle w:val="BodyText"/>
        <w:spacing w:line="360" w:lineRule="auto" w:before="143"/>
        <w:ind w:left="102" w:right="116"/>
        <w:jc w:val="both"/>
      </w:pPr>
      <w:r>
        <w:rPr/>
        <w:t>Es probable que las alteraciones en moléculas inmunológicamente activas, como resultado de</w:t>
      </w:r>
      <w:r>
        <w:rPr>
          <w:spacing w:val="-10"/>
        </w:rPr>
        <w:t> </w:t>
      </w:r>
      <w:r>
        <w:rPr/>
        <w:t>la</w:t>
      </w:r>
      <w:r>
        <w:rPr>
          <w:spacing w:val="-9"/>
        </w:rPr>
        <w:t> </w:t>
      </w:r>
      <w:r>
        <w:rPr/>
        <w:t>diabetes</w:t>
      </w:r>
      <w:r>
        <w:rPr>
          <w:spacing w:val="-8"/>
        </w:rPr>
        <w:t> </w:t>
      </w:r>
      <w:r>
        <w:rPr/>
        <w:t>puedan</w:t>
      </w:r>
      <w:r>
        <w:rPr>
          <w:spacing w:val="-6"/>
        </w:rPr>
        <w:t> </w:t>
      </w:r>
      <w:r>
        <w:rPr/>
        <w:t>afectar</w:t>
      </w:r>
      <w:r>
        <w:rPr>
          <w:spacing w:val="-10"/>
        </w:rPr>
        <w:t> </w:t>
      </w:r>
      <w:r>
        <w:rPr/>
        <w:t>las</w:t>
      </w:r>
      <w:r>
        <w:rPr>
          <w:spacing w:val="-9"/>
        </w:rPr>
        <w:t> </w:t>
      </w:r>
      <w:r>
        <w:rPr/>
        <w:t>redes</w:t>
      </w:r>
      <w:r>
        <w:rPr>
          <w:spacing w:val="-8"/>
        </w:rPr>
        <w:t> </w:t>
      </w:r>
      <w:r>
        <w:rPr/>
        <w:t>de</w:t>
      </w:r>
      <w:r>
        <w:rPr>
          <w:spacing w:val="-10"/>
        </w:rPr>
        <w:t> </w:t>
      </w:r>
      <w:r>
        <w:rPr/>
        <w:t>citocinas</w:t>
      </w:r>
      <w:r>
        <w:rPr>
          <w:spacing w:val="-7"/>
        </w:rPr>
        <w:t> </w:t>
      </w:r>
      <w:r>
        <w:rPr/>
        <w:t>en</w:t>
      </w:r>
      <w:r>
        <w:rPr>
          <w:spacing w:val="-9"/>
        </w:rPr>
        <w:t> </w:t>
      </w:r>
      <w:r>
        <w:rPr/>
        <w:t>el</w:t>
      </w:r>
      <w:r>
        <w:rPr>
          <w:spacing w:val="-8"/>
        </w:rPr>
        <w:t> </w:t>
      </w:r>
      <w:r>
        <w:rPr/>
        <w:t>periodonto.</w:t>
      </w:r>
      <w:r>
        <w:rPr>
          <w:spacing w:val="-9"/>
        </w:rPr>
        <w:t> </w:t>
      </w:r>
      <w:r>
        <w:rPr/>
        <w:t>Esta</w:t>
      </w:r>
      <w:r>
        <w:rPr>
          <w:spacing w:val="-9"/>
        </w:rPr>
        <w:t> </w:t>
      </w:r>
      <w:r>
        <w:rPr/>
        <w:t>es</w:t>
      </w:r>
      <w:r>
        <w:rPr>
          <w:spacing w:val="-6"/>
        </w:rPr>
        <w:t> </w:t>
      </w:r>
      <w:r>
        <w:rPr/>
        <w:t>la</w:t>
      </w:r>
      <w:r>
        <w:rPr>
          <w:spacing w:val="-9"/>
        </w:rPr>
        <w:t> </w:t>
      </w:r>
      <w:r>
        <w:rPr/>
        <w:t>base</w:t>
      </w:r>
      <w:r>
        <w:rPr>
          <w:spacing w:val="-9"/>
        </w:rPr>
        <w:t> </w:t>
      </w:r>
      <w:r>
        <w:rPr/>
        <w:t>científica para el aumento de la susceptibilidad a la enfermedad periodontal que se ve en personas</w:t>
      </w:r>
      <w:r>
        <w:rPr>
          <w:spacing w:val="-15"/>
        </w:rPr>
        <w:t> </w:t>
      </w:r>
      <w:r>
        <w:rPr/>
        <w:t>con diabetes. Es decir, la diabetes modifica los procesos inflamatorios dando como resultado el aumento de la destrucción periodontal</w:t>
      </w:r>
      <w:r>
        <w:rPr>
          <w:spacing w:val="-5"/>
        </w:rPr>
        <w:t> </w:t>
      </w:r>
      <w:r>
        <w:rPr/>
        <w:t>(4).</w:t>
      </w:r>
    </w:p>
    <w:p>
      <w:pPr>
        <w:pStyle w:val="BodyText"/>
      </w:pPr>
    </w:p>
    <w:p>
      <w:pPr>
        <w:pStyle w:val="BodyText"/>
        <w:spacing w:line="360" w:lineRule="auto" w:before="143"/>
        <w:ind w:left="102" w:right="117"/>
        <w:jc w:val="both"/>
      </w:pPr>
      <w:r>
        <w:rPr/>
        <w:t>Otro mecanismo que puede vincular la diabetes y la enfermedad periodontal es la función reducida de los neutrófilos. Además, el retraso de la apoptosis (muerte celular programada) ha sido reportado en pacientes con diabetes. Los neutrófilos son un componente clave de</w:t>
      </w:r>
      <w:r>
        <w:rPr>
          <w:spacing w:val="-39"/>
        </w:rPr>
        <w:t> </w:t>
      </w:r>
      <w:r>
        <w:rPr/>
        <w:t>los mecanismos de defensa contra bacterias de la placa dentobacteriana en la enfermedad periodontal.</w:t>
      </w:r>
      <w:r>
        <w:rPr>
          <w:spacing w:val="-4"/>
        </w:rPr>
        <w:t> </w:t>
      </w:r>
      <w:r>
        <w:rPr/>
        <w:t>Si</w:t>
      </w:r>
      <w:r>
        <w:rPr>
          <w:spacing w:val="-3"/>
        </w:rPr>
        <w:t> </w:t>
      </w:r>
      <w:r>
        <w:rPr/>
        <w:t>se</w:t>
      </w:r>
      <w:r>
        <w:rPr>
          <w:spacing w:val="-5"/>
        </w:rPr>
        <w:t> </w:t>
      </w:r>
      <w:r>
        <w:rPr/>
        <w:t>retrasa</w:t>
      </w:r>
      <w:r>
        <w:rPr>
          <w:spacing w:val="-2"/>
        </w:rPr>
        <w:t> </w:t>
      </w:r>
      <w:r>
        <w:rPr/>
        <w:t>la</w:t>
      </w:r>
      <w:r>
        <w:rPr>
          <w:spacing w:val="-4"/>
        </w:rPr>
        <w:t> </w:t>
      </w:r>
      <w:r>
        <w:rPr/>
        <w:t>apoptosis,</w:t>
      </w:r>
      <w:r>
        <w:rPr>
          <w:spacing w:val="-4"/>
        </w:rPr>
        <w:t> </w:t>
      </w:r>
      <w:r>
        <w:rPr/>
        <w:t>dará</w:t>
      </w:r>
      <w:r>
        <w:rPr>
          <w:spacing w:val="-6"/>
        </w:rPr>
        <w:t> </w:t>
      </w:r>
      <w:r>
        <w:rPr/>
        <w:t>lugar</w:t>
      </w:r>
      <w:r>
        <w:rPr>
          <w:spacing w:val="-5"/>
        </w:rPr>
        <w:t> </w:t>
      </w:r>
      <w:r>
        <w:rPr/>
        <w:t>a</w:t>
      </w:r>
      <w:r>
        <w:rPr>
          <w:spacing w:val="-2"/>
        </w:rPr>
        <w:t> </w:t>
      </w:r>
      <w:r>
        <w:rPr/>
        <w:t>una</w:t>
      </w:r>
      <w:r>
        <w:rPr>
          <w:spacing w:val="-5"/>
        </w:rPr>
        <w:t> </w:t>
      </w:r>
      <w:r>
        <w:rPr/>
        <w:t>mayor</w:t>
      </w:r>
      <w:r>
        <w:rPr>
          <w:spacing w:val="-5"/>
        </w:rPr>
        <w:t> </w:t>
      </w:r>
      <w:r>
        <w:rPr/>
        <w:t>retención</w:t>
      </w:r>
      <w:r>
        <w:rPr>
          <w:spacing w:val="-3"/>
        </w:rPr>
        <w:t> </w:t>
      </w:r>
      <w:r>
        <w:rPr/>
        <w:t>de</w:t>
      </w:r>
      <w:r>
        <w:rPr>
          <w:spacing w:val="-5"/>
        </w:rPr>
        <w:t> </w:t>
      </w:r>
      <w:r>
        <w:rPr/>
        <w:t>los</w:t>
      </w:r>
      <w:r>
        <w:rPr>
          <w:spacing w:val="-4"/>
        </w:rPr>
        <w:t> </w:t>
      </w:r>
      <w:r>
        <w:rPr/>
        <w:t>neutrófilos</w:t>
      </w:r>
      <w:r>
        <w:rPr>
          <w:spacing w:val="-4"/>
        </w:rPr>
        <w:t> </w:t>
      </w:r>
      <w:r>
        <w:rPr/>
        <w:t>en el tejido periodontal</w:t>
      </w:r>
      <w:r>
        <w:rPr>
          <w:spacing w:val="-5"/>
        </w:rPr>
        <w:t> </w:t>
      </w:r>
      <w:r>
        <w:rPr/>
        <w:t>(4).</w:t>
      </w:r>
    </w:p>
    <w:p>
      <w:pPr>
        <w:pStyle w:val="BodyText"/>
      </w:pPr>
    </w:p>
    <w:p>
      <w:pPr>
        <w:pStyle w:val="BodyText"/>
        <w:spacing w:line="360" w:lineRule="auto" w:before="143"/>
        <w:ind w:left="102" w:right="119"/>
        <w:jc w:val="both"/>
      </w:pPr>
      <w:r>
        <w:rPr/>
        <w:t>Los mecanismos fisiológicos que pueden estar relacionados entre la enfermedad</w:t>
      </w:r>
      <w:r>
        <w:rPr>
          <w:spacing w:val="-27"/>
        </w:rPr>
        <w:t> </w:t>
      </w:r>
      <w:r>
        <w:rPr/>
        <w:t>periodontal y</w:t>
      </w:r>
      <w:r>
        <w:rPr>
          <w:spacing w:val="-13"/>
        </w:rPr>
        <w:t> </w:t>
      </w:r>
      <w:r>
        <w:rPr/>
        <w:t>la</w:t>
      </w:r>
      <w:r>
        <w:rPr>
          <w:spacing w:val="-12"/>
        </w:rPr>
        <w:t> </w:t>
      </w:r>
      <w:r>
        <w:rPr/>
        <w:t>diabetes</w:t>
      </w:r>
      <w:r>
        <w:rPr>
          <w:spacing w:val="-11"/>
        </w:rPr>
        <w:t> </w:t>
      </w:r>
      <w:r>
        <w:rPr/>
        <w:t>son</w:t>
      </w:r>
      <w:r>
        <w:rPr>
          <w:spacing w:val="-11"/>
        </w:rPr>
        <w:t> </w:t>
      </w:r>
      <w:r>
        <w:rPr/>
        <w:t>los</w:t>
      </w:r>
      <w:r>
        <w:rPr>
          <w:spacing w:val="-8"/>
        </w:rPr>
        <w:t> </w:t>
      </w:r>
      <w:r>
        <w:rPr/>
        <w:t>cambios</w:t>
      </w:r>
      <w:r>
        <w:rPr>
          <w:spacing w:val="-10"/>
        </w:rPr>
        <w:t> </w:t>
      </w:r>
      <w:r>
        <w:rPr/>
        <w:t>vasculares,</w:t>
      </w:r>
      <w:r>
        <w:rPr>
          <w:spacing w:val="-11"/>
        </w:rPr>
        <w:t> </w:t>
      </w:r>
      <w:r>
        <w:rPr/>
        <w:t>microflora</w:t>
      </w:r>
      <w:r>
        <w:rPr>
          <w:spacing w:val="-13"/>
        </w:rPr>
        <w:t> </w:t>
      </w:r>
      <w:r>
        <w:rPr/>
        <w:t>bacteriana,</w:t>
      </w:r>
      <w:r>
        <w:rPr>
          <w:spacing w:val="-11"/>
        </w:rPr>
        <w:t> </w:t>
      </w:r>
      <w:r>
        <w:rPr/>
        <w:t>una</w:t>
      </w:r>
      <w:r>
        <w:rPr>
          <w:spacing w:val="-12"/>
        </w:rPr>
        <w:t> </w:t>
      </w:r>
      <w:r>
        <w:rPr/>
        <w:t>inadecuada</w:t>
      </w:r>
      <w:r>
        <w:rPr>
          <w:spacing w:val="-12"/>
        </w:rPr>
        <w:t> </w:t>
      </w:r>
      <w:r>
        <w:rPr/>
        <w:t>respuesta</w:t>
      </w:r>
      <w:r>
        <w:rPr>
          <w:spacing w:val="-9"/>
        </w:rPr>
        <w:t> </w:t>
      </w:r>
      <w:r>
        <w:rPr/>
        <w:t>del huésped y el metabolismo anormal del colágeno</w:t>
      </w:r>
      <w:r>
        <w:rPr>
          <w:spacing w:val="-7"/>
        </w:rPr>
        <w:t> </w:t>
      </w:r>
      <w:r>
        <w:rPr/>
        <w:t>(59).</w:t>
      </w:r>
    </w:p>
    <w:p>
      <w:pPr>
        <w:pStyle w:val="BodyText"/>
      </w:pPr>
    </w:p>
    <w:p>
      <w:pPr>
        <w:pStyle w:val="BodyText"/>
        <w:spacing w:line="360" w:lineRule="auto" w:before="143"/>
        <w:ind w:left="102" w:right="121"/>
        <w:jc w:val="both"/>
      </w:pPr>
      <w:r>
        <w:rPr/>
        <w:t>En un estudio realizado por Randhika y Ranganathan en 150 pacientes adultos de los cuales 100 tenían DM2 y 50 eran sanos, evaluaron el índice periodontal y las concentraciones de glucosa, se obtuvo una mayor prevalencia de enfermedad periodontal en los pacientes con DM2 en comparación con los no DM2 (51).</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6"/>
        <w:jc w:val="both"/>
      </w:pPr>
      <w:r>
        <w:rPr/>
        <w:t>El análisis metabólico de saliva y plasma de pacientes con y sin diabetes y con y sin enfermedad periodontal realizado por Barnes y colaboradores, evaluó los marcadores relacionados con enfermedad periodontal en 161 pacientes, donde se encontró una relación de</w:t>
      </w:r>
      <w:r>
        <w:rPr>
          <w:spacing w:val="-11"/>
        </w:rPr>
        <w:t> </w:t>
      </w:r>
      <w:r>
        <w:rPr/>
        <w:t>marcadores</w:t>
      </w:r>
      <w:r>
        <w:rPr>
          <w:spacing w:val="-9"/>
        </w:rPr>
        <w:t> </w:t>
      </w:r>
      <w:r>
        <w:rPr/>
        <w:t>metabólicos</w:t>
      </w:r>
      <w:r>
        <w:rPr>
          <w:spacing w:val="-9"/>
        </w:rPr>
        <w:t> </w:t>
      </w:r>
      <w:r>
        <w:rPr/>
        <w:t>en</w:t>
      </w:r>
      <w:r>
        <w:rPr>
          <w:spacing w:val="-10"/>
        </w:rPr>
        <w:t> </w:t>
      </w:r>
      <w:r>
        <w:rPr/>
        <w:t>saliva</w:t>
      </w:r>
      <w:r>
        <w:rPr>
          <w:spacing w:val="-11"/>
        </w:rPr>
        <w:t> </w:t>
      </w:r>
      <w:r>
        <w:rPr/>
        <w:t>en</w:t>
      </w:r>
      <w:r>
        <w:rPr>
          <w:spacing w:val="-10"/>
        </w:rPr>
        <w:t> </w:t>
      </w:r>
      <w:r>
        <w:rPr/>
        <w:t>pacientes</w:t>
      </w:r>
      <w:r>
        <w:rPr>
          <w:spacing w:val="-9"/>
        </w:rPr>
        <w:t> </w:t>
      </w:r>
      <w:r>
        <w:rPr/>
        <w:t>con</w:t>
      </w:r>
      <w:r>
        <w:rPr>
          <w:spacing w:val="-10"/>
        </w:rPr>
        <w:t> </w:t>
      </w:r>
      <w:r>
        <w:rPr/>
        <w:t>diabetes</w:t>
      </w:r>
      <w:r>
        <w:rPr>
          <w:spacing w:val="-8"/>
        </w:rPr>
        <w:t> </w:t>
      </w:r>
      <w:r>
        <w:rPr/>
        <w:t>y</w:t>
      </w:r>
      <w:r>
        <w:rPr>
          <w:spacing w:val="-14"/>
        </w:rPr>
        <w:t> </w:t>
      </w:r>
      <w:r>
        <w:rPr/>
        <w:t>enfermedad</w:t>
      </w:r>
      <w:r>
        <w:rPr>
          <w:spacing w:val="-10"/>
        </w:rPr>
        <w:t> </w:t>
      </w:r>
      <w:r>
        <w:rPr/>
        <w:t>periodontal</w:t>
      </w:r>
      <w:r>
        <w:rPr>
          <w:spacing w:val="-10"/>
        </w:rPr>
        <w:t> </w:t>
      </w:r>
      <w:r>
        <w:rPr/>
        <w:t>(1).</w:t>
      </w:r>
    </w:p>
    <w:p>
      <w:pPr>
        <w:pStyle w:val="BodyText"/>
      </w:pPr>
    </w:p>
    <w:p>
      <w:pPr>
        <w:pStyle w:val="BodyText"/>
        <w:spacing w:line="360" w:lineRule="auto" w:before="143"/>
        <w:ind w:left="102" w:right="118"/>
        <w:jc w:val="both"/>
      </w:pPr>
      <w:r>
        <w:rPr/>
        <w:t>Un estudio realizado por Gutiérrez-Hernández, el cual consistió en comparar el estado periodontal y nivel de higiene dental en pacientes con DM2 con y sin control glucémico, mostró que la prevalencia de sujetos diabéticos sin control glucémico fue del 59%, con un valor</w:t>
      </w:r>
      <w:r>
        <w:rPr>
          <w:spacing w:val="-12"/>
        </w:rPr>
        <w:t> </w:t>
      </w:r>
      <w:r>
        <w:rPr/>
        <w:t>promedio</w:t>
      </w:r>
      <w:r>
        <w:rPr>
          <w:spacing w:val="-12"/>
        </w:rPr>
        <w:t> </w:t>
      </w:r>
      <w:r>
        <w:rPr/>
        <w:t>de</w:t>
      </w:r>
      <w:r>
        <w:rPr>
          <w:spacing w:val="-13"/>
        </w:rPr>
        <w:t> </w:t>
      </w:r>
      <w:r>
        <w:rPr/>
        <w:t>135</w:t>
      </w:r>
      <w:r>
        <w:rPr>
          <w:spacing w:val="-12"/>
        </w:rPr>
        <w:t> </w:t>
      </w:r>
      <w:r>
        <w:rPr/>
        <w:t>mg/dl</w:t>
      </w:r>
      <w:r>
        <w:rPr>
          <w:spacing w:val="-11"/>
        </w:rPr>
        <w:t> </w:t>
      </w:r>
      <w:r>
        <w:rPr/>
        <w:t>de</w:t>
      </w:r>
      <w:r>
        <w:rPr>
          <w:spacing w:val="-11"/>
        </w:rPr>
        <w:t> </w:t>
      </w:r>
      <w:r>
        <w:rPr/>
        <w:t>glucosa</w:t>
      </w:r>
      <w:r>
        <w:rPr>
          <w:spacing w:val="-13"/>
        </w:rPr>
        <w:t> </w:t>
      </w:r>
      <w:r>
        <w:rPr/>
        <w:t>en</w:t>
      </w:r>
      <w:r>
        <w:rPr>
          <w:spacing w:val="-12"/>
        </w:rPr>
        <w:t> </w:t>
      </w:r>
      <w:r>
        <w:rPr/>
        <w:t>ayuno;</w:t>
      </w:r>
      <w:r>
        <w:rPr>
          <w:spacing w:val="-9"/>
        </w:rPr>
        <w:t> </w:t>
      </w:r>
      <w:r>
        <w:rPr/>
        <w:t>en</w:t>
      </w:r>
      <w:r>
        <w:rPr>
          <w:spacing w:val="-12"/>
        </w:rPr>
        <w:t> </w:t>
      </w:r>
      <w:r>
        <w:rPr/>
        <w:t>tanto</w:t>
      </w:r>
      <w:r>
        <w:rPr>
          <w:spacing w:val="-12"/>
        </w:rPr>
        <w:t> </w:t>
      </w:r>
      <w:r>
        <w:rPr/>
        <w:t>que</w:t>
      </w:r>
      <w:r>
        <w:rPr>
          <w:spacing w:val="-13"/>
        </w:rPr>
        <w:t> </w:t>
      </w:r>
      <w:r>
        <w:rPr/>
        <w:t>la</w:t>
      </w:r>
      <w:r>
        <w:rPr>
          <w:spacing w:val="-13"/>
        </w:rPr>
        <w:t> </w:t>
      </w:r>
      <w:r>
        <w:rPr/>
        <w:t>prevalencia</w:t>
      </w:r>
      <w:r>
        <w:rPr>
          <w:spacing w:val="-13"/>
        </w:rPr>
        <w:t> </w:t>
      </w:r>
      <w:r>
        <w:rPr/>
        <w:t>de</w:t>
      </w:r>
      <w:r>
        <w:rPr>
          <w:spacing w:val="-13"/>
        </w:rPr>
        <w:t> </w:t>
      </w:r>
      <w:r>
        <w:rPr/>
        <w:t>enfermedad periodontal registrada fue de 96.8%, sólo el 3.2% se encontraron sanos, el 55.8% presentó periodontitis leve y moderado. El 8% de los pacientes con control glucémico presentaron</w:t>
      </w:r>
      <w:r>
        <w:rPr>
          <w:spacing w:val="-25"/>
        </w:rPr>
        <w:t> </w:t>
      </w:r>
      <w:r>
        <w:rPr/>
        <w:t>un periodonto sano y el 36% gingivitis con diferencia significativa de 8 a 28% en relación con pacientes sin control. En contraste, en los pacientes sin control glucémico el 36.1% y 19.4% presentaron periodontitis moderada y severa, respectivamente, con diferencia de 8 a 15.4%. El estudio concluyó que existe una alta prevalencia de enfermedad periodontal en pacientes sin control glucémico</w:t>
      </w:r>
      <w:r>
        <w:rPr>
          <w:spacing w:val="-5"/>
        </w:rPr>
        <w:t> </w:t>
      </w:r>
      <w:r>
        <w:rPr/>
        <w:t>(63).</w:t>
      </w:r>
    </w:p>
    <w:p>
      <w:pPr>
        <w:pStyle w:val="BodyText"/>
      </w:pPr>
    </w:p>
    <w:p>
      <w:pPr>
        <w:pStyle w:val="BodyText"/>
        <w:spacing w:line="360" w:lineRule="auto" w:before="143"/>
        <w:ind w:left="102" w:right="116"/>
        <w:jc w:val="both"/>
      </w:pPr>
      <w:r>
        <w:rPr/>
        <w:t>La evidencia científica ha reflejado que existe una relación bidireccional entre la diabetes mellitus y la enfermedad periodontal, de tal modo que se considera que la diabetes mellitus está asociada con un incremento en la incidencia y severidad de la enfermedad periodontal, a</w:t>
      </w:r>
      <w:r>
        <w:rPr>
          <w:spacing w:val="-14"/>
        </w:rPr>
        <w:t> </w:t>
      </w:r>
      <w:r>
        <w:rPr/>
        <w:t>su</w:t>
      </w:r>
      <w:r>
        <w:rPr>
          <w:spacing w:val="-13"/>
        </w:rPr>
        <w:t> </w:t>
      </w:r>
      <w:r>
        <w:rPr/>
        <w:t>vez</w:t>
      </w:r>
      <w:r>
        <w:rPr>
          <w:spacing w:val="-12"/>
        </w:rPr>
        <w:t> </w:t>
      </w:r>
      <w:r>
        <w:rPr/>
        <w:t>esta</w:t>
      </w:r>
      <w:r>
        <w:rPr>
          <w:spacing w:val="-14"/>
        </w:rPr>
        <w:t> </w:t>
      </w:r>
      <w:r>
        <w:rPr/>
        <w:t>se</w:t>
      </w:r>
      <w:r>
        <w:rPr>
          <w:spacing w:val="-14"/>
        </w:rPr>
        <w:t> </w:t>
      </w:r>
      <w:r>
        <w:rPr/>
        <w:t>encuentra</w:t>
      </w:r>
      <w:r>
        <w:rPr>
          <w:spacing w:val="-12"/>
        </w:rPr>
        <w:t> </w:t>
      </w:r>
      <w:r>
        <w:rPr/>
        <w:t>asociada</w:t>
      </w:r>
      <w:r>
        <w:rPr>
          <w:spacing w:val="-15"/>
        </w:rPr>
        <w:t> </w:t>
      </w:r>
      <w:r>
        <w:rPr/>
        <w:t>con</w:t>
      </w:r>
      <w:r>
        <w:rPr>
          <w:spacing w:val="-13"/>
        </w:rPr>
        <w:t> </w:t>
      </w:r>
      <w:r>
        <w:rPr/>
        <w:t>el</w:t>
      </w:r>
      <w:r>
        <w:rPr>
          <w:spacing w:val="-13"/>
        </w:rPr>
        <w:t> </w:t>
      </w:r>
      <w:r>
        <w:rPr/>
        <w:t>mal</w:t>
      </w:r>
      <w:r>
        <w:rPr>
          <w:spacing w:val="-13"/>
        </w:rPr>
        <w:t> </w:t>
      </w:r>
      <w:r>
        <w:rPr/>
        <w:t>control</w:t>
      </w:r>
      <w:r>
        <w:rPr>
          <w:spacing w:val="-13"/>
        </w:rPr>
        <w:t> </w:t>
      </w:r>
      <w:r>
        <w:rPr/>
        <w:t>glicémico.</w:t>
      </w:r>
      <w:r>
        <w:rPr>
          <w:spacing w:val="-13"/>
        </w:rPr>
        <w:t> </w:t>
      </w:r>
      <w:r>
        <w:rPr/>
        <w:t>Se</w:t>
      </w:r>
      <w:r>
        <w:rPr>
          <w:spacing w:val="-14"/>
        </w:rPr>
        <w:t> </w:t>
      </w:r>
      <w:r>
        <w:rPr/>
        <w:t>ha</w:t>
      </w:r>
      <w:r>
        <w:rPr>
          <w:spacing w:val="-14"/>
        </w:rPr>
        <w:t> </w:t>
      </w:r>
      <w:r>
        <w:rPr/>
        <w:t>considerado</w:t>
      </w:r>
      <w:r>
        <w:rPr>
          <w:spacing w:val="-13"/>
        </w:rPr>
        <w:t> </w:t>
      </w:r>
      <w:r>
        <w:rPr/>
        <w:t>que</w:t>
      </w:r>
      <w:r>
        <w:rPr>
          <w:spacing w:val="-14"/>
        </w:rPr>
        <w:t> </w:t>
      </w:r>
      <w:r>
        <w:rPr/>
        <w:t>existe la suficiente evidencia para afirmar la existencia de una relación dosis-respuesta entre la enfermedad periodontal y la diabetes, de tal modo que un desequilibrio en el control glicémico supone un incremento en los efectos adversos de la enfermedad periodontal y viceversa</w:t>
      </w:r>
      <w:r>
        <w:rPr>
          <w:spacing w:val="-6"/>
        </w:rPr>
        <w:t> </w:t>
      </w:r>
      <w:r>
        <w:rPr/>
        <w:t>(64).</w:t>
      </w:r>
    </w:p>
    <w:p>
      <w:pPr>
        <w:pStyle w:val="BodyText"/>
      </w:pPr>
    </w:p>
    <w:p>
      <w:pPr>
        <w:pStyle w:val="BodyText"/>
        <w:spacing w:line="360" w:lineRule="auto" w:before="143"/>
        <w:ind w:left="102" w:right="117"/>
        <w:jc w:val="both"/>
      </w:pPr>
      <w:r>
        <w:rPr/>
        <w:t>Como tal, se han propuesto diversos mecanismos que tratan de explicar la asociación entre la diabetes y la enfermedad periodontal; éstos podrían dividirse en tres grupos: los que se centran en el efecto directo de ambas patologías, los que se centran en el efecto de la enfermedad</w:t>
      </w:r>
      <w:r>
        <w:rPr>
          <w:spacing w:val="-5"/>
        </w:rPr>
        <w:t> </w:t>
      </w:r>
      <w:r>
        <w:rPr/>
        <w:t>periodontal</w:t>
      </w:r>
      <w:r>
        <w:rPr>
          <w:spacing w:val="-5"/>
        </w:rPr>
        <w:t> </w:t>
      </w:r>
      <w:r>
        <w:rPr/>
        <w:t>sobre</w:t>
      </w:r>
      <w:r>
        <w:rPr>
          <w:spacing w:val="-6"/>
        </w:rPr>
        <w:t> </w:t>
      </w:r>
      <w:r>
        <w:rPr/>
        <w:t>la</w:t>
      </w:r>
      <w:r>
        <w:rPr>
          <w:spacing w:val="-5"/>
        </w:rPr>
        <w:t> </w:t>
      </w:r>
      <w:r>
        <w:rPr/>
        <w:t>diabetes</w:t>
      </w:r>
      <w:r>
        <w:rPr>
          <w:spacing w:val="-2"/>
        </w:rPr>
        <w:t> </w:t>
      </w:r>
      <w:r>
        <w:rPr/>
        <w:t>y</w:t>
      </w:r>
      <w:r>
        <w:rPr>
          <w:spacing w:val="-10"/>
        </w:rPr>
        <w:t> </w:t>
      </w:r>
      <w:r>
        <w:rPr/>
        <w:t>la</w:t>
      </w:r>
      <w:r>
        <w:rPr>
          <w:spacing w:val="-5"/>
        </w:rPr>
        <w:t> </w:t>
      </w:r>
      <w:r>
        <w:rPr/>
        <w:t>propuesta</w:t>
      </w:r>
      <w:r>
        <w:rPr>
          <w:spacing w:val="-5"/>
        </w:rPr>
        <w:t> </w:t>
      </w:r>
      <w:r>
        <w:rPr/>
        <w:t>de</w:t>
      </w:r>
      <w:r>
        <w:rPr>
          <w:spacing w:val="-6"/>
        </w:rPr>
        <w:t> </w:t>
      </w:r>
      <w:r>
        <w:rPr/>
        <w:t>un</w:t>
      </w:r>
      <w:r>
        <w:rPr>
          <w:spacing w:val="-5"/>
        </w:rPr>
        <w:t> </w:t>
      </w:r>
      <w:r>
        <w:rPr/>
        <w:t>factor</w:t>
      </w:r>
      <w:r>
        <w:rPr>
          <w:spacing w:val="-5"/>
        </w:rPr>
        <w:t> </w:t>
      </w:r>
      <w:r>
        <w:rPr/>
        <w:t>patológico</w:t>
      </w:r>
      <w:r>
        <w:rPr>
          <w:spacing w:val="-5"/>
        </w:rPr>
        <w:t> </w:t>
      </w:r>
      <w:r>
        <w:rPr/>
        <w:t>común</w:t>
      </w:r>
      <w:r>
        <w:rPr>
          <w:spacing w:val="-4"/>
        </w:rPr>
        <w:t> </w:t>
      </w:r>
      <w:r>
        <w:rPr/>
        <w:t>entre ambas</w:t>
      </w:r>
      <w:r>
        <w:rPr>
          <w:spacing w:val="-5"/>
        </w:rPr>
        <w:t> </w:t>
      </w:r>
      <w:r>
        <w:rPr/>
        <w:t>enfermedades.</w:t>
      </w:r>
      <w:r>
        <w:rPr>
          <w:spacing w:val="-5"/>
        </w:rPr>
        <w:t> </w:t>
      </w:r>
      <w:r>
        <w:rPr/>
        <w:t>Se</w:t>
      </w:r>
      <w:r>
        <w:rPr>
          <w:spacing w:val="-6"/>
        </w:rPr>
        <w:t> </w:t>
      </w:r>
      <w:r>
        <w:rPr/>
        <w:t>considera</w:t>
      </w:r>
      <w:r>
        <w:rPr>
          <w:spacing w:val="-7"/>
        </w:rPr>
        <w:t> </w:t>
      </w:r>
      <w:r>
        <w:rPr/>
        <w:t>una</w:t>
      </w:r>
      <w:r>
        <w:rPr>
          <w:spacing w:val="-6"/>
        </w:rPr>
        <w:t> </w:t>
      </w:r>
      <w:r>
        <w:rPr/>
        <w:t>relación</w:t>
      </w:r>
      <w:r>
        <w:rPr>
          <w:spacing w:val="-4"/>
        </w:rPr>
        <w:t> </w:t>
      </w:r>
      <w:r>
        <w:rPr/>
        <w:t>directa</w:t>
      </w:r>
      <w:r>
        <w:rPr>
          <w:spacing w:val="-5"/>
        </w:rPr>
        <w:t> </w:t>
      </w:r>
      <w:r>
        <w:rPr/>
        <w:t>causal</w:t>
      </w:r>
      <w:r>
        <w:rPr>
          <w:spacing w:val="-2"/>
        </w:rPr>
        <w:t> </w:t>
      </w:r>
      <w:r>
        <w:rPr/>
        <w:t>debido</w:t>
      </w:r>
      <w:r>
        <w:rPr>
          <w:spacing w:val="-4"/>
        </w:rPr>
        <w:t> </w:t>
      </w:r>
      <w:r>
        <w:rPr/>
        <w:t>a</w:t>
      </w:r>
      <w:r>
        <w:rPr>
          <w:spacing w:val="-6"/>
        </w:rPr>
        <w:t> </w:t>
      </w:r>
      <w:r>
        <w:rPr/>
        <w:t>que</w:t>
      </w:r>
      <w:r>
        <w:rPr>
          <w:spacing w:val="-6"/>
        </w:rPr>
        <w:t> </w:t>
      </w:r>
      <w:r>
        <w:rPr/>
        <w:t>la</w:t>
      </w:r>
      <w:r>
        <w:rPr>
          <w:spacing w:val="-5"/>
        </w:rPr>
        <w:t> </w:t>
      </w:r>
      <w:r>
        <w:rPr/>
        <w:t>diabetes</w:t>
      </w:r>
      <w:r>
        <w:rPr>
          <w:spacing w:val="-5"/>
        </w:rPr>
        <w:t> </w:t>
      </w:r>
      <w:r>
        <w:rPr/>
        <w:t>es</w:t>
      </w:r>
      <w:r>
        <w:rPr>
          <w:spacing w:val="-5"/>
        </w:rPr>
        <w:t> </w:t>
      </w:r>
      <w:r>
        <w:rPr/>
        <w:t>un</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9"/>
        <w:jc w:val="both"/>
      </w:pPr>
      <w:r>
        <w:rPr/>
        <w:t>factor de riesgo para la enfermedad periodontal, puesto que ésta modifica la producción de AGE´s y la apoptosis celular, ambos aumentados en pacientes diabéticos, teniendo como consecuencia mayor susceptibilidad a infecciones, cambios vasculares y problemas de cicatrización (65).</w:t>
      </w:r>
    </w:p>
    <w:p>
      <w:pPr>
        <w:spacing w:after="0" w:line="360" w:lineRule="auto"/>
        <w:jc w:val="both"/>
        <w:sectPr>
          <w:pgSz w:w="12240" w:h="15840"/>
          <w:pgMar w:header="731" w:footer="0" w:top="960" w:bottom="280" w:left="1600" w:right="1580"/>
        </w:sectPr>
      </w:pPr>
    </w:p>
    <w:p>
      <w:pPr>
        <w:pStyle w:val="BodyText"/>
        <w:rPr>
          <w:sz w:val="20"/>
        </w:rPr>
      </w:pPr>
    </w:p>
    <w:p>
      <w:pPr>
        <w:pStyle w:val="Heading1"/>
        <w:numPr>
          <w:ilvl w:val="0"/>
          <w:numId w:val="2"/>
        </w:numPr>
        <w:tabs>
          <w:tab w:pos="822" w:val="left" w:leader="none"/>
        </w:tabs>
        <w:spacing w:line="240" w:lineRule="auto" w:before="213" w:after="0"/>
        <w:ind w:left="822" w:right="0" w:hanging="360"/>
        <w:jc w:val="left"/>
      </w:pPr>
      <w:r>
        <w:rPr/>
        <w:t>Planteamiento del</w:t>
      </w:r>
      <w:r>
        <w:rPr>
          <w:spacing w:val="-12"/>
        </w:rPr>
        <w:t> </w:t>
      </w:r>
      <w:r>
        <w:rPr/>
        <w:t>Problema</w:t>
      </w:r>
    </w:p>
    <w:p>
      <w:pPr>
        <w:pStyle w:val="BodyText"/>
        <w:rPr>
          <w:b/>
          <w:sz w:val="28"/>
        </w:rPr>
      </w:pPr>
    </w:p>
    <w:p>
      <w:pPr>
        <w:pStyle w:val="BodyText"/>
        <w:spacing w:line="360" w:lineRule="auto" w:before="250"/>
        <w:ind w:left="102" w:right="114"/>
        <w:jc w:val="both"/>
      </w:pPr>
      <w:r>
        <w:rPr/>
        <w:t>La enfermedad periodontal es una infección de naturaleza multifactorial, determinada por una respuesta inflamatoria de los tejidos gingivales, la pérdida de tejido conectivo y hueso alveolar, así como la formación de bolsas. Se caracteriza por una producción local de mediadores de inflamación, incluyendo citocinas (interleucinas), prostanoides (prostaglandinas) y enzimas destructivas (metaloproteínas, colagenasa).</w:t>
      </w:r>
    </w:p>
    <w:p>
      <w:pPr>
        <w:pStyle w:val="BodyText"/>
      </w:pPr>
    </w:p>
    <w:p>
      <w:pPr>
        <w:pStyle w:val="BodyText"/>
        <w:spacing w:line="360" w:lineRule="auto" w:before="143"/>
        <w:ind w:left="102" w:right="119"/>
        <w:jc w:val="both"/>
      </w:pPr>
      <w:r>
        <w:rPr/>
        <w:t>La</w:t>
      </w:r>
      <w:r>
        <w:rPr>
          <w:spacing w:val="-8"/>
        </w:rPr>
        <w:t> </w:t>
      </w:r>
      <w:r>
        <w:rPr/>
        <w:t>DM2</w:t>
      </w:r>
      <w:r>
        <w:rPr>
          <w:spacing w:val="-7"/>
        </w:rPr>
        <w:t> </w:t>
      </w:r>
      <w:r>
        <w:rPr/>
        <w:t>es</w:t>
      </w:r>
      <w:r>
        <w:rPr>
          <w:spacing w:val="-7"/>
        </w:rPr>
        <w:t> </w:t>
      </w:r>
      <w:r>
        <w:rPr/>
        <w:t>un</w:t>
      </w:r>
      <w:r>
        <w:rPr>
          <w:spacing w:val="-7"/>
        </w:rPr>
        <w:t> </w:t>
      </w:r>
      <w:r>
        <w:rPr/>
        <w:t>desorden</w:t>
      </w:r>
      <w:r>
        <w:rPr>
          <w:spacing w:val="-5"/>
        </w:rPr>
        <w:t> </w:t>
      </w:r>
      <w:r>
        <w:rPr/>
        <w:t>metabólico</w:t>
      </w:r>
      <w:r>
        <w:rPr>
          <w:spacing w:val="-7"/>
        </w:rPr>
        <w:t> </w:t>
      </w:r>
      <w:r>
        <w:rPr/>
        <w:t>crónico</w:t>
      </w:r>
      <w:r>
        <w:rPr>
          <w:spacing w:val="-7"/>
        </w:rPr>
        <w:t> </w:t>
      </w:r>
      <w:r>
        <w:rPr/>
        <w:t>que</w:t>
      </w:r>
      <w:r>
        <w:rPr>
          <w:spacing w:val="-8"/>
        </w:rPr>
        <w:t> </w:t>
      </w:r>
      <w:r>
        <w:rPr/>
        <w:t>afecta</w:t>
      </w:r>
      <w:r>
        <w:rPr>
          <w:spacing w:val="-8"/>
        </w:rPr>
        <w:t> </w:t>
      </w:r>
      <w:r>
        <w:rPr/>
        <w:t>a</w:t>
      </w:r>
      <w:r>
        <w:rPr>
          <w:spacing w:val="-8"/>
        </w:rPr>
        <w:t> </w:t>
      </w:r>
      <w:r>
        <w:rPr/>
        <w:t>más</w:t>
      </w:r>
      <w:r>
        <w:rPr>
          <w:spacing w:val="-8"/>
        </w:rPr>
        <w:t> </w:t>
      </w:r>
      <w:r>
        <w:rPr/>
        <w:t>de</w:t>
      </w:r>
      <w:r>
        <w:rPr>
          <w:spacing w:val="-8"/>
        </w:rPr>
        <w:t> </w:t>
      </w:r>
      <w:r>
        <w:rPr/>
        <w:t>100</w:t>
      </w:r>
      <w:r>
        <w:rPr>
          <w:spacing w:val="-7"/>
        </w:rPr>
        <w:t> </w:t>
      </w:r>
      <w:r>
        <w:rPr/>
        <w:t>millones</w:t>
      </w:r>
      <w:r>
        <w:rPr>
          <w:spacing w:val="-7"/>
        </w:rPr>
        <w:t> </w:t>
      </w:r>
      <w:r>
        <w:rPr/>
        <w:t>de</w:t>
      </w:r>
      <w:r>
        <w:rPr>
          <w:spacing w:val="-8"/>
        </w:rPr>
        <w:t> </w:t>
      </w:r>
      <w:r>
        <w:rPr/>
        <w:t>personas</w:t>
      </w:r>
      <w:r>
        <w:rPr>
          <w:spacing w:val="-7"/>
        </w:rPr>
        <w:t> </w:t>
      </w:r>
      <w:r>
        <w:rPr/>
        <w:t>en el mundo. En México según la Encuesta Nacional de Salud (ENSANUT) 2012 se reporta</w:t>
      </w:r>
      <w:r>
        <w:rPr>
          <w:spacing w:val="-33"/>
        </w:rPr>
        <w:t> </w:t>
      </w:r>
      <w:r>
        <w:rPr/>
        <w:t>un incremento importante tanto en hombres como en mujeres en el grupo de 50 a 59 años de edad, respecto a la ENSANUT 2006; el incremento fue de 19.4 puntos porcentuales en las mujeres y de 19.1 en los hombres. En el grupo de 60 a 69 años se observó una prevalencia ligeramente mayor en mujeres que en hombres (26.3 y 24.1%, respectivamente) que se acentuó en el grupo de 70 a 79 años (27.4 y 21.5%,</w:t>
      </w:r>
      <w:r>
        <w:rPr>
          <w:spacing w:val="-11"/>
        </w:rPr>
        <w:t> </w:t>
      </w:r>
      <w:r>
        <w:rPr/>
        <w:t>respectivamente).</w:t>
      </w:r>
    </w:p>
    <w:p>
      <w:pPr>
        <w:pStyle w:val="BodyText"/>
      </w:pPr>
    </w:p>
    <w:p>
      <w:pPr>
        <w:pStyle w:val="BodyText"/>
        <w:spacing w:line="360" w:lineRule="auto" w:before="143"/>
        <w:ind w:left="102" w:right="120"/>
        <w:jc w:val="both"/>
      </w:pPr>
      <w:r>
        <w:rPr/>
        <w:t>La</w:t>
      </w:r>
      <w:r>
        <w:rPr>
          <w:spacing w:val="-6"/>
        </w:rPr>
        <w:t> </w:t>
      </w:r>
      <w:r>
        <w:rPr/>
        <w:t>DM2</w:t>
      </w:r>
      <w:r>
        <w:rPr>
          <w:spacing w:val="-5"/>
        </w:rPr>
        <w:t> </w:t>
      </w:r>
      <w:r>
        <w:rPr/>
        <w:t>está</w:t>
      </w:r>
      <w:r>
        <w:rPr>
          <w:spacing w:val="-2"/>
        </w:rPr>
        <w:t> </w:t>
      </w:r>
      <w:r>
        <w:rPr/>
        <w:t>asociada</w:t>
      </w:r>
      <w:r>
        <w:rPr>
          <w:spacing w:val="-6"/>
        </w:rPr>
        <w:t> </w:t>
      </w:r>
      <w:r>
        <w:rPr/>
        <w:t>a</w:t>
      </w:r>
      <w:r>
        <w:rPr>
          <w:spacing w:val="-3"/>
        </w:rPr>
        <w:t> </w:t>
      </w:r>
      <w:r>
        <w:rPr/>
        <w:t>mayores</w:t>
      </w:r>
      <w:r>
        <w:rPr>
          <w:spacing w:val="-5"/>
        </w:rPr>
        <w:t> </w:t>
      </w:r>
      <w:r>
        <w:rPr/>
        <w:t>concentraciones</w:t>
      </w:r>
      <w:r>
        <w:rPr>
          <w:spacing w:val="-3"/>
        </w:rPr>
        <w:t> </w:t>
      </w:r>
      <w:r>
        <w:rPr/>
        <w:t>sanguíneas</w:t>
      </w:r>
      <w:r>
        <w:rPr>
          <w:spacing w:val="-5"/>
        </w:rPr>
        <w:t> </w:t>
      </w:r>
      <w:r>
        <w:rPr/>
        <w:t>de</w:t>
      </w:r>
      <w:r>
        <w:rPr>
          <w:spacing w:val="-6"/>
        </w:rPr>
        <w:t> </w:t>
      </w:r>
      <w:r>
        <w:rPr/>
        <w:t>marcadores</w:t>
      </w:r>
      <w:r>
        <w:rPr>
          <w:spacing w:val="-5"/>
        </w:rPr>
        <w:t> </w:t>
      </w:r>
      <w:r>
        <w:rPr/>
        <w:t>de</w:t>
      </w:r>
      <w:r>
        <w:rPr>
          <w:spacing w:val="-6"/>
        </w:rPr>
        <w:t> </w:t>
      </w:r>
      <w:r>
        <w:rPr/>
        <w:t>respuesta</w:t>
      </w:r>
      <w:r>
        <w:rPr>
          <w:spacing w:val="-5"/>
        </w:rPr>
        <w:t> </w:t>
      </w:r>
      <w:r>
        <w:rPr/>
        <w:t>de fase aguda, incluyendo el ácido siálico, glicoproteínas, amiloide sérico A, cortisol, proteína C reactiva y citocinas</w:t>
      </w:r>
      <w:r>
        <w:rPr>
          <w:spacing w:val="-8"/>
        </w:rPr>
        <w:t> </w:t>
      </w:r>
      <w:r>
        <w:rPr/>
        <w:t>proinflamatorias.</w:t>
      </w:r>
    </w:p>
    <w:p>
      <w:pPr>
        <w:pStyle w:val="BodyText"/>
      </w:pPr>
    </w:p>
    <w:p>
      <w:pPr>
        <w:pStyle w:val="BodyText"/>
        <w:spacing w:line="360" w:lineRule="auto" w:before="143"/>
        <w:ind w:left="102" w:right="118"/>
        <w:jc w:val="both"/>
      </w:pPr>
      <w:r>
        <w:rPr/>
        <w:t>La salud oral de los pacientes con DM2, presenta ciertas complicaciones como xerostomía, pérdida dentaria, gingivitis, periodontitis, abscesos dentales, así como lesiones en los</w:t>
      </w:r>
      <w:r>
        <w:rPr>
          <w:spacing w:val="-33"/>
        </w:rPr>
        <w:t> </w:t>
      </w:r>
      <w:r>
        <w:rPr/>
        <w:t>tejidos blandos</w:t>
      </w:r>
      <w:r>
        <w:rPr>
          <w:spacing w:val="-9"/>
        </w:rPr>
        <w:t> </w:t>
      </w:r>
      <w:r>
        <w:rPr/>
        <w:t>de</w:t>
      </w:r>
      <w:r>
        <w:rPr>
          <w:spacing w:val="-10"/>
        </w:rPr>
        <w:t> </w:t>
      </w:r>
      <w:r>
        <w:rPr/>
        <w:t>la</w:t>
      </w:r>
      <w:r>
        <w:rPr>
          <w:spacing w:val="-9"/>
        </w:rPr>
        <w:t> </w:t>
      </w:r>
      <w:r>
        <w:rPr/>
        <w:t>lengua</w:t>
      </w:r>
      <w:r>
        <w:rPr>
          <w:spacing w:val="-5"/>
        </w:rPr>
        <w:t> </w:t>
      </w:r>
      <w:r>
        <w:rPr/>
        <w:t>y</w:t>
      </w:r>
      <w:r>
        <w:rPr>
          <w:spacing w:val="-13"/>
        </w:rPr>
        <w:t> </w:t>
      </w:r>
      <w:r>
        <w:rPr/>
        <w:t>la</w:t>
      </w:r>
      <w:r>
        <w:rPr>
          <w:spacing w:val="-7"/>
        </w:rPr>
        <w:t> </w:t>
      </w:r>
      <w:r>
        <w:rPr/>
        <w:t>mucosa.</w:t>
      </w:r>
      <w:r>
        <w:rPr>
          <w:spacing w:val="-6"/>
        </w:rPr>
        <w:t> </w:t>
      </w:r>
      <w:r>
        <w:rPr/>
        <w:t>La</w:t>
      </w:r>
      <w:r>
        <w:rPr>
          <w:spacing w:val="-7"/>
        </w:rPr>
        <w:t> </w:t>
      </w:r>
      <w:r>
        <w:rPr/>
        <w:t>enfermedad</w:t>
      </w:r>
      <w:r>
        <w:rPr>
          <w:spacing w:val="-6"/>
        </w:rPr>
        <w:t> </w:t>
      </w:r>
      <w:r>
        <w:rPr/>
        <w:t>periodontal</w:t>
      </w:r>
      <w:r>
        <w:rPr>
          <w:spacing w:val="-9"/>
        </w:rPr>
        <w:t> </w:t>
      </w:r>
      <w:r>
        <w:rPr/>
        <w:t>es</w:t>
      </w:r>
      <w:r>
        <w:rPr>
          <w:spacing w:val="-8"/>
        </w:rPr>
        <w:t> </w:t>
      </w:r>
      <w:r>
        <w:rPr/>
        <w:t>más</w:t>
      </w:r>
      <w:r>
        <w:rPr>
          <w:spacing w:val="-9"/>
        </w:rPr>
        <w:t> </w:t>
      </w:r>
      <w:r>
        <w:rPr/>
        <w:t>frecuente</w:t>
      </w:r>
      <w:r>
        <w:rPr>
          <w:spacing w:val="-5"/>
        </w:rPr>
        <w:t> </w:t>
      </w:r>
      <w:r>
        <w:rPr/>
        <w:t>y</w:t>
      </w:r>
      <w:r>
        <w:rPr>
          <w:spacing w:val="-11"/>
        </w:rPr>
        <w:t> </w:t>
      </w:r>
      <w:r>
        <w:rPr/>
        <w:t>grave</w:t>
      </w:r>
      <w:r>
        <w:rPr>
          <w:spacing w:val="-7"/>
        </w:rPr>
        <w:t> </w:t>
      </w:r>
      <w:r>
        <w:rPr/>
        <w:t>en</w:t>
      </w:r>
      <w:r>
        <w:rPr>
          <w:spacing w:val="-9"/>
        </w:rPr>
        <w:t> </w:t>
      </w:r>
      <w:r>
        <w:rPr/>
        <w:t>los pacientes con DM2; en las etapas tempranas no genera sintomatología alguna por lo cual es muy difícil diagnosticarla, pues la población mexicana en general no cuenta con una educación bucal adecuada y por lo tanto no acude regularmente al odontólogo. Así que cuando los pacientes asisten a consulta es principalmente por sangrado gingival y</w:t>
      </w:r>
      <w:r>
        <w:rPr>
          <w:spacing w:val="-26"/>
        </w:rPr>
        <w:t> </w:t>
      </w:r>
      <w:r>
        <w:rPr/>
        <w:t>movilidad dental, momento en el cual la enfermedad periodontal </w:t>
      </w:r>
      <w:r>
        <w:rPr>
          <w:spacing w:val="-3"/>
        </w:rPr>
        <w:t>ya </w:t>
      </w:r>
      <w:r>
        <w:rPr/>
        <w:t>se encuentra en un fase moderada o incluso avanzada, donde se puede presentar desde la destrucción del tejido conectivo y resorción del hueso alveolar hasta la pérdida del órgano dentario. Estas condiciones</w:t>
      </w:r>
      <w:r>
        <w:rPr>
          <w:spacing w:val="-19"/>
        </w:rPr>
        <w:t> </w:t>
      </w:r>
      <w:r>
        <w:rPr/>
        <w:t>generan disminución</w:t>
      </w:r>
      <w:r>
        <w:rPr>
          <w:spacing w:val="44"/>
        </w:rPr>
        <w:t> </w:t>
      </w:r>
      <w:r>
        <w:rPr/>
        <w:t>en</w:t>
      </w:r>
      <w:r>
        <w:rPr>
          <w:spacing w:val="44"/>
        </w:rPr>
        <w:t> </w:t>
      </w:r>
      <w:r>
        <w:rPr/>
        <w:t>la</w:t>
      </w:r>
      <w:r>
        <w:rPr>
          <w:spacing w:val="43"/>
        </w:rPr>
        <w:t> </w:t>
      </w:r>
      <w:r>
        <w:rPr/>
        <w:t>calidad</w:t>
      </w:r>
      <w:r>
        <w:rPr>
          <w:spacing w:val="44"/>
        </w:rPr>
        <w:t> </w:t>
      </w:r>
      <w:r>
        <w:rPr/>
        <w:t>de</w:t>
      </w:r>
      <w:r>
        <w:rPr>
          <w:spacing w:val="43"/>
        </w:rPr>
        <w:t> </w:t>
      </w:r>
      <w:r>
        <w:rPr/>
        <w:t>vida</w:t>
      </w:r>
      <w:r>
        <w:rPr>
          <w:spacing w:val="46"/>
        </w:rPr>
        <w:t> </w:t>
      </w:r>
      <w:r>
        <w:rPr/>
        <w:t>de</w:t>
      </w:r>
      <w:r>
        <w:rPr>
          <w:spacing w:val="43"/>
        </w:rPr>
        <w:t> </w:t>
      </w:r>
      <w:r>
        <w:rPr/>
        <w:t>los</w:t>
      </w:r>
      <w:r>
        <w:rPr>
          <w:spacing w:val="45"/>
        </w:rPr>
        <w:t> </w:t>
      </w:r>
      <w:r>
        <w:rPr/>
        <w:t>pacientes,</w:t>
      </w:r>
      <w:r>
        <w:rPr>
          <w:spacing w:val="44"/>
        </w:rPr>
        <w:t> </w:t>
      </w:r>
      <w:r>
        <w:rPr/>
        <w:t>pues</w:t>
      </w:r>
      <w:r>
        <w:rPr>
          <w:spacing w:val="44"/>
        </w:rPr>
        <w:t> </w:t>
      </w:r>
      <w:r>
        <w:rPr/>
        <w:t>los</w:t>
      </w:r>
      <w:r>
        <w:rPr>
          <w:spacing w:val="45"/>
        </w:rPr>
        <w:t> </w:t>
      </w:r>
      <w:r>
        <w:rPr/>
        <w:t>procesos</w:t>
      </w:r>
      <w:r>
        <w:rPr>
          <w:spacing w:val="47"/>
        </w:rPr>
        <w:t> </w:t>
      </w:r>
      <w:r>
        <w:rPr/>
        <w:t>básicos</w:t>
      </w:r>
      <w:r>
        <w:rPr>
          <w:spacing w:val="44"/>
        </w:rPr>
        <w:t> </w:t>
      </w:r>
      <w:r>
        <w:rPr/>
        <w:t>como</w:t>
      </w:r>
      <w:r>
        <w:rPr>
          <w:spacing w:val="44"/>
        </w:rPr>
        <w:t> </w:t>
      </w:r>
      <w:r>
        <w:rPr/>
        <w:t>la</w:t>
      </w:r>
    </w:p>
    <w:p>
      <w:pPr>
        <w:spacing w:after="0" w:line="360" w:lineRule="auto"/>
        <w:jc w:val="both"/>
        <w:sectPr>
          <w:pgSz w:w="12240" w:h="15840"/>
          <w:pgMar w:header="731" w:footer="0" w:top="960" w:bottom="280" w:left="1600" w:right="1580"/>
        </w:sectPr>
      </w:pPr>
    </w:p>
    <w:p>
      <w:pPr>
        <w:pStyle w:val="BodyText"/>
        <w:rPr>
          <w:sz w:val="20"/>
        </w:rPr>
      </w:pPr>
    </w:p>
    <w:p>
      <w:pPr>
        <w:pStyle w:val="BodyText"/>
        <w:spacing w:line="360" w:lineRule="auto" w:before="209"/>
        <w:ind w:left="102" w:right="119"/>
        <w:jc w:val="both"/>
      </w:pPr>
      <w:r>
        <w:rPr/>
        <w:t>masticación y la deglución se ven afectados, por este motivo es importante detectar este padecimiento en forma temprana, aprovechando el desarrollo de técnicas innovadoras y no invasivas tal como la cuantificación en saliva de marcadores de inflamación como la IL-6.</w:t>
      </w:r>
    </w:p>
    <w:p>
      <w:pPr>
        <w:pStyle w:val="BodyText"/>
      </w:pPr>
    </w:p>
    <w:p>
      <w:pPr>
        <w:pStyle w:val="BodyText"/>
        <w:spacing w:line="360" w:lineRule="auto" w:before="143"/>
        <w:ind w:left="102" w:right="117"/>
        <w:jc w:val="both"/>
      </w:pPr>
      <w:r>
        <w:rPr/>
        <w:t>Es importante establecer la utilidad de marcadores de enfermedad periodontal en pacientes con DM2 pues su determinación en saliva coadyuvaría al diagnóstico, incluso cuando los signos de periodontitis son incipientes, de tal forma que se pueda brindar una atención</w:t>
      </w:r>
      <w:r>
        <w:rPr>
          <w:spacing w:val="-35"/>
        </w:rPr>
        <w:t> </w:t>
      </w:r>
      <w:r>
        <w:rPr/>
        <w:t>bucal oportuna y</w:t>
      </w:r>
      <w:r>
        <w:rPr>
          <w:spacing w:val="-2"/>
        </w:rPr>
        <w:t> </w:t>
      </w:r>
      <w:r>
        <w:rPr/>
        <w:t>eficaz.</w:t>
      </w:r>
    </w:p>
    <w:p>
      <w:pPr>
        <w:pStyle w:val="BodyText"/>
      </w:pPr>
    </w:p>
    <w:p>
      <w:pPr>
        <w:pStyle w:val="Heading3"/>
        <w:spacing w:before="148"/>
      </w:pPr>
      <w:r>
        <w:rPr/>
        <w:t>Pregunta investigación:</w:t>
      </w:r>
    </w:p>
    <w:p>
      <w:pPr>
        <w:pStyle w:val="BodyText"/>
        <w:rPr>
          <w:b/>
        </w:rPr>
      </w:pPr>
    </w:p>
    <w:p>
      <w:pPr>
        <w:pStyle w:val="BodyText"/>
        <w:spacing w:before="6"/>
        <w:rPr>
          <w:b/>
          <w:sz w:val="23"/>
        </w:rPr>
      </w:pPr>
    </w:p>
    <w:p>
      <w:pPr>
        <w:pStyle w:val="ListParagraph"/>
        <w:numPr>
          <w:ilvl w:val="0"/>
          <w:numId w:val="6"/>
        </w:numPr>
        <w:tabs>
          <w:tab w:pos="821" w:val="left" w:leader="none"/>
          <w:tab w:pos="822" w:val="left" w:leader="none"/>
        </w:tabs>
        <w:spacing w:line="350" w:lineRule="auto" w:before="0" w:after="0"/>
        <w:ind w:left="822" w:right="118" w:hanging="360"/>
        <w:jc w:val="left"/>
        <w:rPr>
          <w:sz w:val="24"/>
        </w:rPr>
      </w:pPr>
      <w:r>
        <w:rPr>
          <w:sz w:val="24"/>
        </w:rPr>
        <w:t>¿Cuál es la relación existente entre la enfermedad periodontal y la IL-6 en pacientes con y sin Diabetes Mellitus Tipo</w:t>
      </w:r>
      <w:r>
        <w:rPr>
          <w:spacing w:val="-9"/>
          <w:sz w:val="24"/>
        </w:rPr>
        <w:t> </w:t>
      </w:r>
      <w:r>
        <w:rPr>
          <w:sz w:val="24"/>
        </w:rPr>
        <w:t>2?</w:t>
      </w:r>
    </w:p>
    <w:p>
      <w:pPr>
        <w:spacing w:after="0" w:line="350" w:lineRule="auto"/>
        <w:jc w:val="left"/>
        <w:rPr>
          <w:sz w:val="24"/>
        </w:rPr>
        <w:sectPr>
          <w:pgSz w:w="12240" w:h="15840"/>
          <w:pgMar w:header="731" w:footer="0" w:top="960" w:bottom="280" w:left="1600" w:right="1580"/>
        </w:sectPr>
      </w:pPr>
    </w:p>
    <w:p>
      <w:pPr>
        <w:pStyle w:val="BodyText"/>
        <w:rPr>
          <w:sz w:val="20"/>
        </w:rPr>
      </w:pPr>
    </w:p>
    <w:p>
      <w:pPr>
        <w:pStyle w:val="Heading1"/>
        <w:numPr>
          <w:ilvl w:val="0"/>
          <w:numId w:val="2"/>
        </w:numPr>
        <w:tabs>
          <w:tab w:pos="702" w:val="left" w:leader="none"/>
        </w:tabs>
        <w:spacing w:line="240" w:lineRule="auto" w:before="213" w:after="0"/>
        <w:ind w:left="702" w:right="0" w:hanging="360"/>
        <w:jc w:val="left"/>
      </w:pPr>
      <w:r>
        <w:rPr/>
        <w:t>Hipótesis:</w:t>
      </w:r>
    </w:p>
    <w:p>
      <w:pPr>
        <w:pStyle w:val="BodyText"/>
        <w:rPr>
          <w:b/>
          <w:sz w:val="28"/>
        </w:rPr>
      </w:pPr>
    </w:p>
    <w:p>
      <w:pPr>
        <w:pStyle w:val="BodyText"/>
        <w:rPr>
          <w:b/>
          <w:sz w:val="39"/>
        </w:rPr>
      </w:pPr>
    </w:p>
    <w:p>
      <w:pPr>
        <w:pStyle w:val="ListParagraph"/>
        <w:numPr>
          <w:ilvl w:val="0"/>
          <w:numId w:val="7"/>
        </w:numPr>
        <w:tabs>
          <w:tab w:pos="702" w:val="left" w:leader="none"/>
        </w:tabs>
        <w:spacing w:line="360" w:lineRule="auto" w:before="0" w:after="0"/>
        <w:ind w:left="702" w:right="120" w:hanging="360"/>
        <w:jc w:val="left"/>
        <w:rPr>
          <w:sz w:val="24"/>
        </w:rPr>
      </w:pPr>
      <w:r>
        <w:rPr>
          <w:position w:val="2"/>
          <w:sz w:val="24"/>
        </w:rPr>
        <w:t>H</w:t>
      </w:r>
      <w:r>
        <w:rPr>
          <w:sz w:val="16"/>
        </w:rPr>
        <w:t>1 </w:t>
      </w:r>
      <w:r>
        <w:rPr>
          <w:position w:val="2"/>
          <w:sz w:val="24"/>
        </w:rPr>
        <w:t>En los pacientes con DM2 se observa una relación directa entre la enfermedad </w:t>
      </w:r>
      <w:r>
        <w:rPr>
          <w:sz w:val="24"/>
        </w:rPr>
        <w:t>periodontal y las concentraciones de</w:t>
      </w:r>
      <w:r>
        <w:rPr>
          <w:spacing w:val="-9"/>
          <w:sz w:val="24"/>
        </w:rPr>
        <w:t> </w:t>
      </w:r>
      <w:r>
        <w:rPr>
          <w:sz w:val="24"/>
        </w:rPr>
        <w:t>IL-6.</w:t>
      </w:r>
    </w:p>
    <w:p>
      <w:pPr>
        <w:pStyle w:val="BodyText"/>
      </w:pPr>
    </w:p>
    <w:p>
      <w:pPr>
        <w:pStyle w:val="BodyText"/>
      </w:pPr>
    </w:p>
    <w:p>
      <w:pPr>
        <w:pStyle w:val="BodyText"/>
        <w:spacing w:before="8"/>
      </w:pPr>
    </w:p>
    <w:p>
      <w:pPr>
        <w:pStyle w:val="Heading3"/>
        <w:numPr>
          <w:ilvl w:val="1"/>
          <w:numId w:val="2"/>
        </w:numPr>
        <w:tabs>
          <w:tab w:pos="702" w:val="left" w:leader="none"/>
        </w:tabs>
        <w:spacing w:line="240" w:lineRule="auto" w:before="1" w:after="0"/>
        <w:ind w:left="702" w:right="0" w:hanging="360"/>
        <w:jc w:val="left"/>
      </w:pPr>
      <w:r>
        <w:rPr/>
        <w:t>Hipótesis</w:t>
      </w:r>
      <w:r>
        <w:rPr>
          <w:spacing w:val="-3"/>
        </w:rPr>
        <w:t> </w:t>
      </w:r>
      <w:r>
        <w:rPr/>
        <w:t>Nula</w:t>
      </w:r>
    </w:p>
    <w:p>
      <w:pPr>
        <w:pStyle w:val="BodyText"/>
        <w:rPr>
          <w:b/>
        </w:rPr>
      </w:pPr>
    </w:p>
    <w:p>
      <w:pPr>
        <w:pStyle w:val="BodyText"/>
        <w:rPr>
          <w:b/>
        </w:rPr>
      </w:pPr>
    </w:p>
    <w:p>
      <w:pPr>
        <w:pStyle w:val="ListParagraph"/>
        <w:numPr>
          <w:ilvl w:val="0"/>
          <w:numId w:val="7"/>
        </w:numPr>
        <w:tabs>
          <w:tab w:pos="702" w:val="left" w:leader="none"/>
        </w:tabs>
        <w:spacing w:line="357" w:lineRule="auto" w:before="196" w:after="0"/>
        <w:ind w:left="702" w:right="122" w:hanging="360"/>
        <w:jc w:val="left"/>
        <w:rPr>
          <w:sz w:val="24"/>
        </w:rPr>
      </w:pPr>
      <w:r>
        <w:rPr>
          <w:position w:val="2"/>
          <w:sz w:val="24"/>
        </w:rPr>
        <w:t>H</w:t>
      </w:r>
      <w:r>
        <w:rPr>
          <w:sz w:val="16"/>
        </w:rPr>
        <w:t>0 </w:t>
      </w:r>
      <w:r>
        <w:rPr>
          <w:position w:val="2"/>
          <w:sz w:val="24"/>
        </w:rPr>
        <w:t>En los pacientes con DM2 se observa una relación inversa entre la enfermedad </w:t>
      </w:r>
      <w:r>
        <w:rPr>
          <w:sz w:val="24"/>
        </w:rPr>
        <w:t>periodontal y las concentraciones de</w:t>
      </w:r>
      <w:r>
        <w:rPr>
          <w:spacing w:val="-9"/>
          <w:sz w:val="24"/>
        </w:rPr>
        <w:t> </w:t>
      </w:r>
      <w:r>
        <w:rPr>
          <w:sz w:val="24"/>
        </w:rPr>
        <w:t>IL-6.</w:t>
      </w:r>
    </w:p>
    <w:p>
      <w:pPr>
        <w:spacing w:after="0" w:line="357" w:lineRule="auto"/>
        <w:jc w:val="left"/>
        <w:rPr>
          <w:sz w:val="24"/>
        </w:rPr>
        <w:sectPr>
          <w:pgSz w:w="12240" w:h="15840"/>
          <w:pgMar w:header="731" w:footer="0" w:top="960" w:bottom="280" w:left="1720" w:right="1580"/>
        </w:sectPr>
      </w:pPr>
    </w:p>
    <w:p>
      <w:pPr>
        <w:pStyle w:val="BodyText"/>
        <w:rPr>
          <w:sz w:val="20"/>
        </w:rPr>
      </w:pPr>
    </w:p>
    <w:p>
      <w:pPr>
        <w:pStyle w:val="BodyText"/>
        <w:rPr>
          <w:sz w:val="20"/>
        </w:rPr>
      </w:pPr>
    </w:p>
    <w:p>
      <w:pPr>
        <w:pStyle w:val="BodyText"/>
        <w:rPr>
          <w:sz w:val="29"/>
        </w:rPr>
      </w:pPr>
    </w:p>
    <w:p>
      <w:pPr>
        <w:pStyle w:val="Heading1"/>
        <w:numPr>
          <w:ilvl w:val="0"/>
          <w:numId w:val="2"/>
        </w:numPr>
        <w:tabs>
          <w:tab w:pos="702" w:val="left" w:leader="none"/>
        </w:tabs>
        <w:spacing w:line="240" w:lineRule="auto" w:before="65" w:after="0"/>
        <w:ind w:left="702" w:right="0" w:hanging="360"/>
        <w:jc w:val="left"/>
      </w:pPr>
      <w:r>
        <w:rPr/>
        <w:t>Objetivos</w:t>
      </w:r>
    </w:p>
    <w:p>
      <w:pPr>
        <w:pStyle w:val="BodyText"/>
        <w:rPr>
          <w:b/>
          <w:sz w:val="28"/>
        </w:rPr>
      </w:pPr>
    </w:p>
    <w:p>
      <w:pPr>
        <w:pStyle w:val="BodyText"/>
        <w:spacing w:before="2"/>
        <w:rPr>
          <w:b/>
          <w:sz w:val="22"/>
        </w:rPr>
      </w:pPr>
    </w:p>
    <w:p>
      <w:pPr>
        <w:pStyle w:val="Heading3"/>
        <w:numPr>
          <w:ilvl w:val="1"/>
          <w:numId w:val="2"/>
        </w:numPr>
        <w:tabs>
          <w:tab w:pos="702" w:val="left" w:leader="none"/>
        </w:tabs>
        <w:spacing w:line="240" w:lineRule="auto" w:before="0" w:after="0"/>
        <w:ind w:left="702" w:right="0" w:hanging="360"/>
        <w:jc w:val="left"/>
      </w:pPr>
      <w:r>
        <w:rPr/>
        <w:t>General</w:t>
      </w:r>
    </w:p>
    <w:p>
      <w:pPr>
        <w:pStyle w:val="BodyText"/>
        <w:rPr>
          <w:b/>
        </w:rPr>
      </w:pPr>
    </w:p>
    <w:p>
      <w:pPr>
        <w:pStyle w:val="BodyText"/>
        <w:spacing w:before="6"/>
        <w:rPr>
          <w:b/>
          <w:sz w:val="23"/>
        </w:rPr>
      </w:pPr>
    </w:p>
    <w:p>
      <w:pPr>
        <w:pStyle w:val="ListParagraph"/>
        <w:numPr>
          <w:ilvl w:val="0"/>
          <w:numId w:val="8"/>
        </w:numPr>
        <w:tabs>
          <w:tab w:pos="702" w:val="left" w:leader="none"/>
        </w:tabs>
        <w:spacing w:line="355" w:lineRule="auto" w:before="0" w:after="0"/>
        <w:ind w:left="702" w:right="118" w:hanging="360"/>
        <w:jc w:val="both"/>
        <w:rPr>
          <w:sz w:val="24"/>
        </w:rPr>
      </w:pPr>
      <w:r>
        <w:rPr>
          <w:sz w:val="24"/>
        </w:rPr>
        <w:t>Determinar</w:t>
      </w:r>
      <w:r>
        <w:rPr>
          <w:spacing w:val="-5"/>
          <w:sz w:val="24"/>
        </w:rPr>
        <w:t> </w:t>
      </w:r>
      <w:r>
        <w:rPr>
          <w:sz w:val="24"/>
        </w:rPr>
        <w:t>la</w:t>
      </w:r>
      <w:r>
        <w:rPr>
          <w:spacing w:val="-4"/>
          <w:sz w:val="24"/>
        </w:rPr>
        <w:t> </w:t>
      </w:r>
      <w:r>
        <w:rPr>
          <w:sz w:val="24"/>
        </w:rPr>
        <w:t>relación</w:t>
      </w:r>
      <w:r>
        <w:rPr>
          <w:spacing w:val="-3"/>
          <w:sz w:val="24"/>
        </w:rPr>
        <w:t> </w:t>
      </w:r>
      <w:r>
        <w:rPr>
          <w:sz w:val="24"/>
        </w:rPr>
        <w:t>que</w:t>
      </w:r>
      <w:r>
        <w:rPr>
          <w:spacing w:val="-5"/>
          <w:sz w:val="24"/>
        </w:rPr>
        <w:t> </w:t>
      </w:r>
      <w:r>
        <w:rPr>
          <w:sz w:val="24"/>
        </w:rPr>
        <w:t>existe</w:t>
      </w:r>
      <w:r>
        <w:rPr>
          <w:spacing w:val="-5"/>
          <w:sz w:val="24"/>
        </w:rPr>
        <w:t> </w:t>
      </w:r>
      <w:r>
        <w:rPr>
          <w:sz w:val="24"/>
        </w:rPr>
        <w:t>entre</w:t>
      </w:r>
      <w:r>
        <w:rPr>
          <w:spacing w:val="-5"/>
          <w:sz w:val="24"/>
        </w:rPr>
        <w:t> </w:t>
      </w:r>
      <w:r>
        <w:rPr>
          <w:sz w:val="24"/>
        </w:rPr>
        <w:t>la</w:t>
      </w:r>
      <w:r>
        <w:rPr>
          <w:spacing w:val="-4"/>
          <w:sz w:val="24"/>
        </w:rPr>
        <w:t> </w:t>
      </w:r>
      <w:r>
        <w:rPr>
          <w:sz w:val="24"/>
        </w:rPr>
        <w:t>enfermedad</w:t>
      </w:r>
      <w:r>
        <w:rPr>
          <w:spacing w:val="-4"/>
          <w:sz w:val="24"/>
        </w:rPr>
        <w:t> </w:t>
      </w:r>
      <w:r>
        <w:rPr>
          <w:sz w:val="24"/>
        </w:rPr>
        <w:t>periodontal</w:t>
      </w:r>
      <w:r>
        <w:rPr>
          <w:spacing w:val="-4"/>
          <w:sz w:val="24"/>
        </w:rPr>
        <w:t> </w:t>
      </w:r>
      <w:r>
        <w:rPr>
          <w:sz w:val="24"/>
        </w:rPr>
        <w:t>(EP) y</w:t>
      </w:r>
      <w:r>
        <w:rPr>
          <w:spacing w:val="-11"/>
          <w:sz w:val="24"/>
        </w:rPr>
        <w:t> </w:t>
      </w:r>
      <w:r>
        <w:rPr>
          <w:sz w:val="24"/>
        </w:rPr>
        <w:t>marcadores de inflamación en saliva de pacientes con y sin DM2 (ISEM Toluca y público en general).</w:t>
      </w:r>
    </w:p>
    <w:p>
      <w:pPr>
        <w:pStyle w:val="BodyText"/>
      </w:pPr>
    </w:p>
    <w:p>
      <w:pPr>
        <w:pStyle w:val="Heading3"/>
        <w:numPr>
          <w:ilvl w:val="1"/>
          <w:numId w:val="2"/>
        </w:numPr>
        <w:tabs>
          <w:tab w:pos="702" w:val="left" w:leader="none"/>
        </w:tabs>
        <w:spacing w:line="240" w:lineRule="auto" w:before="154" w:after="0"/>
        <w:ind w:left="702" w:right="0" w:hanging="360"/>
        <w:jc w:val="left"/>
      </w:pPr>
      <w:r>
        <w:rPr/>
        <w:t>Específicos</w:t>
      </w:r>
    </w:p>
    <w:p>
      <w:pPr>
        <w:pStyle w:val="BodyText"/>
        <w:rPr>
          <w:b/>
        </w:rPr>
      </w:pPr>
    </w:p>
    <w:p>
      <w:pPr>
        <w:pStyle w:val="BodyText"/>
        <w:spacing w:before="6"/>
        <w:rPr>
          <w:b/>
          <w:sz w:val="23"/>
        </w:rPr>
      </w:pPr>
    </w:p>
    <w:p>
      <w:pPr>
        <w:pStyle w:val="ListParagraph"/>
        <w:numPr>
          <w:ilvl w:val="0"/>
          <w:numId w:val="9"/>
        </w:numPr>
        <w:tabs>
          <w:tab w:pos="1061" w:val="left" w:leader="none"/>
          <w:tab w:pos="1062" w:val="left" w:leader="none"/>
        </w:tabs>
        <w:spacing w:line="240" w:lineRule="auto" w:before="0" w:after="0"/>
        <w:ind w:left="1062" w:right="0" w:hanging="360"/>
        <w:jc w:val="left"/>
        <w:rPr>
          <w:sz w:val="24"/>
        </w:rPr>
      </w:pPr>
      <w:r>
        <w:rPr>
          <w:sz w:val="24"/>
        </w:rPr>
        <w:t>Cuantificar las concentraciones de IL-6 en los grupos de</w:t>
      </w:r>
      <w:r>
        <w:rPr>
          <w:spacing w:val="-9"/>
          <w:sz w:val="24"/>
        </w:rPr>
        <w:t> </w:t>
      </w:r>
      <w:r>
        <w:rPr>
          <w:sz w:val="24"/>
        </w:rPr>
        <w:t>estudio.</w:t>
      </w:r>
    </w:p>
    <w:p>
      <w:pPr>
        <w:pStyle w:val="ListParagraph"/>
        <w:numPr>
          <w:ilvl w:val="0"/>
          <w:numId w:val="9"/>
        </w:numPr>
        <w:tabs>
          <w:tab w:pos="1061" w:val="left" w:leader="none"/>
          <w:tab w:pos="1062" w:val="left" w:leader="none"/>
        </w:tabs>
        <w:spacing w:line="240" w:lineRule="auto" w:before="135" w:after="0"/>
        <w:ind w:left="1062" w:right="0" w:hanging="360"/>
        <w:jc w:val="left"/>
        <w:rPr>
          <w:sz w:val="24"/>
        </w:rPr>
      </w:pPr>
      <w:r>
        <w:rPr>
          <w:sz w:val="24"/>
        </w:rPr>
        <w:t>Comparar la concentración de IL-6 en pacientes con y sin  DM2 con</w:t>
      </w:r>
      <w:r>
        <w:rPr>
          <w:spacing w:val="-10"/>
          <w:sz w:val="24"/>
        </w:rPr>
        <w:t> </w:t>
      </w:r>
      <w:r>
        <w:rPr>
          <w:sz w:val="24"/>
        </w:rPr>
        <w:t>EP.</w:t>
      </w:r>
    </w:p>
    <w:p>
      <w:pPr>
        <w:pStyle w:val="ListParagraph"/>
        <w:numPr>
          <w:ilvl w:val="0"/>
          <w:numId w:val="9"/>
        </w:numPr>
        <w:tabs>
          <w:tab w:pos="1061" w:val="left" w:leader="none"/>
          <w:tab w:pos="1062" w:val="left" w:leader="none"/>
        </w:tabs>
        <w:spacing w:line="240" w:lineRule="auto" w:before="138" w:after="0"/>
        <w:ind w:left="1062" w:right="0" w:hanging="360"/>
        <w:jc w:val="left"/>
        <w:rPr>
          <w:sz w:val="24"/>
        </w:rPr>
      </w:pPr>
      <w:r>
        <w:rPr>
          <w:sz w:val="24"/>
        </w:rPr>
        <w:t>Cuantificar el porcentaje de hemoglobina glucosilada en los pacientes con</w:t>
      </w:r>
      <w:r>
        <w:rPr>
          <w:spacing w:val="10"/>
          <w:sz w:val="24"/>
        </w:rPr>
        <w:t> </w:t>
      </w:r>
      <w:r>
        <w:rPr>
          <w:sz w:val="24"/>
        </w:rPr>
        <w:t>DM2.</w:t>
      </w:r>
    </w:p>
    <w:p>
      <w:pPr>
        <w:spacing w:after="0" w:line="240" w:lineRule="auto"/>
        <w:jc w:val="left"/>
        <w:rPr>
          <w:sz w:val="24"/>
        </w:rPr>
        <w:sectPr>
          <w:pgSz w:w="12240" w:h="15840"/>
          <w:pgMar w:header="731" w:footer="0" w:top="960" w:bottom="280" w:left="1720" w:right="1580"/>
        </w:sectPr>
      </w:pPr>
    </w:p>
    <w:p>
      <w:pPr>
        <w:pStyle w:val="BodyText"/>
        <w:rPr>
          <w:sz w:val="20"/>
        </w:rPr>
      </w:pPr>
    </w:p>
    <w:p>
      <w:pPr>
        <w:pStyle w:val="Heading1"/>
        <w:numPr>
          <w:ilvl w:val="0"/>
          <w:numId w:val="2"/>
        </w:numPr>
        <w:tabs>
          <w:tab w:pos="822" w:val="left" w:leader="none"/>
        </w:tabs>
        <w:spacing w:line="240" w:lineRule="auto" w:before="213" w:after="0"/>
        <w:ind w:left="822" w:right="0" w:hanging="360"/>
        <w:jc w:val="left"/>
        <w:rPr>
          <w:sz w:val="24"/>
        </w:rPr>
      </w:pPr>
      <w:r>
        <w:rPr/>
        <w:t>Justificación</w:t>
      </w:r>
    </w:p>
    <w:p>
      <w:pPr>
        <w:pStyle w:val="BodyText"/>
        <w:rPr>
          <w:b/>
          <w:sz w:val="28"/>
        </w:rPr>
      </w:pPr>
    </w:p>
    <w:p>
      <w:pPr>
        <w:pStyle w:val="BodyText"/>
        <w:spacing w:line="360" w:lineRule="auto" w:before="250"/>
        <w:ind w:left="102" w:right="116"/>
        <w:jc w:val="both"/>
      </w:pPr>
      <w:r>
        <w:rPr/>
        <w:t>A nivel mundial la prevalencia de DM2 se ha incrementado en los últimos años, lo cual ha despertado</w:t>
      </w:r>
      <w:r>
        <w:rPr>
          <w:spacing w:val="-8"/>
        </w:rPr>
        <w:t> </w:t>
      </w:r>
      <w:r>
        <w:rPr/>
        <w:t>gran</w:t>
      </w:r>
      <w:r>
        <w:rPr>
          <w:spacing w:val="-10"/>
        </w:rPr>
        <w:t> </w:t>
      </w:r>
      <w:r>
        <w:rPr/>
        <w:t>interés</w:t>
      </w:r>
      <w:r>
        <w:rPr>
          <w:spacing w:val="-9"/>
        </w:rPr>
        <w:t> </w:t>
      </w:r>
      <w:r>
        <w:rPr/>
        <w:t>en</w:t>
      </w:r>
      <w:r>
        <w:rPr>
          <w:spacing w:val="-12"/>
        </w:rPr>
        <w:t> </w:t>
      </w:r>
      <w:r>
        <w:rPr/>
        <w:t>la</w:t>
      </w:r>
      <w:r>
        <w:rPr>
          <w:spacing w:val="-13"/>
        </w:rPr>
        <w:t> </w:t>
      </w:r>
      <w:r>
        <w:rPr/>
        <w:t>atención</w:t>
      </w:r>
      <w:r>
        <w:rPr>
          <w:spacing w:val="-12"/>
        </w:rPr>
        <w:t> </w:t>
      </w:r>
      <w:r>
        <w:rPr/>
        <w:t>a</w:t>
      </w:r>
      <w:r>
        <w:rPr>
          <w:spacing w:val="-11"/>
        </w:rPr>
        <w:t> </w:t>
      </w:r>
      <w:r>
        <w:rPr/>
        <w:t>la</w:t>
      </w:r>
      <w:r>
        <w:rPr>
          <w:spacing w:val="-13"/>
        </w:rPr>
        <w:t> </w:t>
      </w:r>
      <w:r>
        <w:rPr/>
        <w:t>salud</w:t>
      </w:r>
      <w:r>
        <w:rPr>
          <w:spacing w:val="-12"/>
        </w:rPr>
        <w:t> </w:t>
      </w:r>
      <w:r>
        <w:rPr/>
        <w:t>de</w:t>
      </w:r>
      <w:r>
        <w:rPr>
          <w:spacing w:val="-11"/>
        </w:rPr>
        <w:t> </w:t>
      </w:r>
      <w:r>
        <w:rPr/>
        <w:t>los</w:t>
      </w:r>
      <w:r>
        <w:rPr>
          <w:spacing w:val="-9"/>
        </w:rPr>
        <w:t> </w:t>
      </w:r>
      <w:r>
        <w:rPr/>
        <w:t>pacientes</w:t>
      </w:r>
      <w:r>
        <w:rPr>
          <w:spacing w:val="-12"/>
        </w:rPr>
        <w:t> </w:t>
      </w:r>
      <w:r>
        <w:rPr/>
        <w:t>diabéticos</w:t>
      </w:r>
      <w:r>
        <w:rPr>
          <w:spacing w:val="-7"/>
        </w:rPr>
        <w:t> </w:t>
      </w:r>
      <w:r>
        <w:rPr/>
        <w:t>en</w:t>
      </w:r>
      <w:r>
        <w:rPr>
          <w:spacing w:val="-12"/>
        </w:rPr>
        <w:t> </w:t>
      </w:r>
      <w:r>
        <w:rPr/>
        <w:t>forma</w:t>
      </w:r>
      <w:r>
        <w:rPr>
          <w:spacing w:val="-13"/>
        </w:rPr>
        <w:t> </w:t>
      </w:r>
      <w:r>
        <w:rPr/>
        <w:t>integral.</w:t>
      </w:r>
    </w:p>
    <w:p>
      <w:pPr>
        <w:pStyle w:val="BodyText"/>
      </w:pPr>
    </w:p>
    <w:p>
      <w:pPr>
        <w:pStyle w:val="BodyText"/>
        <w:spacing w:line="360" w:lineRule="auto" w:before="143"/>
        <w:ind w:left="102" w:right="118"/>
        <w:jc w:val="both"/>
      </w:pPr>
      <w:r>
        <w:rPr/>
        <w:t>En México de acuerdo con la ENSANUT 2012 se reporta un incremento en la incidencia de DM2, respecto a la ENSANUT 2006, sin embargo esta misma encuesta reporta que la población diabética del Estado de México superó la media nacional (23).</w:t>
      </w:r>
    </w:p>
    <w:p>
      <w:pPr>
        <w:pStyle w:val="BodyText"/>
      </w:pPr>
    </w:p>
    <w:p>
      <w:pPr>
        <w:pStyle w:val="BodyText"/>
        <w:spacing w:line="360" w:lineRule="auto" w:before="143"/>
        <w:ind w:left="102" w:right="119"/>
        <w:jc w:val="both"/>
      </w:pPr>
      <w:r>
        <w:rPr/>
        <w:t>La DM2 se asocia con complicaciones a nivel bucal como la xerostomía, abscesos odontogénicos,</w:t>
      </w:r>
      <w:r>
        <w:rPr>
          <w:spacing w:val="-7"/>
        </w:rPr>
        <w:t> </w:t>
      </w:r>
      <w:r>
        <w:rPr/>
        <w:t>lesiones</w:t>
      </w:r>
      <w:r>
        <w:rPr>
          <w:spacing w:val="-7"/>
        </w:rPr>
        <w:t> </w:t>
      </w:r>
      <w:r>
        <w:rPr/>
        <w:t>en</w:t>
      </w:r>
      <w:r>
        <w:rPr>
          <w:spacing w:val="-7"/>
        </w:rPr>
        <w:t> </w:t>
      </w:r>
      <w:r>
        <w:rPr/>
        <w:t>la</w:t>
      </w:r>
      <w:r>
        <w:rPr>
          <w:spacing w:val="-8"/>
        </w:rPr>
        <w:t> </w:t>
      </w:r>
      <w:r>
        <w:rPr/>
        <w:t>mucosa</w:t>
      </w:r>
      <w:r>
        <w:rPr>
          <w:spacing w:val="-8"/>
        </w:rPr>
        <w:t> </w:t>
      </w:r>
      <w:r>
        <w:rPr/>
        <w:t>oral,</w:t>
      </w:r>
      <w:r>
        <w:rPr>
          <w:spacing w:val="-4"/>
        </w:rPr>
        <w:t> </w:t>
      </w:r>
      <w:r>
        <w:rPr/>
        <w:t>gingivitis</w:t>
      </w:r>
      <w:r>
        <w:rPr>
          <w:spacing w:val="-5"/>
        </w:rPr>
        <w:t> </w:t>
      </w:r>
      <w:r>
        <w:rPr/>
        <w:t>y</w:t>
      </w:r>
      <w:r>
        <w:rPr>
          <w:spacing w:val="-12"/>
        </w:rPr>
        <w:t> </w:t>
      </w:r>
      <w:r>
        <w:rPr/>
        <w:t>enfermedad</w:t>
      </w:r>
      <w:r>
        <w:rPr>
          <w:spacing w:val="-7"/>
        </w:rPr>
        <w:t> </w:t>
      </w:r>
      <w:r>
        <w:rPr/>
        <w:t>periodontal,</w:t>
      </w:r>
      <w:r>
        <w:rPr>
          <w:spacing w:val="-7"/>
        </w:rPr>
        <w:t> </w:t>
      </w:r>
      <w:r>
        <w:rPr/>
        <w:t>sin</w:t>
      </w:r>
      <w:r>
        <w:rPr>
          <w:spacing w:val="-7"/>
        </w:rPr>
        <w:t> </w:t>
      </w:r>
      <w:r>
        <w:rPr/>
        <w:t>embargo esta última se desarrolla con mucho más frecuencia, pues el descontrol metabólico de los pacientes con DM2 aunado a la proliferación de microorganismos odontogénicos favorecen el desarrollo de esta entidad, la cual puede evolucionar de forma asintomática por largo tiempo; la mayoría de las veces la enfermedad periodontal es diagnosticada </w:t>
      </w:r>
      <w:r>
        <w:rPr>
          <w:spacing w:val="-3"/>
        </w:rPr>
        <w:t>ya </w:t>
      </w:r>
      <w:r>
        <w:rPr/>
        <w:t>en etapas avanzadas que se asocian a movilidad y pérdida dentaria inminente, lo cual conlleva a la disminución de la calidad de vida de los pacientes, pues los procesos básicos como la masticación y la deglución se ven</w:t>
      </w:r>
      <w:r>
        <w:rPr>
          <w:spacing w:val="-8"/>
        </w:rPr>
        <w:t> </w:t>
      </w:r>
      <w:r>
        <w:rPr/>
        <w:t>alterados.</w:t>
      </w:r>
    </w:p>
    <w:p>
      <w:pPr>
        <w:pStyle w:val="BodyText"/>
      </w:pPr>
    </w:p>
    <w:p>
      <w:pPr>
        <w:pStyle w:val="BodyText"/>
        <w:spacing w:line="360" w:lineRule="auto" w:before="143"/>
        <w:ind w:left="102" w:right="118"/>
        <w:jc w:val="both"/>
      </w:pPr>
      <w:r>
        <w:rPr/>
        <w:t>Por otra parte no existen estadísticas actualizadas en relación a la prevalencia de la enfermedad periodontal en pacientes sanos y mucho menos en pacientes con DM2, sin embargo</w:t>
      </w:r>
      <w:r>
        <w:rPr>
          <w:spacing w:val="-13"/>
        </w:rPr>
        <w:t> </w:t>
      </w:r>
      <w:r>
        <w:rPr/>
        <w:t>en</w:t>
      </w:r>
      <w:r>
        <w:rPr>
          <w:spacing w:val="-16"/>
        </w:rPr>
        <w:t> </w:t>
      </w:r>
      <w:r>
        <w:rPr/>
        <w:t>2010</w:t>
      </w:r>
      <w:r>
        <w:rPr>
          <w:spacing w:val="-16"/>
        </w:rPr>
        <w:t> </w:t>
      </w:r>
      <w:r>
        <w:rPr/>
        <w:t>los</w:t>
      </w:r>
      <w:r>
        <w:rPr>
          <w:spacing w:val="-15"/>
        </w:rPr>
        <w:t> </w:t>
      </w:r>
      <w:r>
        <w:rPr/>
        <w:t>últimos</w:t>
      </w:r>
      <w:r>
        <w:rPr>
          <w:spacing w:val="-16"/>
        </w:rPr>
        <w:t> </w:t>
      </w:r>
      <w:r>
        <w:rPr/>
        <w:t>reportes</w:t>
      </w:r>
      <w:r>
        <w:rPr>
          <w:spacing w:val="-16"/>
        </w:rPr>
        <w:t> </w:t>
      </w:r>
      <w:r>
        <w:rPr/>
        <w:t>indican,</w:t>
      </w:r>
      <w:r>
        <w:rPr>
          <w:spacing w:val="-16"/>
        </w:rPr>
        <w:t> </w:t>
      </w:r>
      <w:r>
        <w:rPr/>
        <w:t>que</w:t>
      </w:r>
      <w:r>
        <w:rPr>
          <w:spacing w:val="-15"/>
        </w:rPr>
        <w:t> </w:t>
      </w:r>
      <w:r>
        <w:rPr/>
        <w:t>el</w:t>
      </w:r>
      <w:r>
        <w:rPr>
          <w:spacing w:val="-15"/>
        </w:rPr>
        <w:t> </w:t>
      </w:r>
      <w:r>
        <w:rPr/>
        <w:t>22%</w:t>
      </w:r>
      <w:r>
        <w:rPr>
          <w:spacing w:val="-17"/>
        </w:rPr>
        <w:t> </w:t>
      </w:r>
      <w:r>
        <w:rPr/>
        <w:t>de</w:t>
      </w:r>
      <w:r>
        <w:rPr>
          <w:spacing w:val="-17"/>
        </w:rPr>
        <w:t> </w:t>
      </w:r>
      <w:r>
        <w:rPr/>
        <w:t>la</w:t>
      </w:r>
      <w:r>
        <w:rPr>
          <w:spacing w:val="-16"/>
        </w:rPr>
        <w:t> </w:t>
      </w:r>
      <w:r>
        <w:rPr/>
        <w:t>población</w:t>
      </w:r>
      <w:r>
        <w:rPr>
          <w:spacing w:val="-15"/>
        </w:rPr>
        <w:t> </w:t>
      </w:r>
      <w:r>
        <w:rPr/>
        <w:t>padece</w:t>
      </w:r>
      <w:r>
        <w:rPr>
          <w:spacing w:val="-17"/>
        </w:rPr>
        <w:t> </w:t>
      </w:r>
      <w:r>
        <w:rPr/>
        <w:t>enfermedad periodontal.</w:t>
      </w:r>
    </w:p>
    <w:p>
      <w:pPr>
        <w:pStyle w:val="BodyText"/>
      </w:pPr>
    </w:p>
    <w:p>
      <w:pPr>
        <w:pStyle w:val="BodyText"/>
        <w:spacing w:line="360" w:lineRule="auto" w:before="143"/>
        <w:ind w:left="102" w:right="113"/>
        <w:jc w:val="both"/>
      </w:pPr>
      <w:r>
        <w:rPr/>
        <w:t>La realización de este proyecto permitirá determinar la relación que existe entre la enfermedad periodontal (EP), marcadores de inflamación en saliva de pacientes con y sin DM2 de la Jurisdicción Toluca de ISEM y público en general. Así mismo evaluar la</w:t>
      </w:r>
      <w:r>
        <w:rPr>
          <w:spacing w:val="-41"/>
        </w:rPr>
        <w:t> </w:t>
      </w:r>
      <w:r>
        <w:rPr/>
        <w:t>utilidad de la cuantificación de biomarcadores en saliva como un método auxiliar en el diagnóstico de la enfermedad periodontal; al ser una técnica no invasiva optimizaría el diagnóstico y consecuentemente el tratamiento de la</w:t>
      </w:r>
      <w:r>
        <w:rPr>
          <w:spacing w:val="-8"/>
        </w:rPr>
        <w:t> </w:t>
      </w:r>
      <w:r>
        <w:rPr/>
        <w:t>EP.</w:t>
      </w:r>
    </w:p>
    <w:p>
      <w:pPr>
        <w:spacing w:after="0" w:line="360" w:lineRule="auto"/>
        <w:jc w:val="both"/>
        <w:sectPr>
          <w:pgSz w:w="12240" w:h="15840"/>
          <w:pgMar w:header="731" w:footer="0" w:top="960" w:bottom="280" w:left="1600" w:right="1580"/>
        </w:sectPr>
      </w:pPr>
    </w:p>
    <w:p>
      <w:pPr>
        <w:pStyle w:val="BodyText"/>
        <w:rPr>
          <w:sz w:val="20"/>
        </w:rPr>
      </w:pPr>
    </w:p>
    <w:p>
      <w:pPr>
        <w:pStyle w:val="Heading1"/>
        <w:numPr>
          <w:ilvl w:val="0"/>
          <w:numId w:val="2"/>
        </w:numPr>
        <w:tabs>
          <w:tab w:pos="822" w:val="left" w:leader="none"/>
        </w:tabs>
        <w:spacing w:line="240" w:lineRule="auto" w:before="213" w:after="0"/>
        <w:ind w:left="822" w:right="0" w:hanging="360"/>
        <w:jc w:val="left"/>
      </w:pPr>
      <w:r>
        <w:rPr/>
        <w:t>Material y</w:t>
      </w:r>
      <w:r>
        <w:rPr>
          <w:spacing w:val="-8"/>
        </w:rPr>
        <w:t> </w:t>
      </w:r>
      <w:r>
        <w:rPr/>
        <w:t>Métodos</w:t>
      </w:r>
    </w:p>
    <w:p>
      <w:pPr>
        <w:pStyle w:val="BodyText"/>
        <w:rPr>
          <w:b/>
          <w:sz w:val="28"/>
        </w:rPr>
      </w:pPr>
    </w:p>
    <w:p>
      <w:pPr>
        <w:pStyle w:val="BodyText"/>
        <w:spacing w:before="2"/>
        <w:rPr>
          <w:b/>
          <w:sz w:val="22"/>
        </w:rPr>
      </w:pPr>
    </w:p>
    <w:p>
      <w:pPr>
        <w:pStyle w:val="Heading2"/>
        <w:numPr>
          <w:ilvl w:val="1"/>
          <w:numId w:val="2"/>
        </w:numPr>
        <w:tabs>
          <w:tab w:pos="1379" w:val="left" w:leader="none"/>
        </w:tabs>
        <w:spacing w:line="240" w:lineRule="auto" w:before="1" w:after="0"/>
        <w:ind w:left="1378" w:right="0" w:hanging="360"/>
        <w:jc w:val="left"/>
      </w:pPr>
      <w:r>
        <w:rPr/>
        <w:t>Diseño de</w:t>
      </w:r>
      <w:r>
        <w:rPr>
          <w:spacing w:val="-5"/>
        </w:rPr>
        <w:t> </w:t>
      </w:r>
      <w:r>
        <w:rPr/>
        <w:t>Estudio</w:t>
      </w:r>
    </w:p>
    <w:p>
      <w:pPr>
        <w:pStyle w:val="BodyText"/>
        <w:rPr>
          <w:b/>
          <w:sz w:val="26"/>
        </w:rPr>
      </w:pPr>
    </w:p>
    <w:p>
      <w:pPr>
        <w:pStyle w:val="BodyText"/>
        <w:spacing w:before="10"/>
        <w:rPr>
          <w:b/>
          <w:sz w:val="22"/>
        </w:rPr>
      </w:pPr>
    </w:p>
    <w:p>
      <w:pPr>
        <w:pStyle w:val="Heading3"/>
        <w:numPr>
          <w:ilvl w:val="2"/>
          <w:numId w:val="10"/>
        </w:numPr>
        <w:tabs>
          <w:tab w:pos="643" w:val="left" w:leader="none"/>
        </w:tabs>
        <w:spacing w:line="240" w:lineRule="auto" w:before="0" w:after="0"/>
        <w:ind w:left="642" w:right="0" w:hanging="540"/>
        <w:jc w:val="both"/>
      </w:pPr>
      <w:r>
        <w:rPr/>
        <w:t>Tipo de</w:t>
      </w:r>
      <w:r>
        <w:rPr>
          <w:spacing w:val="-1"/>
        </w:rPr>
        <w:t> </w:t>
      </w:r>
      <w:r>
        <w:rPr/>
        <w:t>estudio</w:t>
      </w:r>
    </w:p>
    <w:p>
      <w:pPr>
        <w:pStyle w:val="BodyText"/>
        <w:spacing w:before="6"/>
        <w:rPr>
          <w:b/>
          <w:sz w:val="32"/>
        </w:rPr>
      </w:pPr>
    </w:p>
    <w:p>
      <w:pPr>
        <w:pStyle w:val="BodyText"/>
        <w:ind w:left="102"/>
        <w:jc w:val="both"/>
      </w:pPr>
      <w:r>
        <w:rPr/>
        <w:t>Observacional, descriptivo y transversal.</w:t>
      </w:r>
    </w:p>
    <w:p>
      <w:pPr>
        <w:pStyle w:val="BodyText"/>
      </w:pPr>
    </w:p>
    <w:p>
      <w:pPr>
        <w:pStyle w:val="BodyText"/>
        <w:spacing w:before="4"/>
      </w:pPr>
    </w:p>
    <w:p>
      <w:pPr>
        <w:pStyle w:val="Heading3"/>
        <w:numPr>
          <w:ilvl w:val="2"/>
          <w:numId w:val="10"/>
        </w:numPr>
        <w:tabs>
          <w:tab w:pos="643" w:val="left" w:leader="none"/>
        </w:tabs>
        <w:spacing w:line="240" w:lineRule="auto" w:before="1" w:after="0"/>
        <w:ind w:left="642" w:right="0" w:hanging="540"/>
        <w:jc w:val="both"/>
      </w:pPr>
      <w:r>
        <w:rPr/>
        <w:t>Método de</w:t>
      </w:r>
      <w:r>
        <w:rPr>
          <w:spacing w:val="-6"/>
        </w:rPr>
        <w:t> </w:t>
      </w:r>
      <w:r>
        <w:rPr/>
        <w:t>muestreo</w:t>
      </w:r>
    </w:p>
    <w:p>
      <w:pPr>
        <w:pStyle w:val="BodyText"/>
        <w:rPr>
          <w:b/>
        </w:rPr>
      </w:pPr>
    </w:p>
    <w:p>
      <w:pPr>
        <w:pStyle w:val="BodyText"/>
        <w:spacing w:before="7"/>
        <w:rPr>
          <w:b/>
          <w:sz w:val="23"/>
        </w:rPr>
      </w:pPr>
    </w:p>
    <w:p>
      <w:pPr>
        <w:pStyle w:val="BodyText"/>
        <w:spacing w:line="360" w:lineRule="auto"/>
        <w:ind w:left="102" w:right="27"/>
      </w:pPr>
      <w:r>
        <w:rPr/>
        <w:t>Muestreo</w:t>
      </w:r>
      <w:r>
        <w:rPr>
          <w:spacing w:val="-12"/>
        </w:rPr>
        <w:t> </w:t>
      </w:r>
      <w:r>
        <w:rPr/>
        <w:t>por</w:t>
      </w:r>
      <w:r>
        <w:rPr>
          <w:spacing w:val="-13"/>
        </w:rPr>
        <w:t> </w:t>
      </w:r>
      <w:r>
        <w:rPr/>
        <w:t>conveniencia</w:t>
      </w:r>
      <w:r>
        <w:rPr>
          <w:spacing w:val="-13"/>
        </w:rPr>
        <w:t> </w:t>
      </w:r>
      <w:r>
        <w:rPr/>
        <w:t>conformado</w:t>
      </w:r>
      <w:r>
        <w:rPr>
          <w:spacing w:val="-12"/>
        </w:rPr>
        <w:t> </w:t>
      </w:r>
      <w:r>
        <w:rPr/>
        <w:t>por</w:t>
      </w:r>
      <w:r>
        <w:rPr>
          <w:spacing w:val="-13"/>
        </w:rPr>
        <w:t> </w:t>
      </w:r>
      <w:r>
        <w:rPr/>
        <w:t>90</w:t>
      </w:r>
      <w:r>
        <w:rPr>
          <w:spacing w:val="-12"/>
        </w:rPr>
        <w:t> </w:t>
      </w:r>
      <w:r>
        <w:rPr/>
        <w:t>sujetos</w:t>
      </w:r>
      <w:r>
        <w:rPr>
          <w:spacing w:val="-11"/>
        </w:rPr>
        <w:t> </w:t>
      </w:r>
      <w:r>
        <w:rPr/>
        <w:t>de</w:t>
      </w:r>
      <w:r>
        <w:rPr>
          <w:spacing w:val="-13"/>
        </w:rPr>
        <w:t> </w:t>
      </w:r>
      <w:r>
        <w:rPr/>
        <w:t>los</w:t>
      </w:r>
      <w:r>
        <w:rPr>
          <w:spacing w:val="-11"/>
        </w:rPr>
        <w:t> </w:t>
      </w:r>
      <w:r>
        <w:rPr/>
        <w:t>cuales</w:t>
      </w:r>
      <w:r>
        <w:rPr>
          <w:spacing w:val="-12"/>
        </w:rPr>
        <w:t> </w:t>
      </w:r>
      <w:r>
        <w:rPr/>
        <w:t>se</w:t>
      </w:r>
      <w:r>
        <w:rPr>
          <w:spacing w:val="-13"/>
        </w:rPr>
        <w:t> </w:t>
      </w:r>
      <w:r>
        <w:rPr/>
        <w:t>conformaron</w:t>
      </w:r>
      <w:r>
        <w:rPr>
          <w:spacing w:val="-12"/>
        </w:rPr>
        <w:t> </w:t>
      </w:r>
      <w:r>
        <w:rPr/>
        <w:t>3</w:t>
      </w:r>
      <w:r>
        <w:rPr>
          <w:spacing w:val="-12"/>
        </w:rPr>
        <w:t> </w:t>
      </w:r>
      <w:r>
        <w:rPr/>
        <w:t>grupos de estudio de la siguiente</w:t>
      </w:r>
      <w:r>
        <w:rPr>
          <w:spacing w:val="-6"/>
        </w:rPr>
        <w:t> </w:t>
      </w:r>
      <w:r>
        <w:rPr/>
        <w:t>manera.</w:t>
      </w:r>
    </w:p>
    <w:p>
      <w:pPr>
        <w:pStyle w:val="BodyText"/>
        <w:spacing w:before="4"/>
        <w:rPr>
          <w:sz w:val="21"/>
        </w:rPr>
      </w:pPr>
    </w:p>
    <w:p>
      <w:pPr>
        <w:pStyle w:val="ListParagraph"/>
        <w:numPr>
          <w:ilvl w:val="3"/>
          <w:numId w:val="10"/>
        </w:numPr>
        <w:tabs>
          <w:tab w:pos="822" w:val="left" w:leader="none"/>
        </w:tabs>
        <w:spacing w:line="240" w:lineRule="auto" w:before="1" w:after="0"/>
        <w:ind w:left="822" w:right="0" w:hanging="360"/>
        <w:jc w:val="left"/>
        <w:rPr>
          <w:sz w:val="24"/>
        </w:rPr>
      </w:pPr>
      <w:r>
        <w:rPr>
          <w:sz w:val="24"/>
        </w:rPr>
        <w:t>30 Pacientes con DM2 y enfermedad periodontal</w:t>
      </w:r>
      <w:r>
        <w:rPr>
          <w:spacing w:val="-7"/>
          <w:sz w:val="24"/>
        </w:rPr>
        <w:t> </w:t>
      </w:r>
      <w:r>
        <w:rPr>
          <w:sz w:val="24"/>
        </w:rPr>
        <w:t>(DM2+EP)</w:t>
      </w:r>
    </w:p>
    <w:p>
      <w:pPr>
        <w:pStyle w:val="ListParagraph"/>
        <w:numPr>
          <w:ilvl w:val="3"/>
          <w:numId w:val="10"/>
        </w:numPr>
        <w:tabs>
          <w:tab w:pos="822" w:val="left" w:leader="none"/>
        </w:tabs>
        <w:spacing w:line="240" w:lineRule="auto" w:before="137" w:after="0"/>
        <w:ind w:left="822" w:right="0" w:hanging="360"/>
        <w:jc w:val="left"/>
        <w:rPr>
          <w:sz w:val="24"/>
        </w:rPr>
      </w:pPr>
      <w:r>
        <w:rPr>
          <w:sz w:val="24"/>
        </w:rPr>
        <w:t>30 Pacientes sin DM2 y enfermedad periodontal</w:t>
      </w:r>
      <w:r>
        <w:rPr>
          <w:spacing w:val="-4"/>
          <w:sz w:val="24"/>
        </w:rPr>
        <w:t> </w:t>
      </w:r>
      <w:r>
        <w:rPr>
          <w:sz w:val="24"/>
        </w:rPr>
        <w:t>(EP)</w:t>
      </w:r>
    </w:p>
    <w:p>
      <w:pPr>
        <w:pStyle w:val="ListParagraph"/>
        <w:numPr>
          <w:ilvl w:val="3"/>
          <w:numId w:val="10"/>
        </w:numPr>
        <w:tabs>
          <w:tab w:pos="822" w:val="left" w:leader="none"/>
        </w:tabs>
        <w:spacing w:line="240" w:lineRule="auto" w:before="139" w:after="0"/>
        <w:ind w:left="822" w:right="0" w:hanging="360"/>
        <w:jc w:val="left"/>
        <w:rPr>
          <w:sz w:val="24"/>
        </w:rPr>
      </w:pPr>
      <w:r>
        <w:rPr>
          <w:sz w:val="24"/>
        </w:rPr>
        <w:t>30 Pacientes sin DM2 y sin enfermedad periodontal (no</w:t>
      </w:r>
      <w:r>
        <w:rPr>
          <w:spacing w:val="-10"/>
          <w:sz w:val="24"/>
        </w:rPr>
        <w:t> </w:t>
      </w:r>
      <w:r>
        <w:rPr>
          <w:sz w:val="24"/>
        </w:rPr>
        <w:t>DM2-EP)</w:t>
      </w:r>
    </w:p>
    <w:p>
      <w:pPr>
        <w:pStyle w:val="BodyText"/>
      </w:pPr>
    </w:p>
    <w:p>
      <w:pPr>
        <w:pStyle w:val="BodyText"/>
        <w:spacing w:before="5"/>
      </w:pPr>
    </w:p>
    <w:p>
      <w:pPr>
        <w:pStyle w:val="Heading3"/>
        <w:numPr>
          <w:ilvl w:val="2"/>
          <w:numId w:val="10"/>
        </w:numPr>
        <w:tabs>
          <w:tab w:pos="822" w:val="left" w:leader="none"/>
        </w:tabs>
        <w:spacing w:line="240" w:lineRule="auto" w:before="0" w:after="0"/>
        <w:ind w:left="822" w:right="0" w:hanging="720"/>
        <w:jc w:val="both"/>
      </w:pPr>
      <w:r>
        <w:rPr/>
        <w:t>Tamaño de</w:t>
      </w:r>
      <w:r>
        <w:rPr>
          <w:spacing w:val="-7"/>
        </w:rPr>
        <w:t> </w:t>
      </w:r>
      <w:r>
        <w:rPr/>
        <w:t>muestra.</w:t>
      </w:r>
    </w:p>
    <w:p>
      <w:pPr>
        <w:pStyle w:val="BodyText"/>
        <w:spacing w:before="6"/>
        <w:rPr>
          <w:b/>
          <w:sz w:val="32"/>
        </w:rPr>
      </w:pPr>
    </w:p>
    <w:p>
      <w:pPr>
        <w:pStyle w:val="BodyText"/>
        <w:spacing w:line="360" w:lineRule="auto"/>
        <w:ind w:left="102" w:right="118"/>
        <w:jc w:val="both"/>
      </w:pPr>
      <w:r>
        <w:rPr/>
        <w:t>Se calculó el poder del estudio con base en los valores promedio de IL-6 en pacientes con enfermedad periodontal (12.6±12.7pg/mL) y en pacientes sin esta enfermedad (6.7±8.0 pg/mL)</w:t>
      </w:r>
      <w:r>
        <w:rPr>
          <w:spacing w:val="-7"/>
        </w:rPr>
        <w:t> </w:t>
      </w:r>
      <w:r>
        <w:rPr/>
        <w:t>(reportados</w:t>
      </w:r>
      <w:r>
        <w:rPr>
          <w:spacing w:val="-6"/>
        </w:rPr>
        <w:t> </w:t>
      </w:r>
      <w:r>
        <w:rPr/>
        <w:t>en</w:t>
      </w:r>
      <w:r>
        <w:rPr>
          <w:spacing w:val="-6"/>
        </w:rPr>
        <w:t> </w:t>
      </w:r>
      <w:r>
        <w:rPr/>
        <w:t>el</w:t>
      </w:r>
      <w:r>
        <w:rPr>
          <w:spacing w:val="-6"/>
        </w:rPr>
        <w:t> </w:t>
      </w:r>
      <w:r>
        <w:rPr/>
        <w:t>2014</w:t>
      </w:r>
      <w:r>
        <w:rPr>
          <w:spacing w:val="-9"/>
        </w:rPr>
        <w:t> </w:t>
      </w:r>
      <w:r>
        <w:rPr/>
        <w:t>por</w:t>
      </w:r>
      <w:r>
        <w:rPr>
          <w:spacing w:val="-9"/>
        </w:rPr>
        <w:t> </w:t>
      </w:r>
      <w:r>
        <w:rPr/>
        <w:t>Kosaka</w:t>
      </w:r>
      <w:r>
        <w:rPr>
          <w:spacing w:val="-3"/>
        </w:rPr>
        <w:t> </w:t>
      </w:r>
      <w:r>
        <w:rPr/>
        <w:t>y</w:t>
      </w:r>
      <w:r>
        <w:rPr>
          <w:spacing w:val="-11"/>
        </w:rPr>
        <w:t> </w:t>
      </w:r>
      <w:r>
        <w:rPr/>
        <w:t>colaboradores).</w:t>
      </w:r>
      <w:r>
        <w:rPr>
          <w:spacing w:val="-9"/>
        </w:rPr>
        <w:t> </w:t>
      </w:r>
      <w:r>
        <w:rPr/>
        <w:t>De</w:t>
      </w:r>
      <w:r>
        <w:rPr>
          <w:spacing w:val="-10"/>
        </w:rPr>
        <w:t> </w:t>
      </w:r>
      <w:r>
        <w:rPr/>
        <w:t>tal</w:t>
      </w:r>
      <w:r>
        <w:rPr>
          <w:spacing w:val="-6"/>
        </w:rPr>
        <w:t> </w:t>
      </w:r>
      <w:r>
        <w:rPr/>
        <w:t>manera</w:t>
      </w:r>
      <w:r>
        <w:rPr>
          <w:spacing w:val="-7"/>
        </w:rPr>
        <w:t> </w:t>
      </w:r>
      <w:r>
        <w:rPr/>
        <w:t>que</w:t>
      </w:r>
      <w:r>
        <w:rPr>
          <w:spacing w:val="-10"/>
        </w:rPr>
        <w:t> </w:t>
      </w:r>
      <w:r>
        <w:rPr/>
        <w:t>para</w:t>
      </w:r>
      <w:r>
        <w:rPr>
          <w:spacing w:val="-10"/>
        </w:rPr>
        <w:t> </w:t>
      </w:r>
      <w:r>
        <w:rPr/>
        <w:t>detectar la diferencia de 12.6 pg/mL frente a 6.7 pg/mL, con un poder del 80.0%, se requiere un tamaño de muestra de por lo menos 102 participantes (51 casos)</w:t>
      </w:r>
      <w:r>
        <w:rPr>
          <w:spacing w:val="-6"/>
        </w:rPr>
        <w:t> </w:t>
      </w:r>
      <w:r>
        <w:rPr/>
        <w:t>(48).</w:t>
      </w:r>
    </w:p>
    <w:p>
      <w:pPr>
        <w:pStyle w:val="BodyText"/>
      </w:pPr>
    </w:p>
    <w:p>
      <w:pPr>
        <w:pStyle w:val="Heading2"/>
        <w:numPr>
          <w:ilvl w:val="1"/>
          <w:numId w:val="11"/>
        </w:numPr>
        <w:tabs>
          <w:tab w:pos="491" w:val="left" w:leader="none"/>
        </w:tabs>
        <w:spacing w:line="240" w:lineRule="auto" w:before="148" w:after="0"/>
        <w:ind w:left="490" w:right="0" w:hanging="388"/>
        <w:jc w:val="both"/>
      </w:pPr>
      <w:r>
        <w:rPr/>
        <w:t>Criterios de inclusión, exclusión y</w:t>
      </w:r>
      <w:r>
        <w:rPr>
          <w:spacing w:val="-11"/>
        </w:rPr>
        <w:t> </w:t>
      </w:r>
      <w:r>
        <w:rPr/>
        <w:t>eliminación</w:t>
      </w:r>
    </w:p>
    <w:p>
      <w:pPr>
        <w:pStyle w:val="BodyText"/>
        <w:rPr>
          <w:b/>
          <w:sz w:val="26"/>
        </w:rPr>
      </w:pPr>
    </w:p>
    <w:p>
      <w:pPr>
        <w:pStyle w:val="BodyText"/>
        <w:spacing w:before="8"/>
        <w:rPr>
          <w:b/>
          <w:sz w:val="22"/>
        </w:rPr>
      </w:pPr>
    </w:p>
    <w:p>
      <w:pPr>
        <w:pStyle w:val="ListParagraph"/>
        <w:numPr>
          <w:ilvl w:val="2"/>
          <w:numId w:val="11"/>
        </w:numPr>
        <w:tabs>
          <w:tab w:pos="643" w:val="left" w:leader="none"/>
        </w:tabs>
        <w:spacing w:line="240" w:lineRule="auto" w:before="0" w:after="0"/>
        <w:ind w:left="642" w:right="0" w:hanging="540"/>
        <w:jc w:val="both"/>
        <w:rPr>
          <w:sz w:val="24"/>
        </w:rPr>
      </w:pPr>
      <w:r>
        <w:rPr>
          <w:sz w:val="24"/>
        </w:rPr>
        <w:t>Criterios</w:t>
      </w:r>
      <w:r>
        <w:rPr>
          <w:spacing w:val="-2"/>
          <w:sz w:val="24"/>
        </w:rPr>
        <w:t> </w:t>
      </w:r>
      <w:r>
        <w:rPr>
          <w:sz w:val="24"/>
        </w:rPr>
        <w:t>inclusión:</w:t>
      </w:r>
    </w:p>
    <w:p>
      <w:pPr>
        <w:pStyle w:val="BodyText"/>
      </w:pPr>
    </w:p>
    <w:p>
      <w:pPr>
        <w:pStyle w:val="BodyText"/>
        <w:spacing w:before="11"/>
        <w:rPr>
          <w:sz w:val="23"/>
        </w:rPr>
      </w:pPr>
    </w:p>
    <w:p>
      <w:pPr>
        <w:pStyle w:val="ListParagraph"/>
        <w:numPr>
          <w:ilvl w:val="3"/>
          <w:numId w:val="11"/>
        </w:numPr>
        <w:tabs>
          <w:tab w:pos="1541" w:val="left" w:leader="none"/>
          <w:tab w:pos="1542" w:val="left" w:leader="none"/>
        </w:tabs>
        <w:spacing w:line="240" w:lineRule="auto" w:before="0" w:after="0"/>
        <w:ind w:left="1542" w:right="0" w:hanging="360"/>
        <w:jc w:val="left"/>
        <w:rPr>
          <w:sz w:val="24"/>
        </w:rPr>
      </w:pPr>
      <w:r>
        <w:rPr>
          <w:sz w:val="24"/>
        </w:rPr>
        <w:t>Enfermedad</w:t>
      </w:r>
      <w:r>
        <w:rPr>
          <w:spacing w:val="-4"/>
          <w:sz w:val="24"/>
        </w:rPr>
        <w:t> </w:t>
      </w:r>
      <w:r>
        <w:rPr>
          <w:sz w:val="24"/>
        </w:rPr>
        <w:t>periodontal</w:t>
      </w:r>
    </w:p>
    <w:p>
      <w:pPr>
        <w:pStyle w:val="ListParagraph"/>
        <w:numPr>
          <w:ilvl w:val="3"/>
          <w:numId w:val="11"/>
        </w:numPr>
        <w:tabs>
          <w:tab w:pos="1541" w:val="left" w:leader="none"/>
          <w:tab w:pos="1542" w:val="left" w:leader="none"/>
        </w:tabs>
        <w:spacing w:line="240" w:lineRule="auto" w:before="135" w:after="0"/>
        <w:ind w:left="1542" w:right="0" w:hanging="360"/>
        <w:jc w:val="left"/>
        <w:rPr>
          <w:sz w:val="24"/>
        </w:rPr>
      </w:pPr>
      <w:r>
        <w:rPr>
          <w:sz w:val="24"/>
        </w:rPr>
        <w:t>Edad de 20 a 60</w:t>
      </w:r>
      <w:r>
        <w:rPr>
          <w:spacing w:val="-3"/>
          <w:sz w:val="24"/>
        </w:rPr>
        <w:t> </w:t>
      </w:r>
      <w:r>
        <w:rPr>
          <w:sz w:val="24"/>
        </w:rPr>
        <w:t>años</w:t>
      </w:r>
    </w:p>
    <w:p>
      <w:pPr>
        <w:pStyle w:val="ListParagraph"/>
        <w:numPr>
          <w:ilvl w:val="3"/>
          <w:numId w:val="11"/>
        </w:numPr>
        <w:tabs>
          <w:tab w:pos="1541" w:val="left" w:leader="none"/>
          <w:tab w:pos="1542" w:val="left" w:leader="none"/>
        </w:tabs>
        <w:spacing w:line="240" w:lineRule="auto" w:before="138" w:after="0"/>
        <w:ind w:left="1542" w:right="0" w:hanging="360"/>
        <w:jc w:val="left"/>
        <w:rPr>
          <w:sz w:val="24"/>
        </w:rPr>
      </w:pPr>
      <w:r>
        <w:rPr>
          <w:sz w:val="24"/>
        </w:rPr>
        <w:t>Con diagnóstico de DM2 de más de 6</w:t>
      </w:r>
      <w:r>
        <w:rPr>
          <w:spacing w:val="-9"/>
          <w:sz w:val="24"/>
        </w:rPr>
        <w:t> </w:t>
      </w:r>
      <w:r>
        <w:rPr>
          <w:sz w:val="24"/>
        </w:rPr>
        <w:t>meses</w:t>
      </w:r>
    </w:p>
    <w:p>
      <w:pPr>
        <w:spacing w:after="0" w:line="240" w:lineRule="auto"/>
        <w:jc w:val="left"/>
        <w:rPr>
          <w:sz w:val="24"/>
        </w:rPr>
        <w:sectPr>
          <w:pgSz w:w="12240" w:h="15840"/>
          <w:pgMar w:header="731" w:footer="0" w:top="960" w:bottom="280" w:left="1600" w:right="1580"/>
        </w:sectPr>
      </w:pPr>
    </w:p>
    <w:p>
      <w:pPr>
        <w:pStyle w:val="BodyText"/>
        <w:rPr>
          <w:sz w:val="20"/>
        </w:rPr>
      </w:pPr>
    </w:p>
    <w:p>
      <w:pPr>
        <w:pStyle w:val="ListParagraph"/>
        <w:numPr>
          <w:ilvl w:val="3"/>
          <w:numId w:val="11"/>
        </w:numPr>
        <w:tabs>
          <w:tab w:pos="1541" w:val="left" w:leader="none"/>
          <w:tab w:pos="1542" w:val="left" w:leader="none"/>
        </w:tabs>
        <w:spacing w:line="240" w:lineRule="auto" w:before="209" w:after="0"/>
        <w:ind w:left="1542" w:right="0" w:hanging="360"/>
        <w:jc w:val="left"/>
        <w:rPr>
          <w:sz w:val="24"/>
        </w:rPr>
      </w:pPr>
      <w:r>
        <w:rPr>
          <w:sz w:val="24"/>
        </w:rPr>
        <w:t>Contar con un mínimo de 20 órganos</w:t>
      </w:r>
      <w:r>
        <w:rPr>
          <w:spacing w:val="-5"/>
          <w:sz w:val="24"/>
        </w:rPr>
        <w:t> </w:t>
      </w:r>
      <w:r>
        <w:rPr>
          <w:sz w:val="24"/>
        </w:rPr>
        <w:t>dentarios</w:t>
      </w:r>
    </w:p>
    <w:p>
      <w:pPr>
        <w:pStyle w:val="ListParagraph"/>
        <w:numPr>
          <w:ilvl w:val="3"/>
          <w:numId w:val="11"/>
        </w:numPr>
        <w:tabs>
          <w:tab w:pos="1541" w:val="left" w:leader="none"/>
          <w:tab w:pos="1542" w:val="left" w:leader="none"/>
        </w:tabs>
        <w:spacing w:line="240" w:lineRule="auto" w:before="138" w:after="0"/>
        <w:ind w:left="1542" w:right="0" w:hanging="360"/>
        <w:jc w:val="left"/>
        <w:rPr>
          <w:sz w:val="24"/>
        </w:rPr>
      </w:pPr>
      <w:r>
        <w:rPr>
          <w:sz w:val="24"/>
        </w:rPr>
        <w:t>Cualquier</w:t>
      </w:r>
      <w:r>
        <w:rPr>
          <w:spacing w:val="-2"/>
          <w:sz w:val="24"/>
        </w:rPr>
        <w:t> </w:t>
      </w:r>
      <w:r>
        <w:rPr>
          <w:sz w:val="24"/>
        </w:rPr>
        <w:t>sexo</w:t>
      </w:r>
    </w:p>
    <w:p>
      <w:pPr>
        <w:pStyle w:val="ListParagraph"/>
        <w:numPr>
          <w:ilvl w:val="3"/>
          <w:numId w:val="11"/>
        </w:numPr>
        <w:tabs>
          <w:tab w:pos="1541" w:val="left" w:leader="none"/>
          <w:tab w:pos="1542" w:val="left" w:leader="none"/>
        </w:tabs>
        <w:spacing w:line="240" w:lineRule="auto" w:before="138" w:after="0"/>
        <w:ind w:left="1542" w:right="0" w:hanging="360"/>
        <w:jc w:val="left"/>
        <w:rPr>
          <w:sz w:val="24"/>
        </w:rPr>
      </w:pPr>
      <w:r>
        <w:rPr>
          <w:sz w:val="24"/>
        </w:rPr>
        <w:t>No haber recibido tratamiento periodontal en los últimos 3</w:t>
      </w:r>
      <w:r>
        <w:rPr>
          <w:spacing w:val="-12"/>
          <w:sz w:val="24"/>
        </w:rPr>
        <w:t> </w:t>
      </w:r>
      <w:r>
        <w:rPr>
          <w:sz w:val="24"/>
        </w:rPr>
        <w:t>meses</w:t>
      </w:r>
    </w:p>
    <w:p>
      <w:pPr>
        <w:pStyle w:val="ListParagraph"/>
        <w:numPr>
          <w:ilvl w:val="3"/>
          <w:numId w:val="11"/>
        </w:numPr>
        <w:tabs>
          <w:tab w:pos="1541" w:val="left" w:leader="none"/>
          <w:tab w:pos="1542" w:val="left" w:leader="none"/>
        </w:tabs>
        <w:spacing w:line="352" w:lineRule="auto" w:before="135" w:after="0"/>
        <w:ind w:left="1542" w:right="118" w:hanging="360"/>
        <w:jc w:val="left"/>
        <w:rPr>
          <w:sz w:val="24"/>
        </w:rPr>
      </w:pPr>
      <w:r>
        <w:rPr>
          <w:sz w:val="24"/>
        </w:rPr>
        <w:t>No estar bajo tratamiento farmacológico (antibiótico o antiinflamatorio) en los últimos 3</w:t>
      </w:r>
      <w:r>
        <w:rPr>
          <w:spacing w:val="-4"/>
          <w:sz w:val="24"/>
        </w:rPr>
        <w:t> </w:t>
      </w:r>
      <w:r>
        <w:rPr>
          <w:sz w:val="24"/>
        </w:rPr>
        <w:t>meses</w:t>
      </w:r>
    </w:p>
    <w:p>
      <w:pPr>
        <w:pStyle w:val="ListParagraph"/>
        <w:numPr>
          <w:ilvl w:val="2"/>
          <w:numId w:val="11"/>
        </w:numPr>
        <w:tabs>
          <w:tab w:pos="643" w:val="left" w:leader="none"/>
        </w:tabs>
        <w:spacing w:line="240" w:lineRule="auto" w:before="213" w:after="0"/>
        <w:ind w:left="642" w:right="0" w:hanging="540"/>
        <w:jc w:val="left"/>
        <w:rPr>
          <w:sz w:val="24"/>
        </w:rPr>
      </w:pPr>
      <w:r>
        <w:rPr>
          <w:sz w:val="24"/>
        </w:rPr>
        <w:t>Criterios</w:t>
      </w:r>
      <w:r>
        <w:rPr>
          <w:spacing w:val="-1"/>
          <w:sz w:val="24"/>
        </w:rPr>
        <w:t> </w:t>
      </w:r>
      <w:r>
        <w:rPr>
          <w:sz w:val="24"/>
        </w:rPr>
        <w:t>exclusión:</w:t>
      </w:r>
    </w:p>
    <w:p>
      <w:pPr>
        <w:pStyle w:val="BodyText"/>
      </w:pPr>
    </w:p>
    <w:p>
      <w:pPr>
        <w:pStyle w:val="BodyText"/>
        <w:spacing w:before="11"/>
        <w:rPr>
          <w:sz w:val="23"/>
        </w:rPr>
      </w:pPr>
    </w:p>
    <w:p>
      <w:pPr>
        <w:pStyle w:val="ListParagraph"/>
        <w:numPr>
          <w:ilvl w:val="3"/>
          <w:numId w:val="11"/>
        </w:numPr>
        <w:tabs>
          <w:tab w:pos="821" w:val="left" w:leader="none"/>
          <w:tab w:pos="822" w:val="left" w:leader="none"/>
        </w:tabs>
        <w:spacing w:line="240" w:lineRule="auto" w:before="0" w:after="0"/>
        <w:ind w:left="822" w:right="0" w:hanging="360"/>
        <w:jc w:val="left"/>
        <w:rPr>
          <w:sz w:val="24"/>
        </w:rPr>
      </w:pPr>
      <w:r>
        <w:rPr>
          <w:sz w:val="24"/>
        </w:rPr>
        <w:t>Edéntulos</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Xerostomía</w:t>
      </w:r>
    </w:p>
    <w:p>
      <w:pPr>
        <w:pStyle w:val="ListParagraph"/>
        <w:numPr>
          <w:ilvl w:val="3"/>
          <w:numId w:val="11"/>
        </w:numPr>
        <w:tabs>
          <w:tab w:pos="821" w:val="left" w:leader="none"/>
          <w:tab w:pos="822" w:val="left" w:leader="none"/>
        </w:tabs>
        <w:spacing w:line="240" w:lineRule="auto" w:before="135" w:after="0"/>
        <w:ind w:left="822" w:right="0" w:hanging="360"/>
        <w:jc w:val="left"/>
        <w:rPr>
          <w:sz w:val="24"/>
        </w:rPr>
      </w:pPr>
      <w:r>
        <w:rPr>
          <w:sz w:val="24"/>
        </w:rPr>
        <w:t>Eventos cardiovasculares previo a</w:t>
      </w:r>
      <w:r>
        <w:rPr>
          <w:spacing w:val="-8"/>
          <w:sz w:val="24"/>
        </w:rPr>
        <w:t> </w:t>
      </w:r>
      <w:r>
        <w:rPr>
          <w:sz w:val="24"/>
        </w:rPr>
        <w:t>5años</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Estar embarazada o</w:t>
      </w:r>
      <w:r>
        <w:rPr>
          <w:spacing w:val="-5"/>
          <w:sz w:val="24"/>
        </w:rPr>
        <w:t> </w:t>
      </w:r>
      <w:r>
        <w:rPr>
          <w:sz w:val="24"/>
        </w:rPr>
        <w:t>lactando</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Uso de aparatología de</w:t>
      </w:r>
      <w:r>
        <w:rPr>
          <w:spacing w:val="-8"/>
          <w:sz w:val="24"/>
        </w:rPr>
        <w:t> </w:t>
      </w:r>
      <w:r>
        <w:rPr>
          <w:sz w:val="24"/>
        </w:rPr>
        <w:t>ortodoncia</w:t>
      </w:r>
    </w:p>
    <w:p>
      <w:pPr>
        <w:pStyle w:val="ListParagraph"/>
        <w:numPr>
          <w:ilvl w:val="3"/>
          <w:numId w:val="11"/>
        </w:numPr>
        <w:tabs>
          <w:tab w:pos="821" w:val="left" w:leader="none"/>
          <w:tab w:pos="822" w:val="left" w:leader="none"/>
        </w:tabs>
        <w:spacing w:line="240" w:lineRule="auto" w:before="135" w:after="0"/>
        <w:ind w:left="822" w:right="0" w:hanging="360"/>
        <w:jc w:val="left"/>
        <w:rPr>
          <w:sz w:val="24"/>
        </w:rPr>
      </w:pPr>
      <w:r>
        <w:rPr>
          <w:sz w:val="24"/>
        </w:rPr>
        <w:t>Apertura de boca</w:t>
      </w:r>
      <w:r>
        <w:rPr>
          <w:spacing w:val="-4"/>
          <w:sz w:val="24"/>
        </w:rPr>
        <w:t> </w:t>
      </w:r>
      <w:r>
        <w:rPr>
          <w:sz w:val="24"/>
        </w:rPr>
        <w:t>limitada</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Complicaciones de DM2 (insuficiencia renal crónica, retinopatía,</w:t>
      </w:r>
      <w:r>
        <w:rPr>
          <w:spacing w:val="-12"/>
          <w:sz w:val="24"/>
        </w:rPr>
        <w:t> </w:t>
      </w:r>
      <w:r>
        <w:rPr>
          <w:sz w:val="24"/>
        </w:rPr>
        <w:t>amputación)</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Síndrome</w:t>
      </w:r>
      <w:r>
        <w:rPr>
          <w:spacing w:val="-4"/>
          <w:sz w:val="24"/>
        </w:rPr>
        <w:t> </w:t>
      </w:r>
      <w:r>
        <w:rPr>
          <w:sz w:val="24"/>
        </w:rPr>
        <w:t>metabólico</w:t>
      </w:r>
    </w:p>
    <w:p>
      <w:pPr>
        <w:pStyle w:val="BodyText"/>
      </w:pPr>
    </w:p>
    <w:p>
      <w:pPr>
        <w:pStyle w:val="BodyText"/>
      </w:pPr>
    </w:p>
    <w:p>
      <w:pPr>
        <w:pStyle w:val="ListParagraph"/>
        <w:numPr>
          <w:ilvl w:val="2"/>
          <w:numId w:val="11"/>
        </w:numPr>
        <w:tabs>
          <w:tab w:pos="643" w:val="left" w:leader="none"/>
        </w:tabs>
        <w:spacing w:line="240" w:lineRule="auto" w:before="199" w:after="0"/>
        <w:ind w:left="642" w:right="0" w:hanging="540"/>
        <w:jc w:val="left"/>
        <w:rPr>
          <w:sz w:val="24"/>
        </w:rPr>
      </w:pPr>
      <w:r>
        <w:rPr>
          <w:sz w:val="24"/>
        </w:rPr>
        <w:t>Criterios</w:t>
      </w:r>
      <w:r>
        <w:rPr>
          <w:spacing w:val="-5"/>
          <w:sz w:val="24"/>
        </w:rPr>
        <w:t> </w:t>
      </w:r>
      <w:r>
        <w:rPr>
          <w:sz w:val="24"/>
        </w:rPr>
        <w:t>eliminación:</w:t>
      </w:r>
    </w:p>
    <w:p>
      <w:pPr>
        <w:pStyle w:val="BodyText"/>
        <w:spacing w:before="4"/>
        <w:rPr>
          <w:sz w:val="29"/>
        </w:rPr>
      </w:pPr>
    </w:p>
    <w:p>
      <w:pPr>
        <w:pStyle w:val="ListParagraph"/>
        <w:numPr>
          <w:ilvl w:val="3"/>
          <w:numId w:val="11"/>
        </w:numPr>
        <w:tabs>
          <w:tab w:pos="821" w:val="left" w:leader="none"/>
          <w:tab w:pos="822" w:val="left" w:leader="none"/>
        </w:tabs>
        <w:spacing w:line="240" w:lineRule="auto" w:before="0" w:after="0"/>
        <w:ind w:left="822" w:right="0" w:hanging="360"/>
        <w:jc w:val="left"/>
        <w:rPr>
          <w:sz w:val="24"/>
        </w:rPr>
      </w:pPr>
      <w:r>
        <w:rPr>
          <w:sz w:val="24"/>
        </w:rPr>
        <w:t>Muestra</w:t>
      </w:r>
      <w:r>
        <w:rPr>
          <w:spacing w:val="-3"/>
          <w:sz w:val="24"/>
        </w:rPr>
        <w:t> </w:t>
      </w:r>
      <w:r>
        <w:rPr>
          <w:sz w:val="24"/>
        </w:rPr>
        <w:t>contaminada</w:t>
      </w:r>
    </w:p>
    <w:p>
      <w:pPr>
        <w:pStyle w:val="ListParagraph"/>
        <w:numPr>
          <w:ilvl w:val="3"/>
          <w:numId w:val="11"/>
        </w:numPr>
        <w:tabs>
          <w:tab w:pos="821" w:val="left" w:leader="none"/>
          <w:tab w:pos="822" w:val="left" w:leader="none"/>
        </w:tabs>
        <w:spacing w:line="240" w:lineRule="auto" w:before="135" w:after="0"/>
        <w:ind w:left="822" w:right="0" w:hanging="360"/>
        <w:jc w:val="left"/>
        <w:rPr>
          <w:sz w:val="24"/>
        </w:rPr>
      </w:pPr>
      <w:r>
        <w:rPr>
          <w:sz w:val="24"/>
        </w:rPr>
        <w:t>No se presentó a la toma de</w:t>
      </w:r>
      <w:r>
        <w:rPr>
          <w:spacing w:val="-5"/>
          <w:sz w:val="24"/>
        </w:rPr>
        <w:t> </w:t>
      </w:r>
      <w:r>
        <w:rPr>
          <w:sz w:val="24"/>
        </w:rPr>
        <w:t>muestra</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No siguió las indicaciones previas a la toma de</w:t>
      </w:r>
      <w:r>
        <w:rPr>
          <w:spacing w:val="-8"/>
          <w:sz w:val="24"/>
        </w:rPr>
        <w:t> </w:t>
      </w:r>
      <w:r>
        <w:rPr>
          <w:sz w:val="24"/>
        </w:rPr>
        <w:t>muestra</w:t>
      </w:r>
    </w:p>
    <w:p>
      <w:pPr>
        <w:pStyle w:val="ListParagraph"/>
        <w:numPr>
          <w:ilvl w:val="3"/>
          <w:numId w:val="11"/>
        </w:numPr>
        <w:tabs>
          <w:tab w:pos="821" w:val="left" w:leader="none"/>
          <w:tab w:pos="822" w:val="left" w:leader="none"/>
        </w:tabs>
        <w:spacing w:line="240" w:lineRule="auto" w:before="138" w:after="0"/>
        <w:ind w:left="822" w:right="0" w:hanging="360"/>
        <w:jc w:val="left"/>
        <w:rPr>
          <w:sz w:val="24"/>
        </w:rPr>
      </w:pPr>
      <w:r>
        <w:rPr>
          <w:sz w:val="24"/>
        </w:rPr>
        <w:t>Evaluaciones</w:t>
      </w:r>
      <w:r>
        <w:rPr>
          <w:spacing w:val="-7"/>
          <w:sz w:val="24"/>
        </w:rPr>
        <w:t> </w:t>
      </w:r>
      <w:r>
        <w:rPr>
          <w:sz w:val="24"/>
        </w:rPr>
        <w:t>incompletas</w:t>
      </w:r>
    </w:p>
    <w:p>
      <w:pPr>
        <w:pStyle w:val="BodyText"/>
      </w:pPr>
    </w:p>
    <w:p>
      <w:pPr>
        <w:pStyle w:val="BodyText"/>
      </w:pPr>
    </w:p>
    <w:p>
      <w:pPr>
        <w:pStyle w:val="BodyText"/>
      </w:pPr>
    </w:p>
    <w:p>
      <w:pPr>
        <w:pStyle w:val="Heading2"/>
        <w:numPr>
          <w:ilvl w:val="1"/>
          <w:numId w:val="12"/>
        </w:numPr>
        <w:tabs>
          <w:tab w:pos="462" w:val="left" w:leader="none"/>
        </w:tabs>
        <w:spacing w:line="240" w:lineRule="auto" w:before="142" w:after="0"/>
        <w:ind w:left="462" w:right="0" w:hanging="360"/>
        <w:jc w:val="left"/>
      </w:pPr>
      <w:r>
        <w:rPr/>
        <w:t>Procedimientos</w:t>
      </w:r>
    </w:p>
    <w:p>
      <w:pPr>
        <w:pStyle w:val="BodyText"/>
        <w:rPr>
          <w:b/>
          <w:sz w:val="26"/>
        </w:rPr>
      </w:pPr>
    </w:p>
    <w:p>
      <w:pPr>
        <w:pStyle w:val="BodyText"/>
        <w:spacing w:before="1"/>
        <w:rPr>
          <w:b/>
          <w:sz w:val="23"/>
        </w:rPr>
      </w:pPr>
    </w:p>
    <w:p>
      <w:pPr>
        <w:pStyle w:val="Heading3"/>
        <w:numPr>
          <w:ilvl w:val="2"/>
          <w:numId w:val="12"/>
        </w:numPr>
        <w:tabs>
          <w:tab w:pos="1482" w:val="left" w:leader="none"/>
        </w:tabs>
        <w:spacing w:line="240" w:lineRule="auto" w:before="0" w:after="0"/>
        <w:ind w:left="1482" w:right="0" w:hanging="540"/>
        <w:jc w:val="left"/>
      </w:pPr>
      <w:r>
        <w:rPr/>
        <w:t>Selección de</w:t>
      </w:r>
      <w:r>
        <w:rPr>
          <w:spacing w:val="-4"/>
        </w:rPr>
        <w:t> </w:t>
      </w:r>
      <w:r>
        <w:rPr/>
        <w:t>sujetos</w:t>
      </w:r>
    </w:p>
    <w:p>
      <w:pPr>
        <w:pStyle w:val="BodyText"/>
        <w:spacing w:before="4"/>
        <w:rPr>
          <w:b/>
          <w:sz w:val="32"/>
        </w:rPr>
      </w:pPr>
    </w:p>
    <w:p>
      <w:pPr>
        <w:pStyle w:val="BodyText"/>
        <w:spacing w:line="360" w:lineRule="auto"/>
        <w:ind w:left="102" w:right="27"/>
      </w:pPr>
      <w:r>
        <w:rPr/>
        <w:t>Se acudió a la Jurisdicción Sanitaria Toluca del Instituto de Salud del Estado de México y Municipios (ISEM)  en  donde se presentó  el presente protocolo de investigación para     su</w:t>
      </w:r>
    </w:p>
    <w:p>
      <w:pPr>
        <w:spacing w:after="0" w:line="360" w:lineRule="auto"/>
        <w:sectPr>
          <w:pgSz w:w="12240" w:h="15840"/>
          <w:pgMar w:header="731" w:footer="0" w:top="960" w:bottom="280" w:left="1600" w:right="1580"/>
        </w:sectPr>
      </w:pPr>
    </w:p>
    <w:p>
      <w:pPr>
        <w:pStyle w:val="BodyText"/>
        <w:rPr>
          <w:sz w:val="20"/>
        </w:rPr>
      </w:pPr>
    </w:p>
    <w:p>
      <w:pPr>
        <w:pStyle w:val="BodyText"/>
        <w:spacing w:line="360" w:lineRule="auto" w:before="209"/>
        <w:ind w:left="102" w:right="115"/>
        <w:jc w:val="both"/>
      </w:pPr>
      <w:r>
        <w:rPr/>
        <w:t>revisión, aprobación y asignación de un centro de salud urbano. Al mismo tiempo se realizó la invitación al público en general con el objetivo de contar con su participación en dicho proyecto.</w:t>
      </w:r>
    </w:p>
    <w:p>
      <w:pPr>
        <w:pStyle w:val="BodyText"/>
        <w:spacing w:before="4"/>
        <w:rPr>
          <w:sz w:val="21"/>
        </w:rPr>
      </w:pPr>
    </w:p>
    <w:p>
      <w:pPr>
        <w:pStyle w:val="BodyText"/>
        <w:spacing w:line="360" w:lineRule="auto" w:before="1"/>
        <w:ind w:left="102" w:right="115"/>
        <w:jc w:val="both"/>
      </w:pPr>
      <w:r>
        <w:rPr/>
        <w:t>Una vez obtenidas las autorizaciones pertinentes, se asistió a los centros de salud y se estableció contacto con los directores de la unidad, se les explicó la naturaleza del estudio y se</w:t>
      </w:r>
      <w:r>
        <w:rPr>
          <w:spacing w:val="-17"/>
        </w:rPr>
        <w:t> </w:t>
      </w:r>
      <w:r>
        <w:rPr/>
        <w:t>solicitó</w:t>
      </w:r>
      <w:r>
        <w:rPr>
          <w:spacing w:val="-16"/>
        </w:rPr>
        <w:t> </w:t>
      </w:r>
      <w:r>
        <w:rPr/>
        <w:t>su</w:t>
      </w:r>
      <w:r>
        <w:rPr>
          <w:spacing w:val="-16"/>
        </w:rPr>
        <w:t> </w:t>
      </w:r>
      <w:r>
        <w:rPr/>
        <w:t>apoyo</w:t>
      </w:r>
      <w:r>
        <w:rPr>
          <w:spacing w:val="-16"/>
        </w:rPr>
        <w:t> </w:t>
      </w:r>
      <w:r>
        <w:rPr/>
        <w:t>para</w:t>
      </w:r>
      <w:r>
        <w:rPr>
          <w:spacing w:val="-17"/>
        </w:rPr>
        <w:t> </w:t>
      </w:r>
      <w:r>
        <w:rPr/>
        <w:t>la</w:t>
      </w:r>
      <w:r>
        <w:rPr>
          <w:spacing w:val="-17"/>
        </w:rPr>
        <w:t> </w:t>
      </w:r>
      <w:r>
        <w:rPr/>
        <w:t>realización</w:t>
      </w:r>
      <w:r>
        <w:rPr>
          <w:spacing w:val="-15"/>
        </w:rPr>
        <w:t> </w:t>
      </w:r>
      <w:r>
        <w:rPr/>
        <w:t>del</w:t>
      </w:r>
      <w:r>
        <w:rPr>
          <w:spacing w:val="-15"/>
        </w:rPr>
        <w:t> </w:t>
      </w:r>
      <w:r>
        <w:rPr/>
        <w:t>trabajo</w:t>
      </w:r>
      <w:r>
        <w:rPr>
          <w:spacing w:val="-15"/>
        </w:rPr>
        <w:t> </w:t>
      </w:r>
      <w:r>
        <w:rPr/>
        <w:t>de</w:t>
      </w:r>
      <w:r>
        <w:rPr>
          <w:spacing w:val="-17"/>
        </w:rPr>
        <w:t> </w:t>
      </w:r>
      <w:r>
        <w:rPr/>
        <w:t>campo</w:t>
      </w:r>
      <w:r>
        <w:rPr>
          <w:spacing w:val="-13"/>
        </w:rPr>
        <w:t> </w:t>
      </w:r>
      <w:r>
        <w:rPr/>
        <w:t>con</w:t>
      </w:r>
      <w:r>
        <w:rPr>
          <w:spacing w:val="-16"/>
        </w:rPr>
        <w:t> </w:t>
      </w:r>
      <w:r>
        <w:rPr/>
        <w:t>la</w:t>
      </w:r>
      <w:r>
        <w:rPr>
          <w:spacing w:val="-16"/>
        </w:rPr>
        <w:t> </w:t>
      </w:r>
      <w:r>
        <w:rPr/>
        <w:t>población</w:t>
      </w:r>
      <w:r>
        <w:rPr>
          <w:spacing w:val="-13"/>
        </w:rPr>
        <w:t> </w:t>
      </w:r>
      <w:r>
        <w:rPr/>
        <w:t>adscrita</w:t>
      </w:r>
      <w:r>
        <w:rPr>
          <w:spacing w:val="-16"/>
        </w:rPr>
        <w:t> </w:t>
      </w:r>
      <w:r>
        <w:rPr/>
        <w:t>a</w:t>
      </w:r>
      <w:r>
        <w:rPr>
          <w:spacing w:val="-15"/>
        </w:rPr>
        <w:t> </w:t>
      </w:r>
      <w:r>
        <w:rPr/>
        <w:t>dichas unidades, con diagnóstico de</w:t>
      </w:r>
      <w:r>
        <w:rPr>
          <w:spacing w:val="-6"/>
        </w:rPr>
        <w:t> </w:t>
      </w:r>
      <w:r>
        <w:rPr/>
        <w:t>DM2.</w:t>
      </w:r>
    </w:p>
    <w:p>
      <w:pPr>
        <w:pStyle w:val="BodyText"/>
        <w:spacing w:before="4"/>
        <w:rPr>
          <w:sz w:val="21"/>
        </w:rPr>
      </w:pPr>
    </w:p>
    <w:p>
      <w:pPr>
        <w:pStyle w:val="BodyText"/>
        <w:spacing w:line="360" w:lineRule="auto" w:before="1"/>
        <w:ind w:left="102" w:right="121"/>
        <w:jc w:val="both"/>
      </w:pPr>
      <w:r>
        <w:rPr/>
        <w:t>Se</w:t>
      </w:r>
      <w:r>
        <w:rPr>
          <w:spacing w:val="-7"/>
        </w:rPr>
        <w:t> </w:t>
      </w:r>
      <w:r>
        <w:rPr/>
        <w:t>dieron</w:t>
      </w:r>
      <w:r>
        <w:rPr>
          <w:spacing w:val="-6"/>
        </w:rPr>
        <w:t> </w:t>
      </w:r>
      <w:r>
        <w:rPr/>
        <w:t>pláticas</w:t>
      </w:r>
      <w:r>
        <w:rPr>
          <w:spacing w:val="-6"/>
        </w:rPr>
        <w:t> </w:t>
      </w:r>
      <w:r>
        <w:rPr/>
        <w:t>para</w:t>
      </w:r>
      <w:r>
        <w:rPr>
          <w:spacing w:val="-7"/>
        </w:rPr>
        <w:t> </w:t>
      </w:r>
      <w:r>
        <w:rPr/>
        <w:t>informar</w:t>
      </w:r>
      <w:r>
        <w:rPr>
          <w:spacing w:val="-7"/>
        </w:rPr>
        <w:t> </w:t>
      </w:r>
      <w:r>
        <w:rPr/>
        <w:t>al</w:t>
      </w:r>
      <w:r>
        <w:rPr>
          <w:spacing w:val="-6"/>
        </w:rPr>
        <w:t> </w:t>
      </w:r>
      <w:r>
        <w:rPr/>
        <w:t>personal</w:t>
      </w:r>
      <w:r>
        <w:rPr>
          <w:spacing w:val="-6"/>
        </w:rPr>
        <w:t> </w:t>
      </w:r>
      <w:r>
        <w:rPr/>
        <w:t>que</w:t>
      </w:r>
      <w:r>
        <w:rPr>
          <w:spacing w:val="-7"/>
        </w:rPr>
        <w:t> </w:t>
      </w:r>
      <w:r>
        <w:rPr/>
        <w:t>labora</w:t>
      </w:r>
      <w:r>
        <w:rPr>
          <w:spacing w:val="-8"/>
        </w:rPr>
        <w:t> </w:t>
      </w:r>
      <w:r>
        <w:rPr/>
        <w:t>en</w:t>
      </w:r>
      <w:r>
        <w:rPr>
          <w:spacing w:val="-6"/>
        </w:rPr>
        <w:t> </w:t>
      </w:r>
      <w:r>
        <w:rPr/>
        <w:t>el</w:t>
      </w:r>
      <w:r>
        <w:rPr>
          <w:spacing w:val="-6"/>
        </w:rPr>
        <w:t> </w:t>
      </w:r>
      <w:r>
        <w:rPr/>
        <w:t>centro</w:t>
      </w:r>
      <w:r>
        <w:rPr>
          <w:spacing w:val="-6"/>
        </w:rPr>
        <w:t> </w:t>
      </w:r>
      <w:r>
        <w:rPr/>
        <w:t>de</w:t>
      </w:r>
      <w:r>
        <w:rPr>
          <w:spacing w:val="-7"/>
        </w:rPr>
        <w:t> </w:t>
      </w:r>
      <w:r>
        <w:rPr/>
        <w:t>salud</w:t>
      </w:r>
      <w:r>
        <w:rPr>
          <w:spacing w:val="1"/>
        </w:rPr>
        <w:t> </w:t>
      </w:r>
      <w:r>
        <w:rPr/>
        <w:t>y</w:t>
      </w:r>
      <w:r>
        <w:rPr>
          <w:spacing w:val="-11"/>
        </w:rPr>
        <w:t> </w:t>
      </w:r>
      <w:r>
        <w:rPr/>
        <w:t>a</w:t>
      </w:r>
      <w:r>
        <w:rPr>
          <w:spacing w:val="-7"/>
        </w:rPr>
        <w:t> </w:t>
      </w:r>
      <w:r>
        <w:rPr/>
        <w:t>los</w:t>
      </w:r>
      <w:r>
        <w:rPr>
          <w:spacing w:val="-6"/>
        </w:rPr>
        <w:t> </w:t>
      </w:r>
      <w:r>
        <w:rPr/>
        <w:t>pacientes sobre</w:t>
      </w:r>
      <w:r>
        <w:rPr>
          <w:spacing w:val="-9"/>
        </w:rPr>
        <w:t> </w:t>
      </w:r>
      <w:r>
        <w:rPr/>
        <w:t>el</w:t>
      </w:r>
      <w:r>
        <w:rPr>
          <w:spacing w:val="-7"/>
        </w:rPr>
        <w:t> </w:t>
      </w:r>
      <w:r>
        <w:rPr/>
        <w:t>programa</w:t>
      </w:r>
      <w:r>
        <w:rPr>
          <w:spacing w:val="-2"/>
        </w:rPr>
        <w:t> </w:t>
      </w:r>
      <w:r>
        <w:rPr/>
        <w:t>y</w:t>
      </w:r>
      <w:r>
        <w:rPr>
          <w:spacing w:val="-12"/>
        </w:rPr>
        <w:t> </w:t>
      </w:r>
      <w:r>
        <w:rPr/>
        <w:t>para</w:t>
      </w:r>
      <w:r>
        <w:rPr>
          <w:spacing w:val="-7"/>
        </w:rPr>
        <w:t> </w:t>
      </w:r>
      <w:r>
        <w:rPr/>
        <w:t>que</w:t>
      </w:r>
      <w:r>
        <w:rPr>
          <w:spacing w:val="-8"/>
        </w:rPr>
        <w:t> </w:t>
      </w:r>
      <w:r>
        <w:rPr/>
        <w:t>participaran</w:t>
      </w:r>
      <w:r>
        <w:rPr>
          <w:spacing w:val="-7"/>
        </w:rPr>
        <w:t> </w:t>
      </w:r>
      <w:r>
        <w:rPr/>
        <w:t>en</w:t>
      </w:r>
      <w:r>
        <w:rPr>
          <w:spacing w:val="-5"/>
        </w:rPr>
        <w:t> </w:t>
      </w:r>
      <w:r>
        <w:rPr/>
        <w:t>el</w:t>
      </w:r>
      <w:r>
        <w:rPr>
          <w:spacing w:val="-7"/>
        </w:rPr>
        <w:t> </w:t>
      </w:r>
      <w:r>
        <w:rPr/>
        <w:t>proyecto.</w:t>
      </w:r>
      <w:r>
        <w:rPr>
          <w:spacing w:val="-4"/>
        </w:rPr>
        <w:t> </w:t>
      </w:r>
      <w:r>
        <w:rPr/>
        <w:t>La</w:t>
      </w:r>
      <w:r>
        <w:rPr>
          <w:spacing w:val="-8"/>
        </w:rPr>
        <w:t> </w:t>
      </w:r>
      <w:r>
        <w:rPr/>
        <w:t>participación</w:t>
      </w:r>
      <w:r>
        <w:rPr>
          <w:spacing w:val="-4"/>
        </w:rPr>
        <w:t> </w:t>
      </w:r>
      <w:r>
        <w:rPr/>
        <w:t>fue</w:t>
      </w:r>
      <w:r>
        <w:rPr>
          <w:spacing w:val="-8"/>
        </w:rPr>
        <w:t> </w:t>
      </w:r>
      <w:r>
        <w:rPr/>
        <w:t>voluntaria,</w:t>
      </w:r>
      <w:r>
        <w:rPr>
          <w:spacing w:val="-7"/>
        </w:rPr>
        <w:t> </w:t>
      </w:r>
      <w:r>
        <w:rPr/>
        <w:t>los pacientes interesados en participar en este proyecto, firmaron su carta de consentimiento informado</w:t>
      </w:r>
      <w:r>
        <w:rPr>
          <w:spacing w:val="-2"/>
        </w:rPr>
        <w:t> </w:t>
      </w:r>
      <w:r>
        <w:rPr/>
        <w:t>(Anexo1).</w:t>
      </w:r>
    </w:p>
    <w:p>
      <w:pPr>
        <w:pStyle w:val="BodyText"/>
        <w:spacing w:before="4"/>
        <w:rPr>
          <w:sz w:val="21"/>
        </w:rPr>
      </w:pPr>
    </w:p>
    <w:p>
      <w:pPr>
        <w:pStyle w:val="BodyText"/>
        <w:spacing w:line="360" w:lineRule="auto" w:before="1"/>
        <w:ind w:left="102" w:right="117"/>
        <w:jc w:val="both"/>
      </w:pPr>
      <w:r>
        <w:rPr/>
        <w:t>Los pacientes sin diagnóstico de DM2 que cumplían con los criterios para formar parte de este</w:t>
      </w:r>
      <w:r>
        <w:rPr>
          <w:spacing w:val="-10"/>
        </w:rPr>
        <w:t> </w:t>
      </w:r>
      <w:r>
        <w:rPr/>
        <w:t>proyecto</w:t>
      </w:r>
      <w:r>
        <w:rPr>
          <w:spacing w:val="-9"/>
        </w:rPr>
        <w:t> </w:t>
      </w:r>
      <w:r>
        <w:rPr/>
        <w:t>se</w:t>
      </w:r>
      <w:r>
        <w:rPr>
          <w:spacing w:val="-8"/>
        </w:rPr>
        <w:t> </w:t>
      </w:r>
      <w:r>
        <w:rPr/>
        <w:t>citaron</w:t>
      </w:r>
      <w:r>
        <w:rPr>
          <w:spacing w:val="-8"/>
        </w:rPr>
        <w:t> </w:t>
      </w:r>
      <w:r>
        <w:rPr/>
        <w:t>en</w:t>
      </w:r>
      <w:r>
        <w:rPr>
          <w:spacing w:val="-10"/>
        </w:rPr>
        <w:t> </w:t>
      </w:r>
      <w:r>
        <w:rPr/>
        <w:t>las</w:t>
      </w:r>
      <w:r>
        <w:rPr>
          <w:spacing w:val="-10"/>
        </w:rPr>
        <w:t> </w:t>
      </w:r>
      <w:r>
        <w:rPr/>
        <w:t>instalaciones</w:t>
      </w:r>
      <w:r>
        <w:rPr>
          <w:spacing w:val="-10"/>
        </w:rPr>
        <w:t> </w:t>
      </w:r>
      <w:r>
        <w:rPr/>
        <w:t>del</w:t>
      </w:r>
      <w:r>
        <w:rPr>
          <w:spacing w:val="-9"/>
        </w:rPr>
        <w:t> </w:t>
      </w:r>
      <w:r>
        <w:rPr/>
        <w:t>Centro</w:t>
      </w:r>
      <w:r>
        <w:rPr>
          <w:spacing w:val="-10"/>
        </w:rPr>
        <w:t> </w:t>
      </w:r>
      <w:r>
        <w:rPr/>
        <w:t>de</w:t>
      </w:r>
      <w:r>
        <w:rPr>
          <w:spacing w:val="-8"/>
        </w:rPr>
        <w:t> </w:t>
      </w:r>
      <w:r>
        <w:rPr/>
        <w:t>Investigación</w:t>
      </w:r>
      <w:r>
        <w:rPr>
          <w:spacing w:val="-9"/>
        </w:rPr>
        <w:t> </w:t>
      </w:r>
      <w:r>
        <w:rPr/>
        <w:t>en</w:t>
      </w:r>
      <w:r>
        <w:rPr>
          <w:spacing w:val="-5"/>
        </w:rPr>
        <w:t> </w:t>
      </w:r>
      <w:r>
        <w:rPr/>
        <w:t>Ciencias</w:t>
      </w:r>
      <w:r>
        <w:rPr>
          <w:spacing w:val="-10"/>
        </w:rPr>
        <w:t> </w:t>
      </w:r>
      <w:r>
        <w:rPr/>
        <w:t>Médicas (CICMED) de la UAEMex, para la realización de los</w:t>
      </w:r>
      <w:r>
        <w:rPr>
          <w:spacing w:val="-12"/>
        </w:rPr>
        <w:t> </w:t>
      </w:r>
      <w:r>
        <w:rPr/>
        <w:t>procedimientos.</w:t>
      </w:r>
    </w:p>
    <w:p>
      <w:pPr>
        <w:pStyle w:val="BodyText"/>
      </w:pPr>
    </w:p>
    <w:p>
      <w:pPr>
        <w:pStyle w:val="BodyText"/>
        <w:spacing w:before="8"/>
        <w:rPr>
          <w:sz w:val="33"/>
        </w:rPr>
      </w:pPr>
    </w:p>
    <w:p>
      <w:pPr>
        <w:pStyle w:val="Heading3"/>
        <w:numPr>
          <w:ilvl w:val="2"/>
          <w:numId w:val="12"/>
        </w:numPr>
        <w:tabs>
          <w:tab w:pos="643" w:val="left" w:leader="none"/>
        </w:tabs>
        <w:spacing w:line="240" w:lineRule="auto" w:before="1" w:after="0"/>
        <w:ind w:left="642" w:right="0" w:hanging="540"/>
        <w:jc w:val="both"/>
      </w:pPr>
      <w:r>
        <w:rPr/>
        <w:t>Historia</w:t>
      </w:r>
      <w:r>
        <w:rPr>
          <w:spacing w:val="-2"/>
        </w:rPr>
        <w:t> </w:t>
      </w:r>
      <w:r>
        <w:rPr/>
        <w:t>clínica</w:t>
      </w:r>
    </w:p>
    <w:p>
      <w:pPr>
        <w:pStyle w:val="BodyText"/>
        <w:spacing w:before="6"/>
        <w:rPr>
          <w:b/>
          <w:sz w:val="32"/>
        </w:rPr>
      </w:pPr>
    </w:p>
    <w:p>
      <w:pPr>
        <w:pStyle w:val="BodyText"/>
        <w:spacing w:line="360" w:lineRule="auto"/>
        <w:ind w:left="102" w:right="120"/>
        <w:jc w:val="both"/>
      </w:pPr>
      <w:r>
        <w:rPr/>
        <w:t>Se</w:t>
      </w:r>
      <w:r>
        <w:rPr>
          <w:spacing w:val="-14"/>
        </w:rPr>
        <w:t> </w:t>
      </w:r>
      <w:r>
        <w:rPr/>
        <w:t>realizó</w:t>
      </w:r>
      <w:r>
        <w:rPr>
          <w:spacing w:val="-13"/>
        </w:rPr>
        <w:t> </w:t>
      </w:r>
      <w:r>
        <w:rPr/>
        <w:t>una</w:t>
      </w:r>
      <w:r>
        <w:rPr>
          <w:spacing w:val="-14"/>
        </w:rPr>
        <w:t> </w:t>
      </w:r>
      <w:r>
        <w:rPr/>
        <w:t>historia</w:t>
      </w:r>
      <w:r>
        <w:rPr>
          <w:spacing w:val="-15"/>
        </w:rPr>
        <w:t> </w:t>
      </w:r>
      <w:r>
        <w:rPr/>
        <w:t>clínica</w:t>
      </w:r>
      <w:r>
        <w:rPr>
          <w:spacing w:val="-15"/>
        </w:rPr>
        <w:t> </w:t>
      </w:r>
      <w:r>
        <w:rPr/>
        <w:t>breve</w:t>
      </w:r>
      <w:r>
        <w:rPr>
          <w:spacing w:val="-14"/>
        </w:rPr>
        <w:t> </w:t>
      </w:r>
      <w:r>
        <w:rPr/>
        <w:t>a</w:t>
      </w:r>
      <w:r>
        <w:rPr>
          <w:spacing w:val="-14"/>
        </w:rPr>
        <w:t> </w:t>
      </w:r>
      <w:r>
        <w:rPr/>
        <w:t>los</w:t>
      </w:r>
      <w:r>
        <w:rPr>
          <w:spacing w:val="-13"/>
        </w:rPr>
        <w:t> </w:t>
      </w:r>
      <w:r>
        <w:rPr/>
        <w:t>participantes,</w:t>
      </w:r>
      <w:r>
        <w:rPr>
          <w:spacing w:val="-14"/>
        </w:rPr>
        <w:t> </w:t>
      </w:r>
      <w:r>
        <w:rPr/>
        <w:t>con</w:t>
      </w:r>
      <w:r>
        <w:rPr>
          <w:spacing w:val="-13"/>
        </w:rPr>
        <w:t> </w:t>
      </w:r>
      <w:r>
        <w:rPr/>
        <w:t>el</w:t>
      </w:r>
      <w:r>
        <w:rPr>
          <w:spacing w:val="-13"/>
        </w:rPr>
        <w:t> </w:t>
      </w:r>
      <w:r>
        <w:rPr/>
        <w:t>fin</w:t>
      </w:r>
      <w:r>
        <w:rPr>
          <w:spacing w:val="-14"/>
        </w:rPr>
        <w:t> </w:t>
      </w:r>
      <w:r>
        <w:rPr/>
        <w:t>de</w:t>
      </w:r>
      <w:r>
        <w:rPr>
          <w:spacing w:val="-14"/>
        </w:rPr>
        <w:t> </w:t>
      </w:r>
      <w:r>
        <w:rPr/>
        <w:t>obtener</w:t>
      </w:r>
      <w:r>
        <w:rPr>
          <w:spacing w:val="-12"/>
        </w:rPr>
        <w:t> </w:t>
      </w:r>
      <w:r>
        <w:rPr/>
        <w:t>datos</w:t>
      </w:r>
      <w:r>
        <w:rPr>
          <w:spacing w:val="-13"/>
        </w:rPr>
        <w:t> </w:t>
      </w:r>
      <w:r>
        <w:rPr/>
        <w:t>personales, antecedentes patológicos y no patológicos</w:t>
      </w:r>
      <w:r>
        <w:rPr>
          <w:spacing w:val="-8"/>
        </w:rPr>
        <w:t> </w:t>
      </w:r>
      <w:r>
        <w:rPr/>
        <w:t>(Anexo2).</w:t>
      </w:r>
    </w:p>
    <w:p>
      <w:pPr>
        <w:pStyle w:val="BodyText"/>
      </w:pPr>
    </w:p>
    <w:p>
      <w:pPr>
        <w:pStyle w:val="BodyText"/>
      </w:pPr>
    </w:p>
    <w:p>
      <w:pPr>
        <w:pStyle w:val="BodyText"/>
        <w:spacing w:before="7"/>
        <w:rPr>
          <w:sz w:val="30"/>
        </w:rPr>
      </w:pPr>
    </w:p>
    <w:p>
      <w:pPr>
        <w:pStyle w:val="Heading3"/>
        <w:numPr>
          <w:ilvl w:val="2"/>
          <w:numId w:val="12"/>
        </w:numPr>
        <w:tabs>
          <w:tab w:pos="643" w:val="left" w:leader="none"/>
        </w:tabs>
        <w:spacing w:line="240" w:lineRule="auto" w:before="0" w:after="0"/>
        <w:ind w:left="642" w:right="0" w:hanging="540"/>
        <w:jc w:val="both"/>
      </w:pPr>
      <w:r>
        <w:rPr/>
        <w:t>Evaluación</w:t>
      </w:r>
      <w:r>
        <w:rPr>
          <w:spacing w:val="-3"/>
        </w:rPr>
        <w:t> </w:t>
      </w:r>
      <w:r>
        <w:rPr/>
        <w:t>periodontal</w:t>
      </w:r>
    </w:p>
    <w:p>
      <w:pPr>
        <w:pStyle w:val="BodyText"/>
        <w:rPr>
          <w:b/>
        </w:rPr>
      </w:pPr>
    </w:p>
    <w:p>
      <w:pPr>
        <w:pStyle w:val="BodyText"/>
        <w:spacing w:before="7"/>
        <w:rPr>
          <w:b/>
          <w:sz w:val="23"/>
        </w:rPr>
      </w:pPr>
    </w:p>
    <w:p>
      <w:pPr>
        <w:pStyle w:val="BodyText"/>
        <w:spacing w:line="360" w:lineRule="auto"/>
        <w:ind w:left="102" w:right="117"/>
        <w:jc w:val="both"/>
      </w:pPr>
      <w:r>
        <w:rPr/>
        <w:t>El</w:t>
      </w:r>
      <w:r>
        <w:rPr>
          <w:spacing w:val="-8"/>
        </w:rPr>
        <w:t> </w:t>
      </w:r>
      <w:r>
        <w:rPr/>
        <w:t>examen</w:t>
      </w:r>
      <w:r>
        <w:rPr>
          <w:spacing w:val="-9"/>
        </w:rPr>
        <w:t> </w:t>
      </w:r>
      <w:r>
        <w:rPr/>
        <w:t>periodontal</w:t>
      </w:r>
      <w:r>
        <w:rPr>
          <w:spacing w:val="-9"/>
        </w:rPr>
        <w:t> </w:t>
      </w:r>
      <w:r>
        <w:rPr/>
        <w:t>se</w:t>
      </w:r>
      <w:r>
        <w:rPr>
          <w:spacing w:val="-7"/>
        </w:rPr>
        <w:t> </w:t>
      </w:r>
      <w:r>
        <w:rPr/>
        <w:t>llevó</w:t>
      </w:r>
      <w:r>
        <w:rPr>
          <w:spacing w:val="-8"/>
        </w:rPr>
        <w:t> </w:t>
      </w:r>
      <w:r>
        <w:rPr/>
        <w:t>a</w:t>
      </w:r>
      <w:r>
        <w:rPr>
          <w:spacing w:val="-10"/>
        </w:rPr>
        <w:t> </w:t>
      </w:r>
      <w:r>
        <w:rPr/>
        <w:t>cabo</w:t>
      </w:r>
      <w:r>
        <w:rPr>
          <w:spacing w:val="-9"/>
        </w:rPr>
        <w:t> </w:t>
      </w:r>
      <w:r>
        <w:rPr/>
        <w:t>con</w:t>
      </w:r>
      <w:r>
        <w:rPr>
          <w:spacing w:val="-7"/>
        </w:rPr>
        <w:t> </w:t>
      </w:r>
      <w:r>
        <w:rPr/>
        <w:t>el</w:t>
      </w:r>
      <w:r>
        <w:rPr>
          <w:spacing w:val="-6"/>
        </w:rPr>
        <w:t> </w:t>
      </w:r>
      <w:r>
        <w:rPr/>
        <w:t>auxilio</w:t>
      </w:r>
      <w:r>
        <w:rPr>
          <w:spacing w:val="-9"/>
        </w:rPr>
        <w:t> </w:t>
      </w:r>
      <w:r>
        <w:rPr/>
        <w:t>de</w:t>
      </w:r>
      <w:r>
        <w:rPr>
          <w:spacing w:val="-10"/>
        </w:rPr>
        <w:t> </w:t>
      </w:r>
      <w:r>
        <w:rPr/>
        <w:t>una</w:t>
      </w:r>
      <w:r>
        <w:rPr>
          <w:spacing w:val="-7"/>
        </w:rPr>
        <w:t> </w:t>
      </w:r>
      <w:r>
        <w:rPr/>
        <w:t>sonda</w:t>
      </w:r>
      <w:r>
        <w:rPr>
          <w:spacing w:val="-9"/>
        </w:rPr>
        <w:t> </w:t>
      </w:r>
      <w:r>
        <w:rPr/>
        <w:t>periodontal</w:t>
      </w:r>
      <w:r>
        <w:rPr>
          <w:spacing w:val="-9"/>
        </w:rPr>
        <w:t> </w:t>
      </w:r>
      <w:r>
        <w:rPr/>
        <w:t>Goldman</w:t>
      </w:r>
      <w:r>
        <w:rPr>
          <w:spacing w:val="-9"/>
        </w:rPr>
        <w:t> </w:t>
      </w:r>
      <w:r>
        <w:rPr/>
        <w:t>Fox; la</w:t>
      </w:r>
      <w:r>
        <w:rPr>
          <w:spacing w:val="-4"/>
        </w:rPr>
        <w:t> </w:t>
      </w:r>
      <w:r>
        <w:rPr/>
        <w:t>cual</w:t>
      </w:r>
      <w:r>
        <w:rPr>
          <w:spacing w:val="-1"/>
        </w:rPr>
        <w:t> </w:t>
      </w:r>
      <w:r>
        <w:rPr/>
        <w:t>es</w:t>
      </w:r>
      <w:r>
        <w:rPr>
          <w:spacing w:val="-4"/>
        </w:rPr>
        <w:t> </w:t>
      </w:r>
      <w:r>
        <w:rPr/>
        <w:t>ligera</w:t>
      </w:r>
      <w:r>
        <w:rPr>
          <w:spacing w:val="1"/>
        </w:rPr>
        <w:t> </w:t>
      </w:r>
      <w:r>
        <w:rPr/>
        <w:t>y</w:t>
      </w:r>
      <w:r>
        <w:rPr>
          <w:spacing w:val="-8"/>
        </w:rPr>
        <w:t> </w:t>
      </w:r>
      <w:r>
        <w:rPr/>
        <w:t>calibrada</w:t>
      </w:r>
      <w:r>
        <w:rPr>
          <w:spacing w:val="-5"/>
        </w:rPr>
        <w:t> </w:t>
      </w:r>
      <w:r>
        <w:rPr/>
        <w:t>en</w:t>
      </w:r>
      <w:r>
        <w:rPr>
          <w:spacing w:val="-4"/>
        </w:rPr>
        <w:t> </w:t>
      </w:r>
      <w:r>
        <w:rPr/>
        <w:t>milímetros</w:t>
      </w:r>
      <w:r>
        <w:rPr>
          <w:spacing w:val="-4"/>
        </w:rPr>
        <w:t> </w:t>
      </w:r>
      <w:r>
        <w:rPr/>
        <w:t>de</w:t>
      </w:r>
      <w:r>
        <w:rPr>
          <w:spacing w:val="-5"/>
        </w:rPr>
        <w:t> </w:t>
      </w:r>
      <w:r>
        <w:rPr/>
        <w:t>1mm</w:t>
      </w:r>
      <w:r>
        <w:rPr>
          <w:spacing w:val="-1"/>
        </w:rPr>
        <w:t> </w:t>
      </w:r>
      <w:r>
        <w:rPr/>
        <w:t>a</w:t>
      </w:r>
      <w:r>
        <w:rPr>
          <w:spacing w:val="-5"/>
        </w:rPr>
        <w:t> </w:t>
      </w:r>
      <w:r>
        <w:rPr/>
        <w:t>10</w:t>
      </w:r>
      <w:r>
        <w:rPr>
          <w:spacing w:val="-1"/>
        </w:rPr>
        <w:t> </w:t>
      </w:r>
      <w:r>
        <w:rPr/>
        <w:t>mm.</w:t>
      </w:r>
      <w:r>
        <w:rPr>
          <w:spacing w:val="-4"/>
        </w:rPr>
        <w:t> </w:t>
      </w:r>
      <w:r>
        <w:rPr/>
        <w:t>Al</w:t>
      </w:r>
      <w:r>
        <w:rPr>
          <w:spacing w:val="-4"/>
        </w:rPr>
        <w:t> </w:t>
      </w:r>
      <w:r>
        <w:rPr/>
        <w:t>introducir</w:t>
      </w:r>
      <w:r>
        <w:rPr>
          <w:spacing w:val="-5"/>
        </w:rPr>
        <w:t> </w:t>
      </w:r>
      <w:r>
        <w:rPr/>
        <w:t>la</w:t>
      </w:r>
      <w:r>
        <w:rPr>
          <w:spacing w:val="-5"/>
        </w:rPr>
        <w:t> </w:t>
      </w:r>
      <w:r>
        <w:rPr/>
        <w:t>sonda</w:t>
      </w:r>
      <w:r>
        <w:rPr>
          <w:spacing w:val="-5"/>
        </w:rPr>
        <w:t> </w:t>
      </w:r>
      <w:r>
        <w:rPr/>
        <w:t>se</w:t>
      </w:r>
      <w:r>
        <w:rPr>
          <w:spacing w:val="-2"/>
        </w:rPr>
        <w:t> </w:t>
      </w:r>
      <w:r>
        <w:rPr/>
        <w:t>siguió la configuración anatómica de la superficie de la raíz dental. El estado periodontal se determinó, empleando el Índice Periodóntico Comunitario (IPC). La profundidad de las bolsas periodontales se evaluó por sextantes y se consideraron las siguientes</w:t>
      </w:r>
      <w:r>
        <w:rPr>
          <w:spacing w:val="-17"/>
        </w:rPr>
        <w:t> </w:t>
      </w:r>
      <w:r>
        <w:rPr/>
        <w:t>categorías:</w:t>
      </w:r>
    </w:p>
    <w:p>
      <w:pPr>
        <w:spacing w:after="0" w:line="360" w:lineRule="auto"/>
        <w:jc w:val="both"/>
        <w:sectPr>
          <w:pgSz w:w="12240" w:h="15840"/>
          <w:pgMar w:header="731" w:footer="0" w:top="960" w:bottom="280" w:left="1600" w:right="1580"/>
        </w:sectPr>
      </w:pPr>
    </w:p>
    <w:p>
      <w:pPr>
        <w:pStyle w:val="BodyText"/>
        <w:rPr>
          <w:sz w:val="20"/>
        </w:rPr>
      </w:pPr>
    </w:p>
    <w:p>
      <w:pPr>
        <w:pStyle w:val="ListParagraph"/>
        <w:numPr>
          <w:ilvl w:val="0"/>
          <w:numId w:val="13"/>
        </w:numPr>
        <w:tabs>
          <w:tab w:pos="821" w:val="left" w:leader="none"/>
          <w:tab w:pos="822" w:val="left" w:leader="none"/>
        </w:tabs>
        <w:spacing w:line="240" w:lineRule="auto" w:before="209" w:after="0"/>
        <w:ind w:left="822" w:right="0" w:hanging="360"/>
        <w:jc w:val="left"/>
        <w:rPr>
          <w:sz w:val="24"/>
        </w:rPr>
      </w:pPr>
      <w:r>
        <w:rPr>
          <w:sz w:val="24"/>
        </w:rPr>
        <w:t>“0”</w:t>
      </w:r>
      <w:r>
        <w:rPr>
          <w:spacing w:val="-3"/>
          <w:sz w:val="24"/>
        </w:rPr>
        <w:t> </w:t>
      </w:r>
      <w:r>
        <w:rPr>
          <w:sz w:val="24"/>
        </w:rPr>
        <w:t>sano</w:t>
      </w:r>
    </w:p>
    <w:p>
      <w:pPr>
        <w:pStyle w:val="ListParagraph"/>
        <w:numPr>
          <w:ilvl w:val="0"/>
          <w:numId w:val="13"/>
        </w:numPr>
        <w:tabs>
          <w:tab w:pos="821" w:val="left" w:leader="none"/>
          <w:tab w:pos="822" w:val="left" w:leader="none"/>
        </w:tabs>
        <w:spacing w:line="240" w:lineRule="auto" w:before="139" w:after="0"/>
        <w:ind w:left="822" w:right="0" w:hanging="360"/>
        <w:jc w:val="left"/>
        <w:rPr>
          <w:sz w:val="24"/>
        </w:rPr>
      </w:pPr>
      <w:r>
        <w:rPr>
          <w:sz w:val="24"/>
        </w:rPr>
        <w:t>“1”</w:t>
      </w:r>
      <w:r>
        <w:rPr>
          <w:spacing w:val="-5"/>
          <w:sz w:val="24"/>
        </w:rPr>
        <w:t> </w:t>
      </w:r>
      <w:r>
        <w:rPr>
          <w:sz w:val="24"/>
        </w:rPr>
        <w:t>hemorragia</w:t>
      </w:r>
    </w:p>
    <w:p>
      <w:pPr>
        <w:pStyle w:val="ListParagraph"/>
        <w:numPr>
          <w:ilvl w:val="0"/>
          <w:numId w:val="13"/>
        </w:numPr>
        <w:tabs>
          <w:tab w:pos="821" w:val="left" w:leader="none"/>
          <w:tab w:pos="822" w:val="left" w:leader="none"/>
        </w:tabs>
        <w:spacing w:line="240" w:lineRule="auto" w:before="137" w:after="0"/>
        <w:ind w:left="822" w:right="0" w:hanging="360"/>
        <w:jc w:val="left"/>
        <w:rPr>
          <w:sz w:val="24"/>
        </w:rPr>
      </w:pPr>
      <w:r>
        <w:rPr>
          <w:sz w:val="24"/>
        </w:rPr>
        <w:t>“2”</w:t>
      </w:r>
      <w:r>
        <w:rPr>
          <w:spacing w:val="-2"/>
          <w:sz w:val="24"/>
        </w:rPr>
        <w:t> </w:t>
      </w:r>
      <w:r>
        <w:rPr>
          <w:sz w:val="24"/>
        </w:rPr>
        <w:t>cálculo</w:t>
      </w:r>
    </w:p>
    <w:p>
      <w:pPr>
        <w:pStyle w:val="ListParagraph"/>
        <w:numPr>
          <w:ilvl w:val="0"/>
          <w:numId w:val="13"/>
        </w:numPr>
        <w:tabs>
          <w:tab w:pos="821" w:val="left" w:leader="none"/>
          <w:tab w:pos="822" w:val="left" w:leader="none"/>
        </w:tabs>
        <w:spacing w:line="240" w:lineRule="auto" w:before="139" w:after="0"/>
        <w:ind w:left="822" w:right="0" w:hanging="360"/>
        <w:jc w:val="left"/>
        <w:rPr>
          <w:sz w:val="24"/>
        </w:rPr>
      </w:pPr>
      <w:r>
        <w:rPr>
          <w:sz w:val="24"/>
        </w:rPr>
        <w:t>"3” bolsas periodontales superficiales de 4-5</w:t>
      </w:r>
      <w:r>
        <w:rPr>
          <w:spacing w:val="-6"/>
          <w:sz w:val="24"/>
        </w:rPr>
        <w:t> </w:t>
      </w:r>
      <w:r>
        <w:rPr>
          <w:sz w:val="24"/>
        </w:rPr>
        <w:t>mm</w:t>
      </w:r>
    </w:p>
    <w:p>
      <w:pPr>
        <w:pStyle w:val="ListParagraph"/>
        <w:numPr>
          <w:ilvl w:val="0"/>
          <w:numId w:val="13"/>
        </w:numPr>
        <w:tabs>
          <w:tab w:pos="821" w:val="left" w:leader="none"/>
          <w:tab w:pos="822" w:val="left" w:leader="none"/>
        </w:tabs>
        <w:spacing w:line="240" w:lineRule="auto" w:before="137" w:after="0"/>
        <w:ind w:left="822" w:right="0" w:hanging="360"/>
        <w:jc w:val="left"/>
        <w:rPr>
          <w:sz w:val="24"/>
        </w:rPr>
      </w:pPr>
      <w:r>
        <w:rPr>
          <w:sz w:val="24"/>
        </w:rPr>
        <w:t>“4” bolsas periodontales profundas de ≥ 6</w:t>
      </w:r>
      <w:r>
        <w:rPr>
          <w:spacing w:val="-3"/>
          <w:sz w:val="24"/>
        </w:rPr>
        <w:t> </w:t>
      </w:r>
      <w:r>
        <w:rPr>
          <w:sz w:val="24"/>
        </w:rPr>
        <w:t>mm(49)</w:t>
      </w:r>
    </w:p>
    <w:p>
      <w:pPr>
        <w:pStyle w:val="BodyText"/>
      </w:pPr>
    </w:p>
    <w:p>
      <w:pPr>
        <w:pStyle w:val="BodyText"/>
      </w:pPr>
    </w:p>
    <w:p>
      <w:pPr>
        <w:pStyle w:val="BodyText"/>
        <w:ind w:left="102"/>
        <w:jc w:val="both"/>
      </w:pPr>
      <w:r>
        <w:rPr/>
        <w:t>Todos estos datos fueron recabados en el odontograma (Anexo2).</w:t>
      </w:r>
    </w:p>
    <w:p>
      <w:pPr>
        <w:pStyle w:val="BodyText"/>
      </w:pPr>
    </w:p>
    <w:p>
      <w:pPr>
        <w:pStyle w:val="BodyText"/>
      </w:pPr>
    </w:p>
    <w:p>
      <w:pPr>
        <w:pStyle w:val="BodyText"/>
        <w:spacing w:before="4"/>
        <w:rPr>
          <w:sz w:val="21"/>
        </w:rPr>
      </w:pPr>
    </w:p>
    <w:p>
      <w:pPr>
        <w:pStyle w:val="Heading3"/>
        <w:numPr>
          <w:ilvl w:val="2"/>
          <w:numId w:val="12"/>
        </w:numPr>
        <w:tabs>
          <w:tab w:pos="643" w:val="left" w:leader="none"/>
        </w:tabs>
        <w:spacing w:line="240" w:lineRule="auto" w:before="0" w:after="0"/>
        <w:ind w:left="642" w:right="0" w:hanging="540"/>
        <w:jc w:val="both"/>
      </w:pPr>
      <w:r>
        <w:rPr/>
        <w:t>Toma de muestra</w:t>
      </w:r>
      <w:r>
        <w:rPr>
          <w:spacing w:val="-6"/>
        </w:rPr>
        <w:t> </w:t>
      </w:r>
      <w:r>
        <w:rPr/>
        <w:t>salival</w:t>
      </w:r>
    </w:p>
    <w:p>
      <w:pPr>
        <w:pStyle w:val="BodyText"/>
        <w:spacing w:before="6"/>
        <w:rPr>
          <w:b/>
          <w:sz w:val="32"/>
        </w:rPr>
      </w:pPr>
    </w:p>
    <w:p>
      <w:pPr>
        <w:pStyle w:val="BodyText"/>
        <w:spacing w:line="360" w:lineRule="auto"/>
        <w:ind w:left="102" w:right="117"/>
        <w:jc w:val="both"/>
      </w:pPr>
      <w:r>
        <w:rPr/>
        <w:t>Se</w:t>
      </w:r>
      <w:r>
        <w:rPr>
          <w:spacing w:val="-5"/>
        </w:rPr>
        <w:t> </w:t>
      </w:r>
      <w:r>
        <w:rPr/>
        <w:t>solicitó</w:t>
      </w:r>
      <w:r>
        <w:rPr>
          <w:spacing w:val="-4"/>
        </w:rPr>
        <w:t> </w:t>
      </w:r>
      <w:r>
        <w:rPr/>
        <w:t>a</w:t>
      </w:r>
      <w:r>
        <w:rPr>
          <w:spacing w:val="-5"/>
        </w:rPr>
        <w:t> </w:t>
      </w:r>
      <w:r>
        <w:rPr/>
        <w:t>los</w:t>
      </w:r>
      <w:r>
        <w:rPr>
          <w:spacing w:val="-3"/>
        </w:rPr>
        <w:t> </w:t>
      </w:r>
      <w:r>
        <w:rPr/>
        <w:t>participantes</w:t>
      </w:r>
      <w:r>
        <w:rPr>
          <w:spacing w:val="-4"/>
        </w:rPr>
        <w:t> </w:t>
      </w:r>
      <w:r>
        <w:rPr/>
        <w:t>acudir</w:t>
      </w:r>
      <w:r>
        <w:rPr>
          <w:spacing w:val="-2"/>
        </w:rPr>
        <w:t> </w:t>
      </w:r>
      <w:r>
        <w:rPr/>
        <w:t>sin</w:t>
      </w:r>
      <w:r>
        <w:rPr>
          <w:spacing w:val="-3"/>
        </w:rPr>
        <w:t> </w:t>
      </w:r>
      <w:r>
        <w:rPr/>
        <w:t>aseo</w:t>
      </w:r>
      <w:r>
        <w:rPr>
          <w:spacing w:val="-2"/>
        </w:rPr>
        <w:t> </w:t>
      </w:r>
      <w:r>
        <w:rPr/>
        <w:t>bucal</w:t>
      </w:r>
      <w:r>
        <w:rPr>
          <w:spacing w:val="-3"/>
        </w:rPr>
        <w:t> </w:t>
      </w:r>
      <w:r>
        <w:rPr/>
        <w:t>previo</w:t>
      </w:r>
      <w:r>
        <w:rPr>
          <w:spacing w:val="-1"/>
        </w:rPr>
        <w:t> </w:t>
      </w:r>
      <w:r>
        <w:rPr/>
        <w:t>a</w:t>
      </w:r>
      <w:r>
        <w:rPr>
          <w:spacing w:val="-4"/>
        </w:rPr>
        <w:t> </w:t>
      </w:r>
      <w:r>
        <w:rPr/>
        <w:t>la</w:t>
      </w:r>
      <w:r>
        <w:rPr>
          <w:spacing w:val="-2"/>
        </w:rPr>
        <w:t> </w:t>
      </w:r>
      <w:r>
        <w:rPr/>
        <w:t>toma</w:t>
      </w:r>
      <w:r>
        <w:rPr>
          <w:spacing w:val="-5"/>
        </w:rPr>
        <w:t> </w:t>
      </w:r>
      <w:r>
        <w:rPr/>
        <w:t>de</w:t>
      </w:r>
      <w:r>
        <w:rPr>
          <w:spacing w:val="-3"/>
        </w:rPr>
        <w:t> </w:t>
      </w:r>
      <w:r>
        <w:rPr/>
        <w:t>muestra,</w:t>
      </w:r>
      <w:r>
        <w:rPr>
          <w:spacing w:val="-4"/>
        </w:rPr>
        <w:t> </w:t>
      </w:r>
      <w:r>
        <w:rPr/>
        <w:t>en</w:t>
      </w:r>
      <w:r>
        <w:rPr>
          <w:spacing w:val="-2"/>
        </w:rPr>
        <w:t> </w:t>
      </w:r>
      <w:r>
        <w:rPr/>
        <w:t>ayuno</w:t>
      </w:r>
      <w:r>
        <w:rPr>
          <w:spacing w:val="-4"/>
        </w:rPr>
        <w:t> </w:t>
      </w:r>
      <w:r>
        <w:rPr/>
        <w:t>de 12 horas y sin realizar ningún tipo de enjuague bucal. El paciente realizó un enjugue con agua bidestilada, 3 minutos previo a la toma de la</w:t>
      </w:r>
      <w:r>
        <w:rPr>
          <w:spacing w:val="-8"/>
        </w:rPr>
        <w:t> </w:t>
      </w:r>
      <w:r>
        <w:rPr/>
        <w:t>muestra.</w:t>
      </w:r>
    </w:p>
    <w:p>
      <w:pPr>
        <w:pStyle w:val="BodyText"/>
        <w:spacing w:before="2"/>
        <w:rPr>
          <w:sz w:val="21"/>
        </w:rPr>
      </w:pPr>
    </w:p>
    <w:p>
      <w:pPr>
        <w:pStyle w:val="BodyText"/>
        <w:spacing w:line="360" w:lineRule="auto"/>
        <w:ind w:left="102" w:right="114"/>
        <w:jc w:val="both"/>
      </w:pPr>
      <w:r>
        <w:rPr/>
        <w:t>Se procedió a la recolección de la saliva sin estimular, recolectando 10 ml de saliva sin estimular en un tubo estéril (DS Vacutainer ®). La muestra se centrifugó por 10 minutos a 10,000 rpm (Centrifuga Eppendorf, AG- 5804R) a una temperatura de -4°C, se retiró el sobrenadante y resguardó en un micro tubo de polipropileno nuevo Eppendorf ® Todas las muestras fueron almacenadas a -70 °C hasta su procesamiento (Ultra congelador - ThermoScientific, Forma 900 Series).</w:t>
      </w:r>
    </w:p>
    <w:p>
      <w:pPr>
        <w:pStyle w:val="BodyText"/>
      </w:pPr>
    </w:p>
    <w:p>
      <w:pPr>
        <w:pStyle w:val="BodyText"/>
      </w:pPr>
    </w:p>
    <w:p>
      <w:pPr>
        <w:pStyle w:val="BodyText"/>
        <w:spacing w:before="7"/>
        <w:rPr>
          <w:sz w:val="30"/>
        </w:rPr>
      </w:pPr>
    </w:p>
    <w:p>
      <w:pPr>
        <w:pStyle w:val="Heading3"/>
        <w:numPr>
          <w:ilvl w:val="2"/>
          <w:numId w:val="12"/>
        </w:numPr>
        <w:tabs>
          <w:tab w:pos="822" w:val="left" w:leader="none"/>
        </w:tabs>
        <w:spacing w:line="240" w:lineRule="auto" w:before="0" w:after="0"/>
        <w:ind w:left="822" w:right="0" w:hanging="720"/>
        <w:jc w:val="both"/>
      </w:pPr>
      <w:r>
        <w:rPr/>
        <w:t>Toma de muestra</w:t>
      </w:r>
      <w:r>
        <w:rPr>
          <w:spacing w:val="-7"/>
        </w:rPr>
        <w:t> </w:t>
      </w:r>
      <w:r>
        <w:rPr/>
        <w:t>sanguínea</w:t>
      </w:r>
    </w:p>
    <w:p>
      <w:pPr>
        <w:pStyle w:val="BodyText"/>
        <w:rPr>
          <w:b/>
        </w:rPr>
      </w:pPr>
    </w:p>
    <w:p>
      <w:pPr>
        <w:pStyle w:val="BodyText"/>
        <w:spacing w:before="6"/>
        <w:rPr>
          <w:b/>
          <w:sz w:val="23"/>
        </w:rPr>
      </w:pPr>
    </w:p>
    <w:p>
      <w:pPr>
        <w:pStyle w:val="BodyText"/>
        <w:spacing w:line="360" w:lineRule="auto"/>
        <w:ind w:left="102" w:right="119"/>
        <w:jc w:val="both"/>
      </w:pPr>
      <w:r>
        <w:rPr/>
        <w:t>Se solicitó a los participantes acudir en condiciones de ayuno, sin haber realizado actividad física intensa o haber ingerido alcohol por lo menos 12 horas antes de la cita. Se procedió a la recolección de una muestra de sangre venosa en un tubo con </w:t>
      </w:r>
      <w:r>
        <w:rPr>
          <w:color w:val="1A1A1A"/>
        </w:rPr>
        <w:t>activador de coagulación basado en trombina, 13 x 100 mm, 5.0 ml y en otro de 4 ml </w:t>
      </w:r>
      <w:r>
        <w:rPr/>
        <w:t>con EDTA, guardando las medidas</w:t>
      </w:r>
      <w:r>
        <w:rPr>
          <w:spacing w:val="-16"/>
        </w:rPr>
        <w:t> </w:t>
      </w:r>
      <w:r>
        <w:rPr/>
        <w:t>de</w:t>
      </w:r>
      <w:r>
        <w:rPr>
          <w:spacing w:val="-17"/>
        </w:rPr>
        <w:t> </w:t>
      </w:r>
      <w:r>
        <w:rPr/>
        <w:t>bioseguridad</w:t>
      </w:r>
      <w:r>
        <w:rPr>
          <w:spacing w:val="-13"/>
        </w:rPr>
        <w:t> </w:t>
      </w:r>
      <w:r>
        <w:rPr/>
        <w:t>recomendadas.</w:t>
      </w:r>
      <w:r>
        <w:rPr>
          <w:spacing w:val="-16"/>
        </w:rPr>
        <w:t> </w:t>
      </w:r>
      <w:r>
        <w:rPr/>
        <w:t>Se</w:t>
      </w:r>
      <w:r>
        <w:rPr>
          <w:spacing w:val="-17"/>
        </w:rPr>
        <w:t> </w:t>
      </w:r>
      <w:r>
        <w:rPr/>
        <w:t>dejó</w:t>
      </w:r>
      <w:r>
        <w:rPr>
          <w:spacing w:val="-15"/>
        </w:rPr>
        <w:t> </w:t>
      </w:r>
      <w:r>
        <w:rPr/>
        <w:t>que</w:t>
      </w:r>
      <w:r>
        <w:rPr>
          <w:spacing w:val="-17"/>
        </w:rPr>
        <w:t> </w:t>
      </w:r>
      <w:r>
        <w:rPr/>
        <w:t>la</w:t>
      </w:r>
      <w:r>
        <w:rPr>
          <w:spacing w:val="-16"/>
        </w:rPr>
        <w:t> </w:t>
      </w:r>
      <w:r>
        <w:rPr/>
        <w:t>sangre</w:t>
      </w:r>
      <w:r>
        <w:rPr>
          <w:spacing w:val="-17"/>
        </w:rPr>
        <w:t> </w:t>
      </w:r>
      <w:r>
        <w:rPr/>
        <w:t>coagulara</w:t>
      </w:r>
      <w:r>
        <w:rPr>
          <w:spacing w:val="-15"/>
        </w:rPr>
        <w:t> </w:t>
      </w:r>
      <w:r>
        <w:rPr/>
        <w:t>al</w:t>
      </w:r>
      <w:r>
        <w:rPr>
          <w:spacing w:val="-13"/>
        </w:rPr>
        <w:t> </w:t>
      </w:r>
      <w:r>
        <w:rPr/>
        <w:t>menos</w:t>
      </w:r>
      <w:r>
        <w:rPr>
          <w:spacing w:val="-16"/>
        </w:rPr>
        <w:t> </w:t>
      </w:r>
      <w:r>
        <w:rPr/>
        <w:t>30</w:t>
      </w:r>
      <w:r>
        <w:rPr>
          <w:spacing w:val="-16"/>
        </w:rPr>
        <w:t> </w:t>
      </w:r>
      <w:r>
        <w:rPr/>
        <w:t>minutos (pero</w:t>
      </w:r>
      <w:r>
        <w:rPr>
          <w:spacing w:val="-12"/>
        </w:rPr>
        <w:t> </w:t>
      </w:r>
      <w:r>
        <w:rPr/>
        <w:t>no</w:t>
      </w:r>
      <w:r>
        <w:rPr>
          <w:spacing w:val="-11"/>
        </w:rPr>
        <w:t> </w:t>
      </w:r>
      <w:r>
        <w:rPr/>
        <w:t>más</w:t>
      </w:r>
      <w:r>
        <w:rPr>
          <w:spacing w:val="-11"/>
        </w:rPr>
        <w:t> </w:t>
      </w:r>
      <w:r>
        <w:rPr/>
        <w:t>de</w:t>
      </w:r>
      <w:r>
        <w:rPr>
          <w:spacing w:val="-12"/>
        </w:rPr>
        <w:t> </w:t>
      </w:r>
      <w:r>
        <w:rPr/>
        <w:t>60</w:t>
      </w:r>
      <w:r>
        <w:rPr>
          <w:spacing w:val="-11"/>
        </w:rPr>
        <w:t> </w:t>
      </w:r>
      <w:r>
        <w:rPr/>
        <w:t>minutos)</w:t>
      </w:r>
      <w:r>
        <w:rPr>
          <w:spacing w:val="-12"/>
        </w:rPr>
        <w:t> </w:t>
      </w:r>
      <w:r>
        <w:rPr/>
        <w:t>antes</w:t>
      </w:r>
      <w:r>
        <w:rPr>
          <w:spacing w:val="-11"/>
        </w:rPr>
        <w:t> </w:t>
      </w:r>
      <w:r>
        <w:rPr/>
        <w:t>de</w:t>
      </w:r>
      <w:r>
        <w:rPr>
          <w:spacing w:val="-10"/>
        </w:rPr>
        <w:t> </w:t>
      </w:r>
      <w:r>
        <w:rPr/>
        <w:t>comenzar</w:t>
      </w:r>
      <w:r>
        <w:rPr>
          <w:spacing w:val="-12"/>
        </w:rPr>
        <w:t> </w:t>
      </w:r>
      <w:r>
        <w:rPr/>
        <w:t>la</w:t>
      </w:r>
      <w:r>
        <w:rPr>
          <w:spacing w:val="-9"/>
        </w:rPr>
        <w:t> </w:t>
      </w:r>
      <w:r>
        <w:rPr/>
        <w:t>centrifugación</w:t>
      </w:r>
      <w:r>
        <w:rPr>
          <w:spacing w:val="-11"/>
        </w:rPr>
        <w:t> </w:t>
      </w:r>
      <w:r>
        <w:rPr/>
        <w:t>por</w:t>
      </w:r>
      <w:r>
        <w:rPr>
          <w:spacing w:val="-12"/>
        </w:rPr>
        <w:t> </w:t>
      </w:r>
      <w:r>
        <w:rPr/>
        <w:t>10</w:t>
      </w:r>
      <w:r>
        <w:rPr>
          <w:spacing w:val="-11"/>
        </w:rPr>
        <w:t> </w:t>
      </w:r>
      <w:r>
        <w:rPr/>
        <w:t>minutos</w:t>
      </w:r>
      <w:r>
        <w:rPr>
          <w:spacing w:val="-11"/>
        </w:rPr>
        <w:t> </w:t>
      </w:r>
      <w:r>
        <w:rPr/>
        <w:t>a</w:t>
      </w:r>
      <w:r>
        <w:rPr>
          <w:spacing w:val="-12"/>
        </w:rPr>
        <w:t> </w:t>
      </w:r>
      <w:r>
        <w:rPr/>
        <w:t>1000</w:t>
      </w:r>
      <w:r>
        <w:rPr>
          <w:spacing w:val="-11"/>
        </w:rPr>
        <w:t> </w:t>
      </w:r>
      <w:r>
        <w:rPr/>
        <w:t>rpm, inmediatamente después se alícuota el plasma en viales de 1000 μl cada</w:t>
      </w:r>
      <w:r>
        <w:rPr>
          <w:spacing w:val="-7"/>
        </w:rPr>
        <w:t> </w:t>
      </w:r>
      <w:r>
        <w:rPr/>
        <w:t>uno.</w:t>
      </w:r>
    </w:p>
    <w:p>
      <w:pPr>
        <w:spacing w:after="0" w:line="360" w:lineRule="auto"/>
        <w:jc w:val="both"/>
        <w:sectPr>
          <w:pgSz w:w="12240" w:h="15840"/>
          <w:pgMar w:header="731" w:footer="0" w:top="960" w:bottom="280" w:left="1600" w:right="1580"/>
        </w:sectPr>
      </w:pPr>
    </w:p>
    <w:p>
      <w:pPr>
        <w:pStyle w:val="BodyText"/>
        <w:rPr>
          <w:sz w:val="20"/>
        </w:rPr>
      </w:pPr>
    </w:p>
    <w:p>
      <w:pPr>
        <w:pStyle w:val="BodyText"/>
        <w:rPr>
          <w:sz w:val="20"/>
        </w:rPr>
      </w:pPr>
    </w:p>
    <w:p>
      <w:pPr>
        <w:pStyle w:val="BodyText"/>
        <w:spacing w:before="8"/>
        <w:rPr>
          <w:sz w:val="28"/>
        </w:rPr>
      </w:pPr>
    </w:p>
    <w:p>
      <w:pPr>
        <w:pStyle w:val="Heading3"/>
        <w:numPr>
          <w:ilvl w:val="2"/>
          <w:numId w:val="12"/>
        </w:numPr>
        <w:tabs>
          <w:tab w:pos="882" w:val="left" w:leader="none"/>
        </w:tabs>
        <w:spacing w:line="240" w:lineRule="auto" w:before="70" w:after="0"/>
        <w:ind w:left="882" w:right="0" w:hanging="780"/>
        <w:jc w:val="both"/>
      </w:pPr>
      <w:r>
        <w:rPr/>
        <w:t>Evaluación</w:t>
      </w:r>
      <w:r>
        <w:rPr>
          <w:spacing w:val="-6"/>
        </w:rPr>
        <w:t> </w:t>
      </w:r>
      <w:r>
        <w:rPr/>
        <w:t>bioquímica</w:t>
      </w:r>
    </w:p>
    <w:p>
      <w:pPr>
        <w:pStyle w:val="BodyText"/>
        <w:spacing w:before="6"/>
        <w:rPr>
          <w:b/>
          <w:sz w:val="32"/>
        </w:rPr>
      </w:pPr>
    </w:p>
    <w:p>
      <w:pPr>
        <w:pStyle w:val="BodyText"/>
        <w:spacing w:line="360" w:lineRule="auto"/>
        <w:ind w:left="102" w:right="119"/>
        <w:jc w:val="both"/>
      </w:pPr>
      <w:r>
        <w:rPr/>
        <w:t>En el plasma obtenido se midieron las concentraciones séricas de glucosa, triglicéridos, colesterol y HDL colesterol mediante el método colorimétrico ultrasensible en un aparato automatizado (Selectra II, Cat. GL1611, CH 198) y reactivos de la casa comercial RANDOX™ (CH3811A, CH3841A y TR1695). Se cuantifico hemoglobina glucosilada mediante inmunoanálisis turbidimétrico de inhibición en sangre total, utilizando el equipo RxSuzuka y reactivos de la casa comercial RANDOX™ (Cat. HA8043).</w:t>
      </w:r>
    </w:p>
    <w:p>
      <w:pPr>
        <w:pStyle w:val="BodyText"/>
      </w:pPr>
    </w:p>
    <w:p>
      <w:pPr>
        <w:pStyle w:val="BodyText"/>
      </w:pPr>
    </w:p>
    <w:p>
      <w:pPr>
        <w:pStyle w:val="BodyText"/>
        <w:spacing w:before="7"/>
        <w:rPr>
          <w:sz w:val="30"/>
        </w:rPr>
      </w:pPr>
    </w:p>
    <w:p>
      <w:pPr>
        <w:pStyle w:val="Heading3"/>
        <w:numPr>
          <w:ilvl w:val="2"/>
          <w:numId w:val="12"/>
        </w:numPr>
        <w:tabs>
          <w:tab w:pos="822" w:val="left" w:leader="none"/>
        </w:tabs>
        <w:spacing w:line="240" w:lineRule="auto" w:before="0" w:after="0"/>
        <w:ind w:left="822" w:right="0" w:hanging="720"/>
        <w:jc w:val="both"/>
      </w:pPr>
      <w:r>
        <w:rPr/>
        <w:t>Determinación de IL-6 en</w:t>
      </w:r>
      <w:r>
        <w:rPr>
          <w:spacing w:val="-6"/>
        </w:rPr>
        <w:t> </w:t>
      </w:r>
      <w:r>
        <w:rPr/>
        <w:t>saliva</w:t>
      </w:r>
    </w:p>
    <w:p>
      <w:pPr>
        <w:pStyle w:val="BodyText"/>
        <w:rPr>
          <w:b/>
        </w:rPr>
      </w:pPr>
    </w:p>
    <w:p>
      <w:pPr>
        <w:pStyle w:val="BodyText"/>
        <w:rPr>
          <w:b/>
        </w:rPr>
      </w:pPr>
    </w:p>
    <w:p>
      <w:pPr>
        <w:pStyle w:val="BodyText"/>
        <w:spacing w:before="5"/>
        <w:rPr>
          <w:b/>
          <w:sz w:val="20"/>
        </w:rPr>
      </w:pPr>
    </w:p>
    <w:p>
      <w:pPr>
        <w:pStyle w:val="BodyText"/>
        <w:spacing w:line="360" w:lineRule="auto"/>
        <w:ind w:left="102" w:right="116"/>
        <w:jc w:val="both"/>
      </w:pPr>
      <w:r>
        <w:rPr/>
        <w:t>Se realizó la determinación de IL-6 en saliva mediante técnica de ensayo por inmunoabsorción ligado a enzimas (ELISA, por sus siglas en inglés; BioVendor. RBMS213/2R) de acuerdo con las instrucciones del fabricante.</w:t>
      </w:r>
    </w:p>
    <w:p>
      <w:pPr>
        <w:pStyle w:val="BodyText"/>
      </w:pPr>
    </w:p>
    <w:p>
      <w:pPr>
        <w:pStyle w:val="BodyText"/>
      </w:pPr>
    </w:p>
    <w:p>
      <w:pPr>
        <w:pStyle w:val="BodyText"/>
        <w:spacing w:before="7"/>
        <w:rPr>
          <w:sz w:val="30"/>
        </w:rPr>
      </w:pPr>
    </w:p>
    <w:p>
      <w:pPr>
        <w:pStyle w:val="Heading3"/>
      </w:pPr>
      <w:r>
        <w:rPr/>
        <w:t>6.3.9 Evaluación antropométrica.</w:t>
      </w:r>
    </w:p>
    <w:p>
      <w:pPr>
        <w:pStyle w:val="BodyText"/>
        <w:rPr>
          <w:b/>
        </w:rPr>
      </w:pPr>
    </w:p>
    <w:p>
      <w:pPr>
        <w:pStyle w:val="BodyText"/>
        <w:spacing w:before="6"/>
        <w:rPr>
          <w:b/>
          <w:sz w:val="23"/>
        </w:rPr>
      </w:pPr>
    </w:p>
    <w:p>
      <w:pPr>
        <w:pStyle w:val="BodyText"/>
        <w:spacing w:line="357" w:lineRule="auto"/>
        <w:ind w:left="102" w:right="115"/>
        <w:jc w:val="both"/>
      </w:pPr>
      <w:r>
        <w:rPr/>
        <w:t>Para la realización de las mediciones antropométricas los participantes acudieron con ropa ligera.</w:t>
      </w:r>
      <w:r>
        <w:rPr>
          <w:spacing w:val="-17"/>
        </w:rPr>
        <w:t> </w:t>
      </w:r>
      <w:r>
        <w:rPr/>
        <w:t>Personal</w:t>
      </w:r>
      <w:r>
        <w:rPr>
          <w:spacing w:val="-16"/>
        </w:rPr>
        <w:t> </w:t>
      </w:r>
      <w:r>
        <w:rPr/>
        <w:t>capacitado</w:t>
      </w:r>
      <w:r>
        <w:rPr>
          <w:spacing w:val="-17"/>
        </w:rPr>
        <w:t> </w:t>
      </w:r>
      <w:r>
        <w:rPr/>
        <w:t>de</w:t>
      </w:r>
      <w:r>
        <w:rPr>
          <w:spacing w:val="-18"/>
        </w:rPr>
        <w:t> </w:t>
      </w:r>
      <w:r>
        <w:rPr/>
        <w:t>la</w:t>
      </w:r>
      <w:r>
        <w:rPr>
          <w:spacing w:val="-18"/>
        </w:rPr>
        <w:t> </w:t>
      </w:r>
      <w:r>
        <w:rPr/>
        <w:t>UAEMex</w:t>
      </w:r>
      <w:r>
        <w:rPr>
          <w:spacing w:val="-15"/>
        </w:rPr>
        <w:t> </w:t>
      </w:r>
      <w:r>
        <w:rPr/>
        <w:t>realizó</w:t>
      </w:r>
      <w:r>
        <w:rPr>
          <w:spacing w:val="-16"/>
        </w:rPr>
        <w:t> </w:t>
      </w:r>
      <w:r>
        <w:rPr/>
        <w:t>las</w:t>
      </w:r>
      <w:r>
        <w:rPr>
          <w:spacing w:val="-17"/>
        </w:rPr>
        <w:t> </w:t>
      </w:r>
      <w:r>
        <w:rPr/>
        <w:t>mediciones</w:t>
      </w:r>
      <w:r>
        <w:rPr>
          <w:spacing w:val="-17"/>
        </w:rPr>
        <w:t> </w:t>
      </w:r>
      <w:r>
        <w:rPr/>
        <w:t>utilizando</w:t>
      </w:r>
      <w:r>
        <w:rPr>
          <w:spacing w:val="-19"/>
        </w:rPr>
        <w:t> </w:t>
      </w:r>
      <w:r>
        <w:rPr/>
        <w:t>para</w:t>
      </w:r>
      <w:r>
        <w:rPr>
          <w:spacing w:val="-19"/>
        </w:rPr>
        <w:t> </w:t>
      </w:r>
      <w:r>
        <w:rPr/>
        <w:t>la</w:t>
      </w:r>
      <w:r>
        <w:rPr>
          <w:spacing w:val="-17"/>
        </w:rPr>
        <w:t> </w:t>
      </w:r>
      <w:r>
        <w:rPr/>
        <w:t>obtención de talla en estadímetro marca SECA</w:t>
      </w:r>
      <w:r>
        <w:rPr>
          <w:position w:val="9"/>
          <w:sz w:val="16"/>
        </w:rPr>
        <w:t>TM </w:t>
      </w:r>
      <w:r>
        <w:rPr/>
        <w:t>(modelo 1013522), así mediante el método de bioimpedancia se utilizó una báscula electrónica ( TANITA modelo BC-533; Tokio ,</w:t>
      </w:r>
      <w:r>
        <w:rPr>
          <w:spacing w:val="-34"/>
        </w:rPr>
        <w:t> </w:t>
      </w:r>
      <w:r>
        <w:rPr/>
        <w:t>Japón) para la obtención de peso e índice de masa corporal</w:t>
      </w:r>
      <w:r>
        <w:rPr>
          <w:spacing w:val="-14"/>
        </w:rPr>
        <w:t> </w:t>
      </w:r>
      <w:r>
        <w:rPr/>
        <w:t>(IMC).</w:t>
      </w:r>
    </w:p>
    <w:p>
      <w:pPr>
        <w:spacing w:after="0" w:line="357" w:lineRule="auto"/>
        <w:jc w:val="both"/>
        <w:sectPr>
          <w:pgSz w:w="12240" w:h="15840"/>
          <w:pgMar w:header="731" w:footer="0" w:top="960" w:bottom="280" w:left="1600" w:right="1580"/>
        </w:sectPr>
      </w:pPr>
    </w:p>
    <w:p>
      <w:pPr>
        <w:pStyle w:val="BodyText"/>
        <w:rPr>
          <w:sz w:val="20"/>
        </w:rPr>
      </w:pPr>
    </w:p>
    <w:p>
      <w:pPr>
        <w:pStyle w:val="BodyText"/>
        <w:rPr>
          <w:sz w:val="20"/>
        </w:rPr>
      </w:pPr>
    </w:p>
    <w:p>
      <w:pPr>
        <w:pStyle w:val="BodyText"/>
        <w:spacing w:before="1"/>
        <w:rPr>
          <w:sz w:val="29"/>
        </w:rPr>
      </w:pPr>
    </w:p>
    <w:p>
      <w:pPr>
        <w:pStyle w:val="Heading2"/>
        <w:numPr>
          <w:ilvl w:val="1"/>
          <w:numId w:val="14"/>
        </w:numPr>
        <w:tabs>
          <w:tab w:pos="527" w:val="left" w:leader="none"/>
        </w:tabs>
        <w:spacing w:line="240" w:lineRule="auto" w:before="66" w:after="0"/>
        <w:ind w:left="526" w:right="0" w:hanging="424"/>
        <w:jc w:val="left"/>
      </w:pPr>
      <w:r>
        <w:rPr/>
        <w:t>Variables de</w:t>
      </w:r>
      <w:r>
        <w:rPr>
          <w:spacing w:val="-6"/>
        </w:rPr>
        <w:t> </w:t>
      </w:r>
      <w:r>
        <w:rPr/>
        <w:t>Estudio</w:t>
      </w:r>
    </w:p>
    <w:p>
      <w:pPr>
        <w:pStyle w:val="BodyText"/>
        <w:rPr>
          <w:b/>
          <w:sz w:val="26"/>
        </w:rPr>
      </w:pPr>
    </w:p>
    <w:p>
      <w:pPr>
        <w:pStyle w:val="BodyText"/>
        <w:spacing w:before="5"/>
        <w:rPr>
          <w:b/>
          <w:sz w:val="22"/>
        </w:rPr>
      </w:pPr>
    </w:p>
    <w:p>
      <w:pPr>
        <w:pStyle w:val="ListParagraph"/>
        <w:numPr>
          <w:ilvl w:val="2"/>
          <w:numId w:val="14"/>
        </w:numPr>
        <w:tabs>
          <w:tab w:pos="645" w:val="left" w:leader="none"/>
        </w:tabs>
        <w:spacing w:line="240" w:lineRule="auto" w:before="0" w:after="0"/>
        <w:ind w:left="644" w:right="0" w:hanging="542"/>
        <w:jc w:val="left"/>
        <w:rPr>
          <w:sz w:val="24"/>
        </w:rPr>
      </w:pPr>
      <w:r>
        <w:rPr>
          <w:sz w:val="24"/>
        </w:rPr>
        <w:t>Independientes:</w:t>
      </w:r>
    </w:p>
    <w:p>
      <w:pPr>
        <w:pStyle w:val="ListParagraph"/>
        <w:numPr>
          <w:ilvl w:val="3"/>
          <w:numId w:val="14"/>
        </w:numPr>
        <w:tabs>
          <w:tab w:pos="821" w:val="left" w:leader="none"/>
          <w:tab w:pos="822" w:val="left" w:leader="none"/>
        </w:tabs>
        <w:spacing w:line="240" w:lineRule="auto" w:before="138" w:after="0"/>
        <w:ind w:left="822" w:right="0" w:hanging="360"/>
        <w:jc w:val="left"/>
        <w:rPr>
          <w:sz w:val="24"/>
        </w:rPr>
      </w:pPr>
      <w:r>
        <w:rPr>
          <w:sz w:val="24"/>
        </w:rPr>
        <w:t>Enfermedad</w:t>
      </w:r>
      <w:r>
        <w:rPr>
          <w:spacing w:val="-4"/>
          <w:sz w:val="24"/>
        </w:rPr>
        <w:t> </w:t>
      </w:r>
      <w:r>
        <w:rPr>
          <w:sz w:val="24"/>
        </w:rPr>
        <w:t>Periodontal</w:t>
      </w:r>
    </w:p>
    <w:p>
      <w:pPr>
        <w:pStyle w:val="ListParagraph"/>
        <w:numPr>
          <w:ilvl w:val="3"/>
          <w:numId w:val="14"/>
        </w:numPr>
        <w:tabs>
          <w:tab w:pos="821" w:val="left" w:leader="none"/>
          <w:tab w:pos="822" w:val="left" w:leader="none"/>
        </w:tabs>
        <w:spacing w:line="240" w:lineRule="auto" w:before="135" w:after="0"/>
        <w:ind w:left="822" w:right="0" w:hanging="360"/>
        <w:jc w:val="left"/>
        <w:rPr>
          <w:sz w:val="24"/>
        </w:rPr>
      </w:pPr>
      <w:r>
        <w:rPr>
          <w:sz w:val="24"/>
        </w:rPr>
        <w:t>Edad</w:t>
      </w:r>
    </w:p>
    <w:p>
      <w:pPr>
        <w:pStyle w:val="ListParagraph"/>
        <w:numPr>
          <w:ilvl w:val="3"/>
          <w:numId w:val="14"/>
        </w:numPr>
        <w:tabs>
          <w:tab w:pos="821" w:val="left" w:leader="none"/>
          <w:tab w:pos="822" w:val="left" w:leader="none"/>
        </w:tabs>
        <w:spacing w:line="240" w:lineRule="auto" w:before="138" w:after="0"/>
        <w:ind w:left="822" w:right="0" w:hanging="360"/>
        <w:jc w:val="left"/>
        <w:rPr>
          <w:sz w:val="24"/>
        </w:rPr>
      </w:pPr>
      <w:r>
        <w:rPr>
          <w:sz w:val="24"/>
        </w:rPr>
        <w:t>Género</w:t>
      </w:r>
    </w:p>
    <w:p>
      <w:pPr>
        <w:pStyle w:val="ListParagraph"/>
        <w:numPr>
          <w:ilvl w:val="3"/>
          <w:numId w:val="14"/>
        </w:numPr>
        <w:tabs>
          <w:tab w:pos="821" w:val="left" w:leader="none"/>
          <w:tab w:pos="822" w:val="left" w:leader="none"/>
        </w:tabs>
        <w:spacing w:line="240" w:lineRule="auto" w:before="138" w:after="0"/>
        <w:ind w:left="822" w:right="0" w:hanging="360"/>
        <w:jc w:val="left"/>
        <w:rPr>
          <w:sz w:val="24"/>
        </w:rPr>
      </w:pPr>
      <w:r>
        <w:rPr>
          <w:sz w:val="24"/>
        </w:rPr>
        <w:t>Control</w:t>
      </w:r>
      <w:r>
        <w:rPr>
          <w:spacing w:val="-6"/>
          <w:sz w:val="24"/>
        </w:rPr>
        <w:t> </w:t>
      </w:r>
      <w:r>
        <w:rPr>
          <w:sz w:val="24"/>
        </w:rPr>
        <w:t>glicémico</w:t>
      </w:r>
    </w:p>
    <w:p>
      <w:pPr>
        <w:pStyle w:val="ListParagraph"/>
        <w:numPr>
          <w:ilvl w:val="3"/>
          <w:numId w:val="14"/>
        </w:numPr>
        <w:tabs>
          <w:tab w:pos="821" w:val="left" w:leader="none"/>
          <w:tab w:pos="822" w:val="left" w:leader="none"/>
        </w:tabs>
        <w:spacing w:line="240" w:lineRule="auto" w:before="136" w:after="0"/>
        <w:ind w:left="822" w:right="0" w:hanging="360"/>
        <w:jc w:val="left"/>
        <w:rPr>
          <w:sz w:val="24"/>
        </w:rPr>
      </w:pPr>
      <w:r>
        <w:rPr>
          <w:sz w:val="24"/>
        </w:rPr>
        <w:t>IMC</w:t>
      </w:r>
    </w:p>
    <w:p>
      <w:pPr>
        <w:pStyle w:val="BodyText"/>
      </w:pPr>
    </w:p>
    <w:p>
      <w:pPr>
        <w:pStyle w:val="BodyText"/>
      </w:pPr>
    </w:p>
    <w:p>
      <w:pPr>
        <w:pStyle w:val="BodyText"/>
      </w:pPr>
    </w:p>
    <w:p>
      <w:pPr>
        <w:pStyle w:val="ListParagraph"/>
        <w:numPr>
          <w:ilvl w:val="2"/>
          <w:numId w:val="14"/>
        </w:numPr>
        <w:tabs>
          <w:tab w:pos="643" w:val="left" w:leader="none"/>
        </w:tabs>
        <w:spacing w:line="240" w:lineRule="auto" w:before="138" w:after="0"/>
        <w:ind w:left="642" w:right="0" w:hanging="540"/>
        <w:jc w:val="left"/>
        <w:rPr>
          <w:sz w:val="24"/>
        </w:rPr>
      </w:pPr>
      <w:r>
        <w:rPr>
          <w:sz w:val="24"/>
        </w:rPr>
        <w:t>Dependientes:</w:t>
      </w:r>
    </w:p>
    <w:p>
      <w:pPr>
        <w:pStyle w:val="ListParagraph"/>
        <w:numPr>
          <w:ilvl w:val="3"/>
          <w:numId w:val="14"/>
        </w:numPr>
        <w:tabs>
          <w:tab w:pos="821" w:val="left" w:leader="none"/>
          <w:tab w:pos="822" w:val="left" w:leader="none"/>
        </w:tabs>
        <w:spacing w:line="240" w:lineRule="auto" w:before="138" w:after="0"/>
        <w:ind w:left="822" w:right="0" w:hanging="360"/>
        <w:jc w:val="left"/>
        <w:rPr>
          <w:sz w:val="24"/>
        </w:rPr>
      </w:pPr>
      <w:r>
        <w:rPr>
          <w:sz w:val="24"/>
        </w:rPr>
        <w:t>Interleucina 6</w:t>
      </w:r>
      <w:r>
        <w:rPr>
          <w:spacing w:val="-6"/>
          <w:sz w:val="24"/>
        </w:rPr>
        <w:t> </w:t>
      </w:r>
      <w:r>
        <w:rPr>
          <w:sz w:val="24"/>
        </w:rPr>
        <w:t>(IL-6)</w:t>
      </w:r>
    </w:p>
    <w:p>
      <w:pPr>
        <w:spacing w:after="0" w:line="240" w:lineRule="auto"/>
        <w:jc w:val="left"/>
        <w:rPr>
          <w:sz w:val="24"/>
        </w:rPr>
        <w:sectPr>
          <w:pgSz w:w="12240" w:h="15840"/>
          <w:pgMar w:header="731" w:footer="0" w:top="960" w:bottom="280" w:left="1600" w:right="1580"/>
        </w:sectPr>
      </w:pPr>
    </w:p>
    <w:p>
      <w:pPr>
        <w:pStyle w:val="BodyText"/>
        <w:spacing w:before="11"/>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8"/>
        <w:gridCol w:w="2979"/>
        <w:gridCol w:w="4251"/>
        <w:gridCol w:w="1418"/>
        <w:gridCol w:w="2127"/>
        <w:gridCol w:w="1985"/>
      </w:tblGrid>
      <w:tr>
        <w:trPr>
          <w:trHeight w:val="562" w:hRule="exact"/>
        </w:trPr>
        <w:tc>
          <w:tcPr>
            <w:tcW w:w="2518" w:type="dxa"/>
          </w:tcPr>
          <w:p>
            <w:pPr>
              <w:pStyle w:val="TableParagraph"/>
              <w:spacing w:line="273" w:lineRule="exact"/>
              <w:ind w:left="103" w:right="1105"/>
              <w:rPr>
                <w:b/>
                <w:sz w:val="24"/>
              </w:rPr>
            </w:pPr>
            <w:r>
              <w:rPr>
                <w:b/>
                <w:sz w:val="24"/>
              </w:rPr>
              <w:t>Variable</w:t>
            </w:r>
          </w:p>
        </w:tc>
        <w:tc>
          <w:tcPr>
            <w:tcW w:w="2979" w:type="dxa"/>
          </w:tcPr>
          <w:p>
            <w:pPr>
              <w:pStyle w:val="TableParagraph"/>
              <w:spacing w:line="273" w:lineRule="exact"/>
              <w:ind w:left="103"/>
              <w:rPr>
                <w:b/>
                <w:sz w:val="24"/>
              </w:rPr>
            </w:pPr>
            <w:r>
              <w:rPr>
                <w:b/>
                <w:sz w:val="24"/>
              </w:rPr>
              <w:t>Definición conceptual</w:t>
            </w:r>
          </w:p>
        </w:tc>
        <w:tc>
          <w:tcPr>
            <w:tcW w:w="4251" w:type="dxa"/>
          </w:tcPr>
          <w:p>
            <w:pPr>
              <w:pStyle w:val="TableParagraph"/>
              <w:spacing w:line="273" w:lineRule="exact"/>
              <w:ind w:left="103" w:right="513"/>
              <w:rPr>
                <w:b/>
                <w:sz w:val="24"/>
              </w:rPr>
            </w:pPr>
            <w:r>
              <w:rPr>
                <w:b/>
                <w:sz w:val="24"/>
              </w:rPr>
              <w:t>Definición operativa</w:t>
            </w:r>
          </w:p>
        </w:tc>
        <w:tc>
          <w:tcPr>
            <w:tcW w:w="1418" w:type="dxa"/>
          </w:tcPr>
          <w:p>
            <w:pPr>
              <w:pStyle w:val="TableParagraph"/>
              <w:tabs>
                <w:tab w:pos="1064" w:val="left" w:leader="none"/>
              </w:tabs>
              <w:ind w:left="103" w:right="101"/>
              <w:rPr>
                <w:b/>
                <w:sz w:val="24"/>
              </w:rPr>
            </w:pPr>
            <w:r>
              <w:rPr>
                <w:b/>
                <w:sz w:val="24"/>
              </w:rPr>
              <w:t>Tipo</w:t>
              <w:tab/>
              <w:t>de variable</w:t>
            </w:r>
          </w:p>
        </w:tc>
        <w:tc>
          <w:tcPr>
            <w:tcW w:w="2127" w:type="dxa"/>
          </w:tcPr>
          <w:p>
            <w:pPr>
              <w:pStyle w:val="TableParagraph"/>
              <w:tabs>
                <w:tab w:pos="1773" w:val="left" w:leader="none"/>
              </w:tabs>
              <w:spacing w:line="273" w:lineRule="exact"/>
              <w:ind w:left="103"/>
              <w:rPr>
                <w:b/>
                <w:sz w:val="24"/>
              </w:rPr>
            </w:pPr>
            <w:r>
              <w:rPr>
                <w:b/>
                <w:sz w:val="24"/>
              </w:rPr>
              <w:t>Escala</w:t>
              <w:tab/>
              <w:t>de</w:t>
            </w:r>
          </w:p>
          <w:p>
            <w:pPr>
              <w:pStyle w:val="TableParagraph"/>
              <w:ind w:left="103"/>
              <w:rPr>
                <w:b/>
                <w:sz w:val="24"/>
              </w:rPr>
            </w:pPr>
            <w:r>
              <w:rPr>
                <w:b/>
                <w:sz w:val="24"/>
              </w:rPr>
              <w:t>medición</w:t>
            </w:r>
          </w:p>
        </w:tc>
        <w:tc>
          <w:tcPr>
            <w:tcW w:w="1985" w:type="dxa"/>
          </w:tcPr>
          <w:p>
            <w:pPr>
              <w:pStyle w:val="TableParagraph"/>
              <w:ind w:left="103" w:right="639"/>
              <w:rPr>
                <w:b/>
                <w:sz w:val="24"/>
              </w:rPr>
            </w:pPr>
            <w:r>
              <w:rPr>
                <w:b/>
                <w:sz w:val="24"/>
              </w:rPr>
              <w:t>Análisis Estadísticos</w:t>
            </w:r>
          </w:p>
        </w:tc>
      </w:tr>
      <w:tr>
        <w:trPr>
          <w:trHeight w:val="286" w:hRule="exact"/>
        </w:trPr>
        <w:tc>
          <w:tcPr>
            <w:tcW w:w="15278" w:type="dxa"/>
            <w:gridSpan w:val="6"/>
          </w:tcPr>
          <w:p>
            <w:pPr>
              <w:pStyle w:val="TableParagraph"/>
              <w:spacing w:line="273" w:lineRule="exact"/>
              <w:ind w:left="103"/>
              <w:rPr>
                <w:b/>
                <w:sz w:val="24"/>
              </w:rPr>
            </w:pPr>
            <w:r>
              <w:rPr>
                <w:b/>
                <w:sz w:val="24"/>
              </w:rPr>
              <w:t>INDEPENDIENTES</w:t>
            </w:r>
          </w:p>
        </w:tc>
      </w:tr>
      <w:tr>
        <w:trPr>
          <w:trHeight w:val="3409" w:hRule="exact"/>
        </w:trPr>
        <w:tc>
          <w:tcPr>
            <w:tcW w:w="2518"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27"/>
              </w:rPr>
            </w:pPr>
          </w:p>
          <w:p>
            <w:pPr>
              <w:pStyle w:val="TableParagraph"/>
              <w:ind w:left="103" w:right="1105"/>
              <w:rPr>
                <w:b/>
                <w:sz w:val="24"/>
              </w:rPr>
            </w:pPr>
            <w:r>
              <w:rPr>
                <w:b/>
                <w:sz w:val="24"/>
              </w:rPr>
              <w:t>Enfermedad periodontal</w:t>
            </w:r>
          </w:p>
        </w:tc>
        <w:tc>
          <w:tcPr>
            <w:tcW w:w="2979" w:type="dxa"/>
          </w:tcPr>
          <w:p>
            <w:pPr>
              <w:pStyle w:val="TableParagraph"/>
              <w:rPr>
                <w:sz w:val="27"/>
              </w:rPr>
            </w:pPr>
          </w:p>
          <w:p>
            <w:pPr>
              <w:pStyle w:val="TableParagraph"/>
              <w:ind w:left="103" w:right="101"/>
              <w:jc w:val="both"/>
              <w:rPr>
                <w:sz w:val="24"/>
              </w:rPr>
            </w:pPr>
            <w:r>
              <w:rPr>
                <w:sz w:val="24"/>
              </w:rPr>
              <w:t>Infección caracterizada por una respuesta inflamatoria de los tejidos gingivales contra la micro flora bacteriana, influyendo el estado inmunológico e inflamatorio, se caracteriza por la pérdida de tejido conectivo y hueso alveolar alrededor del</w:t>
            </w:r>
            <w:r>
              <w:rPr>
                <w:spacing w:val="-4"/>
                <w:sz w:val="24"/>
              </w:rPr>
              <w:t> </w:t>
            </w:r>
            <w:r>
              <w:rPr>
                <w:sz w:val="24"/>
              </w:rPr>
              <w:t>diente</w:t>
            </w:r>
          </w:p>
        </w:tc>
        <w:tc>
          <w:tcPr>
            <w:tcW w:w="4251"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75"/>
              <w:ind w:left="103" w:right="102"/>
              <w:jc w:val="both"/>
              <w:rPr>
                <w:sz w:val="24"/>
              </w:rPr>
            </w:pPr>
            <w:r>
              <w:rPr>
                <w:sz w:val="24"/>
              </w:rPr>
              <w:t>Midiendo la profundidad de la bolsa periodontal, con sonda periodontal de la OMS</w:t>
            </w:r>
          </w:p>
        </w:tc>
        <w:tc>
          <w:tcPr>
            <w:tcW w:w="1418"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
              <w:rPr>
                <w:sz w:val="27"/>
              </w:rPr>
            </w:pPr>
          </w:p>
          <w:p>
            <w:pPr>
              <w:pStyle w:val="TableParagraph"/>
              <w:ind w:left="103" w:right="112"/>
              <w:rPr>
                <w:sz w:val="24"/>
              </w:rPr>
            </w:pPr>
            <w:r>
              <w:rPr>
                <w:sz w:val="24"/>
              </w:rPr>
              <w:t>Cuantitativa Ordinal</w:t>
            </w:r>
          </w:p>
        </w:tc>
        <w:tc>
          <w:tcPr>
            <w:tcW w:w="2127" w:type="dxa"/>
          </w:tcPr>
          <w:p>
            <w:pPr>
              <w:pStyle w:val="TableParagraph"/>
              <w:numPr>
                <w:ilvl w:val="0"/>
                <w:numId w:val="15"/>
              </w:numPr>
              <w:tabs>
                <w:tab w:pos="279" w:val="left" w:leader="none"/>
              </w:tabs>
              <w:spacing w:line="288" w:lineRule="exact" w:before="0" w:after="0"/>
              <w:ind w:left="278" w:right="0" w:hanging="283"/>
              <w:jc w:val="left"/>
              <w:rPr>
                <w:sz w:val="24"/>
              </w:rPr>
            </w:pPr>
            <w:r>
              <w:rPr>
                <w:sz w:val="24"/>
              </w:rPr>
              <w:t>“0”</w:t>
            </w:r>
            <w:r>
              <w:rPr>
                <w:spacing w:val="-3"/>
                <w:sz w:val="24"/>
              </w:rPr>
              <w:t> </w:t>
            </w:r>
            <w:r>
              <w:rPr>
                <w:sz w:val="24"/>
              </w:rPr>
              <w:t>sano</w:t>
            </w:r>
          </w:p>
          <w:p>
            <w:pPr>
              <w:pStyle w:val="TableParagraph"/>
              <w:numPr>
                <w:ilvl w:val="0"/>
                <w:numId w:val="15"/>
              </w:numPr>
              <w:tabs>
                <w:tab w:pos="279" w:val="left" w:leader="none"/>
              </w:tabs>
              <w:spacing w:line="293" w:lineRule="exact" w:before="1" w:after="0"/>
              <w:ind w:left="278" w:right="0" w:hanging="283"/>
              <w:jc w:val="left"/>
              <w:rPr>
                <w:sz w:val="24"/>
              </w:rPr>
            </w:pPr>
            <w:r>
              <w:rPr>
                <w:sz w:val="24"/>
              </w:rPr>
              <w:t>“1”</w:t>
            </w:r>
            <w:r>
              <w:rPr>
                <w:spacing w:val="-5"/>
                <w:sz w:val="24"/>
              </w:rPr>
              <w:t> </w:t>
            </w:r>
            <w:r>
              <w:rPr>
                <w:sz w:val="24"/>
              </w:rPr>
              <w:t>hemorragia</w:t>
            </w:r>
          </w:p>
          <w:p>
            <w:pPr>
              <w:pStyle w:val="TableParagraph"/>
              <w:numPr>
                <w:ilvl w:val="0"/>
                <w:numId w:val="15"/>
              </w:numPr>
              <w:tabs>
                <w:tab w:pos="279" w:val="left" w:leader="none"/>
              </w:tabs>
              <w:spacing w:line="293" w:lineRule="exact" w:before="0" w:after="0"/>
              <w:ind w:left="278" w:right="0" w:hanging="283"/>
              <w:jc w:val="left"/>
              <w:rPr>
                <w:sz w:val="24"/>
              </w:rPr>
            </w:pPr>
            <w:r>
              <w:rPr>
                <w:sz w:val="24"/>
              </w:rPr>
              <w:t>“2”</w:t>
            </w:r>
            <w:r>
              <w:rPr>
                <w:spacing w:val="-2"/>
                <w:sz w:val="24"/>
              </w:rPr>
              <w:t> </w:t>
            </w:r>
            <w:r>
              <w:rPr>
                <w:sz w:val="24"/>
              </w:rPr>
              <w:t>cálculo</w:t>
            </w:r>
          </w:p>
          <w:p>
            <w:pPr>
              <w:pStyle w:val="TableParagraph"/>
              <w:numPr>
                <w:ilvl w:val="0"/>
                <w:numId w:val="15"/>
              </w:numPr>
              <w:tabs>
                <w:tab w:pos="279" w:val="left" w:leader="none"/>
                <w:tab w:pos="1410" w:val="left" w:leader="none"/>
              </w:tabs>
              <w:spacing w:line="240" w:lineRule="auto" w:before="0" w:after="0"/>
              <w:ind w:left="278" w:right="102" w:hanging="283"/>
              <w:jc w:val="left"/>
              <w:rPr>
                <w:sz w:val="24"/>
              </w:rPr>
            </w:pPr>
            <w:r>
              <w:rPr>
                <w:sz w:val="24"/>
              </w:rPr>
              <w:t>"3”</w:t>
              <w:tab/>
              <w:t>bolsas periodontales superficiales de</w:t>
            </w:r>
            <w:r>
              <w:rPr>
                <w:spacing w:val="-28"/>
                <w:sz w:val="24"/>
              </w:rPr>
              <w:t> </w:t>
            </w:r>
            <w:r>
              <w:rPr>
                <w:sz w:val="24"/>
              </w:rPr>
              <w:t>4- 5</w:t>
            </w:r>
            <w:r>
              <w:rPr>
                <w:spacing w:val="-1"/>
                <w:sz w:val="24"/>
              </w:rPr>
              <w:t> </w:t>
            </w:r>
            <w:r>
              <w:rPr>
                <w:sz w:val="24"/>
              </w:rPr>
              <w:t>mm</w:t>
            </w:r>
          </w:p>
          <w:p>
            <w:pPr>
              <w:pStyle w:val="TableParagraph"/>
              <w:numPr>
                <w:ilvl w:val="0"/>
                <w:numId w:val="15"/>
              </w:numPr>
              <w:tabs>
                <w:tab w:pos="279" w:val="left" w:leader="none"/>
                <w:tab w:pos="1410" w:val="left" w:leader="none"/>
              </w:tabs>
              <w:spacing w:line="240" w:lineRule="auto" w:before="2" w:after="0"/>
              <w:ind w:left="278" w:right="103" w:hanging="283"/>
              <w:jc w:val="left"/>
              <w:rPr>
                <w:sz w:val="24"/>
              </w:rPr>
            </w:pPr>
            <w:r>
              <w:rPr>
                <w:sz w:val="24"/>
              </w:rPr>
              <w:t>“4”</w:t>
              <w:tab/>
              <w:t>bolsas periodontales profundas de ≥ 6 mm</w:t>
            </w:r>
          </w:p>
        </w:tc>
        <w:tc>
          <w:tcPr>
            <w:tcW w:w="198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75"/>
              <w:ind w:left="103" w:right="639"/>
              <w:rPr>
                <w:sz w:val="24"/>
              </w:rPr>
            </w:pPr>
            <w:r>
              <w:rPr>
                <w:sz w:val="24"/>
              </w:rPr>
              <w:t>ANOVA P&lt;0.05</w:t>
            </w:r>
          </w:p>
        </w:tc>
      </w:tr>
      <w:tr>
        <w:trPr>
          <w:trHeight w:val="1114" w:hRule="exact"/>
        </w:trPr>
        <w:tc>
          <w:tcPr>
            <w:tcW w:w="2518" w:type="dxa"/>
          </w:tcPr>
          <w:p>
            <w:pPr>
              <w:pStyle w:val="TableParagraph"/>
              <w:spacing w:before="9"/>
              <w:rPr>
                <w:sz w:val="35"/>
              </w:rPr>
            </w:pPr>
          </w:p>
          <w:p>
            <w:pPr>
              <w:pStyle w:val="TableParagraph"/>
              <w:spacing w:before="1"/>
              <w:ind w:left="103" w:right="1105"/>
              <w:rPr>
                <w:b/>
                <w:sz w:val="24"/>
              </w:rPr>
            </w:pPr>
            <w:r>
              <w:rPr>
                <w:b/>
                <w:sz w:val="24"/>
              </w:rPr>
              <w:t>Sexo</w:t>
            </w:r>
          </w:p>
        </w:tc>
        <w:tc>
          <w:tcPr>
            <w:tcW w:w="2979" w:type="dxa"/>
          </w:tcPr>
          <w:p>
            <w:pPr>
              <w:pStyle w:val="TableParagraph"/>
              <w:ind w:left="103" w:right="103"/>
              <w:jc w:val="both"/>
              <w:rPr>
                <w:sz w:val="24"/>
              </w:rPr>
            </w:pPr>
            <w:r>
              <w:rPr>
                <w:sz w:val="24"/>
              </w:rPr>
              <w:t>Categoría que sirve para indicar la diferencia de sexo entre las personas.</w:t>
            </w:r>
          </w:p>
        </w:tc>
        <w:tc>
          <w:tcPr>
            <w:tcW w:w="4251" w:type="dxa"/>
          </w:tcPr>
          <w:p>
            <w:pPr>
              <w:pStyle w:val="TableParagraph"/>
              <w:ind w:left="103" w:right="513"/>
              <w:rPr>
                <w:sz w:val="24"/>
              </w:rPr>
            </w:pPr>
            <w:r>
              <w:rPr>
                <w:sz w:val="24"/>
              </w:rPr>
              <w:t>Características fenotípicas de hombre Características fenotípicas de mujer</w:t>
            </w:r>
          </w:p>
        </w:tc>
        <w:tc>
          <w:tcPr>
            <w:tcW w:w="1418" w:type="dxa"/>
          </w:tcPr>
          <w:p>
            <w:pPr>
              <w:pStyle w:val="TableParagraph"/>
              <w:spacing w:before="3"/>
              <w:rPr>
                <w:sz w:val="23"/>
              </w:rPr>
            </w:pPr>
          </w:p>
          <w:p>
            <w:pPr>
              <w:pStyle w:val="TableParagraph"/>
              <w:spacing w:before="1"/>
              <w:ind w:left="103" w:right="232"/>
              <w:rPr>
                <w:sz w:val="24"/>
              </w:rPr>
            </w:pPr>
            <w:r>
              <w:rPr>
                <w:sz w:val="24"/>
              </w:rPr>
              <w:t>Cualitativa Nominal</w:t>
            </w:r>
          </w:p>
        </w:tc>
        <w:tc>
          <w:tcPr>
            <w:tcW w:w="2127" w:type="dxa"/>
          </w:tcPr>
          <w:p>
            <w:pPr>
              <w:pStyle w:val="TableParagraph"/>
              <w:spacing w:before="3"/>
              <w:rPr>
                <w:sz w:val="23"/>
              </w:rPr>
            </w:pPr>
          </w:p>
          <w:p>
            <w:pPr>
              <w:pStyle w:val="TableParagraph"/>
              <w:spacing w:before="1"/>
              <w:ind w:left="103" w:right="981"/>
              <w:rPr>
                <w:sz w:val="24"/>
              </w:rPr>
            </w:pPr>
            <w:r>
              <w:rPr>
                <w:sz w:val="24"/>
              </w:rPr>
              <w:t>Masculino Femenino</w:t>
            </w:r>
          </w:p>
        </w:tc>
        <w:tc>
          <w:tcPr>
            <w:tcW w:w="1985" w:type="dxa"/>
          </w:tcPr>
          <w:p>
            <w:pPr>
              <w:pStyle w:val="TableParagraph"/>
              <w:spacing w:before="3"/>
              <w:rPr>
                <w:sz w:val="23"/>
              </w:rPr>
            </w:pPr>
          </w:p>
          <w:p>
            <w:pPr>
              <w:pStyle w:val="TableParagraph"/>
              <w:tabs>
                <w:tab w:pos="1753" w:val="left" w:leader="none"/>
              </w:tabs>
              <w:spacing w:before="1"/>
              <w:ind w:left="103" w:right="99"/>
              <w:rPr>
                <w:sz w:val="24"/>
              </w:rPr>
            </w:pPr>
            <w:r>
              <w:rPr>
                <w:sz w:val="24"/>
              </w:rPr>
              <w:t>Frecuencia</w:t>
              <w:tab/>
              <w:t>y porcentaje</w:t>
            </w:r>
          </w:p>
        </w:tc>
      </w:tr>
      <w:tr>
        <w:trPr>
          <w:trHeight w:val="838" w:hRule="exact"/>
        </w:trPr>
        <w:tc>
          <w:tcPr>
            <w:tcW w:w="2518" w:type="dxa"/>
          </w:tcPr>
          <w:p>
            <w:pPr>
              <w:pStyle w:val="TableParagraph"/>
              <w:spacing w:before="8"/>
              <w:rPr>
                <w:sz w:val="23"/>
              </w:rPr>
            </w:pPr>
          </w:p>
          <w:p>
            <w:pPr>
              <w:pStyle w:val="TableParagraph"/>
              <w:ind w:left="103" w:right="1105"/>
              <w:rPr>
                <w:b/>
                <w:sz w:val="24"/>
              </w:rPr>
            </w:pPr>
            <w:r>
              <w:rPr>
                <w:b/>
                <w:sz w:val="24"/>
              </w:rPr>
              <w:t>Edad</w:t>
            </w:r>
          </w:p>
        </w:tc>
        <w:tc>
          <w:tcPr>
            <w:tcW w:w="2979" w:type="dxa"/>
          </w:tcPr>
          <w:p>
            <w:pPr>
              <w:pStyle w:val="TableParagraph"/>
              <w:ind w:left="103" w:right="104"/>
              <w:jc w:val="both"/>
              <w:rPr>
                <w:sz w:val="24"/>
              </w:rPr>
            </w:pPr>
            <w:r>
              <w:rPr>
                <w:sz w:val="24"/>
              </w:rPr>
              <w:t>Tiempo</w:t>
            </w:r>
            <w:r>
              <w:rPr>
                <w:spacing w:val="-16"/>
                <w:sz w:val="24"/>
              </w:rPr>
              <w:t> </w:t>
            </w:r>
            <w:r>
              <w:rPr>
                <w:sz w:val="24"/>
              </w:rPr>
              <w:t>transcurrido</w:t>
            </w:r>
            <w:r>
              <w:rPr>
                <w:spacing w:val="-16"/>
                <w:sz w:val="24"/>
              </w:rPr>
              <w:t> </w:t>
            </w:r>
            <w:r>
              <w:rPr>
                <w:sz w:val="24"/>
              </w:rPr>
              <w:t>desde</w:t>
            </w:r>
            <w:r>
              <w:rPr>
                <w:spacing w:val="-18"/>
                <w:sz w:val="24"/>
              </w:rPr>
              <w:t> </w:t>
            </w:r>
            <w:r>
              <w:rPr>
                <w:sz w:val="24"/>
              </w:rPr>
              <w:t>el nacimiento hasta el momento del</w:t>
            </w:r>
            <w:r>
              <w:rPr>
                <w:spacing w:val="-1"/>
                <w:sz w:val="24"/>
              </w:rPr>
              <w:t> </w:t>
            </w:r>
            <w:r>
              <w:rPr>
                <w:sz w:val="24"/>
              </w:rPr>
              <w:t>estudio</w:t>
            </w:r>
          </w:p>
        </w:tc>
        <w:tc>
          <w:tcPr>
            <w:tcW w:w="4251" w:type="dxa"/>
          </w:tcPr>
          <w:p>
            <w:pPr>
              <w:pStyle w:val="TableParagraph"/>
              <w:ind w:left="103"/>
              <w:rPr>
                <w:sz w:val="24"/>
              </w:rPr>
            </w:pPr>
            <w:r>
              <w:rPr>
                <w:sz w:val="24"/>
              </w:rPr>
              <w:t>Fecha de nacimiento hasta la fecha de medición</w:t>
            </w:r>
          </w:p>
        </w:tc>
        <w:tc>
          <w:tcPr>
            <w:tcW w:w="1418" w:type="dxa"/>
          </w:tcPr>
          <w:p>
            <w:pPr>
              <w:pStyle w:val="TableParagraph"/>
              <w:ind w:left="103" w:right="112"/>
              <w:rPr>
                <w:sz w:val="24"/>
              </w:rPr>
            </w:pPr>
            <w:r>
              <w:rPr>
                <w:sz w:val="24"/>
              </w:rPr>
              <w:t>Cuantitativa Continua</w:t>
            </w:r>
          </w:p>
        </w:tc>
        <w:tc>
          <w:tcPr>
            <w:tcW w:w="2127" w:type="dxa"/>
          </w:tcPr>
          <w:p>
            <w:pPr>
              <w:pStyle w:val="TableParagraph"/>
              <w:spacing w:line="268" w:lineRule="exact"/>
              <w:ind w:left="103"/>
              <w:rPr>
                <w:sz w:val="24"/>
              </w:rPr>
            </w:pPr>
            <w:r>
              <w:rPr>
                <w:sz w:val="24"/>
              </w:rPr>
              <w:t>Años cumplidos</w:t>
            </w:r>
          </w:p>
        </w:tc>
        <w:tc>
          <w:tcPr>
            <w:tcW w:w="1985" w:type="dxa"/>
          </w:tcPr>
          <w:p>
            <w:pPr>
              <w:pStyle w:val="TableParagraph"/>
              <w:spacing w:before="3"/>
              <w:rPr>
                <w:sz w:val="23"/>
              </w:rPr>
            </w:pPr>
          </w:p>
          <w:p>
            <w:pPr>
              <w:pStyle w:val="TableParagraph"/>
              <w:ind w:left="103"/>
              <w:rPr>
                <w:sz w:val="24"/>
              </w:rPr>
            </w:pPr>
            <w:r>
              <w:rPr>
                <w:sz w:val="24"/>
              </w:rPr>
              <w:t>Regresión lineal</w:t>
            </w:r>
          </w:p>
        </w:tc>
      </w:tr>
      <w:tr>
        <w:trPr>
          <w:trHeight w:val="2497" w:hRule="exact"/>
        </w:trPr>
        <w:tc>
          <w:tcPr>
            <w:tcW w:w="2518" w:type="dxa"/>
          </w:tcPr>
          <w:p>
            <w:pPr>
              <w:pStyle w:val="TableParagraph"/>
              <w:rPr>
                <w:sz w:val="24"/>
              </w:rPr>
            </w:pPr>
          </w:p>
          <w:p>
            <w:pPr>
              <w:pStyle w:val="TableParagraph"/>
              <w:rPr>
                <w:sz w:val="24"/>
              </w:rPr>
            </w:pPr>
          </w:p>
          <w:p>
            <w:pPr>
              <w:pStyle w:val="TableParagraph"/>
              <w:rPr>
                <w:sz w:val="24"/>
              </w:rPr>
            </w:pPr>
          </w:p>
          <w:p>
            <w:pPr>
              <w:pStyle w:val="TableParagraph"/>
              <w:spacing w:before="11"/>
              <w:rPr>
                <w:sz w:val="23"/>
              </w:rPr>
            </w:pPr>
          </w:p>
          <w:p>
            <w:pPr>
              <w:pStyle w:val="TableParagraph"/>
              <w:ind w:left="103" w:right="1105"/>
              <w:rPr>
                <w:b/>
                <w:sz w:val="24"/>
              </w:rPr>
            </w:pPr>
            <w:r>
              <w:rPr>
                <w:b/>
                <w:sz w:val="24"/>
              </w:rPr>
              <w:t>IMC</w:t>
            </w:r>
          </w:p>
        </w:tc>
        <w:tc>
          <w:tcPr>
            <w:tcW w:w="2979" w:type="dxa"/>
          </w:tcPr>
          <w:p>
            <w:pPr>
              <w:pStyle w:val="TableParagraph"/>
              <w:ind w:left="103" w:right="100"/>
              <w:jc w:val="both"/>
              <w:rPr>
                <w:sz w:val="24"/>
              </w:rPr>
            </w:pPr>
            <w:r>
              <w:rPr>
                <w:sz w:val="24"/>
              </w:rPr>
              <w:t>Criterio diagnóstico que se obtiene dividendo el peso entre la estatura elevada al cuadrado. Es un indicador simple de la relación entre el peso y la estatura, que se utiliza frecuentemente para identificar sobrepeso y obesidad en la población</w:t>
            </w:r>
          </w:p>
        </w:tc>
        <w:tc>
          <w:tcPr>
            <w:tcW w:w="4251" w:type="dxa"/>
          </w:tcPr>
          <w:p>
            <w:pPr>
              <w:pStyle w:val="TableParagraph"/>
              <w:ind w:left="103" w:right="2502"/>
              <w:rPr>
                <w:sz w:val="24"/>
              </w:rPr>
            </w:pPr>
            <w:r>
              <w:rPr>
                <w:sz w:val="24"/>
              </w:rPr>
              <w:t>IMC= </w:t>
            </w:r>
            <w:r>
              <w:rPr>
                <w:sz w:val="24"/>
                <w:u w:val="single"/>
              </w:rPr>
              <w:t>Peso (Kg) </w:t>
            </w:r>
            <w:r>
              <w:rPr>
                <w:sz w:val="24"/>
              </w:rPr>
              <w:t>Estatura (m²)</w:t>
            </w:r>
          </w:p>
          <w:p>
            <w:pPr>
              <w:pStyle w:val="TableParagraph"/>
              <w:rPr>
                <w:sz w:val="24"/>
              </w:rPr>
            </w:pPr>
          </w:p>
          <w:p>
            <w:pPr>
              <w:pStyle w:val="TableParagraph"/>
              <w:ind w:left="103" w:right="513"/>
              <w:rPr>
                <w:sz w:val="24"/>
              </w:rPr>
            </w:pPr>
            <w:r>
              <w:rPr>
                <w:sz w:val="24"/>
              </w:rPr>
              <w:t>Bajo peso: &lt;18.5</w:t>
            </w:r>
          </w:p>
          <w:p>
            <w:pPr>
              <w:pStyle w:val="TableParagraph"/>
              <w:ind w:left="103" w:right="513"/>
              <w:rPr>
                <w:sz w:val="24"/>
              </w:rPr>
            </w:pPr>
            <w:r>
              <w:rPr>
                <w:sz w:val="24"/>
              </w:rPr>
              <w:t>Normo peso: 18.5-24.9</w:t>
            </w:r>
          </w:p>
          <w:p>
            <w:pPr>
              <w:pStyle w:val="TableParagraph"/>
              <w:ind w:left="103" w:right="513"/>
              <w:rPr>
                <w:sz w:val="24"/>
              </w:rPr>
            </w:pPr>
            <w:r>
              <w:rPr>
                <w:sz w:val="24"/>
              </w:rPr>
              <w:t>Sobre peso: 25- 29.9</w:t>
            </w:r>
          </w:p>
          <w:p>
            <w:pPr>
              <w:pStyle w:val="TableParagraph"/>
              <w:ind w:left="103" w:right="513"/>
              <w:rPr>
                <w:sz w:val="24"/>
              </w:rPr>
            </w:pPr>
            <w:r>
              <w:rPr>
                <w:sz w:val="24"/>
              </w:rPr>
              <w:t>Obesidad: 30- ≥ 40</w:t>
            </w:r>
          </w:p>
        </w:tc>
        <w:tc>
          <w:tcPr>
            <w:tcW w:w="1418" w:type="dxa"/>
          </w:tcPr>
          <w:p>
            <w:pPr>
              <w:pStyle w:val="TableParagraph"/>
              <w:ind w:left="103" w:right="112"/>
              <w:rPr>
                <w:sz w:val="24"/>
              </w:rPr>
            </w:pPr>
            <w:r>
              <w:rPr>
                <w:sz w:val="24"/>
              </w:rPr>
              <w:t>Cuantitativa Contínua</w:t>
            </w:r>
          </w:p>
        </w:tc>
        <w:tc>
          <w:tcPr>
            <w:tcW w:w="2127" w:type="dxa"/>
          </w:tcPr>
          <w:p>
            <w:pPr>
              <w:pStyle w:val="TableParagraph"/>
              <w:tabs>
                <w:tab w:pos="1295" w:val="left" w:leader="none"/>
                <w:tab w:pos="1785" w:val="left" w:leader="none"/>
              </w:tabs>
              <w:ind w:left="103" w:right="100"/>
              <w:rPr>
                <w:sz w:val="24"/>
              </w:rPr>
            </w:pPr>
            <w:r>
              <w:rPr>
                <w:sz w:val="24"/>
              </w:rPr>
              <w:t>Continua Instrumento</w:t>
              <w:tab/>
              <w:tab/>
              <w:t>de medición:</w:t>
              <w:tab/>
              <w:t>InBody 230</w:t>
            </w:r>
          </w:p>
        </w:tc>
        <w:tc>
          <w:tcPr>
            <w:tcW w:w="1985" w:type="dxa"/>
          </w:tcPr>
          <w:p>
            <w:pPr>
              <w:pStyle w:val="TableParagraph"/>
              <w:spacing w:before="6"/>
              <w:rPr>
                <w:sz w:val="23"/>
              </w:rPr>
            </w:pPr>
          </w:p>
          <w:p>
            <w:pPr>
              <w:pStyle w:val="TableParagraph"/>
              <w:ind w:left="103"/>
              <w:rPr>
                <w:sz w:val="24"/>
              </w:rPr>
            </w:pPr>
            <w:r>
              <w:rPr>
                <w:sz w:val="24"/>
              </w:rPr>
              <w:t>Regresión lineal</w:t>
            </w:r>
          </w:p>
        </w:tc>
      </w:tr>
    </w:tbl>
    <w:p>
      <w:pPr>
        <w:spacing w:after="0"/>
        <w:rPr>
          <w:sz w:val="24"/>
        </w:rPr>
        <w:sectPr>
          <w:headerReference w:type="default" r:id="rId8"/>
          <w:pgSz w:w="16840" w:h="11910" w:orient="landscape"/>
          <w:pgMar w:header="731" w:footer="0" w:top="960" w:bottom="280" w:left="520" w:right="800"/>
          <w:pgNumType w:start="35"/>
        </w:sectPr>
      </w:pPr>
    </w:p>
    <w:p>
      <w:pPr>
        <w:pStyle w:val="BodyText"/>
        <w:rPr>
          <w:sz w:val="20"/>
        </w:rPr>
      </w:pPr>
    </w:p>
    <w:p>
      <w:pPr>
        <w:pStyle w:val="BodyText"/>
        <w:rPr>
          <w:sz w:val="20"/>
        </w:rPr>
      </w:pPr>
    </w:p>
    <w:p>
      <w:pPr>
        <w:pStyle w:val="BodyText"/>
        <w:spacing w:before="6"/>
        <w:rPr>
          <w:sz w:val="23"/>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8"/>
        <w:gridCol w:w="2979"/>
        <w:gridCol w:w="4251"/>
        <w:gridCol w:w="1418"/>
        <w:gridCol w:w="2127"/>
        <w:gridCol w:w="1985"/>
      </w:tblGrid>
      <w:tr>
        <w:trPr>
          <w:trHeight w:val="1630" w:hRule="exact"/>
        </w:trPr>
        <w:tc>
          <w:tcPr>
            <w:tcW w:w="2518" w:type="dxa"/>
          </w:tcPr>
          <w:p>
            <w:pPr>
              <w:pStyle w:val="TableParagraph"/>
              <w:rPr>
                <w:sz w:val="24"/>
              </w:rPr>
            </w:pPr>
          </w:p>
          <w:p>
            <w:pPr>
              <w:pStyle w:val="TableParagraph"/>
              <w:rPr>
                <w:sz w:val="22"/>
              </w:rPr>
            </w:pPr>
          </w:p>
          <w:p>
            <w:pPr>
              <w:pStyle w:val="TableParagraph"/>
              <w:ind w:left="103" w:right="298"/>
              <w:rPr>
                <w:b/>
                <w:sz w:val="24"/>
              </w:rPr>
            </w:pPr>
            <w:r>
              <w:rPr>
                <w:b/>
                <w:sz w:val="24"/>
              </w:rPr>
              <w:t>Hemoglobina glucosilada( HbA1c)</w:t>
            </w:r>
          </w:p>
        </w:tc>
        <w:tc>
          <w:tcPr>
            <w:tcW w:w="2979" w:type="dxa"/>
          </w:tcPr>
          <w:p>
            <w:pPr>
              <w:pStyle w:val="TableParagraph"/>
              <w:spacing w:before="7"/>
              <w:rPr>
                <w:sz w:val="21"/>
              </w:rPr>
            </w:pPr>
          </w:p>
          <w:p>
            <w:pPr>
              <w:pStyle w:val="TableParagraph"/>
              <w:ind w:left="103" w:right="104"/>
              <w:jc w:val="both"/>
              <w:rPr>
                <w:sz w:val="24"/>
              </w:rPr>
            </w:pPr>
            <w:r>
              <w:rPr>
                <w:sz w:val="24"/>
              </w:rPr>
              <w:t>Refleja la glucemia media del individuo en los tres a cuatro meses previos a la toma de la muestra</w:t>
            </w:r>
          </w:p>
        </w:tc>
        <w:tc>
          <w:tcPr>
            <w:tcW w:w="4251" w:type="dxa"/>
          </w:tcPr>
          <w:p>
            <w:pPr>
              <w:pStyle w:val="TableParagraph"/>
              <w:spacing w:before="1"/>
              <w:rPr>
                <w:sz w:val="20"/>
              </w:rPr>
            </w:pPr>
          </w:p>
          <w:p>
            <w:pPr>
              <w:pStyle w:val="TableParagraph"/>
              <w:tabs>
                <w:tab w:pos="1691" w:val="left" w:leader="none"/>
                <w:tab w:pos="2548" w:val="left" w:leader="none"/>
                <w:tab w:pos="3908" w:val="left" w:leader="none"/>
              </w:tabs>
              <w:spacing w:before="1"/>
              <w:ind w:left="103" w:right="101"/>
              <w:jc w:val="both"/>
              <w:rPr>
                <w:sz w:val="24"/>
              </w:rPr>
            </w:pPr>
            <w:r>
              <w:rPr>
                <w:sz w:val="24"/>
              </w:rPr>
              <w:t>Mediante</w:t>
              <w:tab/>
              <w:t>la</w:t>
              <w:tab/>
              <w:t>técnica</w:t>
              <w:tab/>
              <w:t>de inmunoturbidimetría en el equipo RxSuzuka</w:t>
            </w:r>
            <w:r>
              <w:rPr>
                <w:spacing w:val="-14"/>
                <w:sz w:val="24"/>
              </w:rPr>
              <w:t> </w:t>
            </w:r>
            <w:r>
              <w:rPr>
                <w:sz w:val="24"/>
              </w:rPr>
              <w:t>y</w:t>
            </w:r>
            <w:r>
              <w:rPr>
                <w:spacing w:val="-21"/>
                <w:sz w:val="24"/>
              </w:rPr>
              <w:t> </w:t>
            </w:r>
            <w:r>
              <w:rPr>
                <w:sz w:val="24"/>
              </w:rPr>
              <w:t>con</w:t>
            </w:r>
            <w:r>
              <w:rPr>
                <w:spacing w:val="-16"/>
                <w:sz w:val="24"/>
              </w:rPr>
              <w:t> </w:t>
            </w:r>
            <w:r>
              <w:rPr>
                <w:sz w:val="24"/>
              </w:rPr>
              <w:t>reactivos</w:t>
            </w:r>
            <w:r>
              <w:rPr>
                <w:spacing w:val="-16"/>
                <w:sz w:val="24"/>
              </w:rPr>
              <w:t> </w:t>
            </w:r>
            <w:r>
              <w:rPr>
                <w:sz w:val="24"/>
              </w:rPr>
              <w:t>de</w:t>
            </w:r>
            <w:r>
              <w:rPr>
                <w:spacing w:val="-17"/>
                <w:sz w:val="24"/>
              </w:rPr>
              <w:t> </w:t>
            </w:r>
            <w:r>
              <w:rPr>
                <w:sz w:val="24"/>
              </w:rPr>
              <w:t>RANDOX™ (Cat.</w:t>
            </w:r>
            <w:r>
              <w:rPr>
                <w:spacing w:val="-4"/>
                <w:sz w:val="24"/>
              </w:rPr>
              <w:t> </w:t>
            </w:r>
            <w:r>
              <w:rPr>
                <w:sz w:val="24"/>
              </w:rPr>
              <w:t>HA8043).</w:t>
            </w:r>
          </w:p>
        </w:tc>
        <w:tc>
          <w:tcPr>
            <w:tcW w:w="1418" w:type="dxa"/>
          </w:tcPr>
          <w:p>
            <w:pPr>
              <w:pStyle w:val="TableParagraph"/>
              <w:rPr>
                <w:sz w:val="24"/>
              </w:rPr>
            </w:pPr>
          </w:p>
          <w:p>
            <w:pPr>
              <w:pStyle w:val="TableParagraph"/>
              <w:spacing w:before="8"/>
              <w:rPr>
                <w:sz w:val="33"/>
              </w:rPr>
            </w:pPr>
          </w:p>
          <w:p>
            <w:pPr>
              <w:pStyle w:val="TableParagraph"/>
              <w:ind w:left="103" w:right="101"/>
              <w:rPr>
                <w:sz w:val="24"/>
              </w:rPr>
            </w:pPr>
            <w:r>
              <w:rPr>
                <w:sz w:val="24"/>
              </w:rPr>
              <w:t>Continua</w:t>
            </w:r>
          </w:p>
        </w:tc>
        <w:tc>
          <w:tcPr>
            <w:tcW w:w="2127" w:type="dxa"/>
          </w:tcPr>
          <w:p>
            <w:pPr>
              <w:pStyle w:val="TableParagraph"/>
              <w:rPr>
                <w:sz w:val="24"/>
              </w:rPr>
            </w:pPr>
          </w:p>
          <w:p>
            <w:pPr>
              <w:pStyle w:val="TableParagraph"/>
              <w:spacing w:before="8"/>
              <w:rPr>
                <w:sz w:val="33"/>
              </w:rPr>
            </w:pPr>
          </w:p>
          <w:p>
            <w:pPr>
              <w:pStyle w:val="TableParagraph"/>
              <w:ind w:left="103"/>
              <w:rPr>
                <w:sz w:val="24"/>
              </w:rPr>
            </w:pPr>
            <w:r>
              <w:rPr>
                <w:w w:val="99"/>
                <w:sz w:val="24"/>
              </w:rPr>
              <w:t>%</w:t>
            </w:r>
          </w:p>
        </w:tc>
        <w:tc>
          <w:tcPr>
            <w:tcW w:w="1985" w:type="dxa"/>
          </w:tcPr>
          <w:p>
            <w:pPr>
              <w:pStyle w:val="TableParagraph"/>
              <w:rPr>
                <w:sz w:val="24"/>
              </w:rPr>
            </w:pPr>
          </w:p>
          <w:p>
            <w:pPr>
              <w:pStyle w:val="TableParagraph"/>
              <w:spacing w:before="8"/>
              <w:rPr>
                <w:sz w:val="33"/>
              </w:rPr>
            </w:pPr>
          </w:p>
          <w:p>
            <w:pPr>
              <w:pStyle w:val="TableParagraph"/>
              <w:ind w:left="103"/>
              <w:rPr>
                <w:sz w:val="24"/>
              </w:rPr>
            </w:pPr>
            <w:r>
              <w:rPr>
                <w:sz w:val="24"/>
              </w:rPr>
              <w:t>Regresión lineal</w:t>
            </w:r>
          </w:p>
        </w:tc>
      </w:tr>
      <w:tr>
        <w:trPr>
          <w:trHeight w:val="838" w:hRule="exact"/>
        </w:trPr>
        <w:tc>
          <w:tcPr>
            <w:tcW w:w="15278" w:type="dxa"/>
            <w:gridSpan w:val="6"/>
          </w:tcPr>
          <w:p>
            <w:pPr>
              <w:pStyle w:val="TableParagraph"/>
              <w:spacing w:before="8"/>
              <w:rPr>
                <w:sz w:val="23"/>
              </w:rPr>
            </w:pPr>
          </w:p>
          <w:p>
            <w:pPr>
              <w:pStyle w:val="TableParagraph"/>
              <w:ind w:left="103"/>
              <w:rPr>
                <w:b/>
                <w:sz w:val="24"/>
              </w:rPr>
            </w:pPr>
            <w:r>
              <w:rPr>
                <w:b/>
                <w:sz w:val="24"/>
              </w:rPr>
              <w:t>DEPENDIENTES</w:t>
            </w:r>
          </w:p>
        </w:tc>
      </w:tr>
      <w:tr>
        <w:trPr>
          <w:trHeight w:val="3322" w:hRule="exact"/>
        </w:trPr>
        <w:tc>
          <w:tcPr>
            <w:tcW w:w="2518"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9"/>
              <w:rPr>
                <w:sz w:val="35"/>
              </w:rPr>
            </w:pPr>
          </w:p>
          <w:p>
            <w:pPr>
              <w:pStyle w:val="TableParagraph"/>
              <w:spacing w:before="1"/>
              <w:ind w:left="103"/>
              <w:rPr>
                <w:b/>
                <w:sz w:val="24"/>
              </w:rPr>
            </w:pPr>
            <w:r>
              <w:rPr>
                <w:b/>
                <w:sz w:val="24"/>
              </w:rPr>
              <w:t>Interleucina- 6 (IL-6)</w:t>
            </w:r>
          </w:p>
        </w:tc>
        <w:tc>
          <w:tcPr>
            <w:tcW w:w="2979" w:type="dxa"/>
          </w:tcPr>
          <w:p>
            <w:pPr>
              <w:pStyle w:val="TableParagraph"/>
              <w:tabs>
                <w:tab w:pos="2198" w:val="left" w:leader="none"/>
              </w:tabs>
              <w:ind w:left="103" w:right="104"/>
              <w:jc w:val="both"/>
              <w:rPr>
                <w:sz w:val="24"/>
              </w:rPr>
            </w:pPr>
            <w:r>
              <w:rPr>
                <w:sz w:val="24"/>
              </w:rPr>
              <w:t>Glucoproteína segregada</w:t>
            </w:r>
            <w:r>
              <w:rPr>
                <w:spacing w:val="-17"/>
                <w:sz w:val="24"/>
              </w:rPr>
              <w:t> </w:t>
            </w:r>
            <w:r>
              <w:rPr>
                <w:sz w:val="24"/>
              </w:rPr>
              <w:t>por los   macrófagos,    células T,</w:t>
              <w:tab/>
            </w:r>
            <w:r>
              <w:rPr>
                <w:spacing w:val="-1"/>
                <w:sz w:val="24"/>
              </w:rPr>
              <w:t>células</w:t>
            </w:r>
          </w:p>
          <w:p>
            <w:pPr>
              <w:pStyle w:val="TableParagraph"/>
              <w:tabs>
                <w:tab w:pos="2636" w:val="left" w:leader="none"/>
              </w:tabs>
              <w:ind w:left="103" w:right="102"/>
              <w:jc w:val="both"/>
              <w:rPr>
                <w:sz w:val="24"/>
              </w:rPr>
            </w:pPr>
            <w:r>
              <w:rPr>
                <w:sz w:val="24"/>
              </w:rPr>
              <w:t>endoteliales y fibroblastos. Localizado</w:t>
              <w:tab/>
              <w:t>en</w:t>
            </w:r>
          </w:p>
          <w:p>
            <w:pPr>
              <w:pStyle w:val="TableParagraph"/>
              <w:tabs>
                <w:tab w:pos="2747" w:val="left" w:leader="none"/>
              </w:tabs>
              <w:ind w:left="103" w:right="100"/>
              <w:jc w:val="both"/>
              <w:rPr>
                <w:sz w:val="24"/>
              </w:rPr>
            </w:pPr>
            <w:r>
              <w:rPr>
                <w:sz w:val="24"/>
              </w:rPr>
              <w:t>el cromosoma 7, su liberación está inducida por la IL-1 y se incrementa en respuesta a TNFα. Es una citocina con actividad antiinflamatoria</w:t>
              <w:tab/>
              <w:t>y proinflamatoria.</w:t>
            </w:r>
          </w:p>
        </w:tc>
        <w:tc>
          <w:tcPr>
            <w:tcW w:w="4251" w:type="dxa"/>
          </w:tcPr>
          <w:p>
            <w:pPr>
              <w:pStyle w:val="TableParagraph"/>
              <w:spacing w:line="720" w:lineRule="auto"/>
              <w:ind w:left="103" w:right="566"/>
              <w:rPr>
                <w:sz w:val="24"/>
              </w:rPr>
            </w:pPr>
            <w:r>
              <w:rPr>
                <w:sz w:val="24"/>
              </w:rPr>
              <w:t>Expresión de IL-6, en saliva . Técnica de medición: ELISA.</w:t>
            </w:r>
          </w:p>
        </w:tc>
        <w:tc>
          <w:tcPr>
            <w:tcW w:w="1418" w:type="dxa"/>
          </w:tcPr>
          <w:p>
            <w:pPr>
              <w:pStyle w:val="TableParagraph"/>
              <w:ind w:left="103" w:right="112"/>
              <w:rPr>
                <w:sz w:val="24"/>
              </w:rPr>
            </w:pPr>
            <w:r>
              <w:rPr>
                <w:sz w:val="24"/>
              </w:rPr>
              <w:t>Cuantitativa Continua</w:t>
            </w:r>
          </w:p>
        </w:tc>
        <w:tc>
          <w:tcPr>
            <w:tcW w:w="2127" w:type="dxa"/>
          </w:tcPr>
          <w:p>
            <w:pPr>
              <w:pStyle w:val="TableParagraph"/>
              <w:ind w:left="103"/>
              <w:rPr>
                <w:sz w:val="24"/>
              </w:rPr>
            </w:pPr>
            <w:r>
              <w:rPr>
                <w:sz w:val="24"/>
              </w:rPr>
              <w:t>Unidad de medida: pg/mL</w:t>
            </w:r>
          </w:p>
        </w:tc>
        <w:tc>
          <w:tcPr>
            <w:tcW w:w="1985"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spacing w:before="1"/>
              <w:ind w:left="103"/>
              <w:rPr>
                <w:sz w:val="24"/>
              </w:rPr>
            </w:pPr>
            <w:r>
              <w:rPr>
                <w:sz w:val="24"/>
              </w:rPr>
              <w:t>Regresión lineal</w:t>
            </w:r>
          </w:p>
        </w:tc>
      </w:tr>
    </w:tbl>
    <w:p>
      <w:pPr>
        <w:spacing w:after="0"/>
        <w:rPr>
          <w:sz w:val="24"/>
        </w:rPr>
        <w:sectPr>
          <w:pgSz w:w="16840" w:h="11910" w:orient="landscape"/>
          <w:pgMar w:header="731" w:footer="0" w:top="960" w:bottom="280" w:left="520" w:right="800"/>
        </w:sectPr>
      </w:pPr>
    </w:p>
    <w:p>
      <w:pPr>
        <w:pStyle w:val="BodyText"/>
        <w:rPr>
          <w:sz w:val="20"/>
        </w:rPr>
      </w:pPr>
    </w:p>
    <w:p>
      <w:pPr>
        <w:pStyle w:val="Heading2"/>
        <w:numPr>
          <w:ilvl w:val="1"/>
          <w:numId w:val="16"/>
        </w:numPr>
        <w:tabs>
          <w:tab w:pos="491" w:val="left" w:leader="none"/>
        </w:tabs>
        <w:spacing w:line="240" w:lineRule="auto" w:before="217" w:after="0"/>
        <w:ind w:left="490" w:right="0" w:hanging="388"/>
        <w:jc w:val="both"/>
      </w:pPr>
      <w:r>
        <w:rPr/>
        <w:t>Implicaciones</w:t>
      </w:r>
      <w:r>
        <w:rPr>
          <w:spacing w:val="-4"/>
        </w:rPr>
        <w:t> </w:t>
      </w:r>
      <w:r>
        <w:rPr/>
        <w:t>bioéticas</w:t>
      </w:r>
    </w:p>
    <w:p>
      <w:pPr>
        <w:pStyle w:val="BodyText"/>
        <w:spacing w:before="10"/>
        <w:rPr>
          <w:b/>
          <w:sz w:val="29"/>
        </w:rPr>
      </w:pPr>
    </w:p>
    <w:p>
      <w:pPr>
        <w:pStyle w:val="BodyText"/>
        <w:spacing w:line="360" w:lineRule="auto"/>
        <w:ind w:left="102" w:right="118"/>
        <w:jc w:val="both"/>
      </w:pPr>
      <w:r>
        <w:rPr/>
        <w:t>Este protocolo de investigación se llevó a cabo respetando los lineamientos establecidos por la Declaración de Helsinki de 1975 y la enmienda del año 2013. De la misma manera, se respetó el Reglamento de la Ley General de Salud en materia de Investigación en Seres Humanos.</w:t>
      </w:r>
    </w:p>
    <w:p>
      <w:pPr>
        <w:pStyle w:val="BodyText"/>
      </w:pPr>
    </w:p>
    <w:p>
      <w:pPr>
        <w:pStyle w:val="BodyText"/>
        <w:spacing w:line="360" w:lineRule="auto" w:before="143"/>
        <w:ind w:left="102" w:right="117"/>
        <w:jc w:val="both"/>
      </w:pPr>
      <w:r>
        <w:rPr/>
        <w:t>El protocolo fue sometido a la revisión y aprobación del Comité de Ética del Centro de Investigación en Ciencias Médicas (CICMED) de la Universidad Autónoma del Estado de México. El cual fue aprobado por el comité el día 09 de Septiembre de 2015, con el número de registro CONBIOÉTICA 15CEI01720131119.</w:t>
      </w:r>
    </w:p>
    <w:p>
      <w:pPr>
        <w:pStyle w:val="BodyText"/>
      </w:pPr>
    </w:p>
    <w:p>
      <w:pPr>
        <w:pStyle w:val="BodyText"/>
        <w:spacing w:line="360" w:lineRule="auto" w:before="143"/>
        <w:ind w:left="102" w:right="119"/>
        <w:jc w:val="both"/>
      </w:pPr>
      <w:r>
        <w:rPr/>
        <w:t>La participación fue voluntaria y estuvo siempre sujeta a la autorización del paciente mediante el consentimiento informado declarado de forma escrita.</w:t>
      </w:r>
    </w:p>
    <w:p>
      <w:pPr>
        <w:pStyle w:val="BodyText"/>
      </w:pPr>
    </w:p>
    <w:p>
      <w:pPr>
        <w:pStyle w:val="BodyText"/>
        <w:spacing w:line="360" w:lineRule="auto" w:before="143"/>
        <w:ind w:left="102" w:right="116"/>
        <w:jc w:val="both"/>
      </w:pPr>
      <w:r>
        <w:rPr/>
        <w:t>Este estudio estuvo considerado como una investigación con riesgo mínimo, basados en la Ley General de Salud en materia de Investigación en Seres Humanos, en virtud de que se obtuvo muestra de sangre por punción venosa. La información obtenida de este estudio fue manejada en forma confidencial. Los exámenes de sangre, se proporcionaron sin costo alguno para el paciente y los resultados fueron entregados de manera personalizada.</w:t>
      </w:r>
    </w:p>
    <w:p>
      <w:pPr>
        <w:pStyle w:val="BodyText"/>
      </w:pPr>
    </w:p>
    <w:p>
      <w:pPr>
        <w:pStyle w:val="BodyText"/>
        <w:spacing w:before="9"/>
      </w:pPr>
    </w:p>
    <w:p>
      <w:pPr>
        <w:pStyle w:val="Heading2"/>
        <w:numPr>
          <w:ilvl w:val="1"/>
          <w:numId w:val="16"/>
        </w:numPr>
        <w:tabs>
          <w:tab w:pos="527" w:val="left" w:leader="none"/>
        </w:tabs>
        <w:spacing w:line="240" w:lineRule="auto" w:before="0" w:after="0"/>
        <w:ind w:left="526" w:right="0" w:hanging="424"/>
        <w:jc w:val="both"/>
      </w:pPr>
      <w:r>
        <w:rPr/>
        <w:t>Infraestructura y</w:t>
      </w:r>
      <w:r>
        <w:rPr>
          <w:spacing w:val="-31"/>
        </w:rPr>
        <w:t> </w:t>
      </w:r>
      <w:r>
        <w:rPr/>
        <w:t>disponibilidad</w:t>
      </w:r>
    </w:p>
    <w:p>
      <w:pPr>
        <w:pStyle w:val="BodyText"/>
        <w:spacing w:before="192"/>
        <w:ind w:left="102"/>
        <w:jc w:val="both"/>
      </w:pPr>
      <w:r>
        <w:rPr/>
        <w:t>El proyecto de investigación se realizó con el apoyo de la infraestructura del CICMED.</w:t>
      </w:r>
    </w:p>
    <w:p>
      <w:pPr>
        <w:pStyle w:val="BodyText"/>
      </w:pPr>
    </w:p>
    <w:p>
      <w:pPr>
        <w:pStyle w:val="BodyText"/>
        <w:spacing w:before="7"/>
      </w:pPr>
    </w:p>
    <w:p>
      <w:pPr>
        <w:pStyle w:val="Heading2"/>
        <w:numPr>
          <w:ilvl w:val="1"/>
          <w:numId w:val="16"/>
        </w:numPr>
        <w:tabs>
          <w:tab w:pos="462" w:val="left" w:leader="none"/>
        </w:tabs>
        <w:spacing w:line="240" w:lineRule="auto" w:before="0" w:after="0"/>
        <w:ind w:left="462" w:right="0" w:hanging="360"/>
        <w:jc w:val="both"/>
      </w:pPr>
      <w:r>
        <w:rPr/>
        <w:t>Recolección de</w:t>
      </w:r>
      <w:r>
        <w:rPr>
          <w:spacing w:val="-5"/>
        </w:rPr>
        <w:t> </w:t>
      </w:r>
      <w:r>
        <w:rPr/>
        <w:t>datos</w:t>
      </w:r>
    </w:p>
    <w:p>
      <w:pPr>
        <w:pStyle w:val="BodyText"/>
        <w:spacing w:line="360" w:lineRule="auto" w:before="195"/>
        <w:ind w:left="102" w:right="116"/>
        <w:jc w:val="both"/>
      </w:pPr>
      <w:r>
        <w:rPr/>
        <w:t>La</w:t>
      </w:r>
      <w:r>
        <w:rPr>
          <w:spacing w:val="-18"/>
        </w:rPr>
        <w:t> </w:t>
      </w:r>
      <w:r>
        <w:rPr/>
        <w:t>información</w:t>
      </w:r>
      <w:r>
        <w:rPr>
          <w:spacing w:val="-16"/>
        </w:rPr>
        <w:t> </w:t>
      </w:r>
      <w:r>
        <w:rPr/>
        <w:t>de</w:t>
      </w:r>
      <w:r>
        <w:rPr>
          <w:spacing w:val="-18"/>
        </w:rPr>
        <w:t> </w:t>
      </w:r>
      <w:r>
        <w:rPr/>
        <w:t>la</w:t>
      </w:r>
      <w:r>
        <w:rPr>
          <w:spacing w:val="-17"/>
        </w:rPr>
        <w:t> </w:t>
      </w:r>
      <w:r>
        <w:rPr/>
        <w:t>historia</w:t>
      </w:r>
      <w:r>
        <w:rPr>
          <w:spacing w:val="-18"/>
        </w:rPr>
        <w:t> </w:t>
      </w:r>
      <w:r>
        <w:rPr/>
        <w:t>clínica,</w:t>
      </w:r>
      <w:r>
        <w:rPr>
          <w:spacing w:val="-17"/>
        </w:rPr>
        <w:t> </w:t>
      </w:r>
      <w:r>
        <w:rPr/>
        <w:t>la</w:t>
      </w:r>
      <w:r>
        <w:rPr>
          <w:spacing w:val="-17"/>
        </w:rPr>
        <w:t> </w:t>
      </w:r>
      <w:r>
        <w:rPr/>
        <w:t>evaluación</w:t>
      </w:r>
      <w:r>
        <w:rPr>
          <w:spacing w:val="-14"/>
        </w:rPr>
        <w:t> </w:t>
      </w:r>
      <w:r>
        <w:rPr/>
        <w:t>odontológica,</w:t>
      </w:r>
      <w:r>
        <w:rPr>
          <w:spacing w:val="-16"/>
        </w:rPr>
        <w:t> </w:t>
      </w:r>
      <w:r>
        <w:rPr/>
        <w:t>los</w:t>
      </w:r>
      <w:r>
        <w:rPr>
          <w:spacing w:val="-16"/>
        </w:rPr>
        <w:t> </w:t>
      </w:r>
      <w:r>
        <w:rPr/>
        <w:t>resultados</w:t>
      </w:r>
      <w:r>
        <w:rPr>
          <w:spacing w:val="-17"/>
        </w:rPr>
        <w:t> </w:t>
      </w:r>
      <w:r>
        <w:rPr/>
        <w:t>de</w:t>
      </w:r>
      <w:r>
        <w:rPr>
          <w:spacing w:val="-18"/>
        </w:rPr>
        <w:t> </w:t>
      </w:r>
      <w:r>
        <w:rPr/>
        <w:t>los</w:t>
      </w:r>
      <w:r>
        <w:rPr>
          <w:spacing w:val="-16"/>
        </w:rPr>
        <w:t> </w:t>
      </w:r>
      <w:r>
        <w:rPr/>
        <w:t>análisis bioquímicos</w:t>
      </w:r>
      <w:r>
        <w:rPr>
          <w:spacing w:val="-3"/>
        </w:rPr>
        <w:t> </w:t>
      </w:r>
      <w:r>
        <w:rPr/>
        <w:t>y</w:t>
      </w:r>
      <w:r>
        <w:rPr>
          <w:spacing w:val="-13"/>
        </w:rPr>
        <w:t> </w:t>
      </w:r>
      <w:r>
        <w:rPr/>
        <w:t>de</w:t>
      </w:r>
      <w:r>
        <w:rPr>
          <w:spacing w:val="-7"/>
        </w:rPr>
        <w:t> </w:t>
      </w:r>
      <w:r>
        <w:rPr/>
        <w:t>los</w:t>
      </w:r>
      <w:r>
        <w:rPr>
          <w:spacing w:val="-6"/>
        </w:rPr>
        <w:t> </w:t>
      </w:r>
      <w:r>
        <w:rPr/>
        <w:t>parámetros</w:t>
      </w:r>
      <w:r>
        <w:rPr>
          <w:spacing w:val="-6"/>
        </w:rPr>
        <w:t> </w:t>
      </w:r>
      <w:r>
        <w:rPr/>
        <w:t>de</w:t>
      </w:r>
      <w:r>
        <w:rPr>
          <w:spacing w:val="-7"/>
        </w:rPr>
        <w:t> </w:t>
      </w:r>
      <w:r>
        <w:rPr/>
        <w:t>inflamación</w:t>
      </w:r>
      <w:r>
        <w:rPr>
          <w:spacing w:val="-5"/>
        </w:rPr>
        <w:t> </w:t>
      </w:r>
      <w:r>
        <w:rPr/>
        <w:t>fueron</w:t>
      </w:r>
      <w:r>
        <w:rPr>
          <w:spacing w:val="-7"/>
        </w:rPr>
        <w:t> </w:t>
      </w:r>
      <w:r>
        <w:rPr/>
        <w:t>vaciados</w:t>
      </w:r>
      <w:r>
        <w:rPr>
          <w:spacing w:val="-7"/>
        </w:rPr>
        <w:t> </w:t>
      </w:r>
      <w:r>
        <w:rPr/>
        <w:t>a</w:t>
      </w:r>
      <w:r>
        <w:rPr>
          <w:spacing w:val="-7"/>
        </w:rPr>
        <w:t> </w:t>
      </w:r>
      <w:r>
        <w:rPr/>
        <w:t>una</w:t>
      </w:r>
      <w:r>
        <w:rPr>
          <w:spacing w:val="-7"/>
        </w:rPr>
        <w:t> </w:t>
      </w:r>
      <w:r>
        <w:rPr/>
        <w:t>base</w:t>
      </w:r>
      <w:r>
        <w:rPr>
          <w:spacing w:val="-7"/>
        </w:rPr>
        <w:t> </w:t>
      </w:r>
      <w:r>
        <w:rPr/>
        <w:t>de</w:t>
      </w:r>
      <w:r>
        <w:rPr>
          <w:spacing w:val="-7"/>
        </w:rPr>
        <w:t> </w:t>
      </w:r>
      <w:r>
        <w:rPr/>
        <w:t>datos</w:t>
      </w:r>
      <w:r>
        <w:rPr>
          <w:spacing w:val="-6"/>
        </w:rPr>
        <w:t> </w:t>
      </w:r>
      <w:r>
        <w:rPr/>
        <w:t>para</w:t>
      </w:r>
      <w:r>
        <w:rPr>
          <w:spacing w:val="-8"/>
        </w:rPr>
        <w:t> </w:t>
      </w:r>
      <w:r>
        <w:rPr/>
        <w:t>ser analizada en el programa de análisis estadístico SPSS versión 19.0 y STATA</w:t>
      </w:r>
      <w:r>
        <w:rPr>
          <w:spacing w:val="-13"/>
        </w:rPr>
        <w:t> </w:t>
      </w:r>
      <w:r>
        <w:rPr/>
        <w:t>9.</w:t>
      </w:r>
    </w:p>
    <w:p>
      <w:pPr>
        <w:spacing w:after="0" w:line="360" w:lineRule="auto"/>
        <w:jc w:val="both"/>
        <w:sectPr>
          <w:headerReference w:type="default" r:id="rId9"/>
          <w:pgSz w:w="12240" w:h="15840"/>
          <w:pgMar w:header="731" w:footer="0" w:top="960" w:bottom="280" w:left="1600" w:right="1580"/>
          <w:pgNumType w:start="37"/>
        </w:sectPr>
      </w:pPr>
    </w:p>
    <w:p>
      <w:pPr>
        <w:pStyle w:val="BodyText"/>
        <w:rPr>
          <w:sz w:val="20"/>
        </w:rPr>
      </w:pPr>
    </w:p>
    <w:p>
      <w:pPr>
        <w:pStyle w:val="Heading2"/>
        <w:numPr>
          <w:ilvl w:val="1"/>
          <w:numId w:val="16"/>
        </w:numPr>
        <w:tabs>
          <w:tab w:pos="462" w:val="left" w:leader="none"/>
        </w:tabs>
        <w:spacing w:line="240" w:lineRule="auto" w:before="217" w:after="0"/>
        <w:ind w:left="462" w:right="0" w:hanging="360"/>
        <w:jc w:val="both"/>
      </w:pPr>
      <w:r>
        <w:rPr/>
        <w:t>Análisis</w:t>
      </w:r>
      <w:r>
        <w:rPr>
          <w:spacing w:val="-5"/>
        </w:rPr>
        <w:t> </w:t>
      </w:r>
      <w:r>
        <w:rPr/>
        <w:t>estadístico</w:t>
      </w:r>
    </w:p>
    <w:p>
      <w:pPr>
        <w:pStyle w:val="BodyText"/>
        <w:spacing w:before="10"/>
        <w:rPr>
          <w:b/>
          <w:sz w:val="29"/>
        </w:rPr>
      </w:pPr>
    </w:p>
    <w:p>
      <w:pPr>
        <w:pStyle w:val="BodyText"/>
        <w:spacing w:line="357" w:lineRule="auto"/>
        <w:ind w:left="102" w:right="116"/>
        <w:jc w:val="both"/>
      </w:pPr>
      <w:r>
        <w:rPr/>
        <w:t>Se</w:t>
      </w:r>
      <w:r>
        <w:rPr>
          <w:spacing w:val="-8"/>
        </w:rPr>
        <w:t> </w:t>
      </w:r>
      <w:r>
        <w:rPr/>
        <w:t>realizaron</w:t>
      </w:r>
      <w:r>
        <w:rPr>
          <w:spacing w:val="-8"/>
        </w:rPr>
        <w:t> </w:t>
      </w:r>
      <w:r>
        <w:rPr/>
        <w:t>pruebas</w:t>
      </w:r>
      <w:r>
        <w:rPr>
          <w:spacing w:val="-7"/>
        </w:rPr>
        <w:t> </w:t>
      </w:r>
      <w:r>
        <w:rPr/>
        <w:t>Kolmogorov-Smirnov</w:t>
      </w:r>
      <w:r>
        <w:rPr>
          <w:spacing w:val="-8"/>
        </w:rPr>
        <w:t> </w:t>
      </w:r>
      <w:r>
        <w:rPr/>
        <w:t>para</w:t>
      </w:r>
      <w:r>
        <w:rPr>
          <w:spacing w:val="-8"/>
        </w:rPr>
        <w:t> </w:t>
      </w:r>
      <w:r>
        <w:rPr/>
        <w:t>evaluar</w:t>
      </w:r>
      <w:r>
        <w:rPr>
          <w:spacing w:val="-8"/>
        </w:rPr>
        <w:t> </w:t>
      </w:r>
      <w:r>
        <w:rPr/>
        <w:t>la</w:t>
      </w:r>
      <w:r>
        <w:rPr>
          <w:spacing w:val="-8"/>
        </w:rPr>
        <w:t> </w:t>
      </w:r>
      <w:r>
        <w:rPr/>
        <w:t>normalidad</w:t>
      </w:r>
      <w:r>
        <w:rPr>
          <w:spacing w:val="-7"/>
        </w:rPr>
        <w:t> </w:t>
      </w:r>
      <w:r>
        <w:rPr/>
        <w:t>de</w:t>
      </w:r>
      <w:r>
        <w:rPr>
          <w:spacing w:val="-8"/>
        </w:rPr>
        <w:t> </w:t>
      </w:r>
      <w:r>
        <w:rPr/>
        <w:t>la</w:t>
      </w:r>
      <w:r>
        <w:rPr>
          <w:spacing w:val="-8"/>
        </w:rPr>
        <w:t> </w:t>
      </w:r>
      <w:r>
        <w:rPr/>
        <w:t>distribución</w:t>
      </w:r>
      <w:r>
        <w:rPr>
          <w:spacing w:val="-7"/>
        </w:rPr>
        <w:t> </w:t>
      </w:r>
      <w:r>
        <w:rPr/>
        <w:t>de los datos; los valores de IL-6 no tuvieron una distribución normal. La estadística descriptiva consistió en obtener proporciones para las variables categóricas y media y desviación estándar para las variables continuas. Se compararon las características clínicas y sociodemográficas</w:t>
      </w:r>
      <w:r>
        <w:rPr>
          <w:spacing w:val="-6"/>
        </w:rPr>
        <w:t> </w:t>
      </w:r>
      <w:r>
        <w:rPr/>
        <w:t>entre</w:t>
      </w:r>
      <w:r>
        <w:rPr>
          <w:spacing w:val="-7"/>
        </w:rPr>
        <w:t> </w:t>
      </w:r>
      <w:r>
        <w:rPr/>
        <w:t>grupos</w:t>
      </w:r>
      <w:r>
        <w:rPr>
          <w:spacing w:val="-7"/>
        </w:rPr>
        <w:t> </w:t>
      </w:r>
      <w:r>
        <w:rPr/>
        <w:t>con</w:t>
      </w:r>
      <w:r>
        <w:rPr>
          <w:spacing w:val="-9"/>
        </w:rPr>
        <w:t> </w:t>
      </w:r>
      <w:r>
        <w:rPr/>
        <w:t>pruebas</w:t>
      </w:r>
      <w:r>
        <w:rPr>
          <w:spacing w:val="-7"/>
        </w:rPr>
        <w:t> </w:t>
      </w:r>
      <w:r>
        <w:rPr/>
        <w:t>chi</w:t>
      </w:r>
      <w:r>
        <w:rPr>
          <w:position w:val="9"/>
          <w:sz w:val="16"/>
        </w:rPr>
        <w:t>2</w:t>
      </w:r>
      <w:r>
        <w:rPr>
          <w:spacing w:val="-4"/>
          <w:position w:val="9"/>
          <w:sz w:val="16"/>
        </w:rPr>
        <w:t> </w:t>
      </w:r>
      <w:r>
        <w:rPr/>
        <w:t>o</w:t>
      </w:r>
      <w:r>
        <w:rPr>
          <w:spacing w:val="-9"/>
        </w:rPr>
        <w:t> </w:t>
      </w:r>
      <w:r>
        <w:rPr/>
        <w:t>prueba</w:t>
      </w:r>
      <w:r>
        <w:rPr>
          <w:spacing w:val="-9"/>
        </w:rPr>
        <w:t> </w:t>
      </w:r>
      <w:r>
        <w:rPr/>
        <w:t>exacta</w:t>
      </w:r>
      <w:r>
        <w:rPr>
          <w:spacing w:val="-7"/>
        </w:rPr>
        <w:t> </w:t>
      </w:r>
      <w:r>
        <w:rPr/>
        <w:t>de</w:t>
      </w:r>
      <w:r>
        <w:rPr>
          <w:spacing w:val="-7"/>
        </w:rPr>
        <w:t> </w:t>
      </w:r>
      <w:r>
        <w:rPr/>
        <w:t>Fisher</w:t>
      </w:r>
      <w:r>
        <w:rPr>
          <w:spacing w:val="-6"/>
        </w:rPr>
        <w:t> </w:t>
      </w:r>
      <w:r>
        <w:rPr/>
        <w:t>para</w:t>
      </w:r>
      <w:r>
        <w:rPr>
          <w:spacing w:val="-8"/>
        </w:rPr>
        <w:t> </w:t>
      </w:r>
      <w:r>
        <w:rPr/>
        <w:t>las</w:t>
      </w:r>
      <w:r>
        <w:rPr>
          <w:spacing w:val="-9"/>
        </w:rPr>
        <w:t> </w:t>
      </w:r>
      <w:r>
        <w:rPr/>
        <w:t>variables categóricas y ANOVA de una vía o Kruskal-Wallis para las variables</w:t>
      </w:r>
      <w:r>
        <w:rPr>
          <w:spacing w:val="-10"/>
        </w:rPr>
        <w:t> </w:t>
      </w:r>
      <w:r>
        <w:rPr/>
        <w:t>continuas.</w:t>
      </w:r>
    </w:p>
    <w:p>
      <w:pPr>
        <w:pStyle w:val="BodyText"/>
      </w:pPr>
    </w:p>
    <w:p>
      <w:pPr>
        <w:pStyle w:val="BodyText"/>
        <w:spacing w:line="360" w:lineRule="auto" w:before="146"/>
        <w:ind w:left="102" w:right="117"/>
        <w:jc w:val="both"/>
      </w:pPr>
      <w:r>
        <w:rPr/>
        <w:t>Se</w:t>
      </w:r>
      <w:r>
        <w:rPr>
          <w:spacing w:val="-8"/>
        </w:rPr>
        <w:t> </w:t>
      </w:r>
      <w:r>
        <w:rPr/>
        <w:t>compararon</w:t>
      </w:r>
      <w:r>
        <w:rPr>
          <w:spacing w:val="-8"/>
        </w:rPr>
        <w:t> </w:t>
      </w:r>
      <w:r>
        <w:rPr/>
        <w:t>los</w:t>
      </w:r>
      <w:r>
        <w:rPr>
          <w:spacing w:val="-7"/>
        </w:rPr>
        <w:t> </w:t>
      </w:r>
      <w:r>
        <w:rPr/>
        <w:t>valores</w:t>
      </w:r>
      <w:r>
        <w:rPr>
          <w:spacing w:val="-7"/>
        </w:rPr>
        <w:t> </w:t>
      </w:r>
      <w:r>
        <w:rPr/>
        <w:t>de</w:t>
      </w:r>
      <w:r>
        <w:rPr>
          <w:spacing w:val="-6"/>
        </w:rPr>
        <w:t> </w:t>
      </w:r>
      <w:r>
        <w:rPr/>
        <w:t>IL-6</w:t>
      </w:r>
      <w:r>
        <w:rPr>
          <w:spacing w:val="-7"/>
        </w:rPr>
        <w:t> </w:t>
      </w:r>
      <w:r>
        <w:rPr/>
        <w:t>de</w:t>
      </w:r>
      <w:r>
        <w:rPr>
          <w:spacing w:val="-6"/>
        </w:rPr>
        <w:t> </w:t>
      </w:r>
      <w:r>
        <w:rPr/>
        <w:t>acuerdo</w:t>
      </w:r>
      <w:r>
        <w:rPr>
          <w:spacing w:val="-8"/>
        </w:rPr>
        <w:t> </w:t>
      </w:r>
      <w:r>
        <w:rPr/>
        <w:t>con</w:t>
      </w:r>
      <w:r>
        <w:rPr>
          <w:spacing w:val="-7"/>
        </w:rPr>
        <w:t> </w:t>
      </w:r>
      <w:r>
        <w:rPr/>
        <w:t>las</w:t>
      </w:r>
      <w:r>
        <w:rPr>
          <w:spacing w:val="-8"/>
        </w:rPr>
        <w:t> </w:t>
      </w:r>
      <w:r>
        <w:rPr/>
        <w:t>variables</w:t>
      </w:r>
      <w:r>
        <w:rPr>
          <w:spacing w:val="-7"/>
        </w:rPr>
        <w:t> </w:t>
      </w:r>
      <w:r>
        <w:rPr/>
        <w:t>sociodemográficas</w:t>
      </w:r>
      <w:r>
        <w:rPr>
          <w:spacing w:val="-5"/>
        </w:rPr>
        <w:t> </w:t>
      </w:r>
      <w:r>
        <w:rPr/>
        <w:t>y</w:t>
      </w:r>
      <w:r>
        <w:rPr>
          <w:spacing w:val="-12"/>
        </w:rPr>
        <w:t> </w:t>
      </w:r>
      <w:r>
        <w:rPr/>
        <w:t>clínicas de los participantes con la prueba Mann-Whitney U-Wilcoxon pruebas de suma de rangos para</w:t>
      </w:r>
      <w:r>
        <w:rPr>
          <w:spacing w:val="-6"/>
        </w:rPr>
        <w:t> </w:t>
      </w:r>
      <w:r>
        <w:rPr/>
        <w:t>muestras</w:t>
      </w:r>
      <w:r>
        <w:rPr>
          <w:spacing w:val="-4"/>
        </w:rPr>
        <w:t> </w:t>
      </w:r>
      <w:r>
        <w:rPr/>
        <w:t>independientes.</w:t>
      </w:r>
      <w:r>
        <w:rPr>
          <w:spacing w:val="-3"/>
        </w:rPr>
        <w:t> </w:t>
      </w:r>
      <w:r>
        <w:rPr/>
        <w:t>Se</w:t>
      </w:r>
      <w:r>
        <w:rPr>
          <w:spacing w:val="-5"/>
        </w:rPr>
        <w:t> </w:t>
      </w:r>
      <w:r>
        <w:rPr/>
        <w:t>ajustó</w:t>
      </w:r>
      <w:r>
        <w:rPr>
          <w:spacing w:val="-4"/>
        </w:rPr>
        <w:t> </w:t>
      </w:r>
      <w:r>
        <w:rPr/>
        <w:t>un</w:t>
      </w:r>
      <w:r>
        <w:rPr>
          <w:spacing w:val="-4"/>
        </w:rPr>
        <w:t> </w:t>
      </w:r>
      <w:r>
        <w:rPr/>
        <w:t>análisis</w:t>
      </w:r>
      <w:r>
        <w:rPr>
          <w:spacing w:val="-5"/>
        </w:rPr>
        <w:t> </w:t>
      </w:r>
      <w:r>
        <w:rPr/>
        <w:t>de</w:t>
      </w:r>
      <w:r>
        <w:rPr>
          <w:spacing w:val="-5"/>
        </w:rPr>
        <w:t> </w:t>
      </w:r>
      <w:r>
        <w:rPr/>
        <w:t>regresión</w:t>
      </w:r>
      <w:r>
        <w:rPr>
          <w:spacing w:val="-3"/>
        </w:rPr>
        <w:t> </w:t>
      </w:r>
      <w:r>
        <w:rPr/>
        <w:t>lineal</w:t>
      </w:r>
      <w:r>
        <w:rPr>
          <w:spacing w:val="-3"/>
        </w:rPr>
        <w:t> </w:t>
      </w:r>
      <w:r>
        <w:rPr/>
        <w:t>estratificado</w:t>
      </w:r>
      <w:r>
        <w:rPr>
          <w:spacing w:val="-4"/>
        </w:rPr>
        <w:t> </w:t>
      </w:r>
      <w:r>
        <w:rPr/>
        <w:t>por</w:t>
      </w:r>
      <w:r>
        <w:rPr>
          <w:spacing w:val="-5"/>
        </w:rPr>
        <w:t> </w:t>
      </w:r>
      <w:r>
        <w:rPr/>
        <w:t>edad para</w:t>
      </w:r>
      <w:r>
        <w:rPr>
          <w:spacing w:val="-3"/>
        </w:rPr>
        <w:t> </w:t>
      </w:r>
      <w:r>
        <w:rPr/>
        <w:t>comparar</w:t>
      </w:r>
      <w:r>
        <w:rPr>
          <w:spacing w:val="-5"/>
        </w:rPr>
        <w:t> </w:t>
      </w:r>
      <w:r>
        <w:rPr/>
        <w:t>las</w:t>
      </w:r>
      <w:r>
        <w:rPr>
          <w:spacing w:val="-2"/>
        </w:rPr>
        <w:t> </w:t>
      </w:r>
      <w:r>
        <w:rPr/>
        <w:t>concentraciones</w:t>
      </w:r>
      <w:r>
        <w:rPr>
          <w:spacing w:val="-4"/>
        </w:rPr>
        <w:t> </w:t>
      </w:r>
      <w:r>
        <w:rPr/>
        <w:t>de</w:t>
      </w:r>
      <w:r>
        <w:rPr>
          <w:spacing w:val="-2"/>
        </w:rPr>
        <w:t> </w:t>
      </w:r>
      <w:r>
        <w:rPr/>
        <w:t>IL-6</w:t>
      </w:r>
      <w:r>
        <w:rPr>
          <w:spacing w:val="-4"/>
        </w:rPr>
        <w:t> </w:t>
      </w:r>
      <w:r>
        <w:rPr/>
        <w:t>en</w:t>
      </w:r>
      <w:r>
        <w:rPr>
          <w:spacing w:val="-2"/>
        </w:rPr>
        <w:t> </w:t>
      </w:r>
      <w:r>
        <w:rPr/>
        <w:t>el</w:t>
      </w:r>
      <w:r>
        <w:rPr>
          <w:spacing w:val="-1"/>
        </w:rPr>
        <w:t> </w:t>
      </w:r>
      <w:r>
        <w:rPr/>
        <w:t>grupo</w:t>
      </w:r>
      <w:r>
        <w:rPr>
          <w:spacing w:val="-4"/>
        </w:rPr>
        <w:t> </w:t>
      </w:r>
      <w:r>
        <w:rPr/>
        <w:t>DM2+EP</w:t>
      </w:r>
      <w:r>
        <w:rPr>
          <w:spacing w:val="-3"/>
        </w:rPr>
        <w:t> </w:t>
      </w:r>
      <w:r>
        <w:rPr/>
        <w:t>frente</w:t>
      </w:r>
      <w:r>
        <w:rPr>
          <w:spacing w:val="-1"/>
        </w:rPr>
        <w:t> </w:t>
      </w:r>
      <w:r>
        <w:rPr/>
        <w:t>a</w:t>
      </w:r>
      <w:r>
        <w:rPr>
          <w:spacing w:val="-5"/>
        </w:rPr>
        <w:t> </w:t>
      </w:r>
      <w:r>
        <w:rPr/>
        <w:t>los</w:t>
      </w:r>
      <w:r>
        <w:rPr>
          <w:spacing w:val="-4"/>
        </w:rPr>
        <w:t> </w:t>
      </w:r>
      <w:r>
        <w:rPr/>
        <w:t>grupos</w:t>
      </w:r>
      <w:r>
        <w:rPr>
          <w:spacing w:val="-4"/>
        </w:rPr>
        <w:t> </w:t>
      </w:r>
      <w:r>
        <w:rPr/>
        <w:t>EP</w:t>
      </w:r>
      <w:r>
        <w:rPr>
          <w:spacing w:val="1"/>
        </w:rPr>
        <w:t> </w:t>
      </w:r>
      <w:r>
        <w:rPr/>
        <w:t>y</w:t>
      </w:r>
      <w:r>
        <w:rPr>
          <w:spacing w:val="-9"/>
        </w:rPr>
        <w:t> </w:t>
      </w:r>
      <w:r>
        <w:rPr/>
        <w:t>no DM2-EP, ajustando por el efecto del IMC, sexo, concentraciones de HDL, estatus de tabaquismo y consumo de bebidas con contenido alcohólico. Las diferencias con un</w:t>
      </w:r>
      <w:r>
        <w:rPr>
          <w:spacing w:val="24"/>
        </w:rPr>
        <w:t> </w:t>
      </w:r>
      <w:r>
        <w:rPr/>
        <w:t>ρ-valor</w:t>
      </w:r>
    </w:p>
    <w:p>
      <w:pPr>
        <w:pStyle w:val="BodyText"/>
        <w:spacing w:line="360" w:lineRule="auto" w:before="6"/>
        <w:ind w:left="102" w:right="122"/>
        <w:jc w:val="both"/>
      </w:pPr>
      <w:r>
        <w:rPr/>
        <w:t>&lt;0.05 fueron considerados significativas. Los datos fueron analizados con el programa estadístico STATA 9.</w:t>
      </w:r>
    </w:p>
    <w:p>
      <w:pPr>
        <w:spacing w:after="0" w:line="360" w:lineRule="auto"/>
        <w:jc w:val="both"/>
        <w:sectPr>
          <w:pgSz w:w="12240" w:h="15840"/>
          <w:pgMar w:header="731" w:footer="0" w:top="960" w:bottom="280" w:left="1600" w:right="1580"/>
        </w:sectPr>
      </w:pPr>
    </w:p>
    <w:p>
      <w:pPr>
        <w:pStyle w:val="BodyText"/>
        <w:rPr>
          <w:sz w:val="20"/>
        </w:rPr>
      </w:pPr>
    </w:p>
    <w:p>
      <w:pPr>
        <w:pStyle w:val="BodyText"/>
        <w:rPr>
          <w:sz w:val="20"/>
        </w:rPr>
      </w:pPr>
    </w:p>
    <w:p>
      <w:pPr>
        <w:pStyle w:val="BodyText"/>
        <w:rPr>
          <w:sz w:val="20"/>
        </w:rPr>
      </w:pPr>
    </w:p>
    <w:p>
      <w:pPr>
        <w:pStyle w:val="Heading1"/>
        <w:numPr>
          <w:ilvl w:val="0"/>
          <w:numId w:val="2"/>
        </w:numPr>
        <w:tabs>
          <w:tab w:pos="822" w:val="left" w:leader="none"/>
        </w:tabs>
        <w:spacing w:line="240" w:lineRule="auto" w:before="231" w:after="0"/>
        <w:ind w:left="822" w:right="0" w:hanging="360"/>
        <w:jc w:val="left"/>
      </w:pPr>
      <w:r>
        <w:rPr/>
        <w:t>Resultados</w:t>
      </w:r>
    </w:p>
    <w:p>
      <w:pPr>
        <w:pStyle w:val="BodyText"/>
        <w:rPr>
          <w:b/>
          <w:sz w:val="28"/>
        </w:rPr>
      </w:pPr>
    </w:p>
    <w:p>
      <w:pPr>
        <w:pStyle w:val="BodyText"/>
        <w:spacing w:before="4"/>
        <w:rPr>
          <w:b/>
          <w:sz w:val="37"/>
        </w:rPr>
      </w:pPr>
    </w:p>
    <w:p>
      <w:pPr>
        <w:pStyle w:val="Heading3"/>
        <w:numPr>
          <w:ilvl w:val="1"/>
          <w:numId w:val="17"/>
        </w:numPr>
        <w:tabs>
          <w:tab w:pos="523" w:val="left" w:leader="none"/>
        </w:tabs>
        <w:spacing w:line="240" w:lineRule="auto" w:before="0" w:after="0"/>
        <w:ind w:left="522" w:right="0" w:hanging="420"/>
        <w:jc w:val="left"/>
      </w:pPr>
      <w:r>
        <w:rPr/>
        <w:t>Nombre del Artículo</w:t>
      </w:r>
      <w:r>
        <w:rPr>
          <w:spacing w:val="-7"/>
        </w:rPr>
        <w:t> </w:t>
      </w:r>
      <w:r>
        <w:rPr/>
        <w:t>Enviado</w:t>
      </w:r>
    </w:p>
    <w:p>
      <w:pPr>
        <w:pStyle w:val="BodyText"/>
        <w:rPr>
          <w:b/>
        </w:rPr>
      </w:pPr>
    </w:p>
    <w:p>
      <w:pPr>
        <w:pStyle w:val="BodyText"/>
        <w:spacing w:before="9"/>
        <w:rPr>
          <w:b/>
          <w:sz w:val="23"/>
        </w:rPr>
      </w:pPr>
    </w:p>
    <w:p>
      <w:pPr>
        <w:spacing w:before="0"/>
        <w:ind w:left="1383" w:right="291" w:hanging="1095"/>
        <w:jc w:val="left"/>
        <w:rPr>
          <w:b/>
          <w:sz w:val="24"/>
        </w:rPr>
      </w:pPr>
      <w:r>
        <w:rPr>
          <w:b/>
          <w:sz w:val="24"/>
        </w:rPr>
        <w:t>Evaluation of the salivary concentrations of IL-6 in adults with periodontal disease and type 2 diabetes mellitus: cross-sectional descriptive study</w:t>
      </w:r>
    </w:p>
    <w:p>
      <w:pPr>
        <w:spacing w:after="0"/>
        <w:jc w:val="left"/>
        <w:rPr>
          <w:sz w:val="24"/>
        </w:rPr>
        <w:sectPr>
          <w:pgSz w:w="12240" w:h="15840"/>
          <w:pgMar w:header="731" w:footer="0" w:top="960" w:bottom="280" w:left="1600" w:right="1580"/>
        </w:sectPr>
      </w:pPr>
    </w:p>
    <w:p>
      <w:pPr>
        <w:pStyle w:val="BodyText"/>
        <w:rPr>
          <w:b/>
          <w:sz w:val="20"/>
        </w:rPr>
      </w:pPr>
    </w:p>
    <w:p>
      <w:pPr>
        <w:pStyle w:val="ListParagraph"/>
        <w:numPr>
          <w:ilvl w:val="2"/>
          <w:numId w:val="17"/>
        </w:numPr>
        <w:tabs>
          <w:tab w:pos="1410" w:val="left" w:leader="none"/>
        </w:tabs>
        <w:spacing w:line="240" w:lineRule="auto" w:before="214" w:after="0"/>
        <w:ind w:left="1410" w:right="0" w:hanging="600"/>
        <w:jc w:val="left"/>
        <w:rPr>
          <w:b/>
          <w:sz w:val="24"/>
        </w:rPr>
      </w:pPr>
      <w:r>
        <w:rPr>
          <w:b/>
          <w:sz w:val="24"/>
        </w:rPr>
        <w:t>Página frontal del</w:t>
      </w:r>
      <w:r>
        <w:rPr>
          <w:b/>
          <w:spacing w:val="-9"/>
          <w:sz w:val="24"/>
        </w:rPr>
        <w:t> </w:t>
      </w:r>
      <w:r>
        <w:rPr>
          <w:b/>
          <w:sz w:val="24"/>
        </w:rPr>
        <w:t>manuscrito</w:t>
      </w:r>
    </w:p>
    <w:p>
      <w:pPr>
        <w:pStyle w:val="BodyText"/>
        <w:rPr>
          <w:b/>
        </w:rPr>
      </w:pPr>
    </w:p>
    <w:p>
      <w:pPr>
        <w:pStyle w:val="BodyText"/>
        <w:spacing w:before="9"/>
        <w:rPr>
          <w:b/>
          <w:sz w:val="23"/>
        </w:rPr>
      </w:pPr>
    </w:p>
    <w:p>
      <w:pPr>
        <w:spacing w:line="480" w:lineRule="auto" w:before="0"/>
        <w:ind w:left="102" w:right="477" w:firstLine="0"/>
        <w:jc w:val="left"/>
        <w:rPr>
          <w:b/>
          <w:sz w:val="24"/>
        </w:rPr>
      </w:pPr>
      <w:r>
        <w:rPr>
          <w:b/>
          <w:sz w:val="24"/>
        </w:rPr>
        <w:t>Evaluation of the salivary concentrations of IL-6 in adults with periodontal disease and type 2 diabetes mellitus: cross-sectional descriptive study</w:t>
      </w:r>
    </w:p>
    <w:p>
      <w:pPr>
        <w:pStyle w:val="BodyText"/>
        <w:rPr>
          <w:b/>
        </w:rPr>
      </w:pPr>
    </w:p>
    <w:p>
      <w:pPr>
        <w:pStyle w:val="BodyText"/>
        <w:spacing w:before="4"/>
        <w:rPr>
          <w:b/>
        </w:rPr>
      </w:pPr>
    </w:p>
    <w:p>
      <w:pPr>
        <w:spacing w:line="475" w:lineRule="auto" w:before="1"/>
        <w:ind w:left="102" w:right="444" w:firstLine="0"/>
        <w:jc w:val="left"/>
        <w:rPr>
          <w:b/>
          <w:sz w:val="16"/>
        </w:rPr>
      </w:pPr>
      <w:r>
        <w:rPr>
          <w:b/>
          <w:sz w:val="24"/>
        </w:rPr>
        <w:t>Diana G. Guadarrama López</w:t>
      </w:r>
      <w:r>
        <w:rPr>
          <w:b/>
          <w:position w:val="8"/>
          <w:sz w:val="16"/>
        </w:rPr>
        <w:t>1</w:t>
      </w:r>
      <w:r>
        <w:rPr>
          <w:b/>
          <w:sz w:val="24"/>
        </w:rPr>
        <w:t>, Patricia Cerecero Aguirre</w:t>
      </w:r>
      <w:r>
        <w:rPr>
          <w:b/>
          <w:position w:val="8"/>
          <w:sz w:val="16"/>
        </w:rPr>
        <w:t>2</w:t>
      </w:r>
      <w:r>
        <w:rPr>
          <w:b/>
          <w:sz w:val="24"/>
        </w:rPr>
        <w:t>, Bernardo Hernández Prado</w:t>
      </w:r>
      <w:r>
        <w:rPr>
          <w:b/>
          <w:position w:val="8"/>
          <w:sz w:val="16"/>
        </w:rPr>
        <w:t>3</w:t>
      </w:r>
      <w:r>
        <w:rPr>
          <w:b/>
          <w:sz w:val="24"/>
        </w:rPr>
        <w:t>, Miriam V. Flores Merino</w:t>
      </w:r>
      <w:r>
        <w:rPr>
          <w:b/>
          <w:position w:val="8"/>
          <w:sz w:val="16"/>
        </w:rPr>
        <w:t>2</w:t>
      </w:r>
      <w:r>
        <w:rPr>
          <w:b/>
          <w:sz w:val="24"/>
        </w:rPr>
        <w:t>, Gilberto Vázquez de Anda</w:t>
      </w:r>
      <w:r>
        <w:rPr>
          <w:b/>
          <w:position w:val="8"/>
          <w:sz w:val="16"/>
        </w:rPr>
        <w:t>2</w:t>
      </w:r>
      <w:r>
        <w:rPr>
          <w:b/>
          <w:sz w:val="24"/>
        </w:rPr>
        <w:t>, Jonathan Santillán Benítez</w:t>
      </w:r>
      <w:r>
        <w:rPr>
          <w:b/>
          <w:position w:val="8"/>
          <w:sz w:val="16"/>
        </w:rPr>
        <w:t>4</w:t>
      </w:r>
    </w:p>
    <w:p>
      <w:pPr>
        <w:pStyle w:val="BodyText"/>
        <w:rPr>
          <w:b/>
          <w:sz w:val="26"/>
        </w:rPr>
      </w:pPr>
    </w:p>
    <w:p>
      <w:pPr>
        <w:pStyle w:val="BodyText"/>
        <w:spacing w:before="9"/>
        <w:rPr>
          <w:b/>
          <w:sz w:val="20"/>
        </w:rPr>
      </w:pPr>
    </w:p>
    <w:p>
      <w:pPr>
        <w:pStyle w:val="BodyText"/>
        <w:spacing w:line="480" w:lineRule="auto" w:before="1"/>
        <w:ind w:left="102" w:right="727"/>
      </w:pPr>
      <w:r>
        <w:rPr>
          <w:position w:val="9"/>
          <w:sz w:val="16"/>
        </w:rPr>
        <w:t>1 </w:t>
      </w:r>
      <w:r>
        <w:rPr/>
        <w:t>Master Degree in Health Science, Facultad de Medicina, Universidad Autónoma del Estado de México. </w:t>
      </w:r>
      <w:hyperlink r:id="rId10">
        <w:r>
          <w:rPr>
            <w:color w:val="0000FF"/>
            <w:u w:val="single" w:color="0000FF"/>
          </w:rPr>
          <w:t>dian_119@hotmail.com</w:t>
        </w:r>
      </w:hyperlink>
    </w:p>
    <w:p>
      <w:pPr>
        <w:pStyle w:val="BodyText"/>
        <w:spacing w:line="480" w:lineRule="auto"/>
        <w:ind w:left="102" w:right="760"/>
      </w:pPr>
      <w:r>
        <w:rPr>
          <w:position w:val="9"/>
          <w:sz w:val="16"/>
        </w:rPr>
        <w:t>2 </w:t>
      </w:r>
      <w:r>
        <w:rPr/>
        <w:t>Centro de Investigación en Ciencias Médicas, Universidad Autónoma del Estado de México.  </w:t>
      </w:r>
      <w:hyperlink r:id="rId11">
        <w:r>
          <w:rPr>
            <w:color w:val="0000FF"/>
            <w:u w:val="single" w:color="0000FF"/>
          </w:rPr>
          <w:t>pcereceroa@uaemex.mx </w:t>
        </w:r>
      </w:hyperlink>
      <w:r>
        <w:rPr/>
        <w:t>; </w:t>
      </w:r>
      <w:hyperlink r:id="rId12">
        <w:r>
          <w:rPr>
            <w:color w:val="0000FF"/>
            <w:u w:val="single" w:color="0000FF"/>
          </w:rPr>
          <w:t>mv.flores.merino@gmail.com</w:t>
        </w:r>
      </w:hyperlink>
    </w:p>
    <w:p>
      <w:pPr>
        <w:pStyle w:val="BodyText"/>
        <w:spacing w:before="10"/>
        <w:ind w:left="102" w:right="27"/>
      </w:pPr>
      <w:hyperlink r:id="rId13">
        <w:r>
          <w:rPr>
            <w:color w:val="0000FF"/>
            <w:u w:val="single" w:color="0000FF"/>
          </w:rPr>
          <w:t>gfvazquezd@uaemex.mx</w:t>
        </w:r>
      </w:hyperlink>
    </w:p>
    <w:p>
      <w:pPr>
        <w:pStyle w:val="BodyText"/>
        <w:spacing w:before="7"/>
        <w:rPr>
          <w:sz w:val="15"/>
        </w:rPr>
      </w:pPr>
    </w:p>
    <w:p>
      <w:pPr>
        <w:pStyle w:val="BodyText"/>
        <w:spacing w:before="81"/>
        <w:ind w:left="102" w:right="27"/>
      </w:pPr>
      <w:r>
        <w:rPr>
          <w:position w:val="9"/>
          <w:sz w:val="16"/>
        </w:rPr>
        <w:t>3 </w:t>
      </w:r>
      <w:r>
        <w:rPr/>
        <w:t>Institute for Health Metrics and Evaluation, Washington University. </w:t>
      </w:r>
      <w:hyperlink r:id="rId14">
        <w:r>
          <w:rPr>
            <w:color w:val="0000FF"/>
            <w:u w:val="single" w:color="0000FF"/>
          </w:rPr>
          <w:t>bhp3@uw.edu</w:t>
        </w:r>
      </w:hyperlink>
    </w:p>
    <w:p>
      <w:pPr>
        <w:pStyle w:val="BodyText"/>
        <w:spacing w:before="7"/>
        <w:rPr>
          <w:sz w:val="15"/>
        </w:rPr>
      </w:pPr>
    </w:p>
    <w:p>
      <w:pPr>
        <w:pStyle w:val="BodyText"/>
        <w:spacing w:line="480" w:lineRule="auto" w:before="81"/>
        <w:ind w:left="102" w:right="2246"/>
      </w:pPr>
      <w:r>
        <w:rPr>
          <w:position w:val="9"/>
          <w:sz w:val="16"/>
        </w:rPr>
        <w:t>4 </w:t>
      </w:r>
      <w:r>
        <w:rPr/>
        <w:t>Facultad de Química, Universidad Autónoma del Estado de México. </w:t>
      </w:r>
      <w:hyperlink r:id="rId15">
        <w:r>
          <w:rPr>
            <w:color w:val="0000FF"/>
            <w:u w:val="single" w:color="0000FF"/>
          </w:rPr>
          <w:t>jonnathangsb@yahoo.com.mx</w:t>
        </w:r>
      </w:hyperlink>
    </w:p>
    <w:p>
      <w:pPr>
        <w:pStyle w:val="BodyText"/>
        <w:rPr>
          <w:sz w:val="20"/>
        </w:rPr>
      </w:pPr>
    </w:p>
    <w:p>
      <w:pPr>
        <w:pStyle w:val="BodyText"/>
        <w:spacing w:before="10"/>
        <w:rPr>
          <w:sz w:val="22"/>
        </w:rPr>
      </w:pPr>
    </w:p>
    <w:p>
      <w:pPr>
        <w:pStyle w:val="BodyText"/>
        <w:spacing w:before="69"/>
        <w:ind w:left="102" w:right="27"/>
      </w:pPr>
      <w:r>
        <w:rPr/>
        <w:t>Correspondence autor</w:t>
      </w:r>
    </w:p>
    <w:p>
      <w:pPr>
        <w:pStyle w:val="BodyText"/>
      </w:pPr>
    </w:p>
    <w:p>
      <w:pPr>
        <w:pStyle w:val="BodyText"/>
        <w:spacing w:line="480" w:lineRule="auto"/>
        <w:ind w:left="102" w:right="107"/>
      </w:pPr>
      <w:r>
        <w:rPr/>
        <w:t>Patricia Cerecero Aguirre, Centro de Investigación en Ciencias Médicas. Jesús Carranza 205, Col. Universidad. Toluca, México. CP 50130. e-mail </w:t>
      </w:r>
      <w:hyperlink r:id="rId11">
        <w:r>
          <w:rPr>
            <w:color w:val="0000FF"/>
            <w:u w:val="single" w:color="0000FF"/>
          </w:rPr>
          <w:t>pcereceroa@uaemex.mx</w:t>
        </w:r>
      </w:hyperlink>
    </w:p>
    <w:p>
      <w:pPr>
        <w:spacing w:after="0" w:line="480" w:lineRule="auto"/>
        <w:sectPr>
          <w:pgSz w:w="12240" w:h="15840"/>
          <w:pgMar w:header="731" w:footer="0" w:top="960" w:bottom="280" w:left="1600" w:right="1580"/>
        </w:sectPr>
      </w:pPr>
    </w:p>
    <w:p>
      <w:pPr>
        <w:pStyle w:val="BodyText"/>
        <w:rPr>
          <w:sz w:val="20"/>
        </w:rPr>
      </w:pPr>
    </w:p>
    <w:p>
      <w:pPr>
        <w:pStyle w:val="BodyText"/>
        <w:rPr>
          <w:sz w:val="20"/>
        </w:rPr>
      </w:pPr>
    </w:p>
    <w:p>
      <w:pPr>
        <w:pStyle w:val="BodyText"/>
        <w:spacing w:before="8"/>
        <w:rPr>
          <w:sz w:val="28"/>
        </w:rPr>
      </w:pPr>
    </w:p>
    <w:p>
      <w:pPr>
        <w:pStyle w:val="Heading3"/>
        <w:spacing w:before="70"/>
        <w:ind w:right="27"/>
        <w:jc w:val="left"/>
      </w:pPr>
      <w:r>
        <w:rPr/>
        <w:t>7.1.2 Carta de Envío o Aceptación</w:t>
      </w:r>
    </w:p>
    <w:p>
      <w:pPr>
        <w:pStyle w:val="BodyText"/>
        <w:rPr>
          <w:b/>
        </w:rPr>
      </w:pPr>
    </w:p>
    <w:p>
      <w:pPr>
        <w:pStyle w:val="BodyText"/>
        <w:spacing w:before="5"/>
        <w:rPr>
          <w:b/>
          <w:sz w:val="23"/>
        </w:rPr>
      </w:pPr>
    </w:p>
    <w:p>
      <w:pPr>
        <w:spacing w:before="0"/>
        <w:ind w:left="102" w:right="27" w:firstLine="0"/>
        <w:jc w:val="left"/>
        <w:rPr>
          <w:sz w:val="20"/>
        </w:rPr>
      </w:pPr>
      <w:r>
        <w:rPr>
          <w:sz w:val="20"/>
        </w:rPr>
        <w:t>De: </w:t>
      </w:r>
      <w:hyperlink r:id="rId16">
        <w:r>
          <w:rPr>
            <w:sz w:val="20"/>
          </w:rPr>
          <w:t>em.ohea.0.4f3d28.a59e4360@editorialmanager.com</w:t>
        </w:r>
      </w:hyperlink>
    </w:p>
    <w:p>
      <w:pPr>
        <w:spacing w:before="0"/>
        <w:ind w:left="102" w:right="27" w:firstLine="0"/>
        <w:jc w:val="left"/>
        <w:rPr>
          <w:sz w:val="20"/>
        </w:rPr>
      </w:pPr>
      <w:hyperlink r:id="rId16">
        <w:r>
          <w:rPr>
            <w:sz w:val="20"/>
          </w:rPr>
          <w:t>&lt;e</w:t>
        </w:r>
      </w:hyperlink>
      <w:r>
        <w:rPr>
          <w:sz w:val="20"/>
        </w:rPr>
        <w:t>m</w:t>
      </w:r>
      <w:hyperlink r:id="rId16">
        <w:r>
          <w:rPr>
            <w:sz w:val="20"/>
          </w:rPr>
          <w:t>.ohea.0.4f3d28.a59e4360@editorialmanager.com</w:t>
        </w:r>
      </w:hyperlink>
      <w:r>
        <w:rPr>
          <w:sz w:val="20"/>
        </w:rPr>
        <w:t>&gt; en nombre de BMC Oral Health Editorial Office</w:t>
      </w:r>
    </w:p>
    <w:p>
      <w:pPr>
        <w:spacing w:line="229" w:lineRule="exact" w:before="0"/>
        <w:ind w:left="102" w:right="27" w:firstLine="0"/>
        <w:jc w:val="left"/>
        <w:rPr>
          <w:sz w:val="20"/>
        </w:rPr>
      </w:pPr>
      <w:hyperlink r:id="rId17">
        <w:r>
          <w:rPr>
            <w:sz w:val="20"/>
          </w:rPr>
          <w:t>&lt;e</w:t>
        </w:r>
      </w:hyperlink>
      <w:r>
        <w:rPr>
          <w:sz w:val="20"/>
        </w:rPr>
        <w:t>m</w:t>
      </w:r>
      <w:hyperlink r:id="rId17">
        <w:r>
          <w:rPr>
            <w:sz w:val="20"/>
          </w:rPr>
          <w:t>@editorialmanager.com</w:t>
        </w:r>
      </w:hyperlink>
      <w:r>
        <w:rPr>
          <w:sz w:val="20"/>
        </w:rPr>
        <w:t>&gt;</w:t>
      </w:r>
    </w:p>
    <w:p>
      <w:pPr>
        <w:spacing w:before="0"/>
        <w:ind w:left="102" w:right="4167" w:firstLine="0"/>
        <w:jc w:val="left"/>
        <w:rPr>
          <w:sz w:val="20"/>
        </w:rPr>
      </w:pPr>
      <w:r>
        <w:rPr>
          <w:sz w:val="20"/>
        </w:rPr>
        <w:t>Enviado: martes, 15 de noviembre de 2016 02:30 p. m. Para: Patricia Cerecero Aguirre</w:t>
      </w:r>
    </w:p>
    <w:p>
      <w:pPr>
        <w:spacing w:before="0"/>
        <w:ind w:left="102" w:right="27" w:firstLine="0"/>
        <w:jc w:val="left"/>
        <w:rPr>
          <w:sz w:val="20"/>
        </w:rPr>
      </w:pPr>
      <w:r>
        <w:rPr>
          <w:sz w:val="20"/>
        </w:rPr>
        <w:t>Asunto: Confirmation of your submission to BMC Oral Health - OHEA-D-16-00462</w:t>
      </w:r>
    </w:p>
    <w:p>
      <w:pPr>
        <w:pStyle w:val="BodyText"/>
        <w:rPr>
          <w:sz w:val="20"/>
        </w:rPr>
      </w:pPr>
    </w:p>
    <w:p>
      <w:pPr>
        <w:spacing w:line="229" w:lineRule="exact" w:before="1"/>
        <w:ind w:left="102" w:right="27" w:firstLine="0"/>
        <w:jc w:val="left"/>
        <w:rPr>
          <w:sz w:val="20"/>
        </w:rPr>
      </w:pPr>
      <w:r>
        <w:rPr>
          <w:sz w:val="20"/>
        </w:rPr>
        <w:t>OHEA-D-16-00462</w:t>
      </w:r>
    </w:p>
    <w:p>
      <w:pPr>
        <w:spacing w:before="0"/>
        <w:ind w:left="102" w:right="723" w:firstLine="0"/>
        <w:jc w:val="left"/>
        <w:rPr>
          <w:sz w:val="20"/>
        </w:rPr>
      </w:pPr>
      <w:r>
        <w:rPr>
          <w:sz w:val="20"/>
        </w:rPr>
        <w:t>Evaluation of the salivary concentrations of IL-6 in adults with periodontal disease and type 2 diabetes mellitus</w:t>
      </w:r>
    </w:p>
    <w:p>
      <w:pPr>
        <w:spacing w:before="1"/>
        <w:ind w:left="102" w:right="552" w:firstLine="0"/>
        <w:jc w:val="left"/>
        <w:rPr>
          <w:sz w:val="20"/>
        </w:rPr>
      </w:pPr>
      <w:r>
        <w:rPr>
          <w:sz w:val="20"/>
        </w:rPr>
        <w:t>Diana Guadalupe Guadarrama, Pediatric dentistry; Patricia Cerecero, Ph.D.; Bernardo Hernández-Prado, Doctor of Science; Miriam Verónica Flores, Ph.D. BSc; Gilberto Vázquez, Ph.D.; Jonnathan Guadalupe Santillán, Ph.D.</w:t>
      </w:r>
    </w:p>
    <w:p>
      <w:pPr>
        <w:spacing w:line="477" w:lineRule="auto" w:before="0"/>
        <w:ind w:left="102" w:right="7222" w:firstLine="0"/>
        <w:jc w:val="left"/>
        <w:rPr>
          <w:sz w:val="20"/>
        </w:rPr>
      </w:pPr>
      <w:r>
        <w:rPr>
          <w:sz w:val="20"/>
        </w:rPr>
        <w:t>BMC Oral Health Dear Ph.D. Cerecero,</w:t>
      </w:r>
    </w:p>
    <w:p>
      <w:pPr>
        <w:spacing w:before="11"/>
        <w:ind w:left="102" w:right="409" w:firstLine="0"/>
        <w:jc w:val="left"/>
        <w:rPr>
          <w:sz w:val="20"/>
        </w:rPr>
      </w:pPr>
      <w:r>
        <w:rPr>
          <w:sz w:val="20"/>
        </w:rPr>
        <w:t>Thank you for submitting your manuscript 'Evaluation of the salivary concentrations of IL-6 in adults with periodontal disease and type 2 diabetes mellitus' to BMC Oral Health.</w:t>
      </w:r>
    </w:p>
    <w:p>
      <w:pPr>
        <w:pStyle w:val="BodyText"/>
        <w:spacing w:before="9"/>
        <w:rPr>
          <w:sz w:val="19"/>
        </w:rPr>
      </w:pPr>
    </w:p>
    <w:p>
      <w:pPr>
        <w:spacing w:before="1"/>
        <w:ind w:left="102" w:right="27" w:firstLine="0"/>
        <w:jc w:val="left"/>
        <w:rPr>
          <w:sz w:val="20"/>
        </w:rPr>
      </w:pPr>
      <w:r>
        <w:rPr>
          <w:sz w:val="20"/>
        </w:rPr>
        <w:t>The submission id is: OHEA-D-16-00462</w:t>
      </w:r>
    </w:p>
    <w:p>
      <w:pPr>
        <w:spacing w:before="0"/>
        <w:ind w:left="102" w:right="27" w:firstLine="0"/>
        <w:jc w:val="left"/>
        <w:rPr>
          <w:sz w:val="20"/>
        </w:rPr>
      </w:pPr>
      <w:r>
        <w:rPr>
          <w:sz w:val="20"/>
        </w:rPr>
        <w:t>Please refer to this number in any future correspondence.</w:t>
      </w:r>
    </w:p>
    <w:p>
      <w:pPr>
        <w:pStyle w:val="BodyText"/>
        <w:rPr>
          <w:sz w:val="20"/>
        </w:rPr>
      </w:pPr>
    </w:p>
    <w:p>
      <w:pPr>
        <w:spacing w:before="1"/>
        <w:ind w:left="102" w:right="27" w:firstLine="0"/>
        <w:jc w:val="left"/>
        <w:rPr>
          <w:sz w:val="20"/>
        </w:rPr>
      </w:pPr>
      <w:r>
        <w:rPr>
          <w:sz w:val="20"/>
        </w:rPr>
        <w:t>During the review process, you can keep track of the status of your manuscript by accessing the following website:</w:t>
      </w:r>
    </w:p>
    <w:p>
      <w:pPr>
        <w:pStyle w:val="BodyText"/>
        <w:spacing w:before="9"/>
        <w:rPr>
          <w:sz w:val="19"/>
        </w:rPr>
      </w:pPr>
    </w:p>
    <w:p>
      <w:pPr>
        <w:pStyle w:val="BodyText"/>
        <w:ind w:left="102" w:right="27"/>
      </w:pPr>
      <w:hyperlink r:id="rId18">
        <w:r>
          <w:rPr>
            <w:color w:val="0000FF"/>
            <w:u w:val="single" w:color="0000FF"/>
          </w:rPr>
          <w:t>http://ohea.edmgr.com/</w:t>
        </w:r>
      </w:hyperlink>
    </w:p>
    <w:p>
      <w:pPr>
        <w:pStyle w:val="BodyText"/>
        <w:spacing w:before="8"/>
        <w:rPr>
          <w:sz w:val="13"/>
        </w:rPr>
      </w:pPr>
    </w:p>
    <w:p>
      <w:pPr>
        <w:spacing w:before="74"/>
        <w:ind w:left="102" w:right="27" w:firstLine="0"/>
        <w:jc w:val="left"/>
        <w:rPr>
          <w:sz w:val="20"/>
        </w:rPr>
      </w:pPr>
      <w:r>
        <w:rPr>
          <w:sz w:val="20"/>
        </w:rPr>
        <w:t>If you have forgotten your username or password please use the "Send Login Details" link to get your login information. For security reasons, your password will be reset.</w:t>
      </w:r>
    </w:p>
    <w:p>
      <w:pPr>
        <w:pStyle w:val="BodyText"/>
        <w:rPr>
          <w:sz w:val="20"/>
        </w:rPr>
      </w:pPr>
    </w:p>
    <w:p>
      <w:pPr>
        <w:spacing w:before="1"/>
        <w:ind w:left="102" w:right="27" w:firstLine="0"/>
        <w:jc w:val="left"/>
        <w:rPr>
          <w:sz w:val="20"/>
        </w:rPr>
      </w:pPr>
      <w:r>
        <w:rPr>
          <w:sz w:val="20"/>
        </w:rPr>
        <w:t>Best wishes,</w:t>
      </w:r>
    </w:p>
    <w:p>
      <w:pPr>
        <w:pStyle w:val="BodyText"/>
        <w:rPr>
          <w:sz w:val="20"/>
        </w:rPr>
      </w:pPr>
    </w:p>
    <w:p>
      <w:pPr>
        <w:pStyle w:val="BodyText"/>
        <w:spacing w:before="10"/>
        <w:rPr>
          <w:sz w:val="19"/>
        </w:rPr>
      </w:pPr>
    </w:p>
    <w:p>
      <w:pPr>
        <w:spacing w:before="0"/>
        <w:ind w:left="102" w:right="7504" w:firstLine="0"/>
        <w:jc w:val="left"/>
        <w:rPr>
          <w:sz w:val="20"/>
        </w:rPr>
      </w:pPr>
      <w:r>
        <w:rPr>
          <w:sz w:val="20"/>
        </w:rPr>
        <w:t>Editorial Office BMC Oral Health</w:t>
      </w:r>
    </w:p>
    <w:p>
      <w:pPr>
        <w:pStyle w:val="BodyText"/>
        <w:spacing w:line="275" w:lineRule="exact"/>
        <w:ind w:left="102" w:right="27"/>
      </w:pPr>
      <w:hyperlink r:id="rId19">
        <w:r>
          <w:rPr>
            <w:color w:val="0000FF"/>
            <w:u w:val="single" w:color="0000FF"/>
          </w:rPr>
          <w:t>http://www.biomedcentral.com/bmcoralhealth/</w:t>
        </w:r>
      </w:hyperlink>
    </w:p>
    <w:p>
      <w:pPr>
        <w:spacing w:after="0" w:line="275" w:lineRule="exact"/>
        <w:sectPr>
          <w:pgSz w:w="12240" w:h="15840"/>
          <w:pgMar w:header="731"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1"/>
        <w:ind w:left="102" w:right="27" w:firstLine="0"/>
        <w:jc w:val="left"/>
        <w:rPr>
          <w:sz w:val="20"/>
        </w:rPr>
      </w:pPr>
      <w:r>
        <w:rPr>
          <w:sz w:val="20"/>
        </w:rPr>
        <w:t>OHEA-D-16-00462</w:t>
      </w:r>
    </w:p>
    <w:p>
      <w:pPr>
        <w:spacing w:before="0"/>
        <w:ind w:left="102" w:right="291" w:firstLine="0"/>
        <w:jc w:val="left"/>
        <w:rPr>
          <w:sz w:val="20"/>
        </w:rPr>
      </w:pPr>
      <w:r>
        <w:rPr>
          <w:sz w:val="20"/>
        </w:rPr>
        <w:t>Evaluation of the salivary concentrations of IL-6 in adults with periodontal disease and type 2 diabetes mellitus</w:t>
      </w:r>
    </w:p>
    <w:p>
      <w:pPr>
        <w:spacing w:before="0"/>
        <w:ind w:left="102" w:right="552" w:firstLine="0"/>
        <w:jc w:val="left"/>
        <w:rPr>
          <w:sz w:val="20"/>
        </w:rPr>
      </w:pPr>
      <w:r>
        <w:rPr>
          <w:sz w:val="20"/>
        </w:rPr>
        <w:t>Diana Guadalupe Guadarrama, Pediatric dentistry; Patricia Cerecero, Ph.D.; Bernardo Hernández-Prado, Doctor of Science; Miriam Verónica Flores, Ph.D. BSc; Gilberto Vázquez, Ph.D.; Jonnathan Guadalupe Santillán, Ph.D.</w:t>
      </w:r>
    </w:p>
    <w:p>
      <w:pPr>
        <w:pStyle w:val="BodyText"/>
        <w:rPr>
          <w:sz w:val="20"/>
        </w:rPr>
      </w:pPr>
    </w:p>
    <w:p>
      <w:pPr>
        <w:spacing w:before="1"/>
        <w:ind w:left="102" w:right="27" w:firstLine="0"/>
        <w:jc w:val="left"/>
        <w:rPr>
          <w:sz w:val="20"/>
        </w:rPr>
      </w:pPr>
      <w:r>
        <w:rPr>
          <w:sz w:val="20"/>
        </w:rPr>
        <w:t>Dear author:</w:t>
      </w:r>
    </w:p>
    <w:p>
      <w:pPr>
        <w:pStyle w:val="BodyText"/>
        <w:spacing w:before="1"/>
        <w:rPr>
          <w:sz w:val="20"/>
        </w:rPr>
      </w:pPr>
    </w:p>
    <w:p>
      <w:pPr>
        <w:spacing w:before="0"/>
        <w:ind w:left="102" w:right="218" w:firstLine="0"/>
        <w:jc w:val="left"/>
        <w:rPr>
          <w:sz w:val="20"/>
        </w:rPr>
      </w:pPr>
      <w:r>
        <w:rPr>
          <w:sz w:val="20"/>
        </w:rPr>
        <w:t>You are receiving this email because you have been listed as an author on a manuscript recently submitted to BMC Oral Health.  The manuscript details are below.</w:t>
      </w:r>
    </w:p>
    <w:p>
      <w:pPr>
        <w:pStyle w:val="BodyText"/>
        <w:rPr>
          <w:sz w:val="20"/>
        </w:rPr>
      </w:pPr>
    </w:p>
    <w:p>
      <w:pPr>
        <w:pStyle w:val="BodyText"/>
        <w:spacing w:before="10"/>
        <w:rPr>
          <w:sz w:val="19"/>
        </w:rPr>
      </w:pPr>
    </w:p>
    <w:p>
      <w:pPr>
        <w:spacing w:before="0"/>
        <w:ind w:left="102" w:right="27" w:firstLine="0"/>
        <w:jc w:val="left"/>
        <w:rPr>
          <w:sz w:val="20"/>
        </w:rPr>
      </w:pPr>
      <w:r>
        <w:rPr>
          <w:sz w:val="20"/>
        </w:rPr>
        <w:t>Title: Evaluation of the salivary concentrations of IL-6 in adults with periodontal disease and type 2 diabetes mellitus</w:t>
      </w:r>
    </w:p>
    <w:p>
      <w:pPr>
        <w:spacing w:before="0"/>
        <w:ind w:left="102" w:right="318" w:firstLine="0"/>
        <w:jc w:val="left"/>
        <w:rPr>
          <w:sz w:val="20"/>
        </w:rPr>
      </w:pPr>
      <w:r>
        <w:rPr>
          <w:sz w:val="20"/>
        </w:rPr>
        <w:t>Authors: Diana Guadalupe Guadarrama, Pediatric dentistry; Patricia Cerecero, Ph.D.; Bernardo Hernández- Prado, Doctor of Science; Miriam Verónica Flores, Ph.D. BSc; Gilberto Vázquez, Ph.D.; Jonnathan Guadalupe Santillán, Ph.D.</w:t>
      </w:r>
    </w:p>
    <w:p>
      <w:pPr>
        <w:spacing w:before="0"/>
        <w:ind w:left="102" w:right="27" w:firstLine="0"/>
        <w:jc w:val="left"/>
        <w:rPr>
          <w:sz w:val="20"/>
        </w:rPr>
      </w:pPr>
      <w:r>
        <w:rPr>
          <w:sz w:val="20"/>
        </w:rPr>
        <w:t>Corresponding author: Ph.D. Patricia Cerecero</w:t>
      </w:r>
    </w:p>
    <w:p>
      <w:pPr>
        <w:pStyle w:val="BodyText"/>
        <w:rPr>
          <w:sz w:val="20"/>
        </w:rPr>
      </w:pPr>
    </w:p>
    <w:p>
      <w:pPr>
        <w:pStyle w:val="BodyText"/>
        <w:spacing w:before="1"/>
        <w:rPr>
          <w:sz w:val="20"/>
        </w:rPr>
      </w:pPr>
    </w:p>
    <w:p>
      <w:pPr>
        <w:spacing w:before="0"/>
        <w:ind w:left="102" w:right="107" w:firstLine="0"/>
        <w:jc w:val="left"/>
        <w:rPr>
          <w:sz w:val="20"/>
        </w:rPr>
      </w:pPr>
      <w:r>
        <w:rPr>
          <w:sz w:val="20"/>
        </w:rPr>
        <w:t>If you are not aware of the submission, or if you should not be listed as contributing author, please notify the Editorial Office. Contact details for the Editorial Office are available under "Contact Us" on the journal website.</w:t>
      </w:r>
    </w:p>
    <w:p>
      <w:pPr>
        <w:pStyle w:val="BodyText"/>
        <w:spacing w:before="1"/>
        <w:rPr>
          <w:sz w:val="20"/>
        </w:rPr>
      </w:pPr>
    </w:p>
    <w:p>
      <w:pPr>
        <w:spacing w:before="0"/>
        <w:ind w:left="102" w:right="27" w:firstLine="0"/>
        <w:jc w:val="left"/>
        <w:rPr>
          <w:sz w:val="20"/>
        </w:rPr>
      </w:pPr>
      <w:r>
        <w:rPr>
          <w:sz w:val="20"/>
        </w:rPr>
        <w:t>Kind regards,</w:t>
      </w:r>
    </w:p>
    <w:p>
      <w:pPr>
        <w:pStyle w:val="BodyText"/>
        <w:rPr>
          <w:sz w:val="20"/>
        </w:rPr>
      </w:pPr>
    </w:p>
    <w:p>
      <w:pPr>
        <w:spacing w:before="1"/>
        <w:ind w:left="102" w:right="7504" w:firstLine="0"/>
        <w:jc w:val="left"/>
        <w:rPr>
          <w:sz w:val="20"/>
        </w:rPr>
      </w:pPr>
      <w:r>
        <w:rPr>
          <w:sz w:val="20"/>
        </w:rPr>
        <w:t>Editorial Office BMC Oral Health</w:t>
      </w:r>
    </w:p>
    <w:p>
      <w:pPr>
        <w:pStyle w:val="BodyText"/>
        <w:spacing w:line="275" w:lineRule="exact"/>
        <w:ind w:left="102" w:right="27"/>
      </w:pPr>
      <w:hyperlink r:id="rId19">
        <w:r>
          <w:rPr>
            <w:color w:val="0000FF"/>
            <w:u w:val="single" w:color="0000FF"/>
          </w:rPr>
          <w:t>http://www.biomedcentral.com/bmcoralhealth/</w:t>
        </w:r>
      </w:hyperlink>
    </w:p>
    <w:p>
      <w:pPr>
        <w:spacing w:after="0" w:line="275" w:lineRule="exact"/>
        <w:sectPr>
          <w:pgSz w:w="12240" w:h="15840"/>
          <w:pgMar w:header="731" w:footer="0" w:top="960" w:bottom="280" w:left="1600" w:right="1580"/>
        </w:sectPr>
      </w:pPr>
    </w:p>
    <w:p>
      <w:pPr>
        <w:pStyle w:val="BodyText"/>
        <w:rPr>
          <w:sz w:val="20"/>
        </w:rPr>
      </w:pPr>
    </w:p>
    <w:p>
      <w:pPr>
        <w:pStyle w:val="Heading3"/>
        <w:spacing w:before="214"/>
      </w:pPr>
      <w:r>
        <w:rPr/>
        <w:t>7.1.3.</w:t>
      </w:r>
      <w:r>
        <w:rPr>
          <w:spacing w:val="54"/>
        </w:rPr>
        <w:t> </w:t>
      </w:r>
      <w:r>
        <w:rPr/>
        <w:t>Resumen</w:t>
      </w:r>
    </w:p>
    <w:p>
      <w:pPr>
        <w:pStyle w:val="BodyText"/>
        <w:rPr>
          <w:b/>
        </w:rPr>
      </w:pPr>
    </w:p>
    <w:p>
      <w:pPr>
        <w:pStyle w:val="BodyText"/>
        <w:spacing w:before="6"/>
        <w:rPr>
          <w:b/>
          <w:sz w:val="35"/>
        </w:rPr>
      </w:pPr>
    </w:p>
    <w:p>
      <w:pPr>
        <w:pStyle w:val="BodyText"/>
        <w:spacing w:line="480" w:lineRule="auto"/>
        <w:ind w:left="102" w:right="115"/>
        <w:jc w:val="both"/>
      </w:pPr>
      <w:r>
        <w:rPr>
          <w:b/>
        </w:rPr>
        <w:t>Antecedentes. </w:t>
      </w:r>
      <w:r>
        <w:rPr/>
        <w:t>La enfermedad periodontal (EP) es una condición inflamatoria que estimula la secreción de IL-6. Esta citocina ha sido relacionada con la destrucción del periodonto y un estado de inflamación de bajo grado sistémico que favorece el desarrollo de diabetes mellitus tipo 2 (DM2), no obstante, los valores reportados en adultos con EP y DM2 son discordantes. El objetivo del estudio fue determinar las concentraciones salivales de IL-6 en adultos con EP con y sin DM2.</w:t>
      </w:r>
    </w:p>
    <w:p>
      <w:pPr>
        <w:pStyle w:val="BodyText"/>
      </w:pPr>
    </w:p>
    <w:p>
      <w:pPr>
        <w:pStyle w:val="BodyText"/>
        <w:spacing w:before="10"/>
      </w:pPr>
    </w:p>
    <w:p>
      <w:pPr>
        <w:pStyle w:val="BodyText"/>
        <w:spacing w:line="477" w:lineRule="auto"/>
        <w:ind w:left="102" w:right="116"/>
        <w:jc w:val="both"/>
      </w:pPr>
      <w:r>
        <w:rPr>
          <w:b/>
        </w:rPr>
        <w:t>Métodos. </w:t>
      </w:r>
      <w:r>
        <w:rPr/>
        <w:t>Se realizó un estudio transversal descriptivo que incluyó 90 participantes asignados a tres grupos: 30 con DM2 y EP (DM2+EP), 30 sin DM2 con EP (EP) y 30 sin DM2 y sin EP (no DM2-EP). Se llevó a cabo una historia clínica, medición de peso y talla, examen periodontal, evaluaciones bioquímicas (glucosa, triglicéridos, colesterol total, HDL colesterol) y determinación de IL-6 salival. A través de pruebas chi</w:t>
      </w:r>
      <w:r>
        <w:rPr>
          <w:position w:val="9"/>
          <w:sz w:val="16"/>
        </w:rPr>
        <w:t>2 </w:t>
      </w:r>
      <w:r>
        <w:rPr/>
        <w:t>y ANOVA o Kruskal- Wallis se compararon las características clínicas y antropométricas entre grupos, y</w:t>
      </w:r>
      <w:r>
        <w:rPr>
          <w:spacing w:val="-27"/>
        </w:rPr>
        <w:t> </w:t>
      </w:r>
      <w:r>
        <w:rPr/>
        <w:t>mediante pruebas Mann-Whitney-U-Wilcoxon se compararon los valores de IL-6 entre grupos según éstas características. Se ajustó un modelo de regresión lineal estratificado por edad para contrastar los valores de IL-6 del grupo DM2+EP frente a los grupos EP y no</w:t>
      </w:r>
      <w:r>
        <w:rPr>
          <w:spacing w:val="-16"/>
        </w:rPr>
        <w:t> </w:t>
      </w:r>
      <w:r>
        <w:rPr/>
        <w:t>DM2-EP.</w:t>
      </w:r>
    </w:p>
    <w:p>
      <w:pPr>
        <w:pStyle w:val="BodyText"/>
      </w:pPr>
    </w:p>
    <w:p>
      <w:pPr>
        <w:pStyle w:val="BodyText"/>
        <w:spacing w:before="2"/>
        <w:rPr>
          <w:sz w:val="25"/>
        </w:rPr>
      </w:pPr>
    </w:p>
    <w:p>
      <w:pPr>
        <w:pStyle w:val="BodyText"/>
        <w:spacing w:line="480" w:lineRule="auto"/>
        <w:ind w:left="102" w:right="115"/>
        <w:jc w:val="both"/>
      </w:pPr>
      <w:r>
        <w:rPr>
          <w:b/>
        </w:rPr>
        <w:t>Resultados. </w:t>
      </w:r>
      <w:r>
        <w:rPr/>
        <w:t>Los participantes del grupo DM2+EP presentaron mayores concentraciones salivales de IL-6 (1.7±4.5 pg/dL) que aquéllos de los grupos EP (0.6±2.1 pg/dL) y no DM2- EP (1.4±1.7 pg/dL). Asimismo, los individuos con obesidad y con DM2+EP presentaron valores más altos de IL-6 (1.2±3.3 pg/dL, rango=0-11.4) que aquéllos no DM2-EP con obesidad  (3.3±0.9  pg/dL,  rango=0-4.2;  p=0.027).  Mediante  análisis  de  regresión lineal</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8"/>
        <w:jc w:val="both"/>
      </w:pPr>
      <w:r>
        <w:rPr/>
        <w:t>ajustado por sexo, IMC y HDL-colesterol, los valores de IL-6 fueron mayores en los participantes DM2+EP de 39-60 años de edad que en los individuos EP del mismo rango de edad (β=3.03, IC95%: 0.172, 5.899); al incluir otras covariables, esta relación no fue significativa.</w:t>
      </w:r>
    </w:p>
    <w:p>
      <w:pPr>
        <w:pStyle w:val="BodyText"/>
      </w:pPr>
    </w:p>
    <w:p>
      <w:pPr>
        <w:pStyle w:val="BodyText"/>
        <w:spacing w:before="10"/>
      </w:pPr>
    </w:p>
    <w:p>
      <w:pPr>
        <w:pStyle w:val="BodyText"/>
        <w:spacing w:line="480" w:lineRule="auto"/>
        <w:ind w:left="102" w:right="119"/>
        <w:jc w:val="both"/>
      </w:pPr>
      <w:r>
        <w:rPr>
          <w:b/>
        </w:rPr>
        <w:t>Conclusiones</w:t>
      </w:r>
      <w:r>
        <w:rPr/>
        <w:t>.</w:t>
      </w:r>
      <w:r>
        <w:rPr>
          <w:spacing w:val="-9"/>
        </w:rPr>
        <w:t> </w:t>
      </w:r>
      <w:r>
        <w:rPr/>
        <w:t>Las</w:t>
      </w:r>
      <w:r>
        <w:rPr>
          <w:spacing w:val="-8"/>
        </w:rPr>
        <w:t> </w:t>
      </w:r>
      <w:r>
        <w:rPr/>
        <w:t>concentraciones</w:t>
      </w:r>
      <w:r>
        <w:rPr>
          <w:spacing w:val="-9"/>
        </w:rPr>
        <w:t> </w:t>
      </w:r>
      <w:r>
        <w:rPr/>
        <w:t>salivales</w:t>
      </w:r>
      <w:r>
        <w:rPr>
          <w:spacing w:val="-9"/>
        </w:rPr>
        <w:t> </w:t>
      </w:r>
      <w:r>
        <w:rPr/>
        <w:t>de</w:t>
      </w:r>
      <w:r>
        <w:rPr>
          <w:spacing w:val="-7"/>
        </w:rPr>
        <w:t> </w:t>
      </w:r>
      <w:r>
        <w:rPr/>
        <w:t>IL-6</w:t>
      </w:r>
      <w:r>
        <w:rPr>
          <w:spacing w:val="-9"/>
        </w:rPr>
        <w:t> </w:t>
      </w:r>
      <w:r>
        <w:rPr/>
        <w:t>son</w:t>
      </w:r>
      <w:r>
        <w:rPr>
          <w:spacing w:val="-8"/>
        </w:rPr>
        <w:t> </w:t>
      </w:r>
      <w:r>
        <w:rPr/>
        <w:t>mayores</w:t>
      </w:r>
      <w:r>
        <w:rPr>
          <w:spacing w:val="-6"/>
        </w:rPr>
        <w:t> </w:t>
      </w:r>
      <w:r>
        <w:rPr/>
        <w:t>en</w:t>
      </w:r>
      <w:r>
        <w:rPr>
          <w:spacing w:val="-9"/>
        </w:rPr>
        <w:t> </w:t>
      </w:r>
      <w:r>
        <w:rPr/>
        <w:t>adultos</w:t>
      </w:r>
      <w:r>
        <w:rPr>
          <w:spacing w:val="-8"/>
        </w:rPr>
        <w:t> </w:t>
      </w:r>
      <w:r>
        <w:rPr/>
        <w:t>de</w:t>
      </w:r>
      <w:r>
        <w:rPr>
          <w:spacing w:val="-10"/>
        </w:rPr>
        <w:t> </w:t>
      </w:r>
      <w:r>
        <w:rPr/>
        <w:t>39</w:t>
      </w:r>
      <w:r>
        <w:rPr>
          <w:spacing w:val="-9"/>
        </w:rPr>
        <w:t> </w:t>
      </w:r>
      <w:r>
        <w:rPr/>
        <w:t>a</w:t>
      </w:r>
      <w:r>
        <w:rPr>
          <w:spacing w:val="-10"/>
        </w:rPr>
        <w:t> </w:t>
      </w:r>
      <w:r>
        <w:rPr/>
        <w:t>60</w:t>
      </w:r>
      <w:r>
        <w:rPr>
          <w:spacing w:val="-9"/>
        </w:rPr>
        <w:t> </w:t>
      </w:r>
      <w:r>
        <w:rPr/>
        <w:t>años de</w:t>
      </w:r>
      <w:r>
        <w:rPr>
          <w:spacing w:val="-17"/>
        </w:rPr>
        <w:t> </w:t>
      </w:r>
      <w:r>
        <w:rPr/>
        <w:t>edad</w:t>
      </w:r>
      <w:r>
        <w:rPr>
          <w:spacing w:val="-14"/>
        </w:rPr>
        <w:t> </w:t>
      </w:r>
      <w:r>
        <w:rPr/>
        <w:t>que</w:t>
      </w:r>
      <w:r>
        <w:rPr>
          <w:spacing w:val="-17"/>
        </w:rPr>
        <w:t> </w:t>
      </w:r>
      <w:r>
        <w:rPr/>
        <w:t>presentan</w:t>
      </w:r>
      <w:r>
        <w:rPr>
          <w:spacing w:val="-16"/>
        </w:rPr>
        <w:t> </w:t>
      </w:r>
      <w:r>
        <w:rPr/>
        <w:t>DM2</w:t>
      </w:r>
      <w:r>
        <w:rPr>
          <w:spacing w:val="-13"/>
        </w:rPr>
        <w:t> </w:t>
      </w:r>
      <w:r>
        <w:rPr/>
        <w:t>y</w:t>
      </w:r>
      <w:r>
        <w:rPr>
          <w:spacing w:val="-18"/>
        </w:rPr>
        <w:t> </w:t>
      </w:r>
      <w:r>
        <w:rPr/>
        <w:t>EP</w:t>
      </w:r>
      <w:r>
        <w:rPr>
          <w:spacing w:val="-15"/>
        </w:rPr>
        <w:t> </w:t>
      </w:r>
      <w:r>
        <w:rPr/>
        <w:t>que</w:t>
      </w:r>
      <w:r>
        <w:rPr>
          <w:spacing w:val="-14"/>
        </w:rPr>
        <w:t> </w:t>
      </w:r>
      <w:r>
        <w:rPr/>
        <w:t>aquéllos</w:t>
      </w:r>
      <w:r>
        <w:rPr>
          <w:spacing w:val="-16"/>
        </w:rPr>
        <w:t> </w:t>
      </w:r>
      <w:r>
        <w:rPr/>
        <w:t>que</w:t>
      </w:r>
      <w:r>
        <w:rPr>
          <w:spacing w:val="-17"/>
        </w:rPr>
        <w:t> </w:t>
      </w:r>
      <w:r>
        <w:rPr/>
        <w:t>presentan</w:t>
      </w:r>
      <w:r>
        <w:rPr>
          <w:spacing w:val="-16"/>
        </w:rPr>
        <w:t> </w:t>
      </w:r>
      <w:r>
        <w:rPr/>
        <w:t>únicamente</w:t>
      </w:r>
      <w:r>
        <w:rPr>
          <w:spacing w:val="-17"/>
        </w:rPr>
        <w:t> </w:t>
      </w:r>
      <w:r>
        <w:rPr/>
        <w:t>EP</w:t>
      </w:r>
      <w:r>
        <w:rPr>
          <w:spacing w:val="-15"/>
        </w:rPr>
        <w:t> </w:t>
      </w:r>
      <w:r>
        <w:rPr/>
        <w:t>del</w:t>
      </w:r>
      <w:r>
        <w:rPr>
          <w:spacing w:val="-15"/>
        </w:rPr>
        <w:t> </w:t>
      </w:r>
      <w:r>
        <w:rPr/>
        <w:t>mismo</w:t>
      </w:r>
      <w:r>
        <w:rPr>
          <w:spacing w:val="-15"/>
        </w:rPr>
        <w:t> </w:t>
      </w:r>
      <w:r>
        <w:rPr/>
        <w:t>rango de edad. Estos resultados sugieren un vínculo entre la DM2 y EP con un estado</w:t>
      </w:r>
      <w:r>
        <w:rPr>
          <w:spacing w:val="-23"/>
        </w:rPr>
        <w:t> </w:t>
      </w:r>
      <w:r>
        <w:rPr/>
        <w:t>inflamatorio crónico.</w:t>
      </w:r>
    </w:p>
    <w:p>
      <w:pPr>
        <w:pStyle w:val="BodyText"/>
      </w:pPr>
    </w:p>
    <w:p>
      <w:pPr>
        <w:pStyle w:val="BodyText"/>
        <w:spacing w:before="10"/>
      </w:pPr>
    </w:p>
    <w:p>
      <w:pPr>
        <w:pStyle w:val="BodyText"/>
        <w:spacing w:line="480" w:lineRule="auto"/>
        <w:ind w:left="102" w:right="116"/>
        <w:jc w:val="both"/>
      </w:pPr>
      <w:r>
        <w:rPr>
          <w:b/>
        </w:rPr>
        <w:t>Palabras</w:t>
      </w:r>
      <w:r>
        <w:rPr>
          <w:b/>
          <w:spacing w:val="-7"/>
        </w:rPr>
        <w:t> </w:t>
      </w:r>
      <w:r>
        <w:rPr>
          <w:b/>
        </w:rPr>
        <w:t>clave.</w:t>
      </w:r>
      <w:r>
        <w:rPr>
          <w:b/>
          <w:spacing w:val="-8"/>
        </w:rPr>
        <w:t> </w:t>
      </w:r>
      <w:r>
        <w:rPr/>
        <w:t>Diabetes</w:t>
      </w:r>
      <w:r>
        <w:rPr>
          <w:spacing w:val="-5"/>
        </w:rPr>
        <w:t> </w:t>
      </w:r>
      <w:r>
        <w:rPr/>
        <w:t>mellitus</w:t>
      </w:r>
      <w:r>
        <w:rPr>
          <w:spacing w:val="-9"/>
        </w:rPr>
        <w:t> </w:t>
      </w:r>
      <w:r>
        <w:rPr/>
        <w:t>tipo</w:t>
      </w:r>
      <w:r>
        <w:rPr>
          <w:spacing w:val="-7"/>
        </w:rPr>
        <w:t> </w:t>
      </w:r>
      <w:r>
        <w:rPr/>
        <w:t>2,</w:t>
      </w:r>
      <w:r>
        <w:rPr>
          <w:spacing w:val="-10"/>
        </w:rPr>
        <w:t> </w:t>
      </w:r>
      <w:r>
        <w:rPr/>
        <w:t>interleucina-6,</w:t>
      </w:r>
      <w:r>
        <w:rPr>
          <w:spacing w:val="-7"/>
        </w:rPr>
        <w:t> </w:t>
      </w:r>
      <w:r>
        <w:rPr/>
        <w:t>enfermedades</w:t>
      </w:r>
      <w:r>
        <w:rPr>
          <w:spacing w:val="-7"/>
        </w:rPr>
        <w:t> </w:t>
      </w:r>
      <w:r>
        <w:rPr/>
        <w:t>periodontales,</w:t>
      </w:r>
      <w:r>
        <w:rPr>
          <w:spacing w:val="-7"/>
        </w:rPr>
        <w:t> </w:t>
      </w:r>
      <w:r>
        <w:rPr/>
        <w:t>saliva, índice de masa</w:t>
      </w:r>
      <w:r>
        <w:rPr>
          <w:spacing w:val="-4"/>
        </w:rPr>
        <w:t> </w:t>
      </w:r>
      <w:r>
        <w:rPr/>
        <w:t>corporal.</w:t>
      </w:r>
    </w:p>
    <w:p>
      <w:pPr>
        <w:spacing w:after="0" w:line="480" w:lineRule="auto"/>
        <w:jc w:val="both"/>
        <w:sectPr>
          <w:pgSz w:w="12240" w:h="15840"/>
          <w:pgMar w:header="731" w:footer="0" w:top="960" w:bottom="280" w:left="1600" w:right="1580"/>
        </w:sectPr>
      </w:pPr>
    </w:p>
    <w:p>
      <w:pPr>
        <w:pStyle w:val="BodyText"/>
        <w:rPr>
          <w:sz w:val="20"/>
        </w:rPr>
      </w:pPr>
    </w:p>
    <w:p>
      <w:pPr>
        <w:pStyle w:val="Heading3"/>
        <w:spacing w:before="212"/>
      </w:pPr>
      <w:r>
        <w:rPr/>
        <w:t>7.1.4 Abstract</w:t>
      </w:r>
    </w:p>
    <w:p>
      <w:pPr>
        <w:pStyle w:val="BodyText"/>
        <w:rPr>
          <w:b/>
        </w:rPr>
      </w:pPr>
    </w:p>
    <w:p>
      <w:pPr>
        <w:pStyle w:val="BodyText"/>
        <w:rPr>
          <w:b/>
        </w:rPr>
      </w:pPr>
    </w:p>
    <w:p>
      <w:pPr>
        <w:pStyle w:val="BodyText"/>
        <w:spacing w:before="7"/>
        <w:rPr>
          <w:b/>
          <w:sz w:val="23"/>
        </w:rPr>
      </w:pPr>
    </w:p>
    <w:p>
      <w:pPr>
        <w:pStyle w:val="BodyText"/>
        <w:spacing w:line="480" w:lineRule="auto"/>
        <w:ind w:left="102" w:right="117"/>
        <w:jc w:val="both"/>
      </w:pPr>
      <w:r>
        <w:rPr>
          <w:b/>
        </w:rPr>
        <w:t>Background. </w:t>
      </w:r>
      <w:r>
        <w:rPr/>
        <w:t>Periodontal disease (PD) is an inflammatory condition which stimulates IL-6 secretion.</w:t>
      </w:r>
      <w:r>
        <w:rPr>
          <w:spacing w:val="-13"/>
        </w:rPr>
        <w:t> </w:t>
      </w:r>
      <w:r>
        <w:rPr/>
        <w:t>This</w:t>
      </w:r>
      <w:r>
        <w:rPr>
          <w:spacing w:val="-13"/>
        </w:rPr>
        <w:t> </w:t>
      </w:r>
      <w:r>
        <w:rPr/>
        <w:t>cytokine</w:t>
      </w:r>
      <w:r>
        <w:rPr>
          <w:spacing w:val="-14"/>
        </w:rPr>
        <w:t> </w:t>
      </w:r>
      <w:r>
        <w:rPr/>
        <w:t>has</w:t>
      </w:r>
      <w:r>
        <w:rPr>
          <w:spacing w:val="-13"/>
        </w:rPr>
        <w:t> </w:t>
      </w:r>
      <w:r>
        <w:rPr/>
        <w:t>been</w:t>
      </w:r>
      <w:r>
        <w:rPr>
          <w:spacing w:val="-13"/>
        </w:rPr>
        <w:t> </w:t>
      </w:r>
      <w:r>
        <w:rPr/>
        <w:t>related</w:t>
      </w:r>
      <w:r>
        <w:rPr>
          <w:spacing w:val="-13"/>
        </w:rPr>
        <w:t> </w:t>
      </w:r>
      <w:r>
        <w:rPr/>
        <w:t>with</w:t>
      </w:r>
      <w:r>
        <w:rPr>
          <w:spacing w:val="-13"/>
        </w:rPr>
        <w:t> </w:t>
      </w:r>
      <w:r>
        <w:rPr/>
        <w:t>periodontal</w:t>
      </w:r>
      <w:r>
        <w:rPr>
          <w:spacing w:val="-14"/>
        </w:rPr>
        <w:t> </w:t>
      </w:r>
      <w:r>
        <w:rPr/>
        <w:t>destruction</w:t>
      </w:r>
      <w:r>
        <w:rPr>
          <w:spacing w:val="-13"/>
        </w:rPr>
        <w:t> </w:t>
      </w:r>
      <w:r>
        <w:rPr/>
        <w:t>additional</w:t>
      </w:r>
      <w:r>
        <w:rPr>
          <w:spacing w:val="-14"/>
        </w:rPr>
        <w:t> </w:t>
      </w:r>
      <w:r>
        <w:rPr/>
        <w:t>to</w:t>
      </w:r>
      <w:r>
        <w:rPr>
          <w:spacing w:val="-13"/>
        </w:rPr>
        <w:t> </w:t>
      </w:r>
      <w:r>
        <w:rPr/>
        <w:t>low-grade systemic inflammation, which develops most commonly in type 2 diabetes mellitus (DM2); otherwise, the results obtained from adults with PD and DM2 are controversial. The main aim of the present study was to determine saliva concentrations of IL-6 in adults with and without  DM2.</w:t>
      </w:r>
    </w:p>
    <w:p>
      <w:pPr>
        <w:pStyle w:val="BodyText"/>
      </w:pPr>
    </w:p>
    <w:p>
      <w:pPr>
        <w:pStyle w:val="BodyText"/>
        <w:spacing w:before="10"/>
      </w:pPr>
    </w:p>
    <w:p>
      <w:pPr>
        <w:pStyle w:val="BodyText"/>
        <w:spacing w:line="477" w:lineRule="auto"/>
        <w:ind w:left="102" w:right="115"/>
        <w:jc w:val="both"/>
      </w:pPr>
      <w:r>
        <w:rPr>
          <w:b/>
        </w:rPr>
        <w:t>Methods</w:t>
      </w:r>
      <w:r>
        <w:rPr/>
        <w:t>. A cross-sectional descriptive study was conducted including 90 participants assigned to three groups: 30 with DM2 and PD (DM2+PD), 30 without DM2 with PD</w:t>
      </w:r>
      <w:r>
        <w:rPr>
          <w:spacing w:val="-23"/>
        </w:rPr>
        <w:t> </w:t>
      </w:r>
      <w:r>
        <w:rPr/>
        <w:t>(PD), and 30 with neither DM2, nor PD (no DM2-PD). A medical history was taken, weight and height, periodontal examination and biochemical evaluations (glucose, triacylglycerides, total cholesterol, and HDL-cholesterol) and saliva IL-6 were measured. By the chi</w:t>
      </w:r>
      <w:r>
        <w:rPr>
          <w:position w:val="9"/>
          <w:sz w:val="16"/>
        </w:rPr>
        <w:t>2 </w:t>
      </w:r>
      <w:r>
        <w:rPr/>
        <w:t>test and ANOVA or Kruskal-Wallis the clinical and anthropometric characteristics were compared and</w:t>
      </w:r>
      <w:r>
        <w:rPr>
          <w:spacing w:val="-13"/>
        </w:rPr>
        <w:t> </w:t>
      </w:r>
      <w:r>
        <w:rPr/>
        <w:t>by</w:t>
      </w:r>
      <w:r>
        <w:rPr>
          <w:spacing w:val="-18"/>
        </w:rPr>
        <w:t> </w:t>
      </w:r>
      <w:r>
        <w:rPr/>
        <w:t>the</w:t>
      </w:r>
      <w:r>
        <w:rPr>
          <w:spacing w:val="-14"/>
        </w:rPr>
        <w:t> </w:t>
      </w:r>
      <w:r>
        <w:rPr/>
        <w:t>Mann-Whitney-U-Wilcoxon</w:t>
      </w:r>
      <w:r>
        <w:rPr>
          <w:spacing w:val="-13"/>
        </w:rPr>
        <w:t> </w:t>
      </w:r>
      <w:r>
        <w:rPr/>
        <w:t>tests</w:t>
      </w:r>
      <w:r>
        <w:rPr>
          <w:spacing w:val="-13"/>
        </w:rPr>
        <w:t> </w:t>
      </w:r>
      <w:r>
        <w:rPr/>
        <w:t>the</w:t>
      </w:r>
      <w:r>
        <w:rPr>
          <w:spacing w:val="-14"/>
        </w:rPr>
        <w:t> </w:t>
      </w:r>
      <w:r>
        <w:rPr/>
        <w:t>IL-6</w:t>
      </w:r>
      <w:r>
        <w:rPr>
          <w:spacing w:val="-13"/>
        </w:rPr>
        <w:t> </w:t>
      </w:r>
      <w:r>
        <w:rPr/>
        <w:t>values</w:t>
      </w:r>
      <w:r>
        <w:rPr>
          <w:spacing w:val="-14"/>
        </w:rPr>
        <w:t> </w:t>
      </w:r>
      <w:r>
        <w:rPr/>
        <w:t>were</w:t>
      </w:r>
      <w:r>
        <w:rPr>
          <w:spacing w:val="-13"/>
        </w:rPr>
        <w:t> </w:t>
      </w:r>
      <w:r>
        <w:rPr/>
        <w:t>compared</w:t>
      </w:r>
      <w:r>
        <w:rPr>
          <w:spacing w:val="-13"/>
        </w:rPr>
        <w:t> </w:t>
      </w:r>
      <w:r>
        <w:rPr/>
        <w:t>between</w:t>
      </w:r>
      <w:r>
        <w:rPr>
          <w:spacing w:val="-12"/>
        </w:rPr>
        <w:t> </w:t>
      </w:r>
      <w:r>
        <w:rPr/>
        <w:t>groups. An age-stratified linear regression model was fitted to compared the values of IL-6 from the DM2+PD group against both groups, PD and</w:t>
      </w:r>
      <w:r>
        <w:rPr>
          <w:spacing w:val="-6"/>
        </w:rPr>
        <w:t> </w:t>
      </w:r>
      <w:r>
        <w:rPr/>
        <w:t>DM2-PD.</w:t>
      </w:r>
    </w:p>
    <w:p>
      <w:pPr>
        <w:pStyle w:val="BodyText"/>
      </w:pPr>
    </w:p>
    <w:p>
      <w:pPr>
        <w:pStyle w:val="BodyText"/>
        <w:spacing w:before="2"/>
        <w:rPr>
          <w:sz w:val="25"/>
        </w:rPr>
      </w:pPr>
    </w:p>
    <w:p>
      <w:pPr>
        <w:pStyle w:val="BodyText"/>
        <w:spacing w:line="480" w:lineRule="auto"/>
        <w:ind w:left="102" w:right="116"/>
        <w:jc w:val="both"/>
      </w:pPr>
      <w:r>
        <w:rPr>
          <w:b/>
        </w:rPr>
        <w:t>Results. </w:t>
      </w:r>
      <w:r>
        <w:rPr/>
        <w:t>The participants from the DM2+PD group showed higher levels of saliva IL-6 concentrations (1.7±4.5 pg/dL) than those in the PD (0.6±2.1 pg/dL) and the DM2+PD (1.4±1.7 pg/dL) groups. </w:t>
      </w:r>
      <w:r>
        <w:rPr>
          <w:spacing w:val="-3"/>
        </w:rPr>
        <w:t>In </w:t>
      </w:r>
      <w:r>
        <w:rPr/>
        <w:t>addition, patients with obesity and DM2+PD showed higher values of IL-6 (1.2±3.3 pg/dL, range=0-11.4) than those with no DM2-PD with obesity (3.3±0.9</w:t>
      </w:r>
      <w:r>
        <w:rPr>
          <w:spacing w:val="-7"/>
        </w:rPr>
        <w:t> </w:t>
      </w:r>
      <w:r>
        <w:rPr/>
        <w:t>pg/dL,</w:t>
      </w:r>
      <w:r>
        <w:rPr>
          <w:spacing w:val="-3"/>
        </w:rPr>
        <w:t> </w:t>
      </w:r>
      <w:r>
        <w:rPr/>
        <w:t>range=0-4.2;</w:t>
      </w:r>
      <w:r>
        <w:rPr>
          <w:spacing w:val="-6"/>
        </w:rPr>
        <w:t> </w:t>
      </w:r>
      <w:r>
        <w:rPr/>
        <w:t>p=0.027).</w:t>
      </w:r>
      <w:r>
        <w:rPr>
          <w:spacing w:val="-4"/>
        </w:rPr>
        <w:t> </w:t>
      </w:r>
      <w:r>
        <w:rPr/>
        <w:t>By</w:t>
      </w:r>
      <w:r>
        <w:rPr>
          <w:spacing w:val="-11"/>
        </w:rPr>
        <w:t> </w:t>
      </w:r>
      <w:r>
        <w:rPr/>
        <w:t>a</w:t>
      </w:r>
      <w:r>
        <w:rPr>
          <w:spacing w:val="-5"/>
        </w:rPr>
        <w:t> </w:t>
      </w:r>
      <w:r>
        <w:rPr/>
        <w:t>lineal</w:t>
      </w:r>
      <w:r>
        <w:rPr>
          <w:spacing w:val="-4"/>
        </w:rPr>
        <w:t> </w:t>
      </w:r>
      <w:r>
        <w:rPr/>
        <w:t>regression</w:t>
      </w:r>
      <w:r>
        <w:rPr>
          <w:spacing w:val="-6"/>
        </w:rPr>
        <w:t> </w:t>
      </w:r>
      <w:r>
        <w:rPr/>
        <w:t>analysis</w:t>
      </w:r>
      <w:r>
        <w:rPr>
          <w:spacing w:val="-6"/>
        </w:rPr>
        <w:t> </w:t>
      </w:r>
      <w:r>
        <w:rPr/>
        <w:t>adjusted</w:t>
      </w:r>
      <w:r>
        <w:rPr>
          <w:spacing w:val="-7"/>
        </w:rPr>
        <w:t> </w:t>
      </w:r>
      <w:r>
        <w:rPr/>
        <w:t>by</w:t>
      </w:r>
      <w:r>
        <w:rPr>
          <w:spacing w:val="-9"/>
        </w:rPr>
        <w:t> </w:t>
      </w:r>
      <w:r>
        <w:rPr/>
        <w:t>sex,</w:t>
      </w:r>
      <w:r>
        <w:rPr>
          <w:spacing w:val="-6"/>
        </w:rPr>
        <w:t> </w:t>
      </w:r>
      <w:r>
        <w:rPr/>
        <w:t>BMI</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7"/>
        <w:jc w:val="both"/>
      </w:pPr>
      <w:r>
        <w:rPr/>
        <w:t>and HDL cholesterol, the values of IL-6 were higher in the 39-60 year-old DM2+PD participants than in the PD group (β=3.03, IC95%: 0.172, 5.899); when including other co- variables, this relationship was not significant.</w:t>
      </w:r>
    </w:p>
    <w:p>
      <w:pPr>
        <w:pStyle w:val="BodyText"/>
      </w:pPr>
    </w:p>
    <w:p>
      <w:pPr>
        <w:pStyle w:val="BodyText"/>
        <w:spacing w:before="10"/>
      </w:pPr>
    </w:p>
    <w:p>
      <w:pPr>
        <w:pStyle w:val="BodyText"/>
        <w:spacing w:line="480" w:lineRule="auto"/>
        <w:ind w:left="102" w:right="117"/>
        <w:jc w:val="both"/>
      </w:pPr>
      <w:r>
        <w:rPr>
          <w:b/>
        </w:rPr>
        <w:t>Conclusions.</w:t>
      </w:r>
      <w:r>
        <w:rPr>
          <w:b/>
          <w:spacing w:val="-4"/>
        </w:rPr>
        <w:t> </w:t>
      </w:r>
      <w:r>
        <w:rPr/>
        <w:t>IL-6</w:t>
      </w:r>
      <w:r>
        <w:rPr>
          <w:spacing w:val="-7"/>
        </w:rPr>
        <w:t> </w:t>
      </w:r>
      <w:r>
        <w:rPr/>
        <w:t>saliva</w:t>
      </w:r>
      <w:r>
        <w:rPr>
          <w:spacing w:val="-6"/>
        </w:rPr>
        <w:t> </w:t>
      </w:r>
      <w:r>
        <w:rPr/>
        <w:t>concentrations</w:t>
      </w:r>
      <w:r>
        <w:rPr>
          <w:spacing w:val="-7"/>
        </w:rPr>
        <w:t> </w:t>
      </w:r>
      <w:r>
        <w:rPr/>
        <w:t>were</w:t>
      </w:r>
      <w:r>
        <w:rPr>
          <w:spacing w:val="-8"/>
        </w:rPr>
        <w:t> </w:t>
      </w:r>
      <w:r>
        <w:rPr/>
        <w:t>higher</w:t>
      </w:r>
      <w:r>
        <w:rPr>
          <w:spacing w:val="-8"/>
        </w:rPr>
        <w:t> </w:t>
      </w:r>
      <w:r>
        <w:rPr/>
        <w:t>in</w:t>
      </w:r>
      <w:r>
        <w:rPr>
          <w:spacing w:val="-7"/>
        </w:rPr>
        <w:t> </w:t>
      </w:r>
      <w:r>
        <w:rPr/>
        <w:t>39-60</w:t>
      </w:r>
      <w:r>
        <w:rPr>
          <w:spacing w:val="-2"/>
        </w:rPr>
        <w:t> </w:t>
      </w:r>
      <w:r>
        <w:rPr/>
        <w:t>year-old</w:t>
      </w:r>
      <w:r>
        <w:rPr>
          <w:spacing w:val="-4"/>
        </w:rPr>
        <w:t> </w:t>
      </w:r>
      <w:r>
        <w:rPr/>
        <w:t>adults</w:t>
      </w:r>
      <w:r>
        <w:rPr>
          <w:spacing w:val="-7"/>
        </w:rPr>
        <w:t> </w:t>
      </w:r>
      <w:r>
        <w:rPr/>
        <w:t>with</w:t>
      </w:r>
      <w:r>
        <w:rPr>
          <w:spacing w:val="-7"/>
        </w:rPr>
        <w:t> </w:t>
      </w:r>
      <w:r>
        <w:rPr/>
        <w:t>DM2</w:t>
      </w:r>
      <w:r>
        <w:rPr>
          <w:spacing w:val="-8"/>
        </w:rPr>
        <w:t> </w:t>
      </w:r>
      <w:r>
        <w:rPr/>
        <w:t>and PD than in those with only PD. These results suggest a relationship between DM2 and DP with a chronic inflammatory</w:t>
      </w:r>
      <w:r>
        <w:rPr>
          <w:spacing w:val="-9"/>
        </w:rPr>
        <w:t> </w:t>
      </w:r>
      <w:r>
        <w:rPr/>
        <w:t>situation.</w:t>
      </w:r>
    </w:p>
    <w:p>
      <w:pPr>
        <w:pStyle w:val="BodyText"/>
      </w:pPr>
    </w:p>
    <w:p>
      <w:pPr>
        <w:pStyle w:val="BodyText"/>
        <w:spacing w:before="10"/>
      </w:pPr>
    </w:p>
    <w:p>
      <w:pPr>
        <w:pStyle w:val="BodyText"/>
        <w:spacing w:line="480" w:lineRule="auto" w:before="1"/>
        <w:ind w:left="102" w:right="118"/>
        <w:jc w:val="both"/>
      </w:pPr>
      <w:r>
        <w:rPr>
          <w:b/>
        </w:rPr>
        <w:t>Key words. </w:t>
      </w:r>
      <w:r>
        <w:rPr/>
        <w:t>Diabetes mellitus type 2, interleukine-6, periodontal disease, saliva, body mass index.</w:t>
      </w:r>
    </w:p>
    <w:p>
      <w:pPr>
        <w:spacing w:after="0" w:line="480" w:lineRule="auto"/>
        <w:jc w:val="both"/>
        <w:sectPr>
          <w:pgSz w:w="12240" w:h="15840"/>
          <w:pgMar w:header="731" w:footer="0" w:top="960" w:bottom="280" w:left="1600" w:right="1580"/>
        </w:sectPr>
      </w:pPr>
    </w:p>
    <w:p>
      <w:pPr>
        <w:pStyle w:val="BodyText"/>
        <w:rPr>
          <w:sz w:val="20"/>
        </w:rPr>
      </w:pPr>
    </w:p>
    <w:p>
      <w:pPr>
        <w:pStyle w:val="Heading3"/>
        <w:spacing w:line="480" w:lineRule="auto" w:before="212"/>
        <w:ind w:right="6978"/>
        <w:jc w:val="left"/>
      </w:pPr>
      <w:r>
        <w:rPr/>
        <w:t>7.1.5. Antecedentes Background</w:t>
      </w:r>
    </w:p>
    <w:p>
      <w:pPr>
        <w:pStyle w:val="BodyText"/>
        <w:spacing w:line="480" w:lineRule="auto" w:before="5"/>
        <w:ind w:left="102" w:right="117"/>
        <w:jc w:val="both"/>
      </w:pPr>
      <w:r>
        <w:rPr/>
        <w:t>Periodontal disease (PD) is an inflammatory condition which affects tissues which support the teeth (gums, periodontal ligament and alveolar bone). This pathology results from the interaction between the defense mechanisms of the organism, microbial agents, environmental, and genetic factors as well. Starting with the bacterial pathogen</w:t>
      </w:r>
      <w:r>
        <w:rPr>
          <w:spacing w:val="-22"/>
        </w:rPr>
        <w:t> </w:t>
      </w:r>
      <w:r>
        <w:rPr/>
        <w:t>colonization in the oral cavity and the initial defense mechanisms from the innate immune system [1-9]. As a result, the receptors from epithelial cells in the oral mucosa in charge of recognizing some of the microbial components, induce the synthesis of tissue adhesion molecules and pro-inflammatory cytokine production, such as the interleukine-6 (IL-6), interleukine-1 (IL- 1), and the tumorous necrosis factor alpha (TNF-α) [2,4,6,10,11]. Recent research showed that the increase in the synthesis and release of these inflammatory cytokines play a role in the destruction of the periodontal tissue at the local level [12], developing a low grade inflammatory state [8, 13-17] by the mediators synthetised at the periodontal level. Jagannathachary and Kamaraj [18] refer that pro-inflammatory cytokines, such as IL-6 can have a close relationship between periodontitis, obesity, and chronic</w:t>
      </w:r>
      <w:r>
        <w:rPr>
          <w:spacing w:val="-10"/>
        </w:rPr>
        <w:t> </w:t>
      </w:r>
      <w:r>
        <w:rPr/>
        <w:t>diseases.</w:t>
      </w:r>
    </w:p>
    <w:p>
      <w:pPr>
        <w:pStyle w:val="BodyText"/>
        <w:spacing w:line="480" w:lineRule="auto" w:before="10"/>
        <w:ind w:left="102" w:right="120"/>
        <w:jc w:val="both"/>
      </w:pPr>
      <w:r>
        <w:rPr/>
        <w:t>IL-6 is produced by macrophages, adipocytes and other sources, including skeletal muscle, fibroblasts</w:t>
      </w:r>
      <w:r>
        <w:rPr>
          <w:spacing w:val="-10"/>
        </w:rPr>
        <w:t> </w:t>
      </w:r>
      <w:r>
        <w:rPr/>
        <w:t>and</w:t>
      </w:r>
      <w:r>
        <w:rPr>
          <w:spacing w:val="-9"/>
        </w:rPr>
        <w:t> </w:t>
      </w:r>
      <w:r>
        <w:rPr/>
        <w:t>endothelial</w:t>
      </w:r>
      <w:r>
        <w:rPr>
          <w:spacing w:val="-11"/>
        </w:rPr>
        <w:t> </w:t>
      </w:r>
      <w:r>
        <w:rPr/>
        <w:t>cells</w:t>
      </w:r>
      <w:r>
        <w:rPr>
          <w:spacing w:val="-11"/>
        </w:rPr>
        <w:t> </w:t>
      </w:r>
      <w:r>
        <w:rPr/>
        <w:t>[8-16,</w:t>
      </w:r>
      <w:r>
        <w:rPr>
          <w:spacing w:val="-11"/>
        </w:rPr>
        <w:t> </w:t>
      </w:r>
      <w:r>
        <w:rPr/>
        <w:t>19-23],</w:t>
      </w:r>
      <w:r>
        <w:rPr>
          <w:spacing w:val="-11"/>
        </w:rPr>
        <w:t> </w:t>
      </w:r>
      <w:r>
        <w:rPr/>
        <w:t>being</w:t>
      </w:r>
      <w:r>
        <w:rPr>
          <w:spacing w:val="-11"/>
        </w:rPr>
        <w:t> </w:t>
      </w:r>
      <w:r>
        <w:rPr/>
        <w:t>a</w:t>
      </w:r>
      <w:r>
        <w:rPr>
          <w:spacing w:val="-12"/>
        </w:rPr>
        <w:t> </w:t>
      </w:r>
      <w:r>
        <w:rPr/>
        <w:t>systemic</w:t>
      </w:r>
      <w:r>
        <w:rPr>
          <w:spacing w:val="-9"/>
        </w:rPr>
        <w:t> </w:t>
      </w:r>
      <w:r>
        <w:rPr/>
        <w:t>regulator</w:t>
      </w:r>
      <w:r>
        <w:rPr>
          <w:spacing w:val="-10"/>
        </w:rPr>
        <w:t> </w:t>
      </w:r>
      <w:r>
        <w:rPr/>
        <w:t>of</w:t>
      </w:r>
      <w:r>
        <w:rPr>
          <w:spacing w:val="-12"/>
        </w:rPr>
        <w:t> </w:t>
      </w:r>
      <w:r>
        <w:rPr/>
        <w:t>body</w:t>
      </w:r>
      <w:r>
        <w:rPr>
          <w:spacing w:val="-16"/>
        </w:rPr>
        <w:t> </w:t>
      </w:r>
      <w:r>
        <w:rPr/>
        <w:t>weight</w:t>
      </w:r>
      <w:r>
        <w:rPr>
          <w:spacing w:val="-8"/>
        </w:rPr>
        <w:t> </w:t>
      </w:r>
      <w:r>
        <w:rPr/>
        <w:t>and lipid metabolism. A relationship of IL-6 with obesity and insulin resistance has been observed, however, it is not yet clear if IL-6 has a damaging or protective role [3,</w:t>
      </w:r>
      <w:r>
        <w:rPr>
          <w:spacing w:val="-10"/>
        </w:rPr>
        <w:t> </w:t>
      </w:r>
      <w:r>
        <w:rPr/>
        <w:t>24].</w:t>
      </w:r>
    </w:p>
    <w:p>
      <w:pPr>
        <w:pStyle w:val="BodyText"/>
        <w:spacing w:line="480" w:lineRule="auto" w:before="10"/>
        <w:ind w:left="102" w:right="121"/>
        <w:jc w:val="both"/>
      </w:pPr>
      <w:r>
        <w:rPr/>
        <w:t>DM2 is a chronic metabolic disorder which affects more than 100 million people all around the world. In Mexico, the National Health and Nutrition Survey (ENSANUT) 2012 reports an increase in 50-59 year-old men and women in comparison to the ENSANUT 2006 [21, 25-26]. Oral health in DM2 patients causes complications such as xerostomia (dry </w:t>
      </w:r>
      <w:r>
        <w:rPr>
          <w:spacing w:val="52"/>
        </w:rPr>
        <w:t> </w:t>
      </w:r>
      <w:r>
        <w:rPr/>
        <w:t>mouth),</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5"/>
        <w:jc w:val="both"/>
      </w:pPr>
      <w:r>
        <w:rPr/>
        <w:t>tooth-loss,</w:t>
      </w:r>
      <w:r>
        <w:rPr>
          <w:spacing w:val="-13"/>
        </w:rPr>
        <w:t> </w:t>
      </w:r>
      <w:r>
        <w:rPr/>
        <w:t>gingivitis,</w:t>
      </w:r>
      <w:r>
        <w:rPr>
          <w:spacing w:val="-13"/>
        </w:rPr>
        <w:t> </w:t>
      </w:r>
      <w:r>
        <w:rPr/>
        <w:t>periodontitis,</w:t>
      </w:r>
      <w:r>
        <w:rPr>
          <w:spacing w:val="-13"/>
        </w:rPr>
        <w:t> </w:t>
      </w:r>
      <w:r>
        <w:rPr/>
        <w:t>and</w:t>
      </w:r>
      <w:r>
        <w:rPr>
          <w:spacing w:val="-13"/>
        </w:rPr>
        <w:t> </w:t>
      </w:r>
      <w:r>
        <w:rPr/>
        <w:t>dental</w:t>
      </w:r>
      <w:r>
        <w:rPr>
          <w:spacing w:val="-13"/>
        </w:rPr>
        <w:t> </w:t>
      </w:r>
      <w:r>
        <w:rPr/>
        <w:t>abscesses,</w:t>
      </w:r>
      <w:r>
        <w:rPr>
          <w:spacing w:val="-14"/>
        </w:rPr>
        <w:t> </w:t>
      </w:r>
      <w:r>
        <w:rPr/>
        <w:t>as</w:t>
      </w:r>
      <w:r>
        <w:rPr>
          <w:spacing w:val="-13"/>
        </w:rPr>
        <w:t> </w:t>
      </w:r>
      <w:r>
        <w:rPr/>
        <w:t>well</w:t>
      </w:r>
      <w:r>
        <w:rPr>
          <w:spacing w:val="-13"/>
        </w:rPr>
        <w:t> </w:t>
      </w:r>
      <w:r>
        <w:rPr/>
        <w:t>as</w:t>
      </w:r>
      <w:r>
        <w:rPr>
          <w:spacing w:val="-13"/>
        </w:rPr>
        <w:t> </w:t>
      </w:r>
      <w:r>
        <w:rPr/>
        <w:t>tongue</w:t>
      </w:r>
      <w:r>
        <w:rPr>
          <w:spacing w:val="-14"/>
        </w:rPr>
        <w:t> </w:t>
      </w:r>
      <w:r>
        <w:rPr/>
        <w:t>and</w:t>
      </w:r>
      <w:r>
        <w:rPr>
          <w:spacing w:val="-13"/>
        </w:rPr>
        <w:t> </w:t>
      </w:r>
      <w:r>
        <w:rPr/>
        <w:t>mucus</w:t>
      </w:r>
      <w:r>
        <w:rPr>
          <w:spacing w:val="-14"/>
        </w:rPr>
        <w:t> </w:t>
      </w:r>
      <w:r>
        <w:rPr/>
        <w:t>lesions [27-29]. PD appears more frequently and is more dangerous in patients with DM2, although in</w:t>
      </w:r>
      <w:r>
        <w:rPr>
          <w:spacing w:val="-11"/>
        </w:rPr>
        <w:t> </w:t>
      </w:r>
      <w:r>
        <w:rPr/>
        <w:t>its</w:t>
      </w:r>
      <w:r>
        <w:rPr>
          <w:spacing w:val="-11"/>
        </w:rPr>
        <w:t> </w:t>
      </w:r>
      <w:r>
        <w:rPr/>
        <w:t>early</w:t>
      </w:r>
      <w:r>
        <w:rPr>
          <w:spacing w:val="-16"/>
        </w:rPr>
        <w:t> </w:t>
      </w:r>
      <w:r>
        <w:rPr/>
        <w:t>stages</w:t>
      </w:r>
      <w:r>
        <w:rPr>
          <w:spacing w:val="-11"/>
        </w:rPr>
        <w:t> </w:t>
      </w:r>
      <w:r>
        <w:rPr/>
        <w:t>it</w:t>
      </w:r>
      <w:r>
        <w:rPr>
          <w:spacing w:val="-10"/>
        </w:rPr>
        <w:t> </w:t>
      </w:r>
      <w:r>
        <w:rPr/>
        <w:t>does</w:t>
      </w:r>
      <w:r>
        <w:rPr>
          <w:spacing w:val="-11"/>
        </w:rPr>
        <w:t> </w:t>
      </w:r>
      <w:r>
        <w:rPr/>
        <w:t>not</w:t>
      </w:r>
      <w:r>
        <w:rPr>
          <w:spacing w:val="-11"/>
        </w:rPr>
        <w:t> </w:t>
      </w:r>
      <w:r>
        <w:rPr/>
        <w:t>produce</w:t>
      </w:r>
      <w:r>
        <w:rPr>
          <w:spacing w:val="-12"/>
        </w:rPr>
        <w:t> </w:t>
      </w:r>
      <w:r>
        <w:rPr/>
        <w:t>any</w:t>
      </w:r>
      <w:r>
        <w:rPr>
          <w:spacing w:val="-16"/>
        </w:rPr>
        <w:t> </w:t>
      </w:r>
      <w:r>
        <w:rPr/>
        <w:t>symptoms,</w:t>
      </w:r>
      <w:r>
        <w:rPr>
          <w:spacing w:val="-10"/>
        </w:rPr>
        <w:t> </w:t>
      </w:r>
      <w:r>
        <w:rPr/>
        <w:t>making</w:t>
      </w:r>
      <w:r>
        <w:rPr>
          <w:spacing w:val="-13"/>
        </w:rPr>
        <w:t> </w:t>
      </w:r>
      <w:r>
        <w:rPr/>
        <w:t>it</w:t>
      </w:r>
      <w:r>
        <w:rPr>
          <w:spacing w:val="-10"/>
        </w:rPr>
        <w:t> </w:t>
      </w:r>
      <w:r>
        <w:rPr/>
        <w:t>more</w:t>
      </w:r>
      <w:r>
        <w:rPr>
          <w:spacing w:val="-12"/>
        </w:rPr>
        <w:t> </w:t>
      </w:r>
      <w:r>
        <w:rPr/>
        <w:t>difficult</w:t>
      </w:r>
      <w:r>
        <w:rPr>
          <w:spacing w:val="-10"/>
        </w:rPr>
        <w:t> </w:t>
      </w:r>
      <w:r>
        <w:rPr/>
        <w:t>to</w:t>
      </w:r>
      <w:r>
        <w:rPr>
          <w:spacing w:val="-11"/>
        </w:rPr>
        <w:t> </w:t>
      </w:r>
      <w:r>
        <w:rPr/>
        <w:t>be</w:t>
      </w:r>
      <w:r>
        <w:rPr>
          <w:spacing w:val="-12"/>
        </w:rPr>
        <w:t> </w:t>
      </w:r>
      <w:r>
        <w:rPr/>
        <w:t>diagnosed and treat adequately [9, 19,</w:t>
      </w:r>
      <w:r>
        <w:rPr>
          <w:spacing w:val="-2"/>
        </w:rPr>
        <w:t> </w:t>
      </w:r>
      <w:r>
        <w:rPr/>
        <w:t>30-32].</w:t>
      </w:r>
    </w:p>
    <w:p>
      <w:pPr>
        <w:pStyle w:val="BodyText"/>
        <w:spacing w:line="480" w:lineRule="auto" w:before="10"/>
        <w:ind w:left="102" w:right="114"/>
        <w:jc w:val="both"/>
      </w:pPr>
      <w:r>
        <w:rPr/>
        <w:t>Referring</w:t>
      </w:r>
      <w:r>
        <w:rPr>
          <w:spacing w:val="-6"/>
        </w:rPr>
        <w:t> </w:t>
      </w:r>
      <w:r>
        <w:rPr/>
        <w:t>to</w:t>
      </w:r>
      <w:r>
        <w:rPr>
          <w:spacing w:val="1"/>
        </w:rPr>
        <w:t> </w:t>
      </w:r>
      <w:r>
        <w:rPr/>
        <w:t>IL-6</w:t>
      </w:r>
      <w:r>
        <w:rPr>
          <w:spacing w:val="-1"/>
        </w:rPr>
        <w:t> </w:t>
      </w:r>
      <w:r>
        <w:rPr/>
        <w:t>values</w:t>
      </w:r>
      <w:r>
        <w:rPr>
          <w:spacing w:val="-4"/>
        </w:rPr>
        <w:t> </w:t>
      </w:r>
      <w:r>
        <w:rPr/>
        <w:t>in</w:t>
      </w:r>
      <w:r>
        <w:rPr>
          <w:spacing w:val="-4"/>
        </w:rPr>
        <w:t> </w:t>
      </w:r>
      <w:r>
        <w:rPr/>
        <w:t>adults</w:t>
      </w:r>
      <w:r>
        <w:rPr>
          <w:spacing w:val="-4"/>
        </w:rPr>
        <w:t> </w:t>
      </w:r>
      <w:r>
        <w:rPr/>
        <w:t>with</w:t>
      </w:r>
      <w:r>
        <w:rPr>
          <w:spacing w:val="-3"/>
        </w:rPr>
        <w:t> </w:t>
      </w:r>
      <w:r>
        <w:rPr/>
        <w:t>PD</w:t>
      </w:r>
      <w:r>
        <w:rPr>
          <w:spacing w:val="-4"/>
        </w:rPr>
        <w:t> </w:t>
      </w:r>
      <w:r>
        <w:rPr/>
        <w:t>and</w:t>
      </w:r>
      <w:r>
        <w:rPr>
          <w:spacing w:val="-1"/>
        </w:rPr>
        <w:t> </w:t>
      </w:r>
      <w:r>
        <w:rPr/>
        <w:t>DM2,</w:t>
      </w:r>
      <w:r>
        <w:rPr>
          <w:spacing w:val="-4"/>
        </w:rPr>
        <w:t> </w:t>
      </w:r>
      <w:r>
        <w:rPr/>
        <w:t>the</w:t>
      </w:r>
      <w:r>
        <w:rPr>
          <w:spacing w:val="-4"/>
        </w:rPr>
        <w:t> </w:t>
      </w:r>
      <w:r>
        <w:rPr/>
        <w:t>results</w:t>
      </w:r>
      <w:r>
        <w:rPr>
          <w:spacing w:val="-4"/>
        </w:rPr>
        <w:t> </w:t>
      </w:r>
      <w:r>
        <w:rPr/>
        <w:t>in</w:t>
      </w:r>
      <w:r>
        <w:rPr>
          <w:spacing w:val="-3"/>
        </w:rPr>
        <w:t> </w:t>
      </w:r>
      <w:r>
        <w:rPr/>
        <w:t>international</w:t>
      </w:r>
      <w:r>
        <w:rPr>
          <w:spacing w:val="-3"/>
        </w:rPr>
        <w:t> </w:t>
      </w:r>
      <w:r>
        <w:rPr/>
        <w:t>research</w:t>
      </w:r>
      <w:r>
        <w:rPr>
          <w:spacing w:val="-4"/>
        </w:rPr>
        <w:t> </w:t>
      </w:r>
      <w:r>
        <w:rPr/>
        <w:t>are inconsistent, reporting values either higher [33,34], as well as lower [35] in adults with PD and DM2 in relation to adults without DM2. For example, Monea </w:t>
      </w:r>
      <w:r>
        <w:rPr>
          <w:i/>
        </w:rPr>
        <w:t>et al. </w:t>
      </w:r>
      <w:r>
        <w:rPr/>
        <w:t>[33] demonstrated higher concentrations of saliva IL-6 in adults with DM2 and PD in comparison with adults without</w:t>
      </w:r>
      <w:r>
        <w:rPr>
          <w:spacing w:val="-10"/>
        </w:rPr>
        <w:t> </w:t>
      </w:r>
      <w:r>
        <w:rPr/>
        <w:t>DM2</w:t>
      </w:r>
      <w:r>
        <w:rPr>
          <w:spacing w:val="-11"/>
        </w:rPr>
        <w:t> </w:t>
      </w:r>
      <w:r>
        <w:rPr/>
        <w:t>with</w:t>
      </w:r>
      <w:r>
        <w:rPr>
          <w:spacing w:val="-11"/>
        </w:rPr>
        <w:t> </w:t>
      </w:r>
      <w:r>
        <w:rPr/>
        <w:t>PD.</w:t>
      </w:r>
      <w:r>
        <w:rPr>
          <w:spacing w:val="-9"/>
        </w:rPr>
        <w:t> </w:t>
      </w:r>
      <w:r>
        <w:rPr>
          <w:spacing w:val="-3"/>
        </w:rPr>
        <w:t>It</w:t>
      </w:r>
      <w:r>
        <w:rPr>
          <w:spacing w:val="-8"/>
        </w:rPr>
        <w:t> </w:t>
      </w:r>
      <w:r>
        <w:rPr/>
        <w:t>is</w:t>
      </w:r>
      <w:r>
        <w:rPr>
          <w:spacing w:val="-10"/>
        </w:rPr>
        <w:t> </w:t>
      </w:r>
      <w:r>
        <w:rPr/>
        <w:t>important</w:t>
      </w:r>
      <w:r>
        <w:rPr>
          <w:spacing w:val="-11"/>
        </w:rPr>
        <w:t> </w:t>
      </w:r>
      <w:r>
        <w:rPr/>
        <w:t>to</w:t>
      </w:r>
      <w:r>
        <w:rPr>
          <w:spacing w:val="-11"/>
        </w:rPr>
        <w:t> </w:t>
      </w:r>
      <w:r>
        <w:rPr/>
        <w:t>highlight</w:t>
      </w:r>
      <w:r>
        <w:rPr>
          <w:spacing w:val="-11"/>
        </w:rPr>
        <w:t> </w:t>
      </w:r>
      <w:r>
        <w:rPr/>
        <w:t>that</w:t>
      </w:r>
      <w:r>
        <w:rPr>
          <w:spacing w:val="-11"/>
        </w:rPr>
        <w:t> </w:t>
      </w:r>
      <w:r>
        <w:rPr/>
        <w:t>the</w:t>
      </w:r>
      <w:r>
        <w:rPr>
          <w:spacing w:val="-12"/>
        </w:rPr>
        <w:t> </w:t>
      </w:r>
      <w:r>
        <w:rPr/>
        <w:t>amount</w:t>
      </w:r>
      <w:r>
        <w:rPr>
          <w:spacing w:val="-10"/>
        </w:rPr>
        <w:t> </w:t>
      </w:r>
      <w:r>
        <w:rPr/>
        <w:t>of</w:t>
      </w:r>
      <w:r>
        <w:rPr>
          <w:spacing w:val="-9"/>
        </w:rPr>
        <w:t> </w:t>
      </w:r>
      <w:r>
        <w:rPr/>
        <w:t>research</w:t>
      </w:r>
      <w:r>
        <w:rPr>
          <w:spacing w:val="-11"/>
        </w:rPr>
        <w:t> </w:t>
      </w:r>
      <w:r>
        <w:rPr/>
        <w:t>is</w:t>
      </w:r>
      <w:r>
        <w:rPr>
          <w:spacing w:val="-10"/>
        </w:rPr>
        <w:t> </w:t>
      </w:r>
      <w:r>
        <w:rPr/>
        <w:t>very</w:t>
      </w:r>
      <w:r>
        <w:rPr>
          <w:spacing w:val="-16"/>
        </w:rPr>
        <w:t> </w:t>
      </w:r>
      <w:r>
        <w:rPr/>
        <w:t>limited, and nowadays there still does not exist information from Mexico about the</w:t>
      </w:r>
      <w:r>
        <w:rPr>
          <w:spacing w:val="-13"/>
        </w:rPr>
        <w:t> </w:t>
      </w:r>
      <w:r>
        <w:rPr/>
        <w:t>topic.</w:t>
      </w:r>
    </w:p>
    <w:p>
      <w:pPr>
        <w:pStyle w:val="BodyText"/>
        <w:spacing w:line="480" w:lineRule="auto" w:before="10"/>
        <w:ind w:left="102" w:right="118"/>
        <w:jc w:val="both"/>
      </w:pPr>
      <w:r>
        <w:rPr/>
        <w:t>On the other hand, currently, the diagnosis and tracking of PD is done only by clinical exploration, resulting helpful to increase research of saliva PD biomarkers to help its early diagnosis and therapeutic follow-up tracking in patients with DM2. The aim of the research was to determine saliva IL-6 concentrations in adults with PD with and without DM2.</w:t>
      </w:r>
    </w:p>
    <w:p>
      <w:pPr>
        <w:pStyle w:val="BodyText"/>
        <w:spacing w:before="3"/>
        <w:rPr>
          <w:sz w:val="25"/>
        </w:rPr>
      </w:pPr>
    </w:p>
    <w:p>
      <w:pPr>
        <w:pStyle w:val="Heading3"/>
        <w:numPr>
          <w:ilvl w:val="2"/>
          <w:numId w:val="18"/>
        </w:numPr>
        <w:tabs>
          <w:tab w:pos="642" w:val="left" w:leader="none"/>
        </w:tabs>
        <w:spacing w:line="480" w:lineRule="auto" w:before="0" w:after="0"/>
        <w:ind w:left="102" w:right="7631" w:firstLine="0"/>
        <w:jc w:val="left"/>
      </w:pPr>
      <w:r>
        <w:rPr>
          <w:spacing w:val="-1"/>
        </w:rPr>
        <w:t>Método </w:t>
      </w:r>
      <w:r>
        <w:rPr/>
        <w:t>Methods</w:t>
      </w:r>
    </w:p>
    <w:p>
      <w:pPr>
        <w:pStyle w:val="BodyText"/>
        <w:spacing w:before="5"/>
        <w:rPr>
          <w:b/>
        </w:rPr>
      </w:pPr>
    </w:p>
    <w:p>
      <w:pPr>
        <w:pStyle w:val="BodyText"/>
        <w:ind w:left="102"/>
        <w:jc w:val="both"/>
      </w:pPr>
      <w:r>
        <w:rPr/>
        <w:t>Design and participants</w:t>
      </w:r>
    </w:p>
    <w:p>
      <w:pPr>
        <w:pStyle w:val="BodyText"/>
      </w:pPr>
    </w:p>
    <w:p>
      <w:pPr>
        <w:pStyle w:val="BodyText"/>
        <w:spacing w:line="480" w:lineRule="auto"/>
        <w:ind w:left="102" w:right="120"/>
        <w:jc w:val="both"/>
      </w:pPr>
      <w:r>
        <w:rPr/>
        <w:t>It was a descriptive and cross-sectional research. We chose adults from Toluca city, State</w:t>
      </w:r>
      <w:r>
        <w:rPr>
          <w:spacing w:val="-14"/>
        </w:rPr>
        <w:t> </w:t>
      </w:r>
      <w:r>
        <w:rPr/>
        <w:t>of Mexico, Mexico and the surrounding area, who came during 2015 to medical services</w:t>
      </w:r>
      <w:r>
        <w:rPr>
          <w:spacing w:val="-18"/>
        </w:rPr>
        <w:t> </w:t>
      </w:r>
      <w:r>
        <w:rPr/>
        <w:t>given by</w:t>
      </w:r>
      <w:r>
        <w:rPr>
          <w:spacing w:val="-11"/>
        </w:rPr>
        <w:t> </w:t>
      </w:r>
      <w:r>
        <w:rPr/>
        <w:t>the</w:t>
      </w:r>
      <w:r>
        <w:rPr>
          <w:spacing w:val="-7"/>
        </w:rPr>
        <w:t> </w:t>
      </w:r>
      <w:r>
        <w:rPr/>
        <w:t>State</w:t>
      </w:r>
      <w:r>
        <w:rPr>
          <w:spacing w:val="-7"/>
        </w:rPr>
        <w:t> </w:t>
      </w:r>
      <w:r>
        <w:rPr/>
        <w:t>of</w:t>
      </w:r>
      <w:r>
        <w:rPr>
          <w:spacing w:val="-5"/>
        </w:rPr>
        <w:t> </w:t>
      </w:r>
      <w:r>
        <w:rPr/>
        <w:t>Mexico’s</w:t>
      </w:r>
      <w:r>
        <w:rPr>
          <w:spacing w:val="-4"/>
        </w:rPr>
        <w:t> </w:t>
      </w:r>
      <w:r>
        <w:rPr/>
        <w:t>Government</w:t>
      </w:r>
      <w:r>
        <w:rPr>
          <w:spacing w:val="-3"/>
        </w:rPr>
        <w:t> </w:t>
      </w:r>
      <w:r>
        <w:rPr/>
        <w:t>at</w:t>
      </w:r>
      <w:r>
        <w:rPr>
          <w:spacing w:val="-6"/>
        </w:rPr>
        <w:t> </w:t>
      </w:r>
      <w:r>
        <w:rPr/>
        <w:t>the</w:t>
      </w:r>
      <w:r>
        <w:rPr>
          <w:spacing w:val="-1"/>
        </w:rPr>
        <w:t> </w:t>
      </w:r>
      <w:r>
        <w:rPr/>
        <w:t>Instituto</w:t>
      </w:r>
      <w:r>
        <w:rPr>
          <w:spacing w:val="-6"/>
        </w:rPr>
        <w:t> </w:t>
      </w:r>
      <w:r>
        <w:rPr/>
        <w:t>de</w:t>
      </w:r>
      <w:r>
        <w:rPr>
          <w:spacing w:val="-7"/>
        </w:rPr>
        <w:t> </w:t>
      </w:r>
      <w:r>
        <w:rPr/>
        <w:t>Salud</w:t>
      </w:r>
      <w:r>
        <w:rPr>
          <w:spacing w:val="-6"/>
        </w:rPr>
        <w:t> </w:t>
      </w:r>
      <w:r>
        <w:rPr/>
        <w:t>del</w:t>
      </w:r>
      <w:r>
        <w:rPr>
          <w:spacing w:val="-3"/>
        </w:rPr>
        <w:t> </w:t>
      </w:r>
      <w:r>
        <w:rPr/>
        <w:t>Estado</w:t>
      </w:r>
      <w:r>
        <w:rPr>
          <w:spacing w:val="-7"/>
        </w:rPr>
        <w:t> </w:t>
      </w:r>
      <w:r>
        <w:rPr/>
        <w:t>de</w:t>
      </w:r>
      <w:r>
        <w:rPr>
          <w:spacing w:val="-5"/>
        </w:rPr>
        <w:t> </w:t>
      </w:r>
      <w:r>
        <w:rPr/>
        <w:t>México</w:t>
      </w:r>
      <w:r>
        <w:rPr>
          <w:spacing w:val="-7"/>
        </w:rPr>
        <w:t> </w:t>
      </w:r>
      <w:r>
        <w:rPr/>
        <w:t>(ISEM) and the Centro de Investigación en Ciencias Médicas (CICMED) from the Universidad Autónoma del Estado de México (UAEM); which gives medical attention to students and UAEM’s workers and open</w:t>
      </w:r>
      <w:r>
        <w:rPr>
          <w:spacing w:val="-3"/>
        </w:rPr>
        <w:t> </w:t>
      </w:r>
      <w:r>
        <w:rPr/>
        <w:t>population.</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9"/>
        <w:jc w:val="both"/>
      </w:pPr>
      <w:r>
        <w:rPr/>
        <w:t>We included 20-60 year-old adults, any gender, with or without PD, patients with at least 6 months of DM2 diagnosis and healthy subjects. Individuals with metabolic syndrome, toothless, with xerostomia, with orthodontic treatment, pregnant or breast-feeding women were excluded.</w:t>
      </w:r>
    </w:p>
    <w:p>
      <w:pPr>
        <w:pStyle w:val="BodyText"/>
        <w:spacing w:line="480" w:lineRule="auto" w:before="10"/>
        <w:ind w:left="102" w:right="117"/>
        <w:jc w:val="both"/>
      </w:pPr>
      <w:r>
        <w:rPr/>
        <w:t>From</w:t>
      </w:r>
      <w:r>
        <w:rPr>
          <w:spacing w:val="-6"/>
        </w:rPr>
        <w:t> </w:t>
      </w:r>
      <w:r>
        <w:rPr/>
        <w:t>a</w:t>
      </w:r>
      <w:r>
        <w:rPr>
          <w:spacing w:val="-7"/>
        </w:rPr>
        <w:t> </w:t>
      </w:r>
      <w:r>
        <w:rPr/>
        <w:t>total</w:t>
      </w:r>
      <w:r>
        <w:rPr>
          <w:spacing w:val="-6"/>
        </w:rPr>
        <w:t> </w:t>
      </w:r>
      <w:r>
        <w:rPr/>
        <w:t>of</w:t>
      </w:r>
      <w:r>
        <w:rPr>
          <w:spacing w:val="-7"/>
        </w:rPr>
        <w:t> </w:t>
      </w:r>
      <w:r>
        <w:rPr/>
        <w:t>125</w:t>
      </w:r>
      <w:r>
        <w:rPr>
          <w:spacing w:val="-6"/>
        </w:rPr>
        <w:t> </w:t>
      </w:r>
      <w:r>
        <w:rPr/>
        <w:t>adults</w:t>
      </w:r>
      <w:r>
        <w:rPr>
          <w:spacing w:val="-6"/>
        </w:rPr>
        <w:t> </w:t>
      </w:r>
      <w:r>
        <w:rPr/>
        <w:t>who</w:t>
      </w:r>
      <w:r>
        <w:rPr>
          <w:spacing w:val="-7"/>
        </w:rPr>
        <w:t> </w:t>
      </w:r>
      <w:r>
        <w:rPr/>
        <w:t>had</w:t>
      </w:r>
      <w:r>
        <w:rPr>
          <w:spacing w:val="-6"/>
        </w:rPr>
        <w:t> </w:t>
      </w:r>
      <w:r>
        <w:rPr/>
        <w:t>the</w:t>
      </w:r>
      <w:r>
        <w:rPr>
          <w:spacing w:val="-7"/>
        </w:rPr>
        <w:t> </w:t>
      </w:r>
      <w:r>
        <w:rPr/>
        <w:t>inclusion</w:t>
      </w:r>
      <w:r>
        <w:rPr>
          <w:spacing w:val="-6"/>
        </w:rPr>
        <w:t> </w:t>
      </w:r>
      <w:r>
        <w:rPr/>
        <w:t>criteria</w:t>
      </w:r>
      <w:r>
        <w:rPr>
          <w:spacing w:val="-7"/>
        </w:rPr>
        <w:t> </w:t>
      </w:r>
      <w:r>
        <w:rPr/>
        <w:t>and</w:t>
      </w:r>
      <w:r>
        <w:rPr>
          <w:spacing w:val="-4"/>
        </w:rPr>
        <w:t> </w:t>
      </w:r>
      <w:r>
        <w:rPr/>
        <w:t>who</w:t>
      </w:r>
      <w:r>
        <w:rPr>
          <w:spacing w:val="-7"/>
        </w:rPr>
        <w:t> </w:t>
      </w:r>
      <w:r>
        <w:rPr/>
        <w:t>accepted</w:t>
      </w:r>
      <w:r>
        <w:rPr>
          <w:spacing w:val="-4"/>
        </w:rPr>
        <w:t> </w:t>
      </w:r>
      <w:r>
        <w:rPr/>
        <w:t>to</w:t>
      </w:r>
      <w:r>
        <w:rPr>
          <w:spacing w:val="-6"/>
        </w:rPr>
        <w:t> </w:t>
      </w:r>
      <w:r>
        <w:rPr/>
        <w:t>take</w:t>
      </w:r>
      <w:r>
        <w:rPr>
          <w:spacing w:val="-8"/>
        </w:rPr>
        <w:t> </w:t>
      </w:r>
      <w:r>
        <w:rPr/>
        <w:t>part</w:t>
      </w:r>
      <w:r>
        <w:rPr>
          <w:spacing w:val="-6"/>
        </w:rPr>
        <w:t> </w:t>
      </w:r>
      <w:r>
        <w:rPr/>
        <w:t>in</w:t>
      </w:r>
      <w:r>
        <w:rPr>
          <w:spacing w:val="-6"/>
        </w:rPr>
        <w:t> </w:t>
      </w:r>
      <w:r>
        <w:rPr/>
        <w:t>the project, 45 had DM2. 30 participants with DM2 who did not present this disease were randomly selected. Clinical and dental histories were evaluated and the participants were divided into three research groups: 30 with DM2 and PD (DM+PD), 30 with PD without DM2</w:t>
      </w:r>
      <w:r>
        <w:rPr>
          <w:spacing w:val="-14"/>
        </w:rPr>
        <w:t> </w:t>
      </w:r>
      <w:r>
        <w:rPr/>
        <w:t>(PD)</w:t>
      </w:r>
      <w:r>
        <w:rPr>
          <w:spacing w:val="-12"/>
        </w:rPr>
        <w:t> </w:t>
      </w:r>
      <w:r>
        <w:rPr/>
        <w:t>and</w:t>
      </w:r>
      <w:r>
        <w:rPr>
          <w:spacing w:val="-13"/>
        </w:rPr>
        <w:t> </w:t>
      </w:r>
      <w:r>
        <w:rPr/>
        <w:t>30</w:t>
      </w:r>
      <w:r>
        <w:rPr>
          <w:spacing w:val="-13"/>
        </w:rPr>
        <w:t> </w:t>
      </w:r>
      <w:r>
        <w:rPr/>
        <w:t>without</w:t>
      </w:r>
      <w:r>
        <w:rPr>
          <w:spacing w:val="-13"/>
        </w:rPr>
        <w:t> </w:t>
      </w:r>
      <w:r>
        <w:rPr/>
        <w:t>DM2</w:t>
      </w:r>
      <w:r>
        <w:rPr>
          <w:spacing w:val="-13"/>
        </w:rPr>
        <w:t> </w:t>
      </w:r>
      <w:r>
        <w:rPr/>
        <w:t>and</w:t>
      </w:r>
      <w:r>
        <w:rPr>
          <w:spacing w:val="-13"/>
        </w:rPr>
        <w:t> </w:t>
      </w:r>
      <w:r>
        <w:rPr/>
        <w:t>without</w:t>
      </w:r>
      <w:r>
        <w:rPr>
          <w:spacing w:val="-13"/>
        </w:rPr>
        <w:t> </w:t>
      </w:r>
      <w:r>
        <w:rPr/>
        <w:t>PD</w:t>
      </w:r>
      <w:r>
        <w:rPr>
          <w:spacing w:val="-14"/>
        </w:rPr>
        <w:t> </w:t>
      </w:r>
      <w:r>
        <w:rPr/>
        <w:t>(without</w:t>
      </w:r>
      <w:r>
        <w:rPr>
          <w:spacing w:val="-13"/>
        </w:rPr>
        <w:t> </w:t>
      </w:r>
      <w:r>
        <w:rPr/>
        <w:t>DM2-PD).</w:t>
      </w:r>
      <w:r>
        <w:rPr>
          <w:spacing w:val="-13"/>
        </w:rPr>
        <w:t> </w:t>
      </w:r>
      <w:r>
        <w:rPr/>
        <w:t>The</w:t>
      </w:r>
      <w:r>
        <w:rPr>
          <w:spacing w:val="-12"/>
        </w:rPr>
        <w:t> </w:t>
      </w:r>
      <w:r>
        <w:rPr/>
        <w:t>following</w:t>
      </w:r>
      <w:r>
        <w:rPr>
          <w:spacing w:val="-16"/>
        </w:rPr>
        <w:t> </w:t>
      </w:r>
      <w:r>
        <w:rPr/>
        <w:t>variables were considered: deepness of the periodontal bag, IL-6 saliva concentrations, age, gender, tobacco and alcoholic beverage consumption, body mass index (BMI), blood pressure, glucose, triacylglycerides, total cholesterol and HDL</w:t>
      </w:r>
      <w:r>
        <w:rPr>
          <w:spacing w:val="-14"/>
        </w:rPr>
        <w:t> </w:t>
      </w:r>
      <w:r>
        <w:rPr/>
        <w:t>cholesterol.</w:t>
      </w:r>
    </w:p>
    <w:p>
      <w:pPr>
        <w:pStyle w:val="BodyText"/>
        <w:spacing w:line="480" w:lineRule="auto" w:before="10"/>
        <w:ind w:left="102" w:right="124"/>
        <w:jc w:val="both"/>
      </w:pPr>
      <w:r>
        <w:rPr/>
        <w:t>The procedures of the research were accepted by the Research and Ethics Committee of CICMED-UAEM (CONBIOÉtica 15CEI01720131119).</w:t>
      </w:r>
    </w:p>
    <w:p>
      <w:pPr>
        <w:pStyle w:val="BodyText"/>
        <w:spacing w:before="10"/>
        <w:ind w:left="102"/>
        <w:jc w:val="both"/>
      </w:pPr>
      <w:r>
        <w:rPr/>
        <w:t>Data collection</w:t>
      </w:r>
    </w:p>
    <w:p>
      <w:pPr>
        <w:pStyle w:val="BodyText"/>
      </w:pPr>
    </w:p>
    <w:p>
      <w:pPr>
        <w:pStyle w:val="BodyText"/>
        <w:spacing w:line="480" w:lineRule="auto"/>
        <w:ind w:left="102" w:right="117"/>
        <w:jc w:val="both"/>
      </w:pPr>
      <w:r>
        <w:rPr/>
        <w:t>The adults who accepted to take part in the research were clearly explained the aims both, orally and in writing. After signing the informed consent, questionnaire was self- administered</w:t>
      </w:r>
      <w:r>
        <w:rPr>
          <w:spacing w:val="-6"/>
        </w:rPr>
        <w:t> </w:t>
      </w:r>
      <w:r>
        <w:rPr/>
        <w:t>with</w:t>
      </w:r>
      <w:r>
        <w:rPr>
          <w:spacing w:val="-6"/>
        </w:rPr>
        <w:t> </w:t>
      </w:r>
      <w:r>
        <w:rPr/>
        <w:t>the</w:t>
      </w:r>
      <w:r>
        <w:rPr>
          <w:spacing w:val="-7"/>
        </w:rPr>
        <w:t> </w:t>
      </w:r>
      <w:r>
        <w:rPr/>
        <w:t>required</w:t>
      </w:r>
      <w:r>
        <w:rPr>
          <w:spacing w:val="-6"/>
        </w:rPr>
        <w:t> </w:t>
      </w:r>
      <w:r>
        <w:rPr/>
        <w:t>information.</w:t>
      </w:r>
      <w:r>
        <w:rPr>
          <w:spacing w:val="-6"/>
        </w:rPr>
        <w:t> </w:t>
      </w:r>
      <w:r>
        <w:rPr/>
        <w:t>The</w:t>
      </w:r>
      <w:r>
        <w:rPr>
          <w:spacing w:val="-7"/>
        </w:rPr>
        <w:t> </w:t>
      </w:r>
      <w:r>
        <w:rPr/>
        <w:t>questionnaire</w:t>
      </w:r>
      <w:r>
        <w:rPr>
          <w:spacing w:val="-7"/>
        </w:rPr>
        <w:t> </w:t>
      </w:r>
      <w:r>
        <w:rPr/>
        <w:t>included</w:t>
      </w:r>
      <w:r>
        <w:rPr>
          <w:spacing w:val="-6"/>
        </w:rPr>
        <w:t> </w:t>
      </w:r>
      <w:r>
        <w:rPr/>
        <w:t>information</w:t>
      </w:r>
      <w:r>
        <w:rPr>
          <w:spacing w:val="-6"/>
        </w:rPr>
        <w:t> </w:t>
      </w:r>
      <w:r>
        <w:rPr/>
        <w:t>such</w:t>
      </w:r>
      <w:r>
        <w:rPr>
          <w:spacing w:val="-3"/>
        </w:rPr>
        <w:t> </w:t>
      </w:r>
      <w:r>
        <w:rPr/>
        <w:t>as: age,</w:t>
      </w:r>
      <w:r>
        <w:rPr>
          <w:spacing w:val="-7"/>
        </w:rPr>
        <w:t> </w:t>
      </w:r>
      <w:r>
        <w:rPr/>
        <w:t>gender,</w:t>
      </w:r>
      <w:r>
        <w:rPr>
          <w:spacing w:val="-10"/>
        </w:rPr>
        <w:t> </w:t>
      </w:r>
      <w:r>
        <w:rPr/>
        <w:t>and</w:t>
      </w:r>
      <w:r>
        <w:rPr>
          <w:spacing w:val="-10"/>
        </w:rPr>
        <w:t> </w:t>
      </w:r>
      <w:r>
        <w:rPr/>
        <w:t>tobacco</w:t>
      </w:r>
      <w:r>
        <w:rPr>
          <w:spacing w:val="-10"/>
        </w:rPr>
        <w:t> </w:t>
      </w:r>
      <w:r>
        <w:rPr/>
        <w:t>and</w:t>
      </w:r>
      <w:r>
        <w:rPr>
          <w:spacing w:val="-10"/>
        </w:rPr>
        <w:t> </w:t>
      </w:r>
      <w:r>
        <w:rPr/>
        <w:t>alcoholic</w:t>
      </w:r>
      <w:r>
        <w:rPr>
          <w:spacing w:val="-10"/>
        </w:rPr>
        <w:t> </w:t>
      </w:r>
      <w:r>
        <w:rPr/>
        <w:t>beverage</w:t>
      </w:r>
      <w:r>
        <w:rPr>
          <w:spacing w:val="-8"/>
        </w:rPr>
        <w:t> </w:t>
      </w:r>
      <w:r>
        <w:rPr/>
        <w:t>consumption.</w:t>
      </w:r>
      <w:r>
        <w:rPr>
          <w:spacing w:val="-10"/>
        </w:rPr>
        <w:t> </w:t>
      </w:r>
      <w:r>
        <w:rPr/>
        <w:t>We</w:t>
      </w:r>
      <w:r>
        <w:rPr>
          <w:spacing w:val="-11"/>
        </w:rPr>
        <w:t> </w:t>
      </w:r>
      <w:r>
        <w:rPr/>
        <w:t>considered</w:t>
      </w:r>
      <w:r>
        <w:rPr>
          <w:spacing w:val="-10"/>
        </w:rPr>
        <w:t> </w:t>
      </w:r>
      <w:r>
        <w:rPr/>
        <w:t>an</w:t>
      </w:r>
      <w:r>
        <w:rPr>
          <w:spacing w:val="-10"/>
        </w:rPr>
        <w:t> </w:t>
      </w:r>
      <w:r>
        <w:rPr/>
        <w:t>ex-smoker, anyone who referred having smoked 100 or more cigarettes and not currently smoking, and as a smoker, anyone smoking at least one cigarette per day. Alcoholic consumption was registered as positive when the participant referred drinking 3 or more alcoholic beverages per</w:t>
      </w:r>
      <w:r>
        <w:rPr>
          <w:spacing w:val="-4"/>
        </w:rPr>
        <w:t> </w:t>
      </w:r>
      <w:r>
        <w:rPr/>
        <w:t>week.</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9"/>
        <w:jc w:val="both"/>
      </w:pPr>
      <w:r>
        <w:rPr/>
        <w:t>Having answered the questionnaire, there were individual meetings with each participant in the CICMED-UAEM outpatient clinic in order to obtain anthropometric measurements, saliva samples, the periodontal evaluation, and blood samples. All the measurements were obtained by dentist surgeons and qualified nurses with standardized techniques [36].</w:t>
      </w:r>
    </w:p>
    <w:p>
      <w:pPr>
        <w:pStyle w:val="BodyText"/>
        <w:spacing w:line="480" w:lineRule="auto" w:before="10"/>
        <w:ind w:left="102" w:right="117"/>
        <w:jc w:val="both"/>
      </w:pPr>
      <w:r>
        <w:rPr/>
        <w:t>The participants were asked not to wash their mouth previous to the sample and just mouthwash with bio-distilled water three minutes previous to it. 10 ml of saliva were collected</w:t>
      </w:r>
      <w:r>
        <w:rPr>
          <w:spacing w:val="-17"/>
        </w:rPr>
        <w:t> </w:t>
      </w:r>
      <w:r>
        <w:rPr/>
        <w:t>without</w:t>
      </w:r>
      <w:r>
        <w:rPr>
          <w:spacing w:val="-16"/>
        </w:rPr>
        <w:t> </w:t>
      </w:r>
      <w:r>
        <w:rPr/>
        <w:t>stimulating</w:t>
      </w:r>
      <w:r>
        <w:rPr>
          <w:spacing w:val="-18"/>
        </w:rPr>
        <w:t> </w:t>
      </w:r>
      <w:r>
        <w:rPr/>
        <w:t>in</w:t>
      </w:r>
      <w:r>
        <w:rPr>
          <w:spacing w:val="-16"/>
        </w:rPr>
        <w:t> </w:t>
      </w:r>
      <w:r>
        <w:rPr/>
        <w:t>a</w:t>
      </w:r>
      <w:r>
        <w:rPr>
          <w:spacing w:val="-18"/>
        </w:rPr>
        <w:t> </w:t>
      </w:r>
      <w:r>
        <w:rPr/>
        <w:t>sterile</w:t>
      </w:r>
      <w:r>
        <w:rPr>
          <w:spacing w:val="-18"/>
        </w:rPr>
        <w:t> </w:t>
      </w:r>
      <w:r>
        <w:rPr/>
        <w:t>tube</w:t>
      </w:r>
      <w:r>
        <w:rPr>
          <w:spacing w:val="-17"/>
        </w:rPr>
        <w:t> </w:t>
      </w:r>
      <w:r>
        <w:rPr/>
        <w:t>(DS</w:t>
      </w:r>
      <w:r>
        <w:rPr>
          <w:spacing w:val="-16"/>
        </w:rPr>
        <w:t> </w:t>
      </w:r>
      <w:r>
        <w:rPr/>
        <w:t>Vacutainer</w:t>
      </w:r>
      <w:r>
        <w:rPr>
          <w:spacing w:val="-18"/>
        </w:rPr>
        <w:t> </w:t>
      </w:r>
      <w:r>
        <w:rPr/>
        <w:t>®).</w:t>
      </w:r>
      <w:r>
        <w:rPr>
          <w:spacing w:val="-18"/>
        </w:rPr>
        <w:t> </w:t>
      </w:r>
      <w:r>
        <w:rPr/>
        <w:t>The</w:t>
      </w:r>
      <w:r>
        <w:rPr>
          <w:spacing w:val="-18"/>
        </w:rPr>
        <w:t> </w:t>
      </w:r>
      <w:r>
        <w:rPr/>
        <w:t>sample</w:t>
      </w:r>
      <w:r>
        <w:rPr>
          <w:spacing w:val="-17"/>
        </w:rPr>
        <w:t> </w:t>
      </w:r>
      <w:r>
        <w:rPr/>
        <w:t>was</w:t>
      </w:r>
      <w:r>
        <w:rPr>
          <w:spacing w:val="-17"/>
        </w:rPr>
        <w:t> </w:t>
      </w:r>
      <w:r>
        <w:rPr/>
        <w:t>centrifuged for 10 minutes at 10,000 rpm (Eppendorf, AG- 5804R) at -4ºC. The supernatant was retired and kept in a new micro-tube made of polypropylene (Eppendorf ®). All the samples were kept at -70ºC until processed (Ultra congelador - ThermoScientific, Forma 900 Series).</w:t>
      </w:r>
      <w:r>
        <w:rPr>
          <w:spacing w:val="-22"/>
        </w:rPr>
        <w:t> </w:t>
      </w:r>
      <w:r>
        <w:rPr/>
        <w:t>IL-6 in saliva was determined by ELISA (BioVendor RBMS213/2R) according to the manufacturer’s</w:t>
      </w:r>
      <w:r>
        <w:rPr>
          <w:spacing w:val="-5"/>
        </w:rPr>
        <w:t> </w:t>
      </w:r>
      <w:r>
        <w:rPr/>
        <w:t>instructions.</w:t>
      </w:r>
    </w:p>
    <w:p>
      <w:pPr>
        <w:pStyle w:val="BodyText"/>
        <w:spacing w:line="480" w:lineRule="auto" w:before="10"/>
        <w:ind w:left="102" w:right="118"/>
        <w:jc w:val="both"/>
      </w:pPr>
      <w:r>
        <w:rPr/>
        <w:t>During the periodontal evaluation, the patient was taken into the dental office, sitting with his/her head leaning back. The mouth was divided into sextants considering the WHO recommendations [37] for mouth evaluation in research projects, helped by a number 5 mirror, and a sterile periodontal probe Goldman Fox (Hu-Friedy®). The probe was entered following the anatomical configuration of the dental root surface, evaluating the vestibular points, mesial-vestibule, distal-vestibule, palatine or lingual, mesial-palato, distal-palato, considering the following dental organs: 16, 17, 11, 26, 27, 36, 37, 31, 46, and 47.</w:t>
      </w:r>
    </w:p>
    <w:p>
      <w:pPr>
        <w:pStyle w:val="BodyText"/>
        <w:spacing w:line="472" w:lineRule="auto"/>
        <w:ind w:left="102" w:right="114"/>
        <w:jc w:val="both"/>
      </w:pPr>
      <w:r>
        <w:rPr/>
        <w:t>Weight and height were measured, wearing light clothes and no shoes, using an SECA </w:t>
      </w:r>
      <w:r>
        <w:rPr>
          <w:position w:val="9"/>
          <w:sz w:val="16"/>
        </w:rPr>
        <w:t>TM </w:t>
      </w:r>
      <w:r>
        <w:rPr/>
        <w:t>stadimeter</w:t>
      </w:r>
      <w:r>
        <w:rPr>
          <w:spacing w:val="-7"/>
        </w:rPr>
        <w:t> </w:t>
      </w:r>
      <w:r>
        <w:rPr/>
        <w:t>to</w:t>
      </w:r>
      <w:r>
        <w:rPr>
          <w:spacing w:val="-6"/>
        </w:rPr>
        <w:t> </w:t>
      </w:r>
      <w:r>
        <w:rPr/>
        <w:t>obtain</w:t>
      </w:r>
      <w:r>
        <w:rPr>
          <w:spacing w:val="-4"/>
        </w:rPr>
        <w:t> </w:t>
      </w:r>
      <w:r>
        <w:rPr/>
        <w:t>height</w:t>
      </w:r>
      <w:r>
        <w:rPr>
          <w:spacing w:val="-6"/>
        </w:rPr>
        <w:t> </w:t>
      </w:r>
      <w:r>
        <w:rPr/>
        <w:t>(model</w:t>
      </w:r>
      <w:r>
        <w:rPr>
          <w:spacing w:val="-6"/>
        </w:rPr>
        <w:t> </w:t>
      </w:r>
      <w:r>
        <w:rPr/>
        <w:t>1013522),</w:t>
      </w:r>
      <w:r>
        <w:rPr>
          <w:spacing w:val="-4"/>
        </w:rPr>
        <w:t> </w:t>
      </w:r>
      <w:r>
        <w:rPr/>
        <w:t>and</w:t>
      </w:r>
      <w:r>
        <w:rPr>
          <w:spacing w:val="-4"/>
        </w:rPr>
        <w:t> </w:t>
      </w:r>
      <w:r>
        <w:rPr/>
        <w:t>an</w:t>
      </w:r>
      <w:r>
        <w:rPr>
          <w:spacing w:val="-5"/>
        </w:rPr>
        <w:t> </w:t>
      </w:r>
      <w:r>
        <w:rPr/>
        <w:t>electronic</w:t>
      </w:r>
      <w:r>
        <w:rPr>
          <w:spacing w:val="-7"/>
        </w:rPr>
        <w:t> </w:t>
      </w:r>
      <w:r>
        <w:rPr/>
        <w:t>scale</w:t>
      </w:r>
      <w:r>
        <w:rPr>
          <w:spacing w:val="-5"/>
        </w:rPr>
        <w:t> </w:t>
      </w:r>
      <w:r>
        <w:rPr/>
        <w:t>(Tanita</w:t>
      </w:r>
      <w:r>
        <w:rPr>
          <w:spacing w:val="-7"/>
        </w:rPr>
        <w:t> </w:t>
      </w:r>
      <w:r>
        <w:rPr/>
        <w:t>model</w:t>
      </w:r>
      <w:r>
        <w:rPr>
          <w:spacing w:val="-4"/>
        </w:rPr>
        <w:t> </w:t>
      </w:r>
      <w:r>
        <w:rPr/>
        <w:t>BC-533; Tokyo, Japan) for weight; with the data results, participants were classified taking into account</w:t>
      </w:r>
      <w:r>
        <w:rPr>
          <w:spacing w:val="-3"/>
        </w:rPr>
        <w:t> </w:t>
      </w:r>
      <w:r>
        <w:rPr/>
        <w:t>their</w:t>
      </w:r>
      <w:r>
        <w:rPr>
          <w:spacing w:val="-2"/>
        </w:rPr>
        <w:t> </w:t>
      </w:r>
      <w:r>
        <w:rPr/>
        <w:t>BMI</w:t>
      </w:r>
      <w:r>
        <w:rPr>
          <w:spacing w:val="-7"/>
        </w:rPr>
        <w:t> </w:t>
      </w:r>
      <w:r>
        <w:rPr/>
        <w:t>as</w:t>
      </w:r>
      <w:r>
        <w:rPr>
          <w:spacing w:val="-4"/>
        </w:rPr>
        <w:t> </w:t>
      </w:r>
      <w:r>
        <w:rPr/>
        <w:t>normal</w:t>
      </w:r>
      <w:r>
        <w:rPr>
          <w:spacing w:val="-4"/>
        </w:rPr>
        <w:t> </w:t>
      </w:r>
      <w:r>
        <w:rPr/>
        <w:t>weight</w:t>
      </w:r>
      <w:r>
        <w:rPr>
          <w:spacing w:val="-3"/>
        </w:rPr>
        <w:t> </w:t>
      </w:r>
      <w:r>
        <w:rPr/>
        <w:t>(BMI</w:t>
      </w:r>
      <w:r>
        <w:rPr>
          <w:spacing w:val="-7"/>
        </w:rPr>
        <w:t> </w:t>
      </w:r>
      <w:r>
        <w:rPr/>
        <w:t>≤</w:t>
      </w:r>
      <w:r>
        <w:rPr>
          <w:spacing w:val="-4"/>
        </w:rPr>
        <w:t> </w:t>
      </w:r>
      <w:r>
        <w:rPr/>
        <w:t>24.9</w:t>
      </w:r>
      <w:r>
        <w:rPr>
          <w:spacing w:val="-4"/>
        </w:rPr>
        <w:t> </w:t>
      </w:r>
      <w:r>
        <w:rPr/>
        <w:t>Kg/m</w:t>
      </w:r>
      <w:r>
        <w:rPr>
          <w:position w:val="9"/>
          <w:sz w:val="16"/>
        </w:rPr>
        <w:t>2</w:t>
      </w:r>
      <w:r>
        <w:rPr/>
        <w:t>),</w:t>
      </w:r>
      <w:r>
        <w:rPr>
          <w:spacing w:val="-5"/>
        </w:rPr>
        <w:t> </w:t>
      </w:r>
      <w:r>
        <w:rPr/>
        <w:t>overweight</w:t>
      </w:r>
      <w:r>
        <w:rPr>
          <w:spacing w:val="-3"/>
        </w:rPr>
        <w:t> </w:t>
      </w:r>
      <w:r>
        <w:rPr/>
        <w:t>(BMI</w:t>
      </w:r>
      <w:r>
        <w:rPr>
          <w:spacing w:val="-7"/>
        </w:rPr>
        <w:t> </w:t>
      </w:r>
      <w:r>
        <w:rPr/>
        <w:t>=</w:t>
      </w:r>
      <w:r>
        <w:rPr>
          <w:spacing w:val="-5"/>
        </w:rPr>
        <w:t> </w:t>
      </w:r>
      <w:r>
        <w:rPr/>
        <w:t>25-30</w:t>
      </w:r>
      <w:r>
        <w:rPr>
          <w:spacing w:val="-4"/>
        </w:rPr>
        <w:t> </w:t>
      </w:r>
      <w:r>
        <w:rPr/>
        <w:t>Kg/m</w:t>
      </w:r>
      <w:r>
        <w:rPr>
          <w:position w:val="9"/>
          <w:sz w:val="16"/>
        </w:rPr>
        <w:t>2</w:t>
      </w:r>
      <w:r>
        <w:rPr/>
        <w:t>) or</w:t>
      </w:r>
      <w:r>
        <w:rPr>
          <w:spacing w:val="-14"/>
        </w:rPr>
        <w:t> </w:t>
      </w:r>
      <w:r>
        <w:rPr/>
        <w:t>obesity</w:t>
      </w:r>
      <w:r>
        <w:rPr>
          <w:spacing w:val="-16"/>
        </w:rPr>
        <w:t> </w:t>
      </w:r>
      <w:r>
        <w:rPr/>
        <w:t>(≥</w:t>
      </w:r>
      <w:r>
        <w:rPr>
          <w:spacing w:val="-14"/>
        </w:rPr>
        <w:t> </w:t>
      </w:r>
      <w:r>
        <w:rPr/>
        <w:t>30</w:t>
      </w:r>
      <w:r>
        <w:rPr>
          <w:spacing w:val="-13"/>
        </w:rPr>
        <w:t> </w:t>
      </w:r>
      <w:r>
        <w:rPr/>
        <w:t>Kg/m</w:t>
      </w:r>
      <w:r>
        <w:rPr>
          <w:position w:val="9"/>
          <w:sz w:val="16"/>
        </w:rPr>
        <w:t>2</w:t>
      </w:r>
      <w:r>
        <w:rPr/>
        <w:t>)</w:t>
      </w:r>
      <w:r>
        <w:rPr>
          <w:spacing w:val="-14"/>
        </w:rPr>
        <w:t> </w:t>
      </w:r>
      <w:r>
        <w:rPr/>
        <w:t>[38].</w:t>
      </w:r>
      <w:r>
        <w:rPr>
          <w:spacing w:val="-13"/>
        </w:rPr>
        <w:t> </w:t>
      </w:r>
      <w:r>
        <w:rPr/>
        <w:t>Blood</w:t>
      </w:r>
      <w:r>
        <w:rPr>
          <w:spacing w:val="-13"/>
        </w:rPr>
        <w:t> </w:t>
      </w:r>
      <w:r>
        <w:rPr/>
        <w:t>pressure</w:t>
      </w:r>
      <w:r>
        <w:rPr>
          <w:spacing w:val="-13"/>
        </w:rPr>
        <w:t> </w:t>
      </w:r>
      <w:r>
        <w:rPr/>
        <w:t>was</w:t>
      </w:r>
      <w:r>
        <w:rPr>
          <w:spacing w:val="-11"/>
        </w:rPr>
        <w:t> </w:t>
      </w:r>
      <w:r>
        <w:rPr/>
        <w:t>measured</w:t>
      </w:r>
      <w:r>
        <w:rPr>
          <w:spacing w:val="-13"/>
        </w:rPr>
        <w:t> </w:t>
      </w:r>
      <w:r>
        <w:rPr/>
        <w:t>with</w:t>
      </w:r>
      <w:r>
        <w:rPr>
          <w:spacing w:val="-11"/>
        </w:rPr>
        <w:t> </w:t>
      </w:r>
      <w:r>
        <w:rPr/>
        <w:t>an</w:t>
      </w:r>
      <w:r>
        <w:rPr>
          <w:spacing w:val="-13"/>
        </w:rPr>
        <w:t> </w:t>
      </w:r>
      <w:r>
        <w:rPr/>
        <w:t>automatic</w:t>
      </w:r>
      <w:r>
        <w:rPr>
          <w:spacing w:val="-14"/>
        </w:rPr>
        <w:t> </w:t>
      </w:r>
      <w:r>
        <w:rPr/>
        <w:t>digital</w:t>
      </w:r>
      <w:r>
        <w:rPr>
          <w:spacing w:val="-13"/>
        </w:rPr>
        <w:t> </w:t>
      </w:r>
      <w:r>
        <w:rPr/>
        <w:t>monitor</w:t>
      </w:r>
    </w:p>
    <w:p>
      <w:pPr>
        <w:spacing w:after="0" w:line="472"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24"/>
        <w:jc w:val="both"/>
      </w:pPr>
      <w:r>
        <w:rPr/>
        <w:t>(model CH 656C); three measurements were taken every two minutes and the average was registered.</w:t>
      </w:r>
    </w:p>
    <w:p>
      <w:pPr>
        <w:pStyle w:val="BodyText"/>
        <w:spacing w:line="477" w:lineRule="auto" w:before="10"/>
        <w:ind w:left="102" w:right="119"/>
        <w:jc w:val="both"/>
      </w:pPr>
      <w:r>
        <w:rPr/>
        <w:t>Blood samples were collected with a fast of at least 12 hours, with no hard physical</w:t>
      </w:r>
      <w:r>
        <w:rPr>
          <w:spacing w:val="-30"/>
        </w:rPr>
        <w:t> </w:t>
      </w:r>
      <w:r>
        <w:rPr/>
        <w:t>activity, no alcohol consumption, and following standard procedures. Five ml of venous blood was collected</w:t>
      </w:r>
      <w:r>
        <w:rPr>
          <w:spacing w:val="-4"/>
        </w:rPr>
        <w:t> </w:t>
      </w:r>
      <w:r>
        <w:rPr/>
        <w:t>into</w:t>
      </w:r>
      <w:r>
        <w:rPr>
          <w:spacing w:val="-4"/>
        </w:rPr>
        <w:t> </w:t>
      </w:r>
      <w:r>
        <w:rPr/>
        <w:t>a</w:t>
      </w:r>
      <w:r>
        <w:rPr>
          <w:spacing w:val="-5"/>
        </w:rPr>
        <w:t> </w:t>
      </w:r>
      <w:r>
        <w:rPr/>
        <w:t>tube</w:t>
      </w:r>
      <w:r>
        <w:rPr>
          <w:spacing w:val="-5"/>
        </w:rPr>
        <w:t> </w:t>
      </w:r>
      <w:r>
        <w:rPr/>
        <w:t>with</w:t>
      </w:r>
      <w:r>
        <w:rPr>
          <w:spacing w:val="-1"/>
        </w:rPr>
        <w:t> </w:t>
      </w:r>
      <w:r>
        <w:rPr/>
        <w:t>a</w:t>
      </w:r>
      <w:r>
        <w:rPr>
          <w:spacing w:val="-5"/>
        </w:rPr>
        <w:t> </w:t>
      </w:r>
      <w:r>
        <w:rPr/>
        <w:t>coagulating</w:t>
      </w:r>
      <w:r>
        <w:rPr>
          <w:spacing w:val="-3"/>
        </w:rPr>
        <w:t> </w:t>
      </w:r>
      <w:r>
        <w:rPr/>
        <w:t>activator</w:t>
      </w:r>
      <w:r>
        <w:rPr>
          <w:spacing w:val="-2"/>
        </w:rPr>
        <w:t> </w:t>
      </w:r>
      <w:r>
        <w:rPr/>
        <w:t>based</w:t>
      </w:r>
      <w:r>
        <w:rPr>
          <w:spacing w:val="-4"/>
        </w:rPr>
        <w:t> </w:t>
      </w:r>
      <w:r>
        <w:rPr/>
        <w:t>on</w:t>
      </w:r>
      <w:r>
        <w:rPr>
          <w:spacing w:val="-4"/>
        </w:rPr>
        <w:t> </w:t>
      </w:r>
      <w:r>
        <w:rPr/>
        <w:t>thrombin,</w:t>
      </w:r>
      <w:r>
        <w:rPr>
          <w:spacing w:val="-4"/>
        </w:rPr>
        <w:t> </w:t>
      </w:r>
      <w:r>
        <w:rPr/>
        <w:t>(13</w:t>
      </w:r>
      <w:r>
        <w:rPr>
          <w:spacing w:val="-5"/>
        </w:rPr>
        <w:t> </w:t>
      </w:r>
      <w:r>
        <w:rPr/>
        <w:t>x</w:t>
      </w:r>
      <w:r>
        <w:rPr>
          <w:spacing w:val="1"/>
        </w:rPr>
        <w:t> </w:t>
      </w:r>
      <w:r>
        <w:rPr/>
        <w:t>100</w:t>
      </w:r>
      <w:r>
        <w:rPr>
          <w:spacing w:val="-4"/>
        </w:rPr>
        <w:t> </w:t>
      </w:r>
      <w:r>
        <w:rPr/>
        <w:t>mm),</w:t>
      </w:r>
      <w:r>
        <w:rPr>
          <w:spacing w:val="-5"/>
        </w:rPr>
        <w:t> </w:t>
      </w:r>
      <w:r>
        <w:rPr/>
        <w:t>4</w:t>
      </w:r>
      <w:r>
        <w:rPr>
          <w:spacing w:val="-4"/>
        </w:rPr>
        <w:t> </w:t>
      </w:r>
      <w:r>
        <w:rPr/>
        <w:t>ml</w:t>
      </w:r>
      <w:r>
        <w:rPr>
          <w:spacing w:val="-3"/>
        </w:rPr>
        <w:t> </w:t>
      </w:r>
      <w:r>
        <w:rPr/>
        <w:t>in an EDTA containing tube, following the recommended bio-safety measures. The samples were centrifuged and processed immediately to obtain glucose, triacylglycerides, total cholesterol,</w:t>
      </w:r>
      <w:r>
        <w:rPr>
          <w:spacing w:val="-9"/>
        </w:rPr>
        <w:t> </w:t>
      </w:r>
      <w:r>
        <w:rPr/>
        <w:t>and</w:t>
      </w:r>
      <w:r>
        <w:rPr>
          <w:spacing w:val="-9"/>
        </w:rPr>
        <w:t> </w:t>
      </w:r>
      <w:r>
        <w:rPr/>
        <w:t>HDL</w:t>
      </w:r>
      <w:r>
        <w:rPr>
          <w:spacing w:val="-11"/>
        </w:rPr>
        <w:t> </w:t>
      </w:r>
      <w:r>
        <w:rPr/>
        <w:t>cholesterol</w:t>
      </w:r>
      <w:r>
        <w:rPr>
          <w:spacing w:val="-9"/>
        </w:rPr>
        <w:t> </w:t>
      </w:r>
      <w:r>
        <w:rPr/>
        <w:t>concentrations</w:t>
      </w:r>
      <w:r>
        <w:rPr>
          <w:spacing w:val="-8"/>
        </w:rPr>
        <w:t> </w:t>
      </w:r>
      <w:r>
        <w:rPr/>
        <w:t>by</w:t>
      </w:r>
      <w:r>
        <w:rPr>
          <w:spacing w:val="-11"/>
        </w:rPr>
        <w:t> </w:t>
      </w:r>
      <w:r>
        <w:rPr/>
        <w:t>the</w:t>
      </w:r>
      <w:r>
        <w:rPr>
          <w:spacing w:val="-9"/>
        </w:rPr>
        <w:t> </w:t>
      </w:r>
      <w:r>
        <w:rPr/>
        <w:t>ultra-sensible</w:t>
      </w:r>
      <w:r>
        <w:rPr>
          <w:spacing w:val="-10"/>
        </w:rPr>
        <w:t> </w:t>
      </w:r>
      <w:r>
        <w:rPr/>
        <w:t>colorimetric</w:t>
      </w:r>
      <w:r>
        <w:rPr>
          <w:spacing w:val="-9"/>
        </w:rPr>
        <w:t> </w:t>
      </w:r>
      <w:r>
        <w:rPr/>
        <w:t>method</w:t>
      </w:r>
      <w:r>
        <w:rPr>
          <w:spacing w:val="-9"/>
        </w:rPr>
        <w:t> </w:t>
      </w:r>
      <w:r>
        <w:rPr/>
        <w:t>in an automatized equipment (Selectra II, Cat. GL1611, CH 198), and reactants from RANDOX</w:t>
      </w:r>
      <w:r>
        <w:rPr>
          <w:position w:val="9"/>
          <w:sz w:val="16"/>
        </w:rPr>
        <w:t>TM </w:t>
      </w:r>
      <w:r>
        <w:rPr/>
        <w:t>(CH3811A y</w:t>
      </w:r>
      <w:r>
        <w:rPr>
          <w:spacing w:val="-8"/>
        </w:rPr>
        <w:t> </w:t>
      </w:r>
      <w:r>
        <w:rPr/>
        <w:t>TR1695).</w:t>
      </w:r>
    </w:p>
    <w:p>
      <w:pPr>
        <w:pStyle w:val="BodyText"/>
        <w:rPr>
          <w:sz w:val="26"/>
        </w:rPr>
      </w:pPr>
    </w:p>
    <w:p>
      <w:pPr>
        <w:pStyle w:val="BodyText"/>
        <w:spacing w:before="10"/>
        <w:rPr>
          <w:sz w:val="21"/>
        </w:rPr>
      </w:pPr>
    </w:p>
    <w:p>
      <w:pPr>
        <w:pStyle w:val="Heading3"/>
        <w:numPr>
          <w:ilvl w:val="2"/>
          <w:numId w:val="19"/>
        </w:numPr>
        <w:tabs>
          <w:tab w:pos="702" w:val="left" w:leader="none"/>
        </w:tabs>
        <w:spacing w:line="240" w:lineRule="auto" w:before="0" w:after="0"/>
        <w:ind w:left="102" w:right="0" w:firstLine="0"/>
        <w:jc w:val="both"/>
      </w:pPr>
      <w:r>
        <w:rPr/>
        <w:t>Análisis</w:t>
      </w:r>
      <w:r>
        <w:rPr>
          <w:spacing w:val="-5"/>
        </w:rPr>
        <w:t> </w:t>
      </w:r>
      <w:r>
        <w:rPr/>
        <w:t>estadístico</w:t>
      </w:r>
    </w:p>
    <w:p>
      <w:pPr>
        <w:pStyle w:val="BodyText"/>
        <w:rPr>
          <w:b/>
        </w:rPr>
      </w:pPr>
    </w:p>
    <w:p>
      <w:pPr>
        <w:pStyle w:val="BodyText"/>
        <w:rPr>
          <w:b/>
        </w:rPr>
      </w:pPr>
    </w:p>
    <w:p>
      <w:pPr>
        <w:pStyle w:val="BodyText"/>
        <w:rPr>
          <w:b/>
        </w:rPr>
      </w:pPr>
    </w:p>
    <w:p>
      <w:pPr>
        <w:spacing w:before="0"/>
        <w:ind w:left="102" w:right="0" w:firstLine="0"/>
        <w:jc w:val="both"/>
        <w:rPr>
          <w:b/>
          <w:sz w:val="24"/>
        </w:rPr>
      </w:pPr>
      <w:r>
        <w:rPr>
          <w:b/>
          <w:sz w:val="24"/>
        </w:rPr>
        <w:t>Statistical analysis</w:t>
      </w:r>
    </w:p>
    <w:p>
      <w:pPr>
        <w:pStyle w:val="BodyText"/>
        <w:spacing w:before="6"/>
        <w:rPr>
          <w:b/>
          <w:sz w:val="23"/>
        </w:rPr>
      </w:pPr>
    </w:p>
    <w:p>
      <w:pPr>
        <w:pStyle w:val="BodyText"/>
        <w:spacing w:line="477" w:lineRule="auto"/>
        <w:ind w:left="102" w:right="115"/>
        <w:jc w:val="both"/>
      </w:pPr>
      <w:r>
        <w:rPr/>
        <w:t>Kolmogorov-Smirnov tests were made to evaluate the normality of the data distribution;</w:t>
      </w:r>
      <w:r>
        <w:rPr>
          <w:spacing w:val="-25"/>
        </w:rPr>
        <w:t> </w:t>
      </w:r>
      <w:r>
        <w:rPr/>
        <w:t>IL- 6 concentrations did not have a normal distribution. The descriptive statistic consisted in obtaining proportions for the categorical variables, as well as mean and standard deviations for the continuous variables. The clinical and socio-demographic characteristics were compared between the groups with chi</w:t>
      </w:r>
      <w:r>
        <w:rPr>
          <w:position w:val="9"/>
          <w:sz w:val="16"/>
        </w:rPr>
        <w:t>2 </w:t>
      </w:r>
      <w:r>
        <w:rPr/>
        <w:t>tests or exact Fisher´s test for categorical variables and one-way ANOVA or Kruskal-Wallis for the continuous</w:t>
      </w:r>
      <w:r>
        <w:rPr>
          <w:spacing w:val="-9"/>
        </w:rPr>
        <w:t> </w:t>
      </w:r>
      <w:r>
        <w:rPr/>
        <w:t>ones.</w:t>
      </w:r>
    </w:p>
    <w:p>
      <w:pPr>
        <w:pStyle w:val="BodyText"/>
        <w:spacing w:line="480" w:lineRule="auto" w:before="13"/>
        <w:ind w:left="102" w:right="118"/>
        <w:jc w:val="both"/>
      </w:pPr>
      <w:r>
        <w:rPr/>
        <w:t>IL-6 concentrations were compared according to sociodemographic and clinical variables with the Mann-Whitney U-Wilcoxon test, which sums the ranges for independent samples. A</w:t>
      </w:r>
      <w:r>
        <w:rPr>
          <w:spacing w:val="-10"/>
        </w:rPr>
        <w:t> </w:t>
      </w:r>
      <w:r>
        <w:rPr/>
        <w:t>stratified</w:t>
      </w:r>
      <w:r>
        <w:rPr>
          <w:spacing w:val="-10"/>
        </w:rPr>
        <w:t> </w:t>
      </w:r>
      <w:r>
        <w:rPr/>
        <w:t>linear</w:t>
      </w:r>
      <w:r>
        <w:rPr>
          <w:spacing w:val="-10"/>
        </w:rPr>
        <w:t> </w:t>
      </w:r>
      <w:r>
        <w:rPr/>
        <w:t>regression</w:t>
      </w:r>
      <w:r>
        <w:rPr>
          <w:spacing w:val="-9"/>
        </w:rPr>
        <w:t> </w:t>
      </w:r>
      <w:r>
        <w:rPr/>
        <w:t>analysis</w:t>
      </w:r>
      <w:r>
        <w:rPr>
          <w:spacing w:val="-9"/>
        </w:rPr>
        <w:t> </w:t>
      </w:r>
      <w:r>
        <w:rPr/>
        <w:t>was</w:t>
      </w:r>
      <w:r>
        <w:rPr>
          <w:spacing w:val="-7"/>
        </w:rPr>
        <w:t> </w:t>
      </w:r>
      <w:r>
        <w:rPr/>
        <w:t>adjusted</w:t>
      </w:r>
      <w:r>
        <w:rPr>
          <w:spacing w:val="-8"/>
        </w:rPr>
        <w:t> </w:t>
      </w:r>
      <w:r>
        <w:rPr/>
        <w:t>for</w:t>
      </w:r>
      <w:r>
        <w:rPr>
          <w:spacing w:val="-9"/>
        </w:rPr>
        <w:t> </w:t>
      </w:r>
      <w:r>
        <w:rPr/>
        <w:t>age</w:t>
      </w:r>
      <w:r>
        <w:rPr>
          <w:spacing w:val="-11"/>
        </w:rPr>
        <w:t> </w:t>
      </w:r>
      <w:r>
        <w:rPr/>
        <w:t>to</w:t>
      </w:r>
      <w:r>
        <w:rPr>
          <w:spacing w:val="-7"/>
        </w:rPr>
        <w:t> </w:t>
      </w:r>
      <w:r>
        <w:rPr/>
        <w:t>compare</w:t>
      </w:r>
      <w:r>
        <w:rPr>
          <w:spacing w:val="-6"/>
        </w:rPr>
        <w:t> </w:t>
      </w:r>
      <w:r>
        <w:rPr/>
        <w:t>IL-6</w:t>
      </w:r>
      <w:r>
        <w:rPr>
          <w:spacing w:val="-5"/>
        </w:rPr>
        <w:t> </w:t>
      </w:r>
      <w:r>
        <w:rPr/>
        <w:t>concentrations</w:t>
      </w:r>
      <w:r>
        <w:rPr>
          <w:spacing w:val="-9"/>
        </w:rPr>
        <w:t> </w:t>
      </w:r>
      <w:r>
        <w:rPr/>
        <w:t>in DM2+PD group against the PD and the non DM2-PD groups, adjusted by the effect of  </w:t>
      </w:r>
      <w:r>
        <w:rPr>
          <w:spacing w:val="31"/>
        </w:rPr>
        <w:t> </w:t>
      </w:r>
      <w:r>
        <w:rPr/>
        <w:t>the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20"/>
        <w:jc w:val="both"/>
      </w:pPr>
      <w:r>
        <w:rPr/>
        <w:t>BMI, gender, HDL-cholesterol concentrations, smoking and alcoholic beverage consumption. The differences with a p value &lt;0.05 were considered significant. Data was analyzed with the statistical package STATA 9 [39].</w:t>
      </w:r>
    </w:p>
    <w:p>
      <w:pPr>
        <w:pStyle w:val="BodyText"/>
        <w:spacing w:before="3"/>
        <w:rPr>
          <w:sz w:val="25"/>
        </w:rPr>
      </w:pPr>
    </w:p>
    <w:p>
      <w:pPr>
        <w:pStyle w:val="Heading3"/>
        <w:numPr>
          <w:ilvl w:val="2"/>
          <w:numId w:val="18"/>
        </w:numPr>
        <w:tabs>
          <w:tab w:pos="642" w:val="left" w:leader="none"/>
        </w:tabs>
        <w:spacing w:line="240" w:lineRule="auto" w:before="0" w:after="0"/>
        <w:ind w:left="642" w:right="0" w:hanging="540"/>
        <w:jc w:val="both"/>
      </w:pPr>
      <w:r>
        <w:rPr/>
        <w:t>Resultados</w:t>
      </w:r>
    </w:p>
    <w:p>
      <w:pPr>
        <w:pStyle w:val="BodyText"/>
        <w:rPr>
          <w:b/>
        </w:rPr>
      </w:pPr>
    </w:p>
    <w:p>
      <w:pPr>
        <w:pStyle w:val="BodyText"/>
        <w:rPr>
          <w:b/>
        </w:rPr>
      </w:pPr>
    </w:p>
    <w:p>
      <w:pPr>
        <w:spacing w:before="0"/>
        <w:ind w:left="102" w:right="0" w:firstLine="0"/>
        <w:jc w:val="both"/>
        <w:rPr>
          <w:b/>
          <w:sz w:val="24"/>
        </w:rPr>
      </w:pPr>
      <w:r>
        <w:rPr>
          <w:b/>
          <w:sz w:val="24"/>
        </w:rPr>
        <w:t>Results</w:t>
      </w:r>
    </w:p>
    <w:p>
      <w:pPr>
        <w:pStyle w:val="BodyText"/>
        <w:spacing w:before="6"/>
        <w:rPr>
          <w:b/>
          <w:sz w:val="23"/>
        </w:rPr>
      </w:pPr>
    </w:p>
    <w:p>
      <w:pPr>
        <w:pStyle w:val="BodyText"/>
        <w:ind w:left="102"/>
        <w:jc w:val="both"/>
      </w:pPr>
      <w:r>
        <w:rPr/>
        <w:t>The sample was formed by 90 adults, 69.0% women and 31% men, with an average age  of</w:t>
      </w:r>
    </w:p>
    <w:p>
      <w:pPr>
        <w:pStyle w:val="BodyText"/>
      </w:pPr>
    </w:p>
    <w:p>
      <w:pPr>
        <w:pStyle w:val="BodyText"/>
        <w:spacing w:line="480" w:lineRule="auto"/>
        <w:ind w:left="102" w:right="118"/>
        <w:jc w:val="both"/>
      </w:pPr>
      <w:r>
        <w:rPr/>
        <w:t>39.6 ± 12.1 years. The average value of IL-6 concentrations was 1.2 ± 3.0 pg/mL and the deepness of the periodontal probe was 3.6 ± 1.4 mm. </w:t>
      </w:r>
      <w:r>
        <w:rPr>
          <w:spacing w:val="-3"/>
        </w:rPr>
        <w:t>In </w:t>
      </w:r>
      <w:r>
        <w:rPr/>
        <w:t>average, the time of evolution of DM2 in the DM2+EP was 6.0 ± 4.4 years (data not shown). Most of the participants had overweight</w:t>
      </w:r>
      <w:r>
        <w:rPr>
          <w:spacing w:val="-6"/>
        </w:rPr>
        <w:t> </w:t>
      </w:r>
      <w:r>
        <w:rPr/>
        <w:t>and</w:t>
      </w:r>
      <w:r>
        <w:rPr>
          <w:spacing w:val="-6"/>
        </w:rPr>
        <w:t> </w:t>
      </w:r>
      <w:r>
        <w:rPr/>
        <w:t>obesity</w:t>
      </w:r>
      <w:r>
        <w:rPr>
          <w:spacing w:val="-11"/>
        </w:rPr>
        <w:t> </w:t>
      </w:r>
      <w:r>
        <w:rPr/>
        <w:t>(68.8%)</w:t>
      </w:r>
      <w:r>
        <w:rPr>
          <w:spacing w:val="-7"/>
        </w:rPr>
        <w:t> </w:t>
      </w:r>
      <w:r>
        <w:rPr/>
        <w:t>and</w:t>
      </w:r>
      <w:r>
        <w:rPr>
          <w:spacing w:val="-6"/>
        </w:rPr>
        <w:t> </w:t>
      </w:r>
      <w:r>
        <w:rPr/>
        <w:t>low</w:t>
      </w:r>
      <w:r>
        <w:rPr>
          <w:spacing w:val="-6"/>
        </w:rPr>
        <w:t> </w:t>
      </w:r>
      <w:r>
        <w:rPr/>
        <w:t>concentrations</w:t>
      </w:r>
      <w:r>
        <w:rPr>
          <w:spacing w:val="-6"/>
        </w:rPr>
        <w:t> </w:t>
      </w:r>
      <w:r>
        <w:rPr/>
        <w:t>of</w:t>
      </w:r>
      <w:r>
        <w:rPr>
          <w:spacing w:val="-7"/>
        </w:rPr>
        <w:t> </w:t>
      </w:r>
      <w:r>
        <w:rPr/>
        <w:t>HDL-</w:t>
      </w:r>
      <w:r>
        <w:rPr>
          <w:spacing w:val="-7"/>
        </w:rPr>
        <w:t> </w:t>
      </w:r>
      <w:r>
        <w:rPr/>
        <w:t>cholesterol</w:t>
      </w:r>
      <w:r>
        <w:rPr>
          <w:spacing w:val="-6"/>
        </w:rPr>
        <w:t> </w:t>
      </w:r>
      <w:r>
        <w:rPr/>
        <w:t>(76.4%)</w:t>
      </w:r>
      <w:r>
        <w:rPr>
          <w:spacing w:val="-7"/>
        </w:rPr>
        <w:t> </w:t>
      </w:r>
      <w:r>
        <w:rPr/>
        <w:t>(Table 1).</w:t>
      </w:r>
    </w:p>
    <w:p>
      <w:pPr>
        <w:pStyle w:val="BodyText"/>
        <w:spacing w:line="480" w:lineRule="auto" w:before="10"/>
        <w:ind w:left="102" w:right="117"/>
        <w:jc w:val="both"/>
      </w:pPr>
      <w:r>
        <w:rPr/>
        <w:t>The analysis of clinic and anthropometric characteristics (Table 2) in the research groups showed that most of the participants from the DM2+PD (90.0%) were older (39-60 years old). Also the DM2+PD group showed more presence of obesity, more depth of probe and higher levels of IL-6 than the other groups. On the other hand, the adults from the DP group showed lower concentrations of HDL cholesterol (93.3%). In the non DM2-PD group the proportion of adults who considered themselves as ex-smokers or current smokers and consuming alcoholic beverages were higher.</w:t>
      </w:r>
    </w:p>
    <w:p>
      <w:pPr>
        <w:pStyle w:val="BodyText"/>
        <w:spacing w:line="480" w:lineRule="auto" w:before="11"/>
        <w:ind w:left="102" w:right="114"/>
        <w:jc w:val="both"/>
      </w:pPr>
      <w:r>
        <w:rPr/>
        <w:t>Table 3 shows the comparison of IL-6 concentrations between the DM2+PD and the PD groups, as well as in the DM2+PD and non-DM2-PD groups according to clinical and anthropometric</w:t>
      </w:r>
      <w:r>
        <w:rPr>
          <w:spacing w:val="-9"/>
        </w:rPr>
        <w:t> </w:t>
      </w:r>
      <w:r>
        <w:rPr/>
        <w:t>characteristics</w:t>
      </w:r>
      <w:r>
        <w:rPr>
          <w:spacing w:val="-11"/>
        </w:rPr>
        <w:t> </w:t>
      </w:r>
      <w:r>
        <w:rPr/>
        <w:t>of</w:t>
      </w:r>
      <w:r>
        <w:rPr>
          <w:spacing w:val="-12"/>
        </w:rPr>
        <w:t> </w:t>
      </w:r>
      <w:r>
        <w:rPr/>
        <w:t>the</w:t>
      </w:r>
      <w:r>
        <w:rPr>
          <w:spacing w:val="-12"/>
        </w:rPr>
        <w:t> </w:t>
      </w:r>
      <w:r>
        <w:rPr/>
        <w:t>participants.</w:t>
      </w:r>
      <w:r>
        <w:rPr>
          <w:spacing w:val="-9"/>
        </w:rPr>
        <w:t> </w:t>
      </w:r>
      <w:r>
        <w:rPr/>
        <w:t>The</w:t>
      </w:r>
      <w:r>
        <w:rPr>
          <w:spacing w:val="-10"/>
        </w:rPr>
        <w:t> </w:t>
      </w:r>
      <w:r>
        <w:rPr/>
        <w:t>IL-6</w:t>
      </w:r>
      <w:r>
        <w:rPr>
          <w:spacing w:val="-11"/>
        </w:rPr>
        <w:t> </w:t>
      </w:r>
      <w:r>
        <w:rPr/>
        <w:t>concentrations</w:t>
      </w:r>
      <w:r>
        <w:rPr>
          <w:spacing w:val="-11"/>
        </w:rPr>
        <w:t> </w:t>
      </w:r>
      <w:r>
        <w:rPr/>
        <w:t>were</w:t>
      </w:r>
      <w:r>
        <w:rPr>
          <w:spacing w:val="-11"/>
        </w:rPr>
        <w:t> </w:t>
      </w:r>
      <w:r>
        <w:rPr/>
        <w:t>significantly higher in the obese participants from the DM2+PD group (1.2 ± 3.3 pg/mL, range = 0-11.4) than in those with obesity in the non DM2-PD group (3.3 ± 0.9 pg/mL, range =</w:t>
      </w:r>
      <w:r>
        <w:rPr>
          <w:spacing w:val="-10"/>
        </w:rPr>
        <w:t> </w:t>
      </w:r>
      <w:r>
        <w:rPr/>
        <w:t>0-4.2).</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5"/>
        <w:jc w:val="both"/>
      </w:pPr>
      <w:r>
        <w:rPr/>
        <w:t>Table 4 shows results of the comparison of IL-6 concentrations between the DM2+PD and the PD groups, and between the DM2+PD and the non-DM2+PD with crude and adjusted linear regression analysis, stratified by age. Comparing with the PD group as referent, the individuals from the 39-60 year-old DM2+PD group had higher values of IL-6 (β = 2.62, IC95%:</w:t>
      </w:r>
      <w:r>
        <w:rPr>
          <w:spacing w:val="-6"/>
        </w:rPr>
        <w:t> </w:t>
      </w:r>
      <w:r>
        <w:rPr/>
        <w:t>0.142-5.098),</w:t>
      </w:r>
      <w:r>
        <w:rPr>
          <w:spacing w:val="-7"/>
        </w:rPr>
        <w:t> </w:t>
      </w:r>
      <w:r>
        <w:rPr/>
        <w:t>after</w:t>
      </w:r>
      <w:r>
        <w:rPr>
          <w:spacing w:val="-7"/>
        </w:rPr>
        <w:t> </w:t>
      </w:r>
      <w:r>
        <w:rPr/>
        <w:t>adjusting</w:t>
      </w:r>
      <w:r>
        <w:rPr>
          <w:spacing w:val="-8"/>
        </w:rPr>
        <w:t> </w:t>
      </w:r>
      <w:r>
        <w:rPr/>
        <w:t>by</w:t>
      </w:r>
      <w:r>
        <w:rPr>
          <w:spacing w:val="-11"/>
        </w:rPr>
        <w:t> </w:t>
      </w:r>
      <w:r>
        <w:rPr/>
        <w:t>a</w:t>
      </w:r>
      <w:r>
        <w:rPr>
          <w:spacing w:val="-5"/>
        </w:rPr>
        <w:t> </w:t>
      </w:r>
      <w:r>
        <w:rPr/>
        <w:t>gender,</w:t>
      </w:r>
      <w:r>
        <w:rPr>
          <w:spacing w:val="-5"/>
        </w:rPr>
        <w:t> </w:t>
      </w:r>
      <w:r>
        <w:rPr/>
        <w:t>BMI</w:t>
      </w:r>
      <w:r>
        <w:rPr>
          <w:spacing w:val="-9"/>
        </w:rPr>
        <w:t> </w:t>
      </w:r>
      <w:r>
        <w:rPr/>
        <w:t>and</w:t>
      </w:r>
      <w:r>
        <w:rPr>
          <w:spacing w:val="-6"/>
        </w:rPr>
        <w:t> </w:t>
      </w:r>
      <w:r>
        <w:rPr/>
        <w:t>HDL-cholesterol,</w:t>
      </w:r>
      <w:r>
        <w:rPr>
          <w:spacing w:val="-6"/>
        </w:rPr>
        <w:t> </w:t>
      </w:r>
      <w:r>
        <w:rPr/>
        <w:t>however,</w:t>
      </w:r>
      <w:r>
        <w:rPr>
          <w:spacing w:val="-7"/>
        </w:rPr>
        <w:t> </w:t>
      </w:r>
      <w:r>
        <w:rPr/>
        <w:t>after adjusting for the effect of age, smoking and consumption of alcoholic beverages in addition to the mentioned variables above, statistical significance was not</w:t>
      </w:r>
      <w:r>
        <w:rPr>
          <w:spacing w:val="-13"/>
        </w:rPr>
        <w:t> </w:t>
      </w:r>
      <w:r>
        <w:rPr/>
        <w:t>maintained.</w:t>
      </w:r>
    </w:p>
    <w:p>
      <w:pPr>
        <w:pStyle w:val="Heading3"/>
        <w:numPr>
          <w:ilvl w:val="2"/>
          <w:numId w:val="19"/>
        </w:numPr>
        <w:tabs>
          <w:tab w:pos="702" w:val="left" w:leader="none"/>
        </w:tabs>
        <w:spacing w:line="820" w:lineRule="atLeast" w:before="23" w:after="0"/>
        <w:ind w:left="102" w:right="7369" w:firstLine="0"/>
        <w:jc w:val="left"/>
      </w:pPr>
      <w:r>
        <w:rPr/>
        <w:t>Discusión Discussion</w:t>
      </w:r>
    </w:p>
    <w:p>
      <w:pPr>
        <w:pStyle w:val="BodyText"/>
        <w:spacing w:before="6"/>
        <w:rPr>
          <w:b/>
          <w:sz w:val="23"/>
        </w:rPr>
      </w:pPr>
    </w:p>
    <w:p>
      <w:pPr>
        <w:pStyle w:val="BodyText"/>
        <w:spacing w:line="480" w:lineRule="auto"/>
        <w:ind w:left="102" w:right="114"/>
        <w:jc w:val="both"/>
      </w:pPr>
      <w:r>
        <w:rPr/>
        <w:t>The</w:t>
      </w:r>
      <w:r>
        <w:rPr>
          <w:spacing w:val="-5"/>
        </w:rPr>
        <w:t> </w:t>
      </w:r>
      <w:r>
        <w:rPr/>
        <w:t>results</w:t>
      </w:r>
      <w:r>
        <w:rPr>
          <w:spacing w:val="-4"/>
        </w:rPr>
        <w:t> </w:t>
      </w:r>
      <w:r>
        <w:rPr/>
        <w:t>show</w:t>
      </w:r>
      <w:r>
        <w:rPr>
          <w:spacing w:val="-2"/>
        </w:rPr>
        <w:t> </w:t>
      </w:r>
      <w:r>
        <w:rPr/>
        <w:t>that</w:t>
      </w:r>
      <w:r>
        <w:rPr>
          <w:spacing w:val="-4"/>
        </w:rPr>
        <w:t> </w:t>
      </w:r>
      <w:r>
        <w:rPr/>
        <w:t>the</w:t>
      </w:r>
      <w:r>
        <w:rPr>
          <w:spacing w:val="-1"/>
        </w:rPr>
        <w:t> </w:t>
      </w:r>
      <w:r>
        <w:rPr/>
        <w:t>concentration</w:t>
      </w:r>
      <w:r>
        <w:rPr>
          <w:spacing w:val="-4"/>
        </w:rPr>
        <w:t> </w:t>
      </w:r>
      <w:r>
        <w:rPr/>
        <w:t>of</w:t>
      </w:r>
      <w:r>
        <w:rPr>
          <w:spacing w:val="-5"/>
        </w:rPr>
        <w:t> </w:t>
      </w:r>
      <w:r>
        <w:rPr/>
        <w:t>saliva IL-6</w:t>
      </w:r>
      <w:r>
        <w:rPr>
          <w:spacing w:val="-2"/>
        </w:rPr>
        <w:t> </w:t>
      </w:r>
      <w:r>
        <w:rPr/>
        <w:t>in</w:t>
      </w:r>
      <w:r>
        <w:rPr>
          <w:spacing w:val="-3"/>
        </w:rPr>
        <w:t> </w:t>
      </w:r>
      <w:r>
        <w:rPr/>
        <w:t>adults</w:t>
      </w:r>
      <w:r>
        <w:rPr>
          <w:spacing w:val="-4"/>
        </w:rPr>
        <w:t> </w:t>
      </w:r>
      <w:r>
        <w:rPr/>
        <w:t>with</w:t>
      </w:r>
      <w:r>
        <w:rPr>
          <w:spacing w:val="-4"/>
        </w:rPr>
        <w:t> </w:t>
      </w:r>
      <w:r>
        <w:rPr/>
        <w:t>DM2</w:t>
      </w:r>
      <w:r>
        <w:rPr>
          <w:spacing w:val="-2"/>
        </w:rPr>
        <w:t> </w:t>
      </w:r>
      <w:r>
        <w:rPr/>
        <w:t>and</w:t>
      </w:r>
      <w:r>
        <w:rPr>
          <w:spacing w:val="-4"/>
        </w:rPr>
        <w:t> </w:t>
      </w:r>
      <w:r>
        <w:rPr/>
        <w:t>PD</w:t>
      </w:r>
      <w:r>
        <w:rPr>
          <w:spacing w:val="-4"/>
        </w:rPr>
        <w:t> </w:t>
      </w:r>
      <w:r>
        <w:rPr/>
        <w:t>are</w:t>
      </w:r>
      <w:r>
        <w:rPr>
          <w:spacing w:val="-5"/>
        </w:rPr>
        <w:t> </w:t>
      </w:r>
      <w:r>
        <w:rPr/>
        <w:t>higher than</w:t>
      </w:r>
      <w:r>
        <w:rPr>
          <w:spacing w:val="-9"/>
        </w:rPr>
        <w:t> </w:t>
      </w:r>
      <w:r>
        <w:rPr/>
        <w:t>in</w:t>
      </w:r>
      <w:r>
        <w:rPr>
          <w:spacing w:val="-8"/>
        </w:rPr>
        <w:t> </w:t>
      </w:r>
      <w:r>
        <w:rPr/>
        <w:t>the</w:t>
      </w:r>
      <w:r>
        <w:rPr>
          <w:spacing w:val="-9"/>
        </w:rPr>
        <w:t> </w:t>
      </w:r>
      <w:r>
        <w:rPr/>
        <w:t>individuals</w:t>
      </w:r>
      <w:r>
        <w:rPr>
          <w:spacing w:val="-8"/>
        </w:rPr>
        <w:t> </w:t>
      </w:r>
      <w:r>
        <w:rPr/>
        <w:t>without</w:t>
      </w:r>
      <w:r>
        <w:rPr>
          <w:spacing w:val="-8"/>
        </w:rPr>
        <w:t> </w:t>
      </w:r>
      <w:r>
        <w:rPr/>
        <w:t>these</w:t>
      </w:r>
      <w:r>
        <w:rPr>
          <w:spacing w:val="-10"/>
        </w:rPr>
        <w:t> </w:t>
      </w:r>
      <w:r>
        <w:rPr/>
        <w:t>pathologies</w:t>
      </w:r>
      <w:r>
        <w:rPr>
          <w:spacing w:val="-9"/>
        </w:rPr>
        <w:t> </w:t>
      </w:r>
      <w:r>
        <w:rPr/>
        <w:t>or</w:t>
      </w:r>
      <w:r>
        <w:rPr>
          <w:spacing w:val="-7"/>
        </w:rPr>
        <w:t> </w:t>
      </w:r>
      <w:r>
        <w:rPr/>
        <w:t>in</w:t>
      </w:r>
      <w:r>
        <w:rPr>
          <w:spacing w:val="-8"/>
        </w:rPr>
        <w:t> </w:t>
      </w:r>
      <w:r>
        <w:rPr/>
        <w:t>those</w:t>
      </w:r>
      <w:r>
        <w:rPr>
          <w:spacing w:val="-9"/>
        </w:rPr>
        <w:t> </w:t>
      </w:r>
      <w:r>
        <w:rPr/>
        <w:t>having</w:t>
      </w:r>
      <w:r>
        <w:rPr>
          <w:spacing w:val="-11"/>
        </w:rPr>
        <w:t> </w:t>
      </w:r>
      <w:r>
        <w:rPr/>
        <w:t>only</w:t>
      </w:r>
      <w:r>
        <w:rPr>
          <w:spacing w:val="-13"/>
        </w:rPr>
        <w:t> </w:t>
      </w:r>
      <w:r>
        <w:rPr/>
        <w:t>PD.</w:t>
      </w:r>
      <w:r>
        <w:rPr>
          <w:spacing w:val="-5"/>
        </w:rPr>
        <w:t> </w:t>
      </w:r>
      <w:r>
        <w:rPr/>
        <w:t>IL-6</w:t>
      </w:r>
      <w:r>
        <w:rPr>
          <w:spacing w:val="-9"/>
        </w:rPr>
        <w:t> </w:t>
      </w:r>
      <w:r>
        <w:rPr/>
        <w:t>was</w:t>
      </w:r>
      <w:r>
        <w:rPr>
          <w:spacing w:val="-8"/>
        </w:rPr>
        <w:t> </w:t>
      </w:r>
      <w:r>
        <w:rPr/>
        <w:t>higher in the 39-60 year-old participants with DM2 and PD than in those with PD alone. No difference</w:t>
      </w:r>
      <w:r>
        <w:rPr>
          <w:spacing w:val="-11"/>
        </w:rPr>
        <w:t> </w:t>
      </w:r>
      <w:r>
        <w:rPr/>
        <w:t>was</w:t>
      </w:r>
      <w:r>
        <w:rPr>
          <w:spacing w:val="-12"/>
        </w:rPr>
        <w:t> </w:t>
      </w:r>
      <w:r>
        <w:rPr/>
        <w:t>found</w:t>
      </w:r>
      <w:r>
        <w:rPr>
          <w:spacing w:val="-11"/>
        </w:rPr>
        <w:t> </w:t>
      </w:r>
      <w:r>
        <w:rPr/>
        <w:t>in</w:t>
      </w:r>
      <w:r>
        <w:rPr>
          <w:spacing w:val="-12"/>
        </w:rPr>
        <w:t> </w:t>
      </w:r>
      <w:r>
        <w:rPr/>
        <w:t>the</w:t>
      </w:r>
      <w:r>
        <w:rPr>
          <w:spacing w:val="-13"/>
        </w:rPr>
        <w:t> </w:t>
      </w:r>
      <w:r>
        <w:rPr/>
        <w:t>saliva</w:t>
      </w:r>
      <w:r>
        <w:rPr>
          <w:spacing w:val="-11"/>
        </w:rPr>
        <w:t> </w:t>
      </w:r>
      <w:r>
        <w:rPr/>
        <w:t>IL-6</w:t>
      </w:r>
      <w:r>
        <w:rPr>
          <w:spacing w:val="-12"/>
        </w:rPr>
        <w:t> </w:t>
      </w:r>
      <w:r>
        <w:rPr/>
        <w:t>values</w:t>
      </w:r>
      <w:r>
        <w:rPr>
          <w:spacing w:val="-12"/>
        </w:rPr>
        <w:t> </w:t>
      </w:r>
      <w:r>
        <w:rPr/>
        <w:t>of</w:t>
      </w:r>
      <w:r>
        <w:rPr>
          <w:spacing w:val="-13"/>
        </w:rPr>
        <w:t> </w:t>
      </w:r>
      <w:r>
        <w:rPr/>
        <w:t>22-39</w:t>
      </w:r>
      <w:r>
        <w:rPr>
          <w:spacing w:val="-7"/>
        </w:rPr>
        <w:t> </w:t>
      </w:r>
      <w:r>
        <w:rPr/>
        <w:t>year-old</w:t>
      </w:r>
      <w:r>
        <w:rPr>
          <w:spacing w:val="-12"/>
        </w:rPr>
        <w:t> </w:t>
      </w:r>
      <w:r>
        <w:rPr/>
        <w:t>participants</w:t>
      </w:r>
      <w:r>
        <w:rPr>
          <w:spacing w:val="-12"/>
        </w:rPr>
        <w:t> </w:t>
      </w:r>
      <w:r>
        <w:rPr/>
        <w:t>between</w:t>
      </w:r>
      <w:r>
        <w:rPr>
          <w:spacing w:val="-10"/>
        </w:rPr>
        <w:t> </w:t>
      </w:r>
      <w:r>
        <w:rPr/>
        <w:t>groups. Nowadays</w:t>
      </w:r>
      <w:r>
        <w:rPr>
          <w:spacing w:val="-12"/>
        </w:rPr>
        <w:t> </w:t>
      </w:r>
      <w:r>
        <w:rPr/>
        <w:t>there</w:t>
      </w:r>
      <w:r>
        <w:rPr>
          <w:spacing w:val="-13"/>
        </w:rPr>
        <w:t> </w:t>
      </w:r>
      <w:r>
        <w:rPr/>
        <w:t>is</w:t>
      </w:r>
      <w:r>
        <w:rPr>
          <w:spacing w:val="-11"/>
        </w:rPr>
        <w:t> </w:t>
      </w:r>
      <w:r>
        <w:rPr/>
        <w:t>little</w:t>
      </w:r>
      <w:r>
        <w:rPr>
          <w:spacing w:val="-13"/>
        </w:rPr>
        <w:t> </w:t>
      </w:r>
      <w:r>
        <w:rPr/>
        <w:t>research</w:t>
      </w:r>
      <w:r>
        <w:rPr>
          <w:spacing w:val="-12"/>
        </w:rPr>
        <w:t> </w:t>
      </w:r>
      <w:r>
        <w:rPr/>
        <w:t>with</w:t>
      </w:r>
      <w:r>
        <w:rPr>
          <w:spacing w:val="-12"/>
        </w:rPr>
        <w:t> </w:t>
      </w:r>
      <w:r>
        <w:rPr/>
        <w:t>respect</w:t>
      </w:r>
      <w:r>
        <w:rPr>
          <w:spacing w:val="-12"/>
        </w:rPr>
        <w:t> </w:t>
      </w:r>
      <w:r>
        <w:rPr/>
        <w:t>to</w:t>
      </w:r>
      <w:r>
        <w:rPr>
          <w:spacing w:val="-12"/>
        </w:rPr>
        <w:t> </w:t>
      </w:r>
      <w:r>
        <w:rPr/>
        <w:t>saliva</w:t>
      </w:r>
      <w:r>
        <w:rPr>
          <w:spacing w:val="-11"/>
        </w:rPr>
        <w:t> </w:t>
      </w:r>
      <w:r>
        <w:rPr/>
        <w:t>IL-6</w:t>
      </w:r>
      <w:r>
        <w:rPr>
          <w:spacing w:val="-12"/>
        </w:rPr>
        <w:t> </w:t>
      </w:r>
      <w:r>
        <w:rPr/>
        <w:t>concentrations</w:t>
      </w:r>
      <w:r>
        <w:rPr>
          <w:spacing w:val="-12"/>
        </w:rPr>
        <w:t> </w:t>
      </w:r>
      <w:r>
        <w:rPr/>
        <w:t>in</w:t>
      </w:r>
      <w:r>
        <w:rPr>
          <w:spacing w:val="-12"/>
        </w:rPr>
        <w:t> </w:t>
      </w:r>
      <w:r>
        <w:rPr/>
        <w:t>adults</w:t>
      </w:r>
      <w:r>
        <w:rPr>
          <w:spacing w:val="-12"/>
        </w:rPr>
        <w:t> </w:t>
      </w:r>
      <w:r>
        <w:rPr/>
        <w:t>with</w:t>
      </w:r>
      <w:r>
        <w:rPr>
          <w:spacing w:val="-12"/>
        </w:rPr>
        <w:t> </w:t>
      </w:r>
      <w:r>
        <w:rPr/>
        <w:t>DM and PD, the results cannot be compared with many studies. However, these results coincide with the ones reported by researchers like Monea </w:t>
      </w:r>
      <w:r>
        <w:rPr>
          <w:i/>
        </w:rPr>
        <w:t>et al</w:t>
      </w:r>
      <w:r>
        <w:rPr/>
        <w:t>. [33], who obtained higher values of IL-6 concentration in the saliva from adults with DM2 and PD, than those without these conditions. Similarly, Kosaka </w:t>
      </w:r>
      <w:r>
        <w:rPr>
          <w:i/>
        </w:rPr>
        <w:t>et al. </w:t>
      </w:r>
      <w:r>
        <w:rPr/>
        <w:t>[34] reported high concentrations of IL-6 related to the periodontal condition of the patients; showing that the IL-6 concentrations in saliva can be useful markers of PD. In addition, higher levels of serum IL-6 from adults with DM2 have been found in comparison with those without DM2 [40], as well as higher saliva values </w:t>
      </w:r>
      <w:r>
        <w:rPr>
          <w:spacing w:val="3"/>
        </w:rPr>
        <w:t>in </w:t>
      </w:r>
      <w:r>
        <w:rPr/>
        <w:t>adults with PD than in adults without it</w:t>
      </w:r>
      <w:r>
        <w:rPr>
          <w:spacing w:val="-5"/>
        </w:rPr>
        <w:t> </w:t>
      </w:r>
      <w:r>
        <w:rPr/>
        <w:t>[41].</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4" w:lineRule="auto" w:before="207"/>
        <w:ind w:left="102" w:right="118"/>
        <w:jc w:val="both"/>
      </w:pPr>
      <w:r>
        <w:rPr/>
        <w:drawing>
          <wp:anchor distT="0" distB="0" distL="0" distR="0" allowOverlap="1" layoutInCell="1" locked="0" behindDoc="1" simplePos="0" relativeHeight="268328447">
            <wp:simplePos x="0" y="0"/>
            <wp:positionH relativeFrom="page">
              <wp:posOffset>3013582</wp:posOffset>
            </wp:positionH>
            <wp:positionV relativeFrom="paragraph">
              <wp:posOffset>1532802</wp:posOffset>
            </wp:positionV>
            <wp:extent cx="179831" cy="185927"/>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20" cstate="print"/>
                    <a:stretch>
                      <a:fillRect/>
                    </a:stretch>
                  </pic:blipFill>
                  <pic:spPr>
                    <a:xfrm>
                      <a:off x="0" y="0"/>
                      <a:ext cx="179831" cy="185927"/>
                    </a:xfrm>
                    <a:prstGeom prst="rect">
                      <a:avLst/>
                    </a:prstGeom>
                  </pic:spPr>
                </pic:pic>
              </a:graphicData>
            </a:graphic>
          </wp:anchor>
        </w:drawing>
      </w:r>
      <w:r>
        <w:rPr/>
        <w:t>In contrast with these results, Mohamed </w:t>
      </w:r>
      <w:r>
        <w:rPr>
          <w:i/>
        </w:rPr>
        <w:t>et al. </w:t>
      </w:r>
      <w:r>
        <w:rPr/>
        <w:t>[35], did not find any evidence to support the relationship between the increase of IL-6 and PD in patients with DM2; IL-6 concentrations in the crevicular liquid of individuals with DM2 and without chronic periodontitis, were higher than in subjects with CP. </w:t>
      </w:r>
      <w:r>
        <w:rPr>
          <w:spacing w:val="-3"/>
        </w:rPr>
        <w:t>It </w:t>
      </w:r>
      <w:r>
        <w:rPr/>
        <w:t>is possible that this difference can be caused by the DM2 time evolution of the patients ( = 9.6 ± 1.7 years old) than the ones in our research with DM2 and PD </w:t>
      </w:r>
      <w:r>
        <w:rPr>
          <w:spacing w:val="-1"/>
          <w:position w:val="-4"/>
        </w:rPr>
        <w:drawing>
          <wp:inline distT="0" distB="0" distL="0" distR="0">
            <wp:extent cx="179831" cy="185927"/>
            <wp:effectExtent l="0" t="0" r="0" b="0"/>
            <wp:docPr id="5" name="image2.png" descr=""/>
            <wp:cNvGraphicFramePr>
              <a:graphicFrameLocks noChangeAspect="1"/>
            </wp:cNvGraphicFramePr>
            <a:graphic>
              <a:graphicData uri="http://schemas.openxmlformats.org/drawingml/2006/picture">
                <pic:pic>
                  <pic:nvPicPr>
                    <pic:cNvPr id="6" name="image2.png"/>
                    <pic:cNvPicPr/>
                  </pic:nvPicPr>
                  <pic:blipFill>
                    <a:blip r:embed="rId20" cstate="print"/>
                    <a:stretch>
                      <a:fillRect/>
                    </a:stretch>
                  </pic:blipFill>
                  <pic:spPr>
                    <a:xfrm>
                      <a:off x="0" y="0"/>
                      <a:ext cx="179831" cy="185927"/>
                    </a:xfrm>
                    <a:prstGeom prst="rect">
                      <a:avLst/>
                    </a:prstGeom>
                  </pic:spPr>
                </pic:pic>
              </a:graphicData>
            </a:graphic>
          </wp:inline>
        </w:drawing>
      </w:r>
      <w:r>
        <w:rPr>
          <w:spacing w:val="-1"/>
          <w:position w:val="-4"/>
        </w:rPr>
      </w:r>
      <w:r>
        <w:rPr/>
        <w:t>= 6.0 ± 4.4</w:t>
      </w:r>
      <w:r>
        <w:rPr>
          <w:spacing w:val="-7"/>
        </w:rPr>
        <w:t> </w:t>
      </w:r>
      <w:r>
        <w:rPr/>
        <w:t>years).</w:t>
      </w:r>
    </w:p>
    <w:p>
      <w:pPr>
        <w:pStyle w:val="BodyText"/>
        <w:spacing w:line="480" w:lineRule="auto"/>
        <w:ind w:left="102" w:right="118"/>
        <w:jc w:val="both"/>
      </w:pPr>
      <w:r>
        <w:rPr/>
        <w:t>In</w:t>
      </w:r>
      <w:r>
        <w:rPr>
          <w:spacing w:val="-4"/>
        </w:rPr>
        <w:t> </w:t>
      </w:r>
      <w:r>
        <w:rPr/>
        <w:t>relation</w:t>
      </w:r>
      <w:r>
        <w:rPr>
          <w:spacing w:val="-6"/>
        </w:rPr>
        <w:t> </w:t>
      </w:r>
      <w:r>
        <w:rPr/>
        <w:t>to</w:t>
      </w:r>
      <w:r>
        <w:rPr>
          <w:spacing w:val="-6"/>
        </w:rPr>
        <w:t> </w:t>
      </w:r>
      <w:r>
        <w:rPr/>
        <w:t>the</w:t>
      </w:r>
      <w:r>
        <w:rPr>
          <w:spacing w:val="-7"/>
        </w:rPr>
        <w:t> </w:t>
      </w:r>
      <w:r>
        <w:rPr/>
        <w:t>pro-inflammatory</w:t>
      </w:r>
      <w:r>
        <w:rPr>
          <w:spacing w:val="-9"/>
        </w:rPr>
        <w:t> </w:t>
      </w:r>
      <w:r>
        <w:rPr/>
        <w:t>cytokine</w:t>
      </w:r>
      <w:r>
        <w:rPr>
          <w:spacing w:val="-7"/>
        </w:rPr>
        <w:t> </w:t>
      </w:r>
      <w:r>
        <w:rPr/>
        <w:t>function</w:t>
      </w:r>
      <w:r>
        <w:rPr>
          <w:spacing w:val="-6"/>
        </w:rPr>
        <w:t> </w:t>
      </w:r>
      <w:r>
        <w:rPr/>
        <w:t>in</w:t>
      </w:r>
      <w:r>
        <w:rPr>
          <w:spacing w:val="-6"/>
        </w:rPr>
        <w:t> </w:t>
      </w:r>
      <w:r>
        <w:rPr/>
        <w:t>the</w:t>
      </w:r>
      <w:r>
        <w:rPr>
          <w:spacing w:val="-7"/>
        </w:rPr>
        <w:t> </w:t>
      </w:r>
      <w:r>
        <w:rPr/>
        <w:t>development</w:t>
      </w:r>
      <w:r>
        <w:rPr>
          <w:spacing w:val="-6"/>
        </w:rPr>
        <w:t> </w:t>
      </w:r>
      <w:r>
        <w:rPr/>
        <w:t>of</w:t>
      </w:r>
      <w:r>
        <w:rPr>
          <w:spacing w:val="-5"/>
        </w:rPr>
        <w:t> </w:t>
      </w:r>
      <w:r>
        <w:rPr/>
        <w:t>chronic</w:t>
      </w:r>
      <w:r>
        <w:rPr>
          <w:spacing w:val="-7"/>
        </w:rPr>
        <w:t> </w:t>
      </w:r>
      <w:r>
        <w:rPr/>
        <w:t>diseases such as diabetes and PD, recent research has shown that inflammation is an important</w:t>
      </w:r>
      <w:r>
        <w:rPr>
          <w:spacing w:val="-21"/>
        </w:rPr>
        <w:t> </w:t>
      </w:r>
      <w:r>
        <w:rPr/>
        <w:t>factor in the pathogenesis of DM2 [42] and that the inflammatory cytokines such as IL-6, IL1 and TNF-α promote insulin resistance [43]. The resulting hyperglycemia causes a systemic inflammatory condition, releasing more cytokines, which in addition to starting an inflammatory condition; it can also reduce the healing capacity of the</w:t>
      </w:r>
      <w:r>
        <w:rPr>
          <w:spacing w:val="-15"/>
        </w:rPr>
        <w:t> </w:t>
      </w:r>
      <w:r>
        <w:rPr/>
        <w:t>tissue.</w:t>
      </w:r>
    </w:p>
    <w:p>
      <w:pPr>
        <w:pStyle w:val="BodyText"/>
        <w:spacing w:line="480" w:lineRule="auto" w:before="10"/>
        <w:ind w:left="102" w:right="111"/>
        <w:jc w:val="both"/>
      </w:pPr>
      <w:r>
        <w:rPr/>
        <w:t>In this research, IL-6 concentrations were lower in the individuals with PD alone in comparison</w:t>
      </w:r>
      <w:r>
        <w:rPr>
          <w:spacing w:val="-6"/>
        </w:rPr>
        <w:t> </w:t>
      </w:r>
      <w:r>
        <w:rPr/>
        <w:t>with</w:t>
      </w:r>
      <w:r>
        <w:rPr>
          <w:spacing w:val="-6"/>
        </w:rPr>
        <w:t> </w:t>
      </w:r>
      <w:r>
        <w:rPr/>
        <w:t>the</w:t>
      </w:r>
      <w:r>
        <w:rPr>
          <w:spacing w:val="-7"/>
        </w:rPr>
        <w:t> </w:t>
      </w:r>
      <w:r>
        <w:rPr/>
        <w:t>ones</w:t>
      </w:r>
      <w:r>
        <w:rPr>
          <w:spacing w:val="-4"/>
        </w:rPr>
        <w:t> </w:t>
      </w:r>
      <w:r>
        <w:rPr/>
        <w:t>who</w:t>
      </w:r>
      <w:r>
        <w:rPr>
          <w:spacing w:val="-7"/>
        </w:rPr>
        <w:t> </w:t>
      </w:r>
      <w:r>
        <w:rPr/>
        <w:t>also</w:t>
      </w:r>
      <w:r>
        <w:rPr>
          <w:spacing w:val="-6"/>
        </w:rPr>
        <w:t> </w:t>
      </w:r>
      <w:r>
        <w:rPr/>
        <w:t>have</w:t>
      </w:r>
      <w:r>
        <w:rPr>
          <w:spacing w:val="-5"/>
        </w:rPr>
        <w:t> </w:t>
      </w:r>
      <w:r>
        <w:rPr/>
        <w:t>DM2,</w:t>
      </w:r>
      <w:r>
        <w:rPr>
          <w:spacing w:val="-7"/>
        </w:rPr>
        <w:t> </w:t>
      </w:r>
      <w:r>
        <w:rPr/>
        <w:t>confirming</w:t>
      </w:r>
      <w:r>
        <w:rPr>
          <w:spacing w:val="-9"/>
        </w:rPr>
        <w:t> </w:t>
      </w:r>
      <w:r>
        <w:rPr/>
        <w:t>that</w:t>
      </w:r>
      <w:r>
        <w:rPr>
          <w:spacing w:val="-6"/>
        </w:rPr>
        <w:t> </w:t>
      </w:r>
      <w:r>
        <w:rPr/>
        <w:t>in</w:t>
      </w:r>
      <w:r>
        <w:rPr>
          <w:spacing w:val="-6"/>
        </w:rPr>
        <w:t> </w:t>
      </w:r>
      <w:r>
        <w:rPr/>
        <w:t>Mexican</w:t>
      </w:r>
      <w:r>
        <w:rPr>
          <w:spacing w:val="-6"/>
        </w:rPr>
        <w:t> </w:t>
      </w:r>
      <w:r>
        <w:rPr/>
        <w:t>population,</w:t>
      </w:r>
      <w:r>
        <w:rPr>
          <w:spacing w:val="-6"/>
        </w:rPr>
        <w:t> </w:t>
      </w:r>
      <w:r>
        <w:rPr/>
        <w:t>there is a strong evidence with respect to the bi-directional relationship between diabetes mellitus and periodontal inflammatory disease. In this respect, authors like Stanko and Izakovicova [44] refer that diabetes mellitus increases the risk and severity of periodontitis, whereas periodontal</w:t>
      </w:r>
      <w:r>
        <w:rPr>
          <w:spacing w:val="-5"/>
        </w:rPr>
        <w:t> </w:t>
      </w:r>
      <w:r>
        <w:rPr/>
        <w:t>disease</w:t>
      </w:r>
      <w:r>
        <w:rPr>
          <w:spacing w:val="-6"/>
        </w:rPr>
        <w:t> </w:t>
      </w:r>
      <w:r>
        <w:rPr/>
        <w:t>can</w:t>
      </w:r>
      <w:r>
        <w:rPr>
          <w:spacing w:val="-5"/>
        </w:rPr>
        <w:t> </w:t>
      </w:r>
      <w:r>
        <w:rPr/>
        <w:t>increase</w:t>
      </w:r>
      <w:r>
        <w:rPr>
          <w:spacing w:val="-6"/>
        </w:rPr>
        <w:t> </w:t>
      </w:r>
      <w:r>
        <w:rPr/>
        <w:t>insulin</w:t>
      </w:r>
      <w:r>
        <w:rPr>
          <w:spacing w:val="-4"/>
        </w:rPr>
        <w:t> </w:t>
      </w:r>
      <w:r>
        <w:rPr/>
        <w:t>resistance</w:t>
      </w:r>
      <w:r>
        <w:rPr>
          <w:spacing w:val="-6"/>
        </w:rPr>
        <w:t> </w:t>
      </w:r>
      <w:r>
        <w:rPr/>
        <w:t>affecting</w:t>
      </w:r>
      <w:r>
        <w:rPr>
          <w:spacing w:val="-7"/>
        </w:rPr>
        <w:t> </w:t>
      </w:r>
      <w:r>
        <w:rPr/>
        <w:t>the</w:t>
      </w:r>
      <w:r>
        <w:rPr>
          <w:spacing w:val="-5"/>
        </w:rPr>
        <w:t> </w:t>
      </w:r>
      <w:r>
        <w:rPr/>
        <w:t>glycemic</w:t>
      </w:r>
      <w:r>
        <w:rPr>
          <w:spacing w:val="-6"/>
        </w:rPr>
        <w:t> </w:t>
      </w:r>
      <w:r>
        <w:rPr/>
        <w:t>control</w:t>
      </w:r>
      <w:r>
        <w:rPr>
          <w:spacing w:val="-5"/>
        </w:rPr>
        <w:t> </w:t>
      </w:r>
      <w:r>
        <w:rPr/>
        <w:t>of</w:t>
      </w:r>
      <w:r>
        <w:rPr>
          <w:spacing w:val="-6"/>
        </w:rPr>
        <w:t> </w:t>
      </w:r>
      <w:r>
        <w:rPr/>
        <w:t>patients. With regard to body weight, subjects with obesity, DM2 and PD, showed higher values of IL-6 (1.2 ± 3.3 pg/mL, range 0-11.4) than those with obesity alone (3.3 ± 0.9 pg/mL, range 0-4.2)</w:t>
      </w:r>
      <w:r>
        <w:rPr>
          <w:spacing w:val="-12"/>
        </w:rPr>
        <w:t> </w:t>
      </w:r>
      <w:r>
        <w:rPr/>
        <w:t>(Table</w:t>
      </w:r>
      <w:r>
        <w:rPr>
          <w:spacing w:val="-11"/>
        </w:rPr>
        <w:t> </w:t>
      </w:r>
      <w:r>
        <w:rPr/>
        <w:t>3).</w:t>
      </w:r>
      <w:r>
        <w:rPr>
          <w:spacing w:val="-12"/>
        </w:rPr>
        <w:t> </w:t>
      </w:r>
      <w:r>
        <w:rPr/>
        <w:t>This</w:t>
      </w:r>
      <w:r>
        <w:rPr>
          <w:spacing w:val="-11"/>
        </w:rPr>
        <w:t> </w:t>
      </w:r>
      <w:r>
        <w:rPr/>
        <w:t>is</w:t>
      </w:r>
      <w:r>
        <w:rPr>
          <w:spacing w:val="-10"/>
        </w:rPr>
        <w:t> </w:t>
      </w:r>
      <w:r>
        <w:rPr/>
        <w:t>possibly</w:t>
      </w:r>
      <w:r>
        <w:rPr>
          <w:spacing w:val="-18"/>
        </w:rPr>
        <w:t> </w:t>
      </w:r>
      <w:r>
        <w:rPr/>
        <w:t>because</w:t>
      </w:r>
      <w:r>
        <w:rPr>
          <w:spacing w:val="-12"/>
        </w:rPr>
        <w:t> </w:t>
      </w:r>
      <w:r>
        <w:rPr/>
        <w:t>in</w:t>
      </w:r>
      <w:r>
        <w:rPr>
          <w:spacing w:val="-11"/>
        </w:rPr>
        <w:t> </w:t>
      </w:r>
      <w:r>
        <w:rPr/>
        <w:t>addition</w:t>
      </w:r>
      <w:r>
        <w:rPr>
          <w:spacing w:val="-11"/>
        </w:rPr>
        <w:t> </w:t>
      </w:r>
      <w:r>
        <w:rPr/>
        <w:t>to</w:t>
      </w:r>
      <w:r>
        <w:rPr>
          <w:spacing w:val="-11"/>
        </w:rPr>
        <w:t> </w:t>
      </w:r>
      <w:r>
        <w:rPr/>
        <w:t>not</w:t>
      </w:r>
      <w:r>
        <w:rPr>
          <w:spacing w:val="-11"/>
        </w:rPr>
        <w:t> </w:t>
      </w:r>
      <w:r>
        <w:rPr/>
        <w:t>presenting</w:t>
      </w:r>
      <w:r>
        <w:rPr>
          <w:spacing w:val="-13"/>
        </w:rPr>
        <w:t> </w:t>
      </w:r>
      <w:r>
        <w:rPr/>
        <w:t>these</w:t>
      </w:r>
      <w:r>
        <w:rPr>
          <w:spacing w:val="-10"/>
        </w:rPr>
        <w:t> </w:t>
      </w:r>
      <w:r>
        <w:rPr/>
        <w:t>chronic</w:t>
      </w:r>
      <w:r>
        <w:rPr>
          <w:spacing w:val="-12"/>
        </w:rPr>
        <w:t> </w:t>
      </w:r>
      <w:r>
        <w:rPr/>
        <w:t>diseases, most of them (86.7%) were younger than 39 years, so the systemic inflammatory condition and related pathologies  are still  in  their incipient phase. This  result  suggests  that</w:t>
      </w:r>
      <w:r>
        <w:rPr>
          <w:spacing w:val="32"/>
        </w:rPr>
        <w:t> </w:t>
      </w:r>
      <w:r>
        <w:rPr/>
        <w:t>obesity</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4"/>
        <w:jc w:val="both"/>
      </w:pPr>
      <w:r>
        <w:rPr/>
        <w:t>promotes the systemic inflammatory condition, contributing to the development and progression of diseases such as diabetes mellitus and PD. Gocke </w:t>
      </w:r>
      <w:r>
        <w:rPr>
          <w:i/>
        </w:rPr>
        <w:t>et al</w:t>
      </w:r>
      <w:r>
        <w:rPr/>
        <w:t>. [45] found a relationship between periodontal disease and abdominal obesity, concluding that this can be caused by the pro-inflammatory pathways that both pathologies have in common. Also Khosravi </w:t>
      </w:r>
      <w:r>
        <w:rPr>
          <w:i/>
        </w:rPr>
        <w:t>et al. </w:t>
      </w:r>
      <w:r>
        <w:rPr/>
        <w:t>[46], report higher IL-6 concentrations in patients with obesity and DM2, additional</w:t>
      </w:r>
      <w:r>
        <w:rPr>
          <w:spacing w:val="-15"/>
        </w:rPr>
        <w:t> </w:t>
      </w:r>
      <w:r>
        <w:rPr/>
        <w:t>to</w:t>
      </w:r>
      <w:r>
        <w:rPr>
          <w:spacing w:val="-14"/>
        </w:rPr>
        <w:t> </w:t>
      </w:r>
      <w:r>
        <w:rPr/>
        <w:t>a</w:t>
      </w:r>
      <w:r>
        <w:rPr>
          <w:spacing w:val="-16"/>
        </w:rPr>
        <w:t> </w:t>
      </w:r>
      <w:r>
        <w:rPr/>
        <w:t>higher</w:t>
      </w:r>
      <w:r>
        <w:rPr>
          <w:spacing w:val="-16"/>
        </w:rPr>
        <w:t> </w:t>
      </w:r>
      <w:r>
        <w:rPr/>
        <w:t>risk</w:t>
      </w:r>
      <w:r>
        <w:rPr>
          <w:spacing w:val="-12"/>
        </w:rPr>
        <w:t> </w:t>
      </w:r>
      <w:r>
        <w:rPr/>
        <w:t>of</w:t>
      </w:r>
      <w:r>
        <w:rPr>
          <w:spacing w:val="-16"/>
        </w:rPr>
        <w:t> </w:t>
      </w:r>
      <w:r>
        <w:rPr/>
        <w:t>PD</w:t>
      </w:r>
      <w:r>
        <w:rPr>
          <w:spacing w:val="-15"/>
        </w:rPr>
        <w:t> </w:t>
      </w:r>
      <w:r>
        <w:rPr/>
        <w:t>than</w:t>
      </w:r>
      <w:r>
        <w:rPr>
          <w:spacing w:val="-15"/>
        </w:rPr>
        <w:t> </w:t>
      </w:r>
      <w:r>
        <w:rPr/>
        <w:t>in</w:t>
      </w:r>
      <w:r>
        <w:rPr>
          <w:spacing w:val="-14"/>
        </w:rPr>
        <w:t> </w:t>
      </w:r>
      <w:r>
        <w:rPr/>
        <w:t>those</w:t>
      </w:r>
      <w:r>
        <w:rPr>
          <w:spacing w:val="-15"/>
        </w:rPr>
        <w:t> </w:t>
      </w:r>
      <w:r>
        <w:rPr/>
        <w:t>without</w:t>
      </w:r>
      <w:r>
        <w:rPr>
          <w:spacing w:val="-14"/>
        </w:rPr>
        <w:t> </w:t>
      </w:r>
      <w:r>
        <w:rPr/>
        <w:t>DM2.</w:t>
      </w:r>
      <w:r>
        <w:rPr>
          <w:spacing w:val="-12"/>
        </w:rPr>
        <w:t> </w:t>
      </w:r>
      <w:r>
        <w:rPr>
          <w:spacing w:val="-3"/>
        </w:rPr>
        <w:t>It</w:t>
      </w:r>
      <w:r>
        <w:rPr>
          <w:spacing w:val="-14"/>
        </w:rPr>
        <w:t> </w:t>
      </w:r>
      <w:r>
        <w:rPr/>
        <w:t>is</w:t>
      </w:r>
      <w:r>
        <w:rPr>
          <w:spacing w:val="-12"/>
        </w:rPr>
        <w:t> </w:t>
      </w:r>
      <w:r>
        <w:rPr/>
        <w:t>currently</w:t>
      </w:r>
      <w:r>
        <w:rPr>
          <w:spacing w:val="-20"/>
        </w:rPr>
        <w:t> </w:t>
      </w:r>
      <w:r>
        <w:rPr/>
        <w:t>known</w:t>
      </w:r>
      <w:r>
        <w:rPr>
          <w:spacing w:val="-15"/>
        </w:rPr>
        <w:t> </w:t>
      </w:r>
      <w:r>
        <w:rPr/>
        <w:t>that</w:t>
      </w:r>
      <w:r>
        <w:rPr>
          <w:spacing w:val="-15"/>
        </w:rPr>
        <w:t> </w:t>
      </w:r>
      <w:r>
        <w:rPr/>
        <w:t>adipose tissue is an energy storage as well as an endocrine tissue, which produces a variety of adipokynes, including resistin, adiponectin, TNF-α, IL-6 and MCP-1[47]; an increase in the production of these adipokynes contributes to the physiopathology of insulin resistance and obesity.</w:t>
      </w:r>
    </w:p>
    <w:p>
      <w:pPr>
        <w:pStyle w:val="BodyText"/>
        <w:spacing w:line="480" w:lineRule="auto" w:before="10"/>
        <w:ind w:left="102" w:right="116"/>
        <w:jc w:val="both"/>
      </w:pPr>
      <w:r>
        <w:rPr/>
        <w:t>On the other hand, an important aspect to be considered in subclinical inflammation and the pathogeny of chronic diseases is the age of the individuals. </w:t>
      </w:r>
      <w:r>
        <w:rPr>
          <w:spacing w:val="-3"/>
        </w:rPr>
        <w:t>It </w:t>
      </w:r>
      <w:r>
        <w:rPr/>
        <w:t>has been observed that most diseases related with the age share inflammatory processes. In this research, by a regression model, we obtained that independently from gender, BMI and HDL-cholesterol, 39-60</w:t>
      </w:r>
      <w:r>
        <w:rPr>
          <w:spacing w:val="-39"/>
        </w:rPr>
        <w:t> </w:t>
      </w:r>
      <w:r>
        <w:rPr/>
        <w:t>year- old individuals with DM2 and PD had higher IL-6 concentrations than those with only PD. This result suggests that low-grade inflammation is an important risk factor in patients at higher age groups. According to recent research there is a relationship between low-grade inflammation and tissue ageing, as well as a great number of diseases related with age, such as cardiovascular diseases, DM2 and PD, among others [49]. As part of the deterioration of the</w:t>
      </w:r>
      <w:r>
        <w:rPr>
          <w:spacing w:val="-16"/>
        </w:rPr>
        <w:t> </w:t>
      </w:r>
      <w:r>
        <w:rPr/>
        <w:t>immune</w:t>
      </w:r>
      <w:r>
        <w:rPr>
          <w:spacing w:val="-16"/>
        </w:rPr>
        <w:t> </w:t>
      </w:r>
      <w:r>
        <w:rPr/>
        <w:t>system</w:t>
      </w:r>
      <w:r>
        <w:rPr>
          <w:spacing w:val="-16"/>
        </w:rPr>
        <w:t> </w:t>
      </w:r>
      <w:r>
        <w:rPr/>
        <w:t>related</w:t>
      </w:r>
      <w:r>
        <w:rPr>
          <w:spacing w:val="-16"/>
        </w:rPr>
        <w:t> </w:t>
      </w:r>
      <w:r>
        <w:rPr/>
        <w:t>with</w:t>
      </w:r>
      <w:r>
        <w:rPr>
          <w:spacing w:val="-15"/>
        </w:rPr>
        <w:t> </w:t>
      </w:r>
      <w:r>
        <w:rPr/>
        <w:t>the</w:t>
      </w:r>
      <w:r>
        <w:rPr>
          <w:spacing w:val="-14"/>
        </w:rPr>
        <w:t> </w:t>
      </w:r>
      <w:r>
        <w:rPr/>
        <w:t>age,</w:t>
      </w:r>
      <w:r>
        <w:rPr>
          <w:spacing w:val="-14"/>
        </w:rPr>
        <w:t> </w:t>
      </w:r>
      <w:r>
        <w:rPr/>
        <w:t>there</w:t>
      </w:r>
      <w:r>
        <w:rPr>
          <w:spacing w:val="-17"/>
        </w:rPr>
        <w:t> </w:t>
      </w:r>
      <w:r>
        <w:rPr/>
        <w:t>is</w:t>
      </w:r>
      <w:r>
        <w:rPr>
          <w:spacing w:val="-13"/>
        </w:rPr>
        <w:t> </w:t>
      </w:r>
      <w:r>
        <w:rPr/>
        <w:t>a</w:t>
      </w:r>
      <w:r>
        <w:rPr>
          <w:spacing w:val="-17"/>
        </w:rPr>
        <w:t> </w:t>
      </w:r>
      <w:r>
        <w:rPr/>
        <w:t>pro-inflammatory</w:t>
      </w:r>
      <w:r>
        <w:rPr>
          <w:spacing w:val="-18"/>
        </w:rPr>
        <w:t> </w:t>
      </w:r>
      <w:r>
        <w:rPr/>
        <w:t>chronic</w:t>
      </w:r>
      <w:r>
        <w:rPr>
          <w:spacing w:val="-12"/>
        </w:rPr>
        <w:t> </w:t>
      </w:r>
      <w:r>
        <w:rPr/>
        <w:t>condition</w:t>
      </w:r>
      <w:r>
        <w:rPr>
          <w:spacing w:val="-15"/>
        </w:rPr>
        <w:t> </w:t>
      </w:r>
      <w:r>
        <w:rPr/>
        <w:t>named “inflammaging”</w:t>
      </w:r>
      <w:r>
        <w:rPr>
          <w:spacing w:val="-9"/>
        </w:rPr>
        <w:t> </w:t>
      </w:r>
      <w:r>
        <w:rPr/>
        <w:t>[50],</w:t>
      </w:r>
      <w:r>
        <w:rPr>
          <w:spacing w:val="-9"/>
        </w:rPr>
        <w:t> </w:t>
      </w:r>
      <w:r>
        <w:rPr/>
        <w:t>one</w:t>
      </w:r>
      <w:r>
        <w:rPr>
          <w:spacing w:val="-10"/>
        </w:rPr>
        <w:t> </w:t>
      </w:r>
      <w:r>
        <w:rPr/>
        <w:t>of</w:t>
      </w:r>
      <w:r>
        <w:rPr>
          <w:spacing w:val="-9"/>
        </w:rPr>
        <w:t> </w:t>
      </w:r>
      <w:r>
        <w:rPr/>
        <w:t>the</w:t>
      </w:r>
      <w:r>
        <w:rPr>
          <w:spacing w:val="-9"/>
        </w:rPr>
        <w:t> </w:t>
      </w:r>
      <w:r>
        <w:rPr/>
        <w:t>most</w:t>
      </w:r>
      <w:r>
        <w:rPr>
          <w:spacing w:val="-8"/>
        </w:rPr>
        <w:t> </w:t>
      </w:r>
      <w:r>
        <w:rPr/>
        <w:t>important</w:t>
      </w:r>
      <w:r>
        <w:rPr>
          <w:spacing w:val="-8"/>
        </w:rPr>
        <w:t> </w:t>
      </w:r>
      <w:r>
        <w:rPr/>
        <w:t>characteristics</w:t>
      </w:r>
      <w:r>
        <w:rPr>
          <w:spacing w:val="-8"/>
        </w:rPr>
        <w:t> </w:t>
      </w:r>
      <w:r>
        <w:rPr/>
        <w:t>in</w:t>
      </w:r>
      <w:r>
        <w:rPr>
          <w:spacing w:val="-8"/>
        </w:rPr>
        <w:t> </w:t>
      </w:r>
      <w:r>
        <w:rPr/>
        <w:t>this</w:t>
      </w:r>
      <w:r>
        <w:rPr>
          <w:spacing w:val="-8"/>
        </w:rPr>
        <w:t> </w:t>
      </w:r>
      <w:r>
        <w:rPr/>
        <w:t>stage</w:t>
      </w:r>
      <w:r>
        <w:rPr>
          <w:spacing w:val="-7"/>
        </w:rPr>
        <w:t> </w:t>
      </w:r>
      <w:r>
        <w:rPr/>
        <w:t>is</w:t>
      </w:r>
      <w:r>
        <w:rPr>
          <w:spacing w:val="-8"/>
        </w:rPr>
        <w:t> </w:t>
      </w:r>
      <w:r>
        <w:rPr/>
        <w:t>the</w:t>
      </w:r>
      <w:r>
        <w:rPr>
          <w:spacing w:val="-9"/>
        </w:rPr>
        <w:t> </w:t>
      </w:r>
      <w:r>
        <w:rPr/>
        <w:t>high</w:t>
      </w:r>
      <w:r>
        <w:rPr>
          <w:spacing w:val="-9"/>
        </w:rPr>
        <w:t> </w:t>
      </w:r>
      <w:r>
        <w:rPr/>
        <w:t>levels of pro-inflammatory cytokine IL-6 [51]. The increase in the vulnerability to systemic inflammation as a result of age is due, mainly to an increased production of IL-6 by adipose tissue, according to Gómez </w:t>
      </w:r>
      <w:r>
        <w:rPr>
          <w:i/>
        </w:rPr>
        <w:t>et al.</w:t>
      </w:r>
      <w:r>
        <w:rPr>
          <w:i/>
          <w:spacing w:val="-6"/>
        </w:rPr>
        <w:t> </w:t>
      </w:r>
      <w:r>
        <w:rPr/>
        <w:t>[49]</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3"/>
        <w:jc w:val="both"/>
      </w:pPr>
      <w:r>
        <w:rPr/>
        <w:t>This research presents some limitations. </w:t>
      </w:r>
      <w:r>
        <w:rPr>
          <w:spacing w:val="-3"/>
        </w:rPr>
        <w:t>In </w:t>
      </w:r>
      <w:r>
        <w:rPr/>
        <w:t>first place, the cross-sectional design does not allow</w:t>
      </w:r>
      <w:r>
        <w:rPr>
          <w:spacing w:val="-9"/>
        </w:rPr>
        <w:t> </w:t>
      </w:r>
      <w:r>
        <w:rPr/>
        <w:t>to</w:t>
      </w:r>
      <w:r>
        <w:rPr>
          <w:spacing w:val="-8"/>
        </w:rPr>
        <w:t> </w:t>
      </w:r>
      <w:r>
        <w:rPr/>
        <w:t>infer</w:t>
      </w:r>
      <w:r>
        <w:rPr>
          <w:spacing w:val="-9"/>
        </w:rPr>
        <w:t> </w:t>
      </w:r>
      <w:r>
        <w:rPr/>
        <w:t>causality.</w:t>
      </w:r>
      <w:r>
        <w:rPr>
          <w:spacing w:val="-9"/>
        </w:rPr>
        <w:t> </w:t>
      </w:r>
      <w:r>
        <w:rPr/>
        <w:t>Secondly,</w:t>
      </w:r>
      <w:r>
        <w:rPr>
          <w:spacing w:val="-9"/>
        </w:rPr>
        <w:t> </w:t>
      </w:r>
      <w:r>
        <w:rPr/>
        <w:t>the</w:t>
      </w:r>
      <w:r>
        <w:rPr>
          <w:spacing w:val="-9"/>
        </w:rPr>
        <w:t> </w:t>
      </w:r>
      <w:r>
        <w:rPr/>
        <w:t>participants</w:t>
      </w:r>
      <w:r>
        <w:rPr>
          <w:spacing w:val="-9"/>
        </w:rPr>
        <w:t> </w:t>
      </w:r>
      <w:r>
        <w:rPr/>
        <w:t>in</w:t>
      </w:r>
      <w:r>
        <w:rPr>
          <w:spacing w:val="-8"/>
        </w:rPr>
        <w:t> </w:t>
      </w:r>
      <w:r>
        <w:rPr/>
        <w:t>the</w:t>
      </w:r>
      <w:r>
        <w:rPr>
          <w:spacing w:val="-9"/>
        </w:rPr>
        <w:t> </w:t>
      </w:r>
      <w:r>
        <w:rPr/>
        <w:t>DM2+PD</w:t>
      </w:r>
      <w:r>
        <w:rPr>
          <w:spacing w:val="-9"/>
        </w:rPr>
        <w:t> </w:t>
      </w:r>
      <w:r>
        <w:rPr/>
        <w:t>group</w:t>
      </w:r>
      <w:r>
        <w:rPr>
          <w:spacing w:val="-9"/>
        </w:rPr>
        <w:t> </w:t>
      </w:r>
      <w:r>
        <w:rPr/>
        <w:t>were</w:t>
      </w:r>
      <w:r>
        <w:rPr>
          <w:spacing w:val="-10"/>
        </w:rPr>
        <w:t> </w:t>
      </w:r>
      <w:r>
        <w:rPr/>
        <w:t>older</w:t>
      </w:r>
      <w:r>
        <w:rPr>
          <w:spacing w:val="-10"/>
        </w:rPr>
        <w:t> </w:t>
      </w:r>
      <w:r>
        <w:rPr/>
        <w:t>than</w:t>
      </w:r>
      <w:r>
        <w:rPr>
          <w:spacing w:val="-9"/>
        </w:rPr>
        <w:t> </w:t>
      </w:r>
      <w:r>
        <w:rPr/>
        <w:t>the ones</w:t>
      </w:r>
      <w:r>
        <w:rPr>
          <w:spacing w:val="-11"/>
        </w:rPr>
        <w:t> </w:t>
      </w:r>
      <w:r>
        <w:rPr/>
        <w:t>in</w:t>
      </w:r>
      <w:r>
        <w:rPr>
          <w:spacing w:val="-11"/>
        </w:rPr>
        <w:t> </w:t>
      </w:r>
      <w:r>
        <w:rPr/>
        <w:t>the</w:t>
      </w:r>
      <w:r>
        <w:rPr>
          <w:spacing w:val="-12"/>
        </w:rPr>
        <w:t> </w:t>
      </w:r>
      <w:r>
        <w:rPr/>
        <w:t>PD</w:t>
      </w:r>
      <w:r>
        <w:rPr>
          <w:spacing w:val="-12"/>
        </w:rPr>
        <w:t> </w:t>
      </w:r>
      <w:r>
        <w:rPr/>
        <w:t>alone</w:t>
      </w:r>
      <w:r>
        <w:rPr>
          <w:spacing w:val="-12"/>
        </w:rPr>
        <w:t> </w:t>
      </w:r>
      <w:r>
        <w:rPr/>
        <w:t>and</w:t>
      </w:r>
      <w:r>
        <w:rPr>
          <w:spacing w:val="-9"/>
        </w:rPr>
        <w:t> </w:t>
      </w:r>
      <w:r>
        <w:rPr/>
        <w:t>the</w:t>
      </w:r>
      <w:r>
        <w:rPr>
          <w:spacing w:val="-12"/>
        </w:rPr>
        <w:t> </w:t>
      </w:r>
      <w:r>
        <w:rPr/>
        <w:t>non-DM2-PD</w:t>
      </w:r>
      <w:r>
        <w:rPr>
          <w:spacing w:val="-9"/>
        </w:rPr>
        <w:t> </w:t>
      </w:r>
      <w:r>
        <w:rPr/>
        <w:t>groups;</w:t>
      </w:r>
      <w:r>
        <w:rPr>
          <w:spacing w:val="-9"/>
        </w:rPr>
        <w:t> </w:t>
      </w:r>
      <w:r>
        <w:rPr/>
        <w:t>and</w:t>
      </w:r>
      <w:r>
        <w:rPr>
          <w:spacing w:val="-11"/>
        </w:rPr>
        <w:t> </w:t>
      </w:r>
      <w:r>
        <w:rPr/>
        <w:t>in</w:t>
      </w:r>
      <w:r>
        <w:rPr>
          <w:spacing w:val="-11"/>
        </w:rPr>
        <w:t> </w:t>
      </w:r>
      <w:r>
        <w:rPr/>
        <w:t>relation</w:t>
      </w:r>
      <w:r>
        <w:rPr>
          <w:spacing w:val="-10"/>
        </w:rPr>
        <w:t> </w:t>
      </w:r>
      <w:r>
        <w:rPr/>
        <w:t>with</w:t>
      </w:r>
      <w:r>
        <w:rPr>
          <w:spacing w:val="-11"/>
        </w:rPr>
        <w:t> </w:t>
      </w:r>
      <w:r>
        <w:rPr/>
        <w:t>the</w:t>
      </w:r>
      <w:r>
        <w:rPr>
          <w:spacing w:val="-12"/>
        </w:rPr>
        <w:t> </w:t>
      </w:r>
      <w:r>
        <w:rPr/>
        <w:t>pro-inflammatory cytokine, it was expected that older individuals should have higher concentrations because of the periodontal condition, but no patients were found without any of the pathologies as in the patients with DM2 at the same age. Finally, currently there is no research evaluating saliva</w:t>
      </w:r>
      <w:r>
        <w:rPr>
          <w:spacing w:val="-7"/>
        </w:rPr>
        <w:t> </w:t>
      </w:r>
      <w:r>
        <w:rPr/>
        <w:t>IL-6</w:t>
      </w:r>
      <w:r>
        <w:rPr>
          <w:spacing w:val="-7"/>
        </w:rPr>
        <w:t> </w:t>
      </w:r>
      <w:r>
        <w:rPr/>
        <w:t>concentrations</w:t>
      </w:r>
      <w:r>
        <w:rPr>
          <w:spacing w:val="-8"/>
        </w:rPr>
        <w:t> </w:t>
      </w:r>
      <w:r>
        <w:rPr/>
        <w:t>in</w:t>
      </w:r>
      <w:r>
        <w:rPr>
          <w:spacing w:val="-8"/>
        </w:rPr>
        <w:t> </w:t>
      </w:r>
      <w:r>
        <w:rPr/>
        <w:t>the</w:t>
      </w:r>
      <w:r>
        <w:rPr>
          <w:spacing w:val="-9"/>
        </w:rPr>
        <w:t> </w:t>
      </w:r>
      <w:r>
        <w:rPr/>
        <w:t>Mexican</w:t>
      </w:r>
      <w:r>
        <w:rPr>
          <w:spacing w:val="-9"/>
        </w:rPr>
        <w:t> </w:t>
      </w:r>
      <w:r>
        <w:rPr/>
        <w:t>population,</w:t>
      </w:r>
      <w:r>
        <w:rPr>
          <w:spacing w:val="-8"/>
        </w:rPr>
        <w:t> </w:t>
      </w:r>
      <w:r>
        <w:rPr/>
        <w:t>which</w:t>
      </w:r>
      <w:r>
        <w:rPr>
          <w:spacing w:val="-9"/>
        </w:rPr>
        <w:t> </w:t>
      </w:r>
      <w:r>
        <w:rPr/>
        <w:t>made</w:t>
      </w:r>
      <w:r>
        <w:rPr>
          <w:spacing w:val="-10"/>
        </w:rPr>
        <w:t> </w:t>
      </w:r>
      <w:r>
        <w:rPr/>
        <w:t>it</w:t>
      </w:r>
      <w:r>
        <w:rPr>
          <w:spacing w:val="-8"/>
        </w:rPr>
        <w:t> </w:t>
      </w:r>
      <w:r>
        <w:rPr/>
        <w:t>difficult</w:t>
      </w:r>
      <w:r>
        <w:rPr>
          <w:spacing w:val="-8"/>
        </w:rPr>
        <w:t> </w:t>
      </w:r>
      <w:r>
        <w:rPr/>
        <w:t>to</w:t>
      </w:r>
      <w:r>
        <w:rPr>
          <w:spacing w:val="-8"/>
        </w:rPr>
        <w:t> </w:t>
      </w:r>
      <w:r>
        <w:rPr/>
        <w:t>compare</w:t>
      </w:r>
      <w:r>
        <w:rPr>
          <w:spacing w:val="-10"/>
        </w:rPr>
        <w:t> </w:t>
      </w:r>
      <w:r>
        <w:rPr/>
        <w:t>our results with those of other studies in</w:t>
      </w:r>
      <w:r>
        <w:rPr>
          <w:spacing w:val="-3"/>
        </w:rPr>
        <w:t> </w:t>
      </w:r>
      <w:r>
        <w:rPr/>
        <w:t>México.</w:t>
      </w:r>
    </w:p>
    <w:p>
      <w:pPr>
        <w:pStyle w:val="Heading3"/>
        <w:numPr>
          <w:ilvl w:val="2"/>
          <w:numId w:val="20"/>
        </w:numPr>
        <w:tabs>
          <w:tab w:pos="642" w:val="left" w:leader="none"/>
        </w:tabs>
        <w:spacing w:line="820" w:lineRule="atLeast" w:before="23" w:after="0"/>
        <w:ind w:left="102" w:right="7067" w:firstLine="0"/>
        <w:jc w:val="left"/>
      </w:pPr>
      <w:r>
        <w:rPr/>
        <w:t>Conclusiones Conclusions</w:t>
      </w:r>
    </w:p>
    <w:p>
      <w:pPr>
        <w:pStyle w:val="BodyText"/>
        <w:spacing w:before="6"/>
        <w:rPr>
          <w:b/>
          <w:sz w:val="23"/>
        </w:rPr>
      </w:pPr>
    </w:p>
    <w:p>
      <w:pPr>
        <w:pStyle w:val="BodyText"/>
        <w:spacing w:line="480" w:lineRule="auto"/>
        <w:ind w:left="102" w:right="118"/>
        <w:jc w:val="both"/>
      </w:pPr>
      <w:r>
        <w:rPr/>
        <w:t>IL-6 concentrations were higher in 39-60 years-old adults with DM2 and PD than in those presenting</w:t>
      </w:r>
      <w:r>
        <w:rPr>
          <w:spacing w:val="-11"/>
        </w:rPr>
        <w:t> </w:t>
      </w:r>
      <w:r>
        <w:rPr/>
        <w:t>only</w:t>
      </w:r>
      <w:r>
        <w:rPr>
          <w:spacing w:val="-13"/>
        </w:rPr>
        <w:t> </w:t>
      </w:r>
      <w:r>
        <w:rPr/>
        <w:t>PD</w:t>
      </w:r>
      <w:r>
        <w:rPr>
          <w:spacing w:val="-9"/>
        </w:rPr>
        <w:t> </w:t>
      </w:r>
      <w:r>
        <w:rPr/>
        <w:t>at</w:t>
      </w:r>
      <w:r>
        <w:rPr>
          <w:spacing w:val="-8"/>
        </w:rPr>
        <w:t> </w:t>
      </w:r>
      <w:r>
        <w:rPr/>
        <w:t>the</w:t>
      </w:r>
      <w:r>
        <w:rPr>
          <w:spacing w:val="-9"/>
        </w:rPr>
        <w:t> </w:t>
      </w:r>
      <w:r>
        <w:rPr/>
        <w:t>same</w:t>
      </w:r>
      <w:r>
        <w:rPr>
          <w:spacing w:val="-9"/>
        </w:rPr>
        <w:t> </w:t>
      </w:r>
      <w:r>
        <w:rPr/>
        <w:t>age</w:t>
      </w:r>
      <w:r>
        <w:rPr>
          <w:spacing w:val="-10"/>
        </w:rPr>
        <w:t> </w:t>
      </w:r>
      <w:r>
        <w:rPr/>
        <w:t>group.</w:t>
      </w:r>
      <w:r>
        <w:rPr>
          <w:spacing w:val="-9"/>
        </w:rPr>
        <w:t> </w:t>
      </w:r>
      <w:r>
        <w:rPr/>
        <w:t>These</w:t>
      </w:r>
      <w:r>
        <w:rPr>
          <w:spacing w:val="-9"/>
        </w:rPr>
        <w:t> </w:t>
      </w:r>
      <w:r>
        <w:rPr/>
        <w:t>results</w:t>
      </w:r>
      <w:r>
        <w:rPr>
          <w:spacing w:val="-8"/>
        </w:rPr>
        <w:t> </w:t>
      </w:r>
      <w:r>
        <w:rPr/>
        <w:t>suggest</w:t>
      </w:r>
      <w:r>
        <w:rPr>
          <w:spacing w:val="-8"/>
        </w:rPr>
        <w:t> </w:t>
      </w:r>
      <w:r>
        <w:rPr/>
        <w:t>a</w:t>
      </w:r>
      <w:r>
        <w:rPr>
          <w:spacing w:val="-10"/>
        </w:rPr>
        <w:t> </w:t>
      </w:r>
      <w:r>
        <w:rPr/>
        <w:t>relationship</w:t>
      </w:r>
      <w:r>
        <w:rPr>
          <w:spacing w:val="-8"/>
        </w:rPr>
        <w:t> </w:t>
      </w:r>
      <w:r>
        <w:rPr/>
        <w:t>between</w:t>
      </w:r>
      <w:r>
        <w:rPr>
          <w:spacing w:val="-9"/>
        </w:rPr>
        <w:t> </w:t>
      </w:r>
      <w:r>
        <w:rPr/>
        <w:t>DM2 and PD with chronic inflammatory</w:t>
      </w:r>
      <w:r>
        <w:rPr>
          <w:spacing w:val="-9"/>
        </w:rPr>
        <w:t> </w:t>
      </w:r>
      <w:r>
        <w:rPr/>
        <w:t>conditions.</w:t>
      </w:r>
    </w:p>
    <w:p>
      <w:pPr>
        <w:pStyle w:val="BodyText"/>
        <w:spacing w:line="480" w:lineRule="auto" w:before="10"/>
        <w:ind w:left="102" w:right="118"/>
        <w:jc w:val="both"/>
      </w:pPr>
      <w:r>
        <w:rPr/>
        <w:t>Nowadays there is no biological ideal marker that can be evaluated to detect periodontal disease, neither its progress, which could be helpful in the clinical practice; as periodontal disease can appear asymptomatically until an advanced stage. Furthermore, the method to determine inflammation markers in saliva has some advantages over other techniques because they are noninvasive. Finally, there is a huge need of more research to evaluate the IL-6 concentration in the evolution of both, DM2 and PD diseases.</w:t>
      </w:r>
    </w:p>
    <w:p>
      <w:pPr>
        <w:pStyle w:val="Heading3"/>
        <w:spacing w:before="15"/>
      </w:pPr>
      <w:r>
        <w:rPr/>
        <w:t>Abbreviations</w:t>
      </w:r>
    </w:p>
    <w:p>
      <w:pPr>
        <w:pStyle w:val="BodyText"/>
        <w:spacing w:before="6"/>
        <w:rPr>
          <w:b/>
          <w:sz w:val="23"/>
        </w:rPr>
      </w:pPr>
    </w:p>
    <w:p>
      <w:pPr>
        <w:pStyle w:val="BodyText"/>
        <w:spacing w:line="480" w:lineRule="auto"/>
        <w:ind w:left="102" w:right="116"/>
        <w:jc w:val="both"/>
      </w:pPr>
      <w:r>
        <w:rPr/>
        <w:t>PD: Periodontal disease; DM2: type 2 diabetes mellitus ; IL-6 interleukine-6; IL-1: interleukine-1; TNF-α : tumorous necrosis factor alpha;   ENSANUT: National Health   and</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7"/>
        <w:ind w:left="102" w:right="117"/>
        <w:jc w:val="both"/>
      </w:pPr>
      <w:r>
        <w:rPr/>
        <w:t>Nutrition Survey ; ISEM: Instituto de Salud del Estado de México ; CICMED: Centro de Investigación en Ciencias Médicas; UAEM: Universidad Autónoma del Estado de México ; BMI: body mass index; WHO: Word Health Organization; ELISA: Enzyme – Linked ImmunoSorbent Assay.</w:t>
      </w:r>
    </w:p>
    <w:p>
      <w:pPr>
        <w:pStyle w:val="BodyText"/>
      </w:pPr>
    </w:p>
    <w:p>
      <w:pPr>
        <w:pStyle w:val="BodyText"/>
        <w:spacing w:before="3"/>
        <w:rPr>
          <w:sz w:val="25"/>
        </w:rPr>
      </w:pPr>
    </w:p>
    <w:p>
      <w:pPr>
        <w:pStyle w:val="Heading3"/>
      </w:pPr>
      <w:r>
        <w:rPr/>
        <w:t>Competing interests.</w:t>
      </w:r>
    </w:p>
    <w:p>
      <w:pPr>
        <w:pStyle w:val="BodyText"/>
        <w:spacing w:before="6"/>
        <w:rPr>
          <w:b/>
          <w:sz w:val="23"/>
        </w:rPr>
      </w:pPr>
    </w:p>
    <w:p>
      <w:pPr>
        <w:pStyle w:val="BodyText"/>
        <w:ind w:left="102"/>
        <w:jc w:val="both"/>
      </w:pPr>
      <w:r>
        <w:rPr/>
        <w:t>The authors confirm that this article presents no competing interest.</w:t>
      </w:r>
    </w:p>
    <w:p>
      <w:pPr>
        <w:pStyle w:val="BodyText"/>
        <w:spacing w:before="5"/>
      </w:pPr>
    </w:p>
    <w:p>
      <w:pPr>
        <w:pStyle w:val="Heading3"/>
      </w:pPr>
      <w:r>
        <w:rPr/>
        <w:t>Author’s ´contributions</w:t>
      </w:r>
    </w:p>
    <w:p>
      <w:pPr>
        <w:pStyle w:val="BodyText"/>
        <w:rPr>
          <w:b/>
        </w:rPr>
      </w:pPr>
    </w:p>
    <w:p>
      <w:pPr>
        <w:pStyle w:val="BodyText"/>
        <w:rPr>
          <w:b/>
        </w:rPr>
      </w:pPr>
    </w:p>
    <w:p>
      <w:pPr>
        <w:pStyle w:val="BodyText"/>
        <w:spacing w:line="480" w:lineRule="auto"/>
        <w:ind w:left="102" w:right="117"/>
        <w:jc w:val="both"/>
      </w:pPr>
      <w:r>
        <w:rPr/>
        <w:t>PC, BH and DG carried out the conception and design of the study, the analysis and the interpretation of the data and drafted the discussion. MV, GV and JS drafted the article, and MF approved the final version to be published. All authors reviewed and approved the final version of the manuscript.</w:t>
      </w:r>
    </w:p>
    <w:p>
      <w:pPr>
        <w:pStyle w:val="BodyText"/>
        <w:spacing w:before="8"/>
        <w:rPr>
          <w:sz w:val="25"/>
        </w:rPr>
      </w:pPr>
    </w:p>
    <w:p>
      <w:pPr>
        <w:pStyle w:val="Heading3"/>
        <w:numPr>
          <w:ilvl w:val="2"/>
          <w:numId w:val="20"/>
        </w:numPr>
        <w:tabs>
          <w:tab w:pos="642" w:val="left" w:leader="none"/>
        </w:tabs>
        <w:spacing w:line="240" w:lineRule="auto" w:before="0" w:after="0"/>
        <w:ind w:left="642" w:right="0" w:hanging="540"/>
        <w:jc w:val="both"/>
      </w:pPr>
      <w:r>
        <w:rPr/>
        <w:t>Agradecimientos</w:t>
      </w:r>
    </w:p>
    <w:p>
      <w:pPr>
        <w:pStyle w:val="BodyText"/>
        <w:rPr>
          <w:b/>
        </w:rPr>
      </w:pPr>
    </w:p>
    <w:p>
      <w:pPr>
        <w:pStyle w:val="BodyText"/>
        <w:spacing w:before="9"/>
        <w:rPr>
          <w:b/>
          <w:sz w:val="23"/>
        </w:rPr>
      </w:pPr>
    </w:p>
    <w:p>
      <w:pPr>
        <w:spacing w:before="0"/>
        <w:ind w:left="102" w:right="0" w:firstLine="0"/>
        <w:jc w:val="both"/>
        <w:rPr>
          <w:b/>
          <w:sz w:val="24"/>
        </w:rPr>
      </w:pPr>
      <w:r>
        <w:rPr>
          <w:b/>
          <w:sz w:val="24"/>
        </w:rPr>
        <w:t>Acknowledgements</w:t>
      </w:r>
    </w:p>
    <w:p>
      <w:pPr>
        <w:pStyle w:val="BodyText"/>
        <w:spacing w:before="6"/>
        <w:rPr>
          <w:b/>
          <w:sz w:val="23"/>
        </w:rPr>
      </w:pPr>
    </w:p>
    <w:p>
      <w:pPr>
        <w:pStyle w:val="BodyText"/>
        <w:spacing w:line="480" w:lineRule="auto"/>
        <w:ind w:left="102" w:right="119"/>
        <w:jc w:val="both"/>
      </w:pPr>
      <w:r>
        <w:rPr/>
        <w:t>This work was funded by UAEM. This is part of DGGL master’s dissertation, supported by the National Council of Science and Technology (CONACyT).</w:t>
      </w:r>
    </w:p>
    <w:p>
      <w:pPr>
        <w:pStyle w:val="BodyText"/>
        <w:spacing w:line="480" w:lineRule="auto" w:before="10"/>
        <w:ind w:left="102" w:right="115"/>
        <w:jc w:val="both"/>
      </w:pPr>
      <w:r>
        <w:rPr/>
        <w:t>The</w:t>
      </w:r>
      <w:r>
        <w:rPr>
          <w:spacing w:val="-15"/>
        </w:rPr>
        <w:t> </w:t>
      </w:r>
      <w:r>
        <w:rPr/>
        <w:t>authors</w:t>
      </w:r>
      <w:r>
        <w:rPr>
          <w:spacing w:val="-13"/>
        </w:rPr>
        <w:t> </w:t>
      </w:r>
      <w:r>
        <w:rPr/>
        <w:t>wish</w:t>
      </w:r>
      <w:r>
        <w:rPr>
          <w:spacing w:val="-13"/>
        </w:rPr>
        <w:t> </w:t>
      </w:r>
      <w:r>
        <w:rPr/>
        <w:t>to</w:t>
      </w:r>
      <w:r>
        <w:rPr>
          <w:spacing w:val="-13"/>
        </w:rPr>
        <w:t> </w:t>
      </w:r>
      <w:r>
        <w:rPr/>
        <w:t>thank</w:t>
      </w:r>
      <w:r>
        <w:rPr>
          <w:spacing w:val="-14"/>
        </w:rPr>
        <w:t> </w:t>
      </w:r>
      <w:r>
        <w:rPr/>
        <w:t>Q.F.B</w:t>
      </w:r>
      <w:r>
        <w:rPr>
          <w:spacing w:val="-13"/>
        </w:rPr>
        <w:t> </w:t>
      </w:r>
      <w:r>
        <w:rPr/>
        <w:t>Alicia</w:t>
      </w:r>
      <w:r>
        <w:rPr>
          <w:spacing w:val="-12"/>
        </w:rPr>
        <w:t> </w:t>
      </w:r>
      <w:r>
        <w:rPr/>
        <w:t>Lucero</w:t>
      </w:r>
      <w:r>
        <w:rPr>
          <w:spacing w:val="-14"/>
        </w:rPr>
        <w:t> </w:t>
      </w:r>
      <w:r>
        <w:rPr/>
        <w:t>Peña</w:t>
      </w:r>
      <w:r>
        <w:rPr>
          <w:spacing w:val="-14"/>
        </w:rPr>
        <w:t> </w:t>
      </w:r>
      <w:r>
        <w:rPr/>
        <w:t>Martínez,</w:t>
      </w:r>
      <w:r>
        <w:rPr>
          <w:spacing w:val="-13"/>
        </w:rPr>
        <w:t> </w:t>
      </w:r>
      <w:r>
        <w:rPr/>
        <w:t>responsible</w:t>
      </w:r>
      <w:r>
        <w:rPr>
          <w:spacing w:val="-14"/>
        </w:rPr>
        <w:t> </w:t>
      </w:r>
      <w:r>
        <w:rPr/>
        <w:t>of</w:t>
      </w:r>
      <w:r>
        <w:rPr>
          <w:spacing w:val="-14"/>
        </w:rPr>
        <w:t> </w:t>
      </w:r>
      <w:r>
        <w:rPr/>
        <w:t>the</w:t>
      </w:r>
      <w:r>
        <w:rPr>
          <w:spacing w:val="-12"/>
        </w:rPr>
        <w:t> </w:t>
      </w:r>
      <w:r>
        <w:rPr/>
        <w:t>Laboratorio de Análisis Bioquímico Clinico del CICMED-UAEM and to L.N. María Vianney Ortiz Pacheco responsible of the nutrition area in</w:t>
      </w:r>
      <w:r>
        <w:rPr>
          <w:spacing w:val="-10"/>
        </w:rPr>
        <w:t> </w:t>
      </w:r>
      <w:r>
        <w:rPr/>
        <w:t>CICMED-UAEM.</w:t>
      </w:r>
    </w:p>
    <w:p>
      <w:pPr>
        <w:pStyle w:val="Heading3"/>
        <w:spacing w:before="15"/>
      </w:pPr>
      <w:r>
        <w:rPr/>
        <w:t>Authors´ details</w:t>
      </w:r>
    </w:p>
    <w:p>
      <w:pPr>
        <w:pStyle w:val="BodyText"/>
        <w:spacing w:before="2"/>
        <w:rPr>
          <w:b/>
          <w:sz w:val="22"/>
        </w:rPr>
      </w:pPr>
    </w:p>
    <w:p>
      <w:pPr>
        <w:pStyle w:val="BodyText"/>
        <w:spacing w:line="465" w:lineRule="auto" w:before="1"/>
        <w:ind w:left="102" w:right="119"/>
        <w:jc w:val="both"/>
      </w:pPr>
      <w:r>
        <w:rPr>
          <w:position w:val="9"/>
          <w:sz w:val="16"/>
        </w:rPr>
        <w:t>1</w:t>
      </w:r>
      <w:r>
        <w:rPr>
          <w:spacing w:val="-4"/>
          <w:position w:val="9"/>
          <w:sz w:val="16"/>
        </w:rPr>
        <w:t> </w:t>
      </w:r>
      <w:r>
        <w:rPr/>
        <w:t>Master</w:t>
      </w:r>
      <w:r>
        <w:rPr>
          <w:spacing w:val="-11"/>
        </w:rPr>
        <w:t> </w:t>
      </w:r>
      <w:r>
        <w:rPr/>
        <w:t>Degree</w:t>
      </w:r>
      <w:r>
        <w:rPr>
          <w:spacing w:val="-11"/>
        </w:rPr>
        <w:t> </w:t>
      </w:r>
      <w:r>
        <w:rPr/>
        <w:t>in</w:t>
      </w:r>
      <w:r>
        <w:rPr>
          <w:spacing w:val="-9"/>
        </w:rPr>
        <w:t> </w:t>
      </w:r>
      <w:r>
        <w:rPr/>
        <w:t>Health</w:t>
      </w:r>
      <w:r>
        <w:rPr>
          <w:spacing w:val="-10"/>
        </w:rPr>
        <w:t> </w:t>
      </w:r>
      <w:r>
        <w:rPr/>
        <w:t>Science,</w:t>
      </w:r>
      <w:r>
        <w:rPr>
          <w:spacing w:val="-10"/>
        </w:rPr>
        <w:t> </w:t>
      </w:r>
      <w:r>
        <w:rPr/>
        <w:t>Facultad</w:t>
      </w:r>
      <w:r>
        <w:rPr>
          <w:spacing w:val="-10"/>
        </w:rPr>
        <w:t> </w:t>
      </w:r>
      <w:r>
        <w:rPr/>
        <w:t>de</w:t>
      </w:r>
      <w:r>
        <w:rPr>
          <w:spacing w:val="-11"/>
        </w:rPr>
        <w:t> </w:t>
      </w:r>
      <w:r>
        <w:rPr/>
        <w:t>Medicina,</w:t>
      </w:r>
      <w:r>
        <w:rPr>
          <w:spacing w:val="-10"/>
        </w:rPr>
        <w:t> </w:t>
      </w:r>
      <w:r>
        <w:rPr/>
        <w:t>Universidad</w:t>
      </w:r>
      <w:r>
        <w:rPr>
          <w:spacing w:val="-7"/>
        </w:rPr>
        <w:t> </w:t>
      </w:r>
      <w:r>
        <w:rPr/>
        <w:t>Autónoma</w:t>
      </w:r>
      <w:r>
        <w:rPr>
          <w:spacing w:val="-10"/>
        </w:rPr>
        <w:t> </w:t>
      </w:r>
      <w:r>
        <w:rPr/>
        <w:t>del</w:t>
      </w:r>
      <w:r>
        <w:rPr>
          <w:spacing w:val="-9"/>
        </w:rPr>
        <w:t> </w:t>
      </w:r>
      <w:r>
        <w:rPr/>
        <w:t>Estado de</w:t>
      </w:r>
      <w:r>
        <w:rPr>
          <w:spacing w:val="-15"/>
        </w:rPr>
        <w:t> </w:t>
      </w:r>
      <w:r>
        <w:rPr/>
        <w:t>México.</w:t>
      </w:r>
      <w:r>
        <w:rPr>
          <w:position w:val="9"/>
          <w:sz w:val="16"/>
        </w:rPr>
        <w:t>2</w:t>
      </w:r>
      <w:r>
        <w:rPr>
          <w:spacing w:val="-9"/>
          <w:position w:val="9"/>
          <w:sz w:val="16"/>
        </w:rPr>
        <w:t> </w:t>
      </w:r>
      <w:r>
        <w:rPr/>
        <w:t>Centro</w:t>
      </w:r>
      <w:r>
        <w:rPr>
          <w:spacing w:val="-15"/>
        </w:rPr>
        <w:t> </w:t>
      </w:r>
      <w:r>
        <w:rPr/>
        <w:t>de</w:t>
      </w:r>
      <w:r>
        <w:rPr>
          <w:spacing w:val="-13"/>
        </w:rPr>
        <w:t> </w:t>
      </w:r>
      <w:r>
        <w:rPr/>
        <w:t>Investigación</w:t>
      </w:r>
      <w:r>
        <w:rPr>
          <w:spacing w:val="-14"/>
        </w:rPr>
        <w:t> </w:t>
      </w:r>
      <w:r>
        <w:rPr/>
        <w:t>en</w:t>
      </w:r>
      <w:r>
        <w:rPr>
          <w:spacing w:val="-14"/>
        </w:rPr>
        <w:t> </w:t>
      </w:r>
      <w:r>
        <w:rPr/>
        <w:t>Ciencias</w:t>
      </w:r>
      <w:r>
        <w:rPr>
          <w:spacing w:val="-12"/>
        </w:rPr>
        <w:t> </w:t>
      </w:r>
      <w:r>
        <w:rPr/>
        <w:t>Médicas,</w:t>
      </w:r>
      <w:r>
        <w:rPr>
          <w:spacing w:val="-14"/>
        </w:rPr>
        <w:t> </w:t>
      </w:r>
      <w:r>
        <w:rPr/>
        <w:t>Universidad</w:t>
      </w:r>
      <w:r>
        <w:rPr>
          <w:spacing w:val="-14"/>
        </w:rPr>
        <w:t> </w:t>
      </w:r>
      <w:r>
        <w:rPr/>
        <w:t>Autónoma</w:t>
      </w:r>
      <w:r>
        <w:rPr>
          <w:spacing w:val="-15"/>
        </w:rPr>
        <w:t> </w:t>
      </w:r>
      <w:r>
        <w:rPr/>
        <w:t>del</w:t>
      </w:r>
      <w:r>
        <w:rPr>
          <w:spacing w:val="-14"/>
        </w:rPr>
        <w:t> </w:t>
      </w:r>
      <w:r>
        <w:rPr/>
        <w:t>Estado</w:t>
      </w:r>
    </w:p>
    <w:p>
      <w:pPr>
        <w:spacing w:after="0" w:line="465" w:lineRule="auto"/>
        <w:jc w:val="both"/>
        <w:sectPr>
          <w:pgSz w:w="12240" w:h="15840"/>
          <w:pgMar w:header="731" w:footer="0" w:top="960" w:bottom="280" w:left="1600" w:right="1580"/>
        </w:sectPr>
      </w:pPr>
    </w:p>
    <w:p>
      <w:pPr>
        <w:pStyle w:val="BodyText"/>
        <w:spacing w:before="7"/>
        <w:rPr>
          <w:sz w:val="29"/>
        </w:rPr>
      </w:pPr>
    </w:p>
    <w:p>
      <w:pPr>
        <w:pStyle w:val="BodyText"/>
        <w:spacing w:line="480" w:lineRule="auto" w:before="81"/>
        <w:ind w:left="102" w:right="120"/>
        <w:jc w:val="both"/>
      </w:pPr>
      <w:r>
        <w:rPr/>
        <w:t>de México.</w:t>
      </w:r>
      <w:r>
        <w:rPr>
          <w:position w:val="9"/>
          <w:sz w:val="16"/>
        </w:rPr>
        <w:t>3 </w:t>
      </w:r>
      <w:r>
        <w:rPr/>
        <w:t>Institute for Health Metrics and Evaluation, Washington University.</w:t>
      </w:r>
      <w:r>
        <w:rPr>
          <w:position w:val="9"/>
          <w:sz w:val="16"/>
        </w:rPr>
        <w:t>4 </w:t>
      </w:r>
      <w:r>
        <w:rPr/>
        <w:t>Facultad de Química, Universidad Autónoma del Estado de México.</w:t>
      </w:r>
    </w:p>
    <w:p>
      <w:pPr>
        <w:pStyle w:val="Heading3"/>
        <w:numPr>
          <w:ilvl w:val="2"/>
          <w:numId w:val="20"/>
        </w:numPr>
        <w:tabs>
          <w:tab w:pos="762" w:val="left" w:leader="none"/>
        </w:tabs>
        <w:spacing w:line="830" w:lineRule="atLeast" w:before="13" w:after="0"/>
        <w:ind w:left="102" w:right="5610" w:firstLine="0"/>
        <w:jc w:val="left"/>
      </w:pPr>
      <w:r>
        <w:rPr/>
        <w:t>Referencias</w:t>
      </w:r>
      <w:r>
        <w:rPr>
          <w:spacing w:val="-5"/>
        </w:rPr>
        <w:t> </w:t>
      </w:r>
      <w:r>
        <w:rPr/>
        <w:t>Bibliográficas References</w:t>
      </w:r>
    </w:p>
    <w:p>
      <w:pPr>
        <w:pStyle w:val="BodyText"/>
        <w:spacing w:before="6"/>
        <w:rPr>
          <w:b/>
          <w:sz w:val="23"/>
        </w:rPr>
      </w:pPr>
    </w:p>
    <w:p>
      <w:pPr>
        <w:pStyle w:val="ListParagraph"/>
        <w:numPr>
          <w:ilvl w:val="0"/>
          <w:numId w:val="21"/>
        </w:numPr>
        <w:tabs>
          <w:tab w:pos="340" w:val="left" w:leader="none"/>
        </w:tabs>
        <w:spacing w:line="480" w:lineRule="auto" w:before="0" w:after="0"/>
        <w:ind w:left="102" w:right="118" w:firstLine="0"/>
        <w:jc w:val="both"/>
        <w:rPr>
          <w:sz w:val="24"/>
        </w:rPr>
      </w:pPr>
      <w:r>
        <w:rPr>
          <w:sz w:val="24"/>
        </w:rPr>
        <w:t>Barnes</w:t>
      </w:r>
      <w:r>
        <w:rPr>
          <w:spacing w:val="-4"/>
          <w:sz w:val="24"/>
        </w:rPr>
        <w:t> </w:t>
      </w:r>
      <w:r>
        <w:rPr>
          <w:sz w:val="24"/>
        </w:rPr>
        <w:t>VM,</w:t>
      </w:r>
      <w:r>
        <w:rPr>
          <w:spacing w:val="-4"/>
          <w:sz w:val="24"/>
        </w:rPr>
        <w:t> </w:t>
      </w:r>
      <w:r>
        <w:rPr>
          <w:sz w:val="24"/>
        </w:rPr>
        <w:t>Kennedy</w:t>
      </w:r>
      <w:r>
        <w:rPr>
          <w:spacing w:val="-6"/>
          <w:sz w:val="24"/>
        </w:rPr>
        <w:t> </w:t>
      </w:r>
      <w:r>
        <w:rPr>
          <w:sz w:val="24"/>
        </w:rPr>
        <w:t>AD</w:t>
      </w:r>
      <w:r>
        <w:rPr>
          <w:spacing w:val="-5"/>
          <w:sz w:val="24"/>
        </w:rPr>
        <w:t> </w:t>
      </w:r>
      <w:r>
        <w:rPr>
          <w:sz w:val="24"/>
        </w:rPr>
        <w:t>,</w:t>
      </w:r>
      <w:r>
        <w:rPr>
          <w:spacing w:val="-4"/>
          <w:sz w:val="24"/>
        </w:rPr>
        <w:t> </w:t>
      </w:r>
      <w:r>
        <w:rPr>
          <w:sz w:val="24"/>
        </w:rPr>
        <w:t>Panagakos</w:t>
      </w:r>
      <w:r>
        <w:rPr>
          <w:spacing w:val="-4"/>
          <w:sz w:val="24"/>
        </w:rPr>
        <w:t> </w:t>
      </w:r>
      <w:r>
        <w:rPr>
          <w:sz w:val="24"/>
        </w:rPr>
        <w:t>F,</w:t>
      </w:r>
      <w:r>
        <w:rPr>
          <w:spacing w:val="-4"/>
          <w:sz w:val="24"/>
        </w:rPr>
        <w:t> </w:t>
      </w:r>
      <w:r>
        <w:rPr>
          <w:sz w:val="24"/>
        </w:rPr>
        <w:t>Devizio</w:t>
      </w:r>
      <w:r>
        <w:rPr>
          <w:spacing w:val="-4"/>
          <w:sz w:val="24"/>
        </w:rPr>
        <w:t> </w:t>
      </w:r>
      <w:r>
        <w:rPr>
          <w:sz w:val="24"/>
        </w:rPr>
        <w:t>W,</w:t>
      </w:r>
      <w:r>
        <w:rPr>
          <w:spacing w:val="-6"/>
          <w:sz w:val="24"/>
        </w:rPr>
        <w:t> </w:t>
      </w:r>
      <w:r>
        <w:rPr>
          <w:sz w:val="24"/>
        </w:rPr>
        <w:t>Trivedi</w:t>
      </w:r>
      <w:r>
        <w:rPr>
          <w:spacing w:val="-4"/>
          <w:sz w:val="24"/>
        </w:rPr>
        <w:t> </w:t>
      </w:r>
      <w:r>
        <w:rPr>
          <w:sz w:val="24"/>
        </w:rPr>
        <w:t>HM,</w:t>
      </w:r>
      <w:r>
        <w:rPr>
          <w:spacing w:val="-4"/>
          <w:sz w:val="24"/>
        </w:rPr>
        <w:t> </w:t>
      </w:r>
      <w:r>
        <w:rPr>
          <w:sz w:val="24"/>
        </w:rPr>
        <w:t>et</w:t>
      </w:r>
      <w:r>
        <w:rPr>
          <w:spacing w:val="-6"/>
          <w:sz w:val="24"/>
        </w:rPr>
        <w:t> </w:t>
      </w:r>
      <w:r>
        <w:rPr>
          <w:sz w:val="24"/>
        </w:rPr>
        <w:t>al.</w:t>
      </w:r>
      <w:r>
        <w:rPr>
          <w:spacing w:val="-6"/>
          <w:sz w:val="24"/>
        </w:rPr>
        <w:t> </w:t>
      </w:r>
      <w:r>
        <w:rPr>
          <w:sz w:val="24"/>
        </w:rPr>
        <w:t>Global</w:t>
      </w:r>
      <w:r>
        <w:rPr>
          <w:spacing w:val="-4"/>
          <w:sz w:val="24"/>
        </w:rPr>
        <w:t> </w:t>
      </w:r>
      <w:r>
        <w:rPr>
          <w:sz w:val="24"/>
        </w:rPr>
        <w:t>metabolic analysis of human saliva and plasma from healthy and diabetic subjects, with and without periodontal disease. Plos ONE. 2014; 9 (8):</w:t>
      </w:r>
      <w:r>
        <w:rPr>
          <w:spacing w:val="-6"/>
          <w:sz w:val="24"/>
        </w:rPr>
        <w:t> </w:t>
      </w:r>
      <w:r>
        <w:rPr>
          <w:sz w:val="24"/>
        </w:rPr>
        <w:t>1-8.</w:t>
      </w:r>
    </w:p>
    <w:p>
      <w:pPr>
        <w:pStyle w:val="ListParagraph"/>
        <w:numPr>
          <w:ilvl w:val="0"/>
          <w:numId w:val="21"/>
        </w:numPr>
        <w:tabs>
          <w:tab w:pos="362" w:val="left" w:leader="none"/>
        </w:tabs>
        <w:spacing w:line="480" w:lineRule="auto" w:before="10" w:after="0"/>
        <w:ind w:left="102" w:right="119" w:firstLine="0"/>
        <w:jc w:val="both"/>
        <w:rPr>
          <w:sz w:val="24"/>
        </w:rPr>
      </w:pPr>
      <w:r>
        <w:rPr>
          <w:sz w:val="24"/>
        </w:rPr>
        <w:t>Kuo LC, Polson AM, Kang T. Associations between periodontal diseases and systemic diseases: a review of the inter-relationships and interactions with diabetes, respiratory diseases, cardiovascular diseases and osteoporosis. Public Health. 2008;</w:t>
      </w:r>
      <w:r>
        <w:rPr>
          <w:spacing w:val="-11"/>
          <w:sz w:val="24"/>
        </w:rPr>
        <w:t> </w:t>
      </w:r>
      <w:r>
        <w:rPr>
          <w:sz w:val="24"/>
        </w:rPr>
        <w:t>122(4):417-33.</w:t>
      </w:r>
    </w:p>
    <w:p>
      <w:pPr>
        <w:pStyle w:val="ListParagraph"/>
        <w:numPr>
          <w:ilvl w:val="0"/>
          <w:numId w:val="21"/>
        </w:numPr>
        <w:tabs>
          <w:tab w:pos="343" w:val="left" w:leader="none"/>
        </w:tabs>
        <w:spacing w:line="240" w:lineRule="auto" w:before="10" w:after="0"/>
        <w:ind w:left="342" w:right="0" w:hanging="240"/>
        <w:jc w:val="both"/>
        <w:rPr>
          <w:sz w:val="24"/>
        </w:rPr>
      </w:pPr>
      <w:r>
        <w:rPr>
          <w:sz w:val="24"/>
        </w:rPr>
        <w:t>Nurdan O. Advances in periodontal disease markers. Clin Chim Acta. 2004;</w:t>
      </w:r>
      <w:r>
        <w:rPr>
          <w:spacing w:val="-9"/>
          <w:sz w:val="24"/>
        </w:rPr>
        <w:t> </w:t>
      </w:r>
      <w:r>
        <w:rPr>
          <w:sz w:val="24"/>
        </w:rPr>
        <w:t>334:1-16.</w:t>
      </w:r>
    </w:p>
    <w:p>
      <w:pPr>
        <w:pStyle w:val="BodyText"/>
      </w:pPr>
    </w:p>
    <w:p>
      <w:pPr>
        <w:pStyle w:val="ListParagraph"/>
        <w:numPr>
          <w:ilvl w:val="0"/>
          <w:numId w:val="21"/>
        </w:numPr>
        <w:tabs>
          <w:tab w:pos="345" w:val="left" w:leader="none"/>
        </w:tabs>
        <w:spacing w:line="480" w:lineRule="auto" w:before="0" w:after="0"/>
        <w:ind w:left="102" w:right="124" w:firstLine="0"/>
        <w:jc w:val="both"/>
        <w:rPr>
          <w:sz w:val="24"/>
        </w:rPr>
      </w:pPr>
      <w:r>
        <w:rPr>
          <w:sz w:val="24"/>
        </w:rPr>
        <w:t>Zhang L, Henson BS, Camargo PM, Wong DT. The clinical value of salivary biomarkers for periodontal disease. Periodontol 2000. 2009; 51:</w:t>
      </w:r>
      <w:r>
        <w:rPr>
          <w:spacing w:val="-6"/>
          <w:sz w:val="24"/>
        </w:rPr>
        <w:t> </w:t>
      </w:r>
      <w:r>
        <w:rPr>
          <w:sz w:val="24"/>
        </w:rPr>
        <w:t>29-37.</w:t>
      </w:r>
    </w:p>
    <w:p>
      <w:pPr>
        <w:pStyle w:val="ListParagraph"/>
        <w:numPr>
          <w:ilvl w:val="0"/>
          <w:numId w:val="21"/>
        </w:numPr>
        <w:tabs>
          <w:tab w:pos="364" w:val="left" w:leader="none"/>
        </w:tabs>
        <w:spacing w:line="480" w:lineRule="auto" w:before="10" w:after="0"/>
        <w:ind w:left="102" w:right="119" w:firstLine="0"/>
        <w:jc w:val="both"/>
        <w:rPr>
          <w:sz w:val="24"/>
        </w:rPr>
      </w:pPr>
      <w:r>
        <w:rPr>
          <w:sz w:val="24"/>
        </w:rPr>
        <w:t>Kaufman E, Lamster IB. Analysis of saliva for periodontal diagnosis. A review. J Clin Periodontol. 2000; 27:</w:t>
      </w:r>
      <w:r>
        <w:rPr>
          <w:spacing w:val="-5"/>
          <w:sz w:val="24"/>
        </w:rPr>
        <w:t> </w:t>
      </w:r>
      <w:r>
        <w:rPr>
          <w:sz w:val="24"/>
        </w:rPr>
        <w:t>453.</w:t>
      </w:r>
    </w:p>
    <w:p>
      <w:pPr>
        <w:pStyle w:val="ListParagraph"/>
        <w:numPr>
          <w:ilvl w:val="0"/>
          <w:numId w:val="21"/>
        </w:numPr>
        <w:tabs>
          <w:tab w:pos="357" w:val="left" w:leader="none"/>
        </w:tabs>
        <w:spacing w:line="480" w:lineRule="auto" w:before="10" w:after="0"/>
        <w:ind w:left="102" w:right="115" w:firstLine="0"/>
        <w:jc w:val="both"/>
        <w:rPr>
          <w:sz w:val="24"/>
        </w:rPr>
      </w:pPr>
      <w:r>
        <w:rPr>
          <w:sz w:val="24"/>
        </w:rPr>
        <w:t>Giannobile WV, Beikler T, Kinney JS, Ramseier CA, Morelli T, Wong DT. Saliva as a diagnostic tool for periodontal disease: current state and future directions. Periodontol</w:t>
      </w:r>
      <w:r>
        <w:rPr>
          <w:spacing w:val="-30"/>
          <w:sz w:val="24"/>
        </w:rPr>
        <w:t> </w:t>
      </w:r>
      <w:r>
        <w:rPr>
          <w:sz w:val="24"/>
        </w:rPr>
        <w:t>2000. 2009; 50:</w:t>
      </w:r>
      <w:r>
        <w:rPr>
          <w:spacing w:val="-1"/>
          <w:sz w:val="24"/>
        </w:rPr>
        <w:t> </w:t>
      </w:r>
      <w:r>
        <w:rPr>
          <w:sz w:val="24"/>
        </w:rPr>
        <w:t>52-64.</w:t>
      </w:r>
    </w:p>
    <w:p>
      <w:pPr>
        <w:pStyle w:val="ListParagraph"/>
        <w:numPr>
          <w:ilvl w:val="0"/>
          <w:numId w:val="21"/>
        </w:numPr>
        <w:tabs>
          <w:tab w:pos="407" w:val="left" w:leader="none"/>
        </w:tabs>
        <w:spacing w:line="480" w:lineRule="auto" w:before="10" w:after="0"/>
        <w:ind w:left="102" w:right="117" w:firstLine="0"/>
        <w:jc w:val="both"/>
        <w:rPr>
          <w:sz w:val="24"/>
        </w:rPr>
      </w:pPr>
      <w:r>
        <w:rPr>
          <w:sz w:val="24"/>
        </w:rPr>
        <w:t>Palm F, Lahdentausta L, Sorsa T, Tervahartiala T, Gokel P, et al. Biomarkers of periodontitis</w:t>
      </w:r>
      <w:r>
        <w:rPr>
          <w:spacing w:val="-16"/>
          <w:sz w:val="24"/>
        </w:rPr>
        <w:t> </w:t>
      </w:r>
      <w:r>
        <w:rPr>
          <w:sz w:val="24"/>
        </w:rPr>
        <w:t>and</w:t>
      </w:r>
      <w:r>
        <w:rPr>
          <w:spacing w:val="-16"/>
          <w:sz w:val="24"/>
        </w:rPr>
        <w:t> </w:t>
      </w:r>
      <w:r>
        <w:rPr>
          <w:sz w:val="24"/>
        </w:rPr>
        <w:t>inflammation</w:t>
      </w:r>
      <w:r>
        <w:rPr>
          <w:spacing w:val="-15"/>
          <w:sz w:val="24"/>
        </w:rPr>
        <w:t> </w:t>
      </w:r>
      <w:r>
        <w:rPr>
          <w:sz w:val="24"/>
        </w:rPr>
        <w:t>in</w:t>
      </w:r>
      <w:r>
        <w:rPr>
          <w:spacing w:val="-15"/>
          <w:sz w:val="24"/>
        </w:rPr>
        <w:t> </w:t>
      </w:r>
      <w:r>
        <w:rPr>
          <w:sz w:val="24"/>
        </w:rPr>
        <w:t>ischemic</w:t>
      </w:r>
      <w:r>
        <w:rPr>
          <w:spacing w:val="-17"/>
          <w:sz w:val="24"/>
        </w:rPr>
        <w:t> </w:t>
      </w:r>
      <w:r>
        <w:rPr>
          <w:sz w:val="24"/>
        </w:rPr>
        <w:t>stroke:</w:t>
      </w:r>
      <w:r>
        <w:rPr>
          <w:spacing w:val="-15"/>
          <w:sz w:val="24"/>
        </w:rPr>
        <w:t> </w:t>
      </w:r>
      <w:r>
        <w:rPr>
          <w:sz w:val="24"/>
        </w:rPr>
        <w:t>A</w:t>
      </w:r>
      <w:r>
        <w:rPr>
          <w:spacing w:val="-16"/>
          <w:sz w:val="24"/>
        </w:rPr>
        <w:t> </w:t>
      </w:r>
      <w:r>
        <w:rPr>
          <w:sz w:val="24"/>
        </w:rPr>
        <w:t>case-control</w:t>
      </w:r>
      <w:r>
        <w:rPr>
          <w:spacing w:val="-16"/>
          <w:sz w:val="24"/>
        </w:rPr>
        <w:t> </w:t>
      </w:r>
      <w:r>
        <w:rPr>
          <w:sz w:val="24"/>
        </w:rPr>
        <w:t>study.</w:t>
      </w:r>
      <w:r>
        <w:rPr>
          <w:spacing w:val="-13"/>
          <w:sz w:val="24"/>
        </w:rPr>
        <w:t> </w:t>
      </w:r>
      <w:r>
        <w:rPr>
          <w:sz w:val="24"/>
        </w:rPr>
        <w:t>Innate</w:t>
      </w:r>
      <w:r>
        <w:rPr>
          <w:spacing w:val="-14"/>
          <w:sz w:val="24"/>
        </w:rPr>
        <w:t> </w:t>
      </w:r>
      <w:r>
        <w:rPr>
          <w:sz w:val="24"/>
        </w:rPr>
        <w:t>Immun.2014; 20(5):</w:t>
      </w:r>
      <w:r>
        <w:rPr>
          <w:spacing w:val="-4"/>
          <w:sz w:val="24"/>
        </w:rPr>
        <w:t> </w:t>
      </w:r>
      <w:r>
        <w:rPr>
          <w:sz w:val="24"/>
        </w:rPr>
        <w:t>511-518.</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ListParagraph"/>
        <w:numPr>
          <w:ilvl w:val="0"/>
          <w:numId w:val="21"/>
        </w:numPr>
        <w:tabs>
          <w:tab w:pos="448" w:val="left" w:leader="none"/>
        </w:tabs>
        <w:spacing w:line="480" w:lineRule="auto" w:before="207" w:after="0"/>
        <w:ind w:left="102" w:right="117" w:firstLine="60"/>
        <w:jc w:val="both"/>
        <w:rPr>
          <w:sz w:val="24"/>
        </w:rPr>
      </w:pPr>
      <w:r>
        <w:rPr>
          <w:sz w:val="24"/>
        </w:rPr>
        <w:t>Khosravi R, Ka K, Huang T, Khalili S, Nguyen BH. Tumor necrosis factor- α and interleukin-6: potential interorgan inflammatory mediators contributing to destructive periodontal disease in obesity or metabolic syndrome. Mediators Inflamm.</w:t>
      </w:r>
      <w:r>
        <w:rPr>
          <w:spacing w:val="-10"/>
          <w:sz w:val="24"/>
        </w:rPr>
        <w:t> </w:t>
      </w:r>
      <w:r>
        <w:rPr>
          <w:sz w:val="24"/>
        </w:rPr>
        <w:t>2013:1-6</w:t>
      </w:r>
    </w:p>
    <w:p>
      <w:pPr>
        <w:pStyle w:val="ListParagraph"/>
        <w:numPr>
          <w:ilvl w:val="0"/>
          <w:numId w:val="21"/>
        </w:numPr>
        <w:tabs>
          <w:tab w:pos="331" w:val="left" w:leader="none"/>
        </w:tabs>
        <w:spacing w:line="480" w:lineRule="auto" w:before="10" w:after="0"/>
        <w:ind w:left="102" w:right="119" w:firstLine="0"/>
        <w:jc w:val="both"/>
        <w:rPr>
          <w:sz w:val="24"/>
        </w:rPr>
      </w:pPr>
      <w:r>
        <w:rPr>
          <w:sz w:val="24"/>
        </w:rPr>
        <w:t>Saremi</w:t>
      </w:r>
      <w:r>
        <w:rPr>
          <w:spacing w:val="-14"/>
          <w:sz w:val="24"/>
        </w:rPr>
        <w:t> </w:t>
      </w:r>
      <w:r>
        <w:rPr>
          <w:sz w:val="24"/>
        </w:rPr>
        <w:t>A,</w:t>
      </w:r>
      <w:r>
        <w:rPr>
          <w:spacing w:val="-13"/>
          <w:sz w:val="24"/>
        </w:rPr>
        <w:t> </w:t>
      </w:r>
      <w:r>
        <w:rPr>
          <w:sz w:val="24"/>
        </w:rPr>
        <w:t>Nelson</w:t>
      </w:r>
      <w:r>
        <w:rPr>
          <w:spacing w:val="-12"/>
          <w:sz w:val="24"/>
        </w:rPr>
        <w:t> </w:t>
      </w:r>
      <w:r>
        <w:rPr>
          <w:sz w:val="24"/>
        </w:rPr>
        <w:t>RG,</w:t>
      </w:r>
      <w:r>
        <w:rPr>
          <w:spacing w:val="-13"/>
          <w:sz w:val="24"/>
        </w:rPr>
        <w:t> </w:t>
      </w:r>
      <w:r>
        <w:rPr>
          <w:sz w:val="24"/>
        </w:rPr>
        <w:t>Tulloch-Reid</w:t>
      </w:r>
      <w:r>
        <w:rPr>
          <w:spacing w:val="-14"/>
          <w:sz w:val="24"/>
        </w:rPr>
        <w:t> </w:t>
      </w:r>
      <w:r>
        <w:rPr>
          <w:sz w:val="24"/>
        </w:rPr>
        <w:t>M,</w:t>
      </w:r>
      <w:r>
        <w:rPr>
          <w:spacing w:val="-14"/>
          <w:sz w:val="24"/>
        </w:rPr>
        <w:t> </w:t>
      </w:r>
      <w:r>
        <w:rPr>
          <w:sz w:val="24"/>
        </w:rPr>
        <w:t>Hanson</w:t>
      </w:r>
      <w:r>
        <w:rPr>
          <w:spacing w:val="-12"/>
          <w:sz w:val="24"/>
        </w:rPr>
        <w:t> </w:t>
      </w:r>
      <w:r>
        <w:rPr>
          <w:sz w:val="24"/>
        </w:rPr>
        <w:t>RL,</w:t>
      </w:r>
      <w:r>
        <w:rPr>
          <w:spacing w:val="-14"/>
          <w:sz w:val="24"/>
        </w:rPr>
        <w:t> </w:t>
      </w:r>
      <w:r>
        <w:rPr>
          <w:sz w:val="24"/>
        </w:rPr>
        <w:t>Sievers</w:t>
      </w:r>
      <w:r>
        <w:rPr>
          <w:spacing w:val="-15"/>
          <w:sz w:val="24"/>
        </w:rPr>
        <w:t> </w:t>
      </w:r>
      <w:r>
        <w:rPr>
          <w:sz w:val="24"/>
        </w:rPr>
        <w:t>ML,</w:t>
      </w:r>
      <w:r>
        <w:rPr>
          <w:spacing w:val="-12"/>
          <w:sz w:val="24"/>
        </w:rPr>
        <w:t> </w:t>
      </w:r>
      <w:r>
        <w:rPr>
          <w:sz w:val="24"/>
        </w:rPr>
        <w:t>et</w:t>
      </w:r>
      <w:r>
        <w:rPr>
          <w:spacing w:val="-14"/>
          <w:sz w:val="24"/>
        </w:rPr>
        <w:t> </w:t>
      </w:r>
      <w:r>
        <w:rPr>
          <w:sz w:val="24"/>
        </w:rPr>
        <w:t>al.</w:t>
      </w:r>
      <w:r>
        <w:rPr>
          <w:spacing w:val="-10"/>
          <w:sz w:val="24"/>
        </w:rPr>
        <w:t> </w:t>
      </w:r>
      <w:r>
        <w:rPr>
          <w:sz w:val="24"/>
        </w:rPr>
        <w:t>Periodontal</w:t>
      </w:r>
      <w:r>
        <w:rPr>
          <w:spacing w:val="-15"/>
          <w:sz w:val="24"/>
        </w:rPr>
        <w:t> </w:t>
      </w:r>
      <w:r>
        <w:rPr>
          <w:sz w:val="24"/>
        </w:rPr>
        <w:t>disease and mortality in type 2 diabetes. Diabetes Care. 2005; 28:</w:t>
      </w:r>
      <w:r>
        <w:rPr>
          <w:spacing w:val="-7"/>
          <w:sz w:val="24"/>
        </w:rPr>
        <w:t> </w:t>
      </w:r>
      <w:r>
        <w:rPr>
          <w:sz w:val="24"/>
        </w:rPr>
        <w:t>27-32.</w:t>
      </w:r>
    </w:p>
    <w:p>
      <w:pPr>
        <w:pStyle w:val="ListParagraph"/>
        <w:numPr>
          <w:ilvl w:val="0"/>
          <w:numId w:val="21"/>
        </w:numPr>
        <w:tabs>
          <w:tab w:pos="513" w:val="left" w:leader="none"/>
        </w:tabs>
        <w:spacing w:line="480" w:lineRule="auto" w:before="10" w:after="0"/>
        <w:ind w:left="102" w:right="123" w:firstLine="0"/>
        <w:jc w:val="both"/>
        <w:rPr>
          <w:sz w:val="24"/>
        </w:rPr>
      </w:pPr>
      <w:r>
        <w:rPr>
          <w:sz w:val="24"/>
        </w:rPr>
        <w:t>Madianos PN, Bobetsis YA, Kinane DF. Generation of inflammatory stimuli: how bacteria set up inflammatory responses in the gingiva. J Clin Periodontol. 2005; 32:</w:t>
      </w:r>
      <w:r>
        <w:rPr>
          <w:spacing w:val="-12"/>
          <w:sz w:val="24"/>
        </w:rPr>
        <w:t> </w:t>
      </w:r>
      <w:r>
        <w:rPr>
          <w:sz w:val="24"/>
        </w:rPr>
        <w:t>57-67.</w:t>
      </w:r>
    </w:p>
    <w:p>
      <w:pPr>
        <w:pStyle w:val="ListParagraph"/>
        <w:numPr>
          <w:ilvl w:val="0"/>
          <w:numId w:val="21"/>
        </w:numPr>
        <w:tabs>
          <w:tab w:pos="463" w:val="left" w:leader="none"/>
        </w:tabs>
        <w:spacing w:line="240" w:lineRule="auto" w:before="11" w:after="0"/>
        <w:ind w:left="462" w:right="0" w:hanging="360"/>
        <w:jc w:val="both"/>
        <w:rPr>
          <w:sz w:val="24"/>
        </w:rPr>
      </w:pPr>
      <w:r>
        <w:rPr>
          <w:sz w:val="24"/>
        </w:rPr>
        <w:t>Preshaw PM. Periodontal disease and diabetes. J Dent. 2009; 37:</w:t>
      </w:r>
      <w:r>
        <w:rPr>
          <w:spacing w:val="-8"/>
          <w:sz w:val="24"/>
        </w:rPr>
        <w:t> </w:t>
      </w:r>
      <w:r>
        <w:rPr>
          <w:sz w:val="24"/>
        </w:rPr>
        <w:t>S575-S577.</w:t>
      </w:r>
    </w:p>
    <w:p>
      <w:pPr>
        <w:pStyle w:val="BodyText"/>
      </w:pPr>
    </w:p>
    <w:p>
      <w:pPr>
        <w:pStyle w:val="ListParagraph"/>
        <w:numPr>
          <w:ilvl w:val="0"/>
          <w:numId w:val="21"/>
        </w:numPr>
        <w:tabs>
          <w:tab w:pos="404" w:val="left" w:leader="none"/>
        </w:tabs>
        <w:spacing w:line="480" w:lineRule="auto" w:before="0" w:after="0"/>
        <w:ind w:left="102" w:right="118" w:firstLine="0"/>
        <w:jc w:val="both"/>
        <w:rPr>
          <w:sz w:val="24"/>
        </w:rPr>
      </w:pPr>
      <w:r>
        <w:rPr>
          <w:sz w:val="24"/>
        </w:rPr>
        <w:t>Saxlin</w:t>
      </w:r>
      <w:r>
        <w:rPr>
          <w:spacing w:val="-16"/>
          <w:sz w:val="24"/>
        </w:rPr>
        <w:t> </w:t>
      </w:r>
      <w:r>
        <w:rPr>
          <w:sz w:val="24"/>
        </w:rPr>
        <w:t>T,</w:t>
      </w:r>
      <w:r>
        <w:rPr>
          <w:spacing w:val="-16"/>
          <w:sz w:val="24"/>
        </w:rPr>
        <w:t> </w:t>
      </w:r>
      <w:r>
        <w:rPr>
          <w:sz w:val="24"/>
        </w:rPr>
        <w:t>Suominem-Taipale</w:t>
      </w:r>
      <w:r>
        <w:rPr>
          <w:spacing w:val="-14"/>
          <w:sz w:val="24"/>
        </w:rPr>
        <w:t> </w:t>
      </w:r>
      <w:r>
        <w:rPr>
          <w:sz w:val="24"/>
        </w:rPr>
        <w:t>L,</w:t>
      </w:r>
      <w:r>
        <w:rPr>
          <w:spacing w:val="-13"/>
          <w:sz w:val="24"/>
        </w:rPr>
        <w:t> </w:t>
      </w:r>
      <w:r>
        <w:rPr>
          <w:sz w:val="24"/>
        </w:rPr>
        <w:t>Leiviskä</w:t>
      </w:r>
      <w:r>
        <w:rPr>
          <w:spacing w:val="-17"/>
          <w:sz w:val="24"/>
        </w:rPr>
        <w:t> </w:t>
      </w:r>
      <w:r>
        <w:rPr>
          <w:sz w:val="24"/>
        </w:rPr>
        <w:t>J,</w:t>
      </w:r>
      <w:r>
        <w:rPr>
          <w:spacing w:val="-16"/>
          <w:sz w:val="24"/>
        </w:rPr>
        <w:t> </w:t>
      </w:r>
      <w:r>
        <w:rPr>
          <w:sz w:val="24"/>
        </w:rPr>
        <w:t>Jula</w:t>
      </w:r>
      <w:r>
        <w:rPr>
          <w:spacing w:val="-17"/>
          <w:sz w:val="24"/>
        </w:rPr>
        <w:t> </w:t>
      </w:r>
      <w:r>
        <w:rPr>
          <w:sz w:val="24"/>
        </w:rPr>
        <w:t>A,</w:t>
      </w:r>
      <w:r>
        <w:rPr>
          <w:spacing w:val="-16"/>
          <w:sz w:val="24"/>
        </w:rPr>
        <w:t> </w:t>
      </w:r>
      <w:r>
        <w:rPr>
          <w:sz w:val="24"/>
        </w:rPr>
        <w:t>Knuuttila</w:t>
      </w:r>
      <w:r>
        <w:rPr>
          <w:spacing w:val="-16"/>
          <w:sz w:val="24"/>
        </w:rPr>
        <w:t> </w:t>
      </w:r>
      <w:r>
        <w:rPr>
          <w:sz w:val="24"/>
        </w:rPr>
        <w:t>M,</w:t>
      </w:r>
      <w:r>
        <w:rPr>
          <w:spacing w:val="-16"/>
          <w:sz w:val="24"/>
        </w:rPr>
        <w:t> </w:t>
      </w:r>
      <w:r>
        <w:rPr>
          <w:sz w:val="24"/>
        </w:rPr>
        <w:t>Ylöstalo</w:t>
      </w:r>
      <w:r>
        <w:rPr>
          <w:spacing w:val="-16"/>
          <w:sz w:val="24"/>
        </w:rPr>
        <w:t> </w:t>
      </w:r>
      <w:r>
        <w:rPr>
          <w:sz w:val="24"/>
        </w:rPr>
        <w:t>P.</w:t>
      </w:r>
      <w:r>
        <w:rPr>
          <w:spacing w:val="-16"/>
          <w:sz w:val="24"/>
        </w:rPr>
        <w:t> </w:t>
      </w:r>
      <w:r>
        <w:rPr>
          <w:sz w:val="24"/>
        </w:rPr>
        <w:t>Role</w:t>
      </w:r>
      <w:r>
        <w:rPr>
          <w:spacing w:val="-16"/>
          <w:sz w:val="24"/>
        </w:rPr>
        <w:t> </w:t>
      </w:r>
      <w:r>
        <w:rPr>
          <w:sz w:val="24"/>
        </w:rPr>
        <w:t>of</w:t>
      </w:r>
      <w:r>
        <w:rPr>
          <w:spacing w:val="-17"/>
          <w:sz w:val="24"/>
        </w:rPr>
        <w:t> </w:t>
      </w:r>
      <w:r>
        <w:rPr>
          <w:sz w:val="24"/>
        </w:rPr>
        <w:t>serum citokines tumour necrosis factor-alpha and interleukin-6 in the association between body weight and periodontal infection. J Clin Periodontol 2009; 36:</w:t>
      </w:r>
      <w:r>
        <w:rPr>
          <w:spacing w:val="-6"/>
          <w:sz w:val="24"/>
        </w:rPr>
        <w:t> </w:t>
      </w:r>
      <w:r>
        <w:rPr>
          <w:sz w:val="24"/>
        </w:rPr>
        <w:t>100-105.</w:t>
      </w:r>
    </w:p>
    <w:p>
      <w:pPr>
        <w:pStyle w:val="ListParagraph"/>
        <w:numPr>
          <w:ilvl w:val="0"/>
          <w:numId w:val="21"/>
        </w:numPr>
        <w:tabs>
          <w:tab w:pos="587" w:val="left" w:leader="none"/>
        </w:tabs>
        <w:spacing w:line="480" w:lineRule="auto" w:before="10" w:after="0"/>
        <w:ind w:left="102" w:right="118" w:firstLine="0"/>
        <w:jc w:val="both"/>
        <w:rPr>
          <w:sz w:val="24"/>
        </w:rPr>
      </w:pPr>
      <w:r>
        <w:rPr>
          <w:sz w:val="24"/>
        </w:rPr>
        <w:t>Suvan J, D’Aiuto F, Moles DR, Petrie A, Donos N. Association between overwieght/obesity and periodontitis in adults. A systematic review. Obes Rev. 2011; 12: 381-404.</w:t>
      </w:r>
    </w:p>
    <w:p>
      <w:pPr>
        <w:pStyle w:val="ListParagraph"/>
        <w:numPr>
          <w:ilvl w:val="0"/>
          <w:numId w:val="21"/>
        </w:numPr>
        <w:tabs>
          <w:tab w:pos="518" w:val="left" w:leader="none"/>
        </w:tabs>
        <w:spacing w:line="480" w:lineRule="auto" w:before="10" w:after="0"/>
        <w:ind w:left="102" w:right="116" w:firstLine="0"/>
        <w:jc w:val="both"/>
        <w:rPr>
          <w:sz w:val="24"/>
        </w:rPr>
      </w:pPr>
      <w:r>
        <w:rPr>
          <w:sz w:val="24"/>
        </w:rPr>
        <w:t>Korte DL, Kinney J. Personalized medicine: an update of salivary biomarkers for periodontal diseases. Periodontol 2000. 2016; 70:</w:t>
      </w:r>
      <w:r>
        <w:rPr>
          <w:spacing w:val="-8"/>
          <w:sz w:val="24"/>
        </w:rPr>
        <w:t> </w:t>
      </w:r>
      <w:r>
        <w:rPr>
          <w:sz w:val="24"/>
        </w:rPr>
        <w:t>26-37</w:t>
      </w:r>
    </w:p>
    <w:p>
      <w:pPr>
        <w:pStyle w:val="ListParagraph"/>
        <w:numPr>
          <w:ilvl w:val="0"/>
          <w:numId w:val="21"/>
        </w:numPr>
        <w:tabs>
          <w:tab w:pos="460" w:val="left" w:leader="none"/>
        </w:tabs>
        <w:spacing w:line="240" w:lineRule="auto" w:before="10" w:after="0"/>
        <w:ind w:left="459" w:right="0" w:hanging="357"/>
        <w:jc w:val="both"/>
        <w:rPr>
          <w:sz w:val="24"/>
        </w:rPr>
      </w:pPr>
      <w:r>
        <w:rPr>
          <w:sz w:val="24"/>
        </w:rPr>
        <w:t>Nibal</w:t>
      </w:r>
      <w:r>
        <w:rPr>
          <w:spacing w:val="-2"/>
          <w:sz w:val="24"/>
        </w:rPr>
        <w:t> </w:t>
      </w:r>
      <w:r>
        <w:rPr>
          <w:sz w:val="24"/>
        </w:rPr>
        <w:t>L,</w:t>
      </w:r>
      <w:r>
        <w:rPr>
          <w:spacing w:val="-5"/>
          <w:sz w:val="24"/>
        </w:rPr>
        <w:t> </w:t>
      </w:r>
      <w:r>
        <w:rPr>
          <w:sz w:val="24"/>
        </w:rPr>
        <w:t>Fedele</w:t>
      </w:r>
      <w:r>
        <w:rPr>
          <w:spacing w:val="-5"/>
          <w:sz w:val="24"/>
        </w:rPr>
        <w:t> </w:t>
      </w:r>
      <w:r>
        <w:rPr>
          <w:sz w:val="24"/>
        </w:rPr>
        <w:t>S,</w:t>
      </w:r>
      <w:r>
        <w:rPr>
          <w:spacing w:val="-5"/>
          <w:sz w:val="24"/>
        </w:rPr>
        <w:t> </w:t>
      </w:r>
      <w:r>
        <w:rPr>
          <w:sz w:val="24"/>
        </w:rPr>
        <w:t>D’Aiut</w:t>
      </w:r>
      <w:r>
        <w:rPr>
          <w:spacing w:val="-4"/>
          <w:sz w:val="24"/>
        </w:rPr>
        <w:t> </w:t>
      </w:r>
      <w:r>
        <w:rPr>
          <w:sz w:val="24"/>
        </w:rPr>
        <w:t>F,</w:t>
      </w:r>
      <w:r>
        <w:rPr>
          <w:spacing w:val="-5"/>
          <w:sz w:val="24"/>
        </w:rPr>
        <w:t> </w:t>
      </w:r>
      <w:r>
        <w:rPr>
          <w:sz w:val="24"/>
        </w:rPr>
        <w:t>Donos</w:t>
      </w:r>
      <w:r>
        <w:rPr>
          <w:spacing w:val="-5"/>
          <w:sz w:val="24"/>
        </w:rPr>
        <w:t> </w:t>
      </w:r>
      <w:r>
        <w:rPr>
          <w:sz w:val="24"/>
        </w:rPr>
        <w:t>N.</w:t>
      </w:r>
      <w:r>
        <w:rPr>
          <w:spacing w:val="-1"/>
          <w:sz w:val="24"/>
        </w:rPr>
        <w:t> </w:t>
      </w:r>
      <w:r>
        <w:rPr>
          <w:sz w:val="24"/>
        </w:rPr>
        <w:t>Interleukin-6</w:t>
      </w:r>
      <w:r>
        <w:rPr>
          <w:spacing w:val="-5"/>
          <w:sz w:val="24"/>
        </w:rPr>
        <w:t> </w:t>
      </w:r>
      <w:r>
        <w:rPr>
          <w:sz w:val="24"/>
        </w:rPr>
        <w:t>in</w:t>
      </w:r>
      <w:r>
        <w:rPr>
          <w:spacing w:val="-4"/>
          <w:sz w:val="24"/>
        </w:rPr>
        <w:t> </w:t>
      </w:r>
      <w:r>
        <w:rPr>
          <w:sz w:val="24"/>
        </w:rPr>
        <w:t>oral</w:t>
      </w:r>
      <w:r>
        <w:rPr>
          <w:spacing w:val="-4"/>
          <w:sz w:val="24"/>
        </w:rPr>
        <w:t> </w:t>
      </w:r>
      <w:r>
        <w:rPr>
          <w:sz w:val="24"/>
        </w:rPr>
        <w:t>diseases:</w:t>
      </w:r>
      <w:r>
        <w:rPr>
          <w:spacing w:val="-4"/>
          <w:sz w:val="24"/>
        </w:rPr>
        <w:t> </w:t>
      </w:r>
      <w:r>
        <w:rPr>
          <w:sz w:val="24"/>
        </w:rPr>
        <w:t>a</w:t>
      </w:r>
      <w:r>
        <w:rPr>
          <w:spacing w:val="-3"/>
          <w:sz w:val="24"/>
        </w:rPr>
        <w:t> </w:t>
      </w:r>
      <w:r>
        <w:rPr>
          <w:sz w:val="24"/>
        </w:rPr>
        <w:t>review.</w:t>
      </w:r>
      <w:r>
        <w:rPr>
          <w:spacing w:val="-5"/>
          <w:sz w:val="24"/>
        </w:rPr>
        <w:t> </w:t>
      </w:r>
      <w:r>
        <w:rPr>
          <w:sz w:val="24"/>
        </w:rPr>
        <w:t>Oral</w:t>
      </w:r>
      <w:r>
        <w:rPr>
          <w:spacing w:val="-4"/>
          <w:sz w:val="24"/>
        </w:rPr>
        <w:t> </w:t>
      </w:r>
      <w:r>
        <w:rPr>
          <w:sz w:val="24"/>
        </w:rPr>
        <w:t>Dis.</w:t>
      </w:r>
    </w:p>
    <w:p>
      <w:pPr>
        <w:pStyle w:val="BodyText"/>
      </w:pPr>
    </w:p>
    <w:p>
      <w:pPr>
        <w:pStyle w:val="BodyText"/>
        <w:ind w:left="102"/>
        <w:jc w:val="both"/>
      </w:pPr>
      <w:r>
        <w:rPr/>
        <w:t>201; 18: 236-243.</w:t>
      </w:r>
    </w:p>
    <w:p>
      <w:pPr>
        <w:pStyle w:val="BodyText"/>
      </w:pPr>
    </w:p>
    <w:p>
      <w:pPr>
        <w:pStyle w:val="ListParagraph"/>
        <w:numPr>
          <w:ilvl w:val="0"/>
          <w:numId w:val="21"/>
        </w:numPr>
        <w:tabs>
          <w:tab w:pos="484" w:val="left" w:leader="none"/>
        </w:tabs>
        <w:spacing w:line="480" w:lineRule="auto" w:before="0" w:after="0"/>
        <w:ind w:left="102" w:right="121" w:firstLine="0"/>
        <w:jc w:val="both"/>
        <w:rPr>
          <w:sz w:val="24"/>
        </w:rPr>
      </w:pPr>
      <w:r>
        <w:rPr>
          <w:sz w:val="24"/>
        </w:rPr>
        <w:t>Fonseca JE, Santos MJ, Canhão H, Choy E. Interleukin-6 as a key player in systemic inflammation and joint destruction. Autoimmune Rev. 2009; 8:</w:t>
      </w:r>
      <w:r>
        <w:rPr>
          <w:spacing w:val="-6"/>
          <w:sz w:val="24"/>
        </w:rPr>
        <w:t> </w:t>
      </w:r>
      <w:r>
        <w:rPr>
          <w:sz w:val="24"/>
        </w:rPr>
        <w:t>538-542.</w:t>
      </w:r>
    </w:p>
    <w:p>
      <w:pPr>
        <w:pStyle w:val="ListParagraph"/>
        <w:numPr>
          <w:ilvl w:val="0"/>
          <w:numId w:val="21"/>
        </w:numPr>
        <w:tabs>
          <w:tab w:pos="508" w:val="left" w:leader="none"/>
        </w:tabs>
        <w:spacing w:line="480" w:lineRule="auto" w:before="10" w:after="0"/>
        <w:ind w:left="102" w:right="115" w:firstLine="0"/>
        <w:jc w:val="both"/>
        <w:rPr>
          <w:sz w:val="24"/>
        </w:rPr>
      </w:pPr>
      <w:r>
        <w:rPr>
          <w:sz w:val="24"/>
        </w:rPr>
        <w:t>Ross JH, Hardy DC, Schuyler CA, Slate EH, Mize TW. Expression of periodontal interleukin-6 protein is increased across patients with neither periodontal disease nor diabetes, patients with periodontal disease alone and patients with both diseases. J Periodontal Res. 2010; 45:</w:t>
      </w:r>
      <w:r>
        <w:rPr>
          <w:spacing w:val="-3"/>
          <w:sz w:val="24"/>
        </w:rPr>
        <w:t> </w:t>
      </w:r>
      <w:r>
        <w:rPr>
          <w:sz w:val="24"/>
        </w:rPr>
        <w:t>688-694.</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ListParagraph"/>
        <w:numPr>
          <w:ilvl w:val="0"/>
          <w:numId w:val="21"/>
        </w:numPr>
        <w:tabs>
          <w:tab w:pos="513" w:val="left" w:leader="none"/>
        </w:tabs>
        <w:spacing w:line="480" w:lineRule="auto" w:before="207" w:after="0"/>
        <w:ind w:left="102" w:right="122" w:firstLine="0"/>
        <w:jc w:val="both"/>
        <w:rPr>
          <w:sz w:val="24"/>
        </w:rPr>
      </w:pPr>
      <w:r>
        <w:rPr>
          <w:sz w:val="24"/>
        </w:rPr>
        <w:t>Jagannathachary S, Kamaraj D. Obesity and periodontal disease. Journal of Indian Society of Periodontology. 2010; 14:96-100.</w:t>
      </w:r>
      <w:r>
        <w:rPr>
          <w:spacing w:val="-6"/>
          <w:sz w:val="24"/>
        </w:rPr>
        <w:t> </w:t>
      </w:r>
      <w:r>
        <w:rPr>
          <w:sz w:val="24"/>
        </w:rPr>
        <w:t>8.</w:t>
      </w:r>
    </w:p>
    <w:p>
      <w:pPr>
        <w:pStyle w:val="ListParagraph"/>
        <w:numPr>
          <w:ilvl w:val="0"/>
          <w:numId w:val="21"/>
        </w:numPr>
        <w:tabs>
          <w:tab w:pos="477" w:val="left" w:leader="none"/>
        </w:tabs>
        <w:spacing w:line="240" w:lineRule="auto" w:before="10" w:after="0"/>
        <w:ind w:left="476" w:right="0" w:hanging="374"/>
        <w:jc w:val="both"/>
        <w:rPr>
          <w:sz w:val="24"/>
        </w:rPr>
      </w:pPr>
      <w:r>
        <w:rPr>
          <w:sz w:val="24"/>
        </w:rPr>
        <w:t>Chee B, Park B, Bartold M. Periodontitis and type II diabetes: a two-way  </w:t>
      </w:r>
      <w:r>
        <w:rPr>
          <w:spacing w:val="40"/>
          <w:sz w:val="24"/>
        </w:rPr>
        <w:t> </w:t>
      </w:r>
      <w:r>
        <w:rPr>
          <w:sz w:val="24"/>
        </w:rPr>
        <w:t>relationship.</w:t>
      </w:r>
    </w:p>
    <w:p>
      <w:pPr>
        <w:pStyle w:val="BodyText"/>
      </w:pPr>
    </w:p>
    <w:p>
      <w:pPr>
        <w:pStyle w:val="BodyText"/>
        <w:ind w:left="102"/>
        <w:jc w:val="both"/>
      </w:pPr>
      <w:r>
        <w:rPr/>
        <w:t>Int J Evid Based Health. 2013; 11: 317-329.</w:t>
      </w:r>
    </w:p>
    <w:p>
      <w:pPr>
        <w:pStyle w:val="BodyText"/>
      </w:pPr>
    </w:p>
    <w:p>
      <w:pPr>
        <w:pStyle w:val="ListParagraph"/>
        <w:numPr>
          <w:ilvl w:val="0"/>
          <w:numId w:val="21"/>
        </w:numPr>
        <w:tabs>
          <w:tab w:pos="491" w:val="left" w:leader="none"/>
        </w:tabs>
        <w:spacing w:line="480" w:lineRule="auto" w:before="0" w:after="0"/>
        <w:ind w:left="102" w:right="119" w:firstLine="0"/>
        <w:jc w:val="both"/>
        <w:rPr>
          <w:sz w:val="24"/>
        </w:rPr>
      </w:pPr>
      <w:r>
        <w:rPr>
          <w:sz w:val="24"/>
        </w:rPr>
        <w:t>Vozarova B, Weyer C, Hanson K, Tataranni PA, Bogardus C, Pratley R. Circulating Interleukin -6 in relation to adiposity, insulin action and insulin secretion. Obes Res. 2001; 9:</w:t>
      </w:r>
      <w:r>
        <w:rPr>
          <w:spacing w:val="-1"/>
          <w:sz w:val="24"/>
        </w:rPr>
        <w:t> </w:t>
      </w:r>
      <w:r>
        <w:rPr>
          <w:sz w:val="24"/>
        </w:rPr>
        <w:t>414-417.</w:t>
      </w:r>
    </w:p>
    <w:p>
      <w:pPr>
        <w:pStyle w:val="ListParagraph"/>
        <w:numPr>
          <w:ilvl w:val="0"/>
          <w:numId w:val="21"/>
        </w:numPr>
        <w:tabs>
          <w:tab w:pos="501" w:val="left" w:leader="none"/>
        </w:tabs>
        <w:spacing w:line="480" w:lineRule="auto" w:before="11" w:after="0"/>
        <w:ind w:left="102" w:right="121" w:firstLine="0"/>
        <w:jc w:val="both"/>
        <w:rPr>
          <w:sz w:val="24"/>
        </w:rPr>
      </w:pPr>
      <w:r>
        <w:rPr>
          <w:sz w:val="24"/>
        </w:rPr>
        <w:t>Pickup JC, Crook MA. </w:t>
      </w:r>
      <w:r>
        <w:rPr>
          <w:spacing w:val="-3"/>
          <w:sz w:val="24"/>
        </w:rPr>
        <w:t>Is </w:t>
      </w:r>
      <w:r>
        <w:rPr>
          <w:sz w:val="24"/>
        </w:rPr>
        <w:t>Type II diabetes mellitus a disease of the innate immune system? Diabetologia. 1998; 41:</w:t>
      </w:r>
      <w:r>
        <w:rPr>
          <w:spacing w:val="-3"/>
          <w:sz w:val="24"/>
        </w:rPr>
        <w:t> </w:t>
      </w:r>
      <w:r>
        <w:rPr>
          <w:sz w:val="24"/>
        </w:rPr>
        <w:t>1241-1248.</w:t>
      </w:r>
    </w:p>
    <w:p>
      <w:pPr>
        <w:pStyle w:val="ListParagraph"/>
        <w:numPr>
          <w:ilvl w:val="0"/>
          <w:numId w:val="21"/>
        </w:numPr>
        <w:tabs>
          <w:tab w:pos="460" w:val="left" w:leader="none"/>
        </w:tabs>
        <w:spacing w:line="480" w:lineRule="auto" w:before="10" w:after="0"/>
        <w:ind w:left="102" w:right="117" w:firstLine="0"/>
        <w:jc w:val="both"/>
        <w:rPr>
          <w:sz w:val="24"/>
        </w:rPr>
      </w:pPr>
      <w:r>
        <w:rPr>
          <w:sz w:val="24"/>
        </w:rPr>
        <w:t>Pradhan AD, Manson JE, Rifai N, Buring JE, Ridker PM. C-reactive protein,</w:t>
      </w:r>
      <w:r>
        <w:rPr>
          <w:spacing w:val="-41"/>
          <w:sz w:val="24"/>
        </w:rPr>
        <w:t> </w:t>
      </w:r>
      <w:r>
        <w:rPr>
          <w:sz w:val="24"/>
        </w:rPr>
        <w:t>interleukin 6, and risk of developing type 2 diabetes mellitus. JAMA. 2001;</w:t>
      </w:r>
      <w:r>
        <w:rPr>
          <w:spacing w:val="-12"/>
          <w:sz w:val="24"/>
        </w:rPr>
        <w:t> </w:t>
      </w:r>
      <w:r>
        <w:rPr>
          <w:sz w:val="24"/>
        </w:rPr>
        <w:t>286:327-34</w:t>
      </w:r>
    </w:p>
    <w:p>
      <w:pPr>
        <w:pStyle w:val="ListParagraph"/>
        <w:numPr>
          <w:ilvl w:val="0"/>
          <w:numId w:val="21"/>
        </w:numPr>
        <w:tabs>
          <w:tab w:pos="470" w:val="left" w:leader="none"/>
        </w:tabs>
        <w:spacing w:line="480" w:lineRule="auto" w:before="10" w:after="0"/>
        <w:ind w:left="102" w:right="115" w:firstLine="0"/>
        <w:jc w:val="both"/>
        <w:rPr>
          <w:sz w:val="24"/>
        </w:rPr>
      </w:pPr>
      <w:r>
        <w:rPr>
          <w:sz w:val="24"/>
        </w:rPr>
        <w:t>Heinrich P, Behrmann </w:t>
      </w:r>
      <w:r>
        <w:rPr>
          <w:spacing w:val="-3"/>
          <w:sz w:val="24"/>
        </w:rPr>
        <w:t>I, </w:t>
      </w:r>
      <w:r>
        <w:rPr>
          <w:sz w:val="24"/>
        </w:rPr>
        <w:t>Haan S, Hermanns H, Muller-Newen G, Schaper F. Principles of interleukin (IL)-6-type cytokine signaling and its regulation. Biochem J. 2003; 374:</w:t>
      </w:r>
      <w:r>
        <w:rPr>
          <w:spacing w:val="-23"/>
          <w:sz w:val="24"/>
        </w:rPr>
        <w:t> </w:t>
      </w:r>
      <w:r>
        <w:rPr>
          <w:sz w:val="24"/>
        </w:rPr>
        <w:t>1-20.</w:t>
      </w:r>
    </w:p>
    <w:p>
      <w:pPr>
        <w:pStyle w:val="ListParagraph"/>
        <w:numPr>
          <w:ilvl w:val="0"/>
          <w:numId w:val="21"/>
        </w:numPr>
        <w:tabs>
          <w:tab w:pos="501" w:val="left" w:leader="none"/>
        </w:tabs>
        <w:spacing w:line="480" w:lineRule="auto" w:before="10" w:after="0"/>
        <w:ind w:left="102" w:right="119" w:firstLine="0"/>
        <w:jc w:val="both"/>
        <w:rPr>
          <w:sz w:val="24"/>
        </w:rPr>
      </w:pPr>
      <w:r>
        <w:rPr>
          <w:sz w:val="24"/>
        </w:rPr>
        <w:t>Sindhu S, Thomas R, Shihab P, Sriraman D, Behbehani K, Ahmad R. Obesity Is a Positive Modulator of IL-6R and IL-6 Expression in the Subcutaneous Adipose Tissue: Significance for Metabolic Inflammation. Stover CM, ed. PLoS ONE. 2015; 10:</w:t>
      </w:r>
      <w:r>
        <w:rPr>
          <w:spacing w:val="-10"/>
          <w:sz w:val="24"/>
        </w:rPr>
        <w:t> </w:t>
      </w:r>
      <w:r>
        <w:rPr>
          <w:sz w:val="24"/>
        </w:rPr>
        <w:t>e0133494</w:t>
      </w:r>
    </w:p>
    <w:p>
      <w:pPr>
        <w:pStyle w:val="ListParagraph"/>
        <w:numPr>
          <w:ilvl w:val="0"/>
          <w:numId w:val="21"/>
        </w:numPr>
        <w:tabs>
          <w:tab w:pos="484" w:val="left" w:leader="none"/>
        </w:tabs>
        <w:spacing w:line="480" w:lineRule="auto" w:before="10" w:after="0"/>
        <w:ind w:left="102" w:right="115" w:firstLine="0"/>
        <w:jc w:val="both"/>
        <w:rPr>
          <w:sz w:val="24"/>
        </w:rPr>
      </w:pPr>
      <w:r>
        <w:rPr>
          <w:sz w:val="24"/>
        </w:rPr>
        <w:t>Weyer C, Bogardus C, Mott DM, Pratley RE. The natural history of insulin secretory dysfunction and insulin resistance in the pathogenesis of type 2 diabetes mellitus. J Clin Invest. 1999; 104:</w:t>
      </w:r>
      <w:r>
        <w:rPr>
          <w:spacing w:val="-5"/>
          <w:sz w:val="24"/>
        </w:rPr>
        <w:t> </w:t>
      </w:r>
      <w:r>
        <w:rPr>
          <w:sz w:val="24"/>
        </w:rPr>
        <w:t>787-794.</w:t>
      </w:r>
    </w:p>
    <w:p>
      <w:pPr>
        <w:pStyle w:val="ListParagraph"/>
        <w:numPr>
          <w:ilvl w:val="0"/>
          <w:numId w:val="21"/>
        </w:numPr>
        <w:tabs>
          <w:tab w:pos="467" w:val="left" w:leader="none"/>
        </w:tabs>
        <w:spacing w:line="240" w:lineRule="auto" w:before="11" w:after="0"/>
        <w:ind w:left="466" w:right="0" w:hanging="364"/>
        <w:jc w:val="both"/>
        <w:rPr>
          <w:sz w:val="24"/>
        </w:rPr>
      </w:pPr>
      <w:r>
        <w:rPr>
          <w:sz w:val="24"/>
        </w:rPr>
        <w:t>Publica INdS. Encuesta Nacional de Salud. [Online]; 2012. [Cited 2014 September</w:t>
      </w:r>
      <w:r>
        <w:rPr>
          <w:spacing w:val="42"/>
          <w:sz w:val="24"/>
        </w:rPr>
        <w:t> </w:t>
      </w:r>
      <w:r>
        <w:rPr>
          <w:sz w:val="24"/>
        </w:rPr>
        <w:t>30].</w:t>
      </w:r>
    </w:p>
    <w:p>
      <w:pPr>
        <w:pStyle w:val="BodyText"/>
      </w:pPr>
    </w:p>
    <w:p>
      <w:pPr>
        <w:spacing w:before="0"/>
        <w:ind w:left="102" w:right="0" w:firstLine="0"/>
        <w:jc w:val="both"/>
        <w:rPr>
          <w:i/>
          <w:sz w:val="24"/>
        </w:rPr>
      </w:pPr>
      <w:r>
        <w:rPr>
          <w:sz w:val="24"/>
        </w:rPr>
        <w:t>Available from: </w:t>
      </w:r>
      <w:r>
        <w:rPr>
          <w:i/>
          <w:sz w:val="24"/>
        </w:rPr>
        <w:t>ensanut.insp.mx/informes/ENSANUT2012ResultadosNacionales.pdf</w:t>
      </w:r>
    </w:p>
    <w:p>
      <w:pPr>
        <w:pStyle w:val="BodyText"/>
        <w:rPr>
          <w:i/>
        </w:rPr>
      </w:pPr>
    </w:p>
    <w:p>
      <w:pPr>
        <w:pStyle w:val="ListParagraph"/>
        <w:numPr>
          <w:ilvl w:val="0"/>
          <w:numId w:val="21"/>
        </w:numPr>
        <w:tabs>
          <w:tab w:pos="455" w:val="left" w:leader="none"/>
        </w:tabs>
        <w:spacing w:line="480" w:lineRule="auto" w:before="0" w:after="0"/>
        <w:ind w:left="102" w:right="117" w:firstLine="0"/>
        <w:jc w:val="both"/>
        <w:rPr>
          <w:sz w:val="24"/>
        </w:rPr>
      </w:pPr>
      <w:r>
        <w:rPr>
          <w:sz w:val="24"/>
        </w:rPr>
        <w:t>Dodds</w:t>
      </w:r>
      <w:r>
        <w:rPr>
          <w:spacing w:val="-9"/>
          <w:sz w:val="24"/>
        </w:rPr>
        <w:t> </w:t>
      </w:r>
      <w:r>
        <w:rPr>
          <w:sz w:val="24"/>
        </w:rPr>
        <w:t>MW,Yeh</w:t>
      </w:r>
      <w:r>
        <w:rPr>
          <w:spacing w:val="-9"/>
          <w:sz w:val="24"/>
        </w:rPr>
        <w:t> </w:t>
      </w:r>
      <w:r>
        <w:rPr>
          <w:sz w:val="24"/>
        </w:rPr>
        <w:t>CK,</w:t>
      </w:r>
      <w:r>
        <w:rPr>
          <w:spacing w:val="-7"/>
          <w:sz w:val="24"/>
        </w:rPr>
        <w:t> </w:t>
      </w:r>
      <w:r>
        <w:rPr>
          <w:sz w:val="24"/>
        </w:rPr>
        <w:t>Jhonson</w:t>
      </w:r>
      <w:r>
        <w:rPr>
          <w:spacing w:val="-8"/>
          <w:sz w:val="24"/>
        </w:rPr>
        <w:t> </w:t>
      </w:r>
      <w:r>
        <w:rPr>
          <w:sz w:val="24"/>
        </w:rPr>
        <w:t>DA.</w:t>
      </w:r>
      <w:r>
        <w:rPr>
          <w:spacing w:val="-9"/>
          <w:sz w:val="24"/>
        </w:rPr>
        <w:t> </w:t>
      </w:r>
      <w:r>
        <w:rPr>
          <w:sz w:val="24"/>
        </w:rPr>
        <w:t>Salivary</w:t>
      </w:r>
      <w:r>
        <w:rPr>
          <w:spacing w:val="-11"/>
          <w:sz w:val="24"/>
        </w:rPr>
        <w:t> </w:t>
      </w:r>
      <w:r>
        <w:rPr>
          <w:sz w:val="24"/>
        </w:rPr>
        <w:t>alterations</w:t>
      </w:r>
      <w:r>
        <w:rPr>
          <w:spacing w:val="-8"/>
          <w:sz w:val="24"/>
        </w:rPr>
        <w:t> </w:t>
      </w:r>
      <w:r>
        <w:rPr>
          <w:sz w:val="24"/>
        </w:rPr>
        <w:t>in</w:t>
      </w:r>
      <w:r>
        <w:rPr>
          <w:spacing w:val="-8"/>
          <w:sz w:val="24"/>
        </w:rPr>
        <w:t> </w:t>
      </w:r>
      <w:r>
        <w:rPr>
          <w:sz w:val="24"/>
        </w:rPr>
        <w:t>type</w:t>
      </w:r>
      <w:r>
        <w:rPr>
          <w:spacing w:val="-10"/>
          <w:sz w:val="24"/>
        </w:rPr>
        <w:t> </w:t>
      </w:r>
      <w:r>
        <w:rPr>
          <w:sz w:val="24"/>
        </w:rPr>
        <w:t>2</w:t>
      </w:r>
      <w:r>
        <w:rPr>
          <w:spacing w:val="-6"/>
          <w:sz w:val="24"/>
        </w:rPr>
        <w:t> </w:t>
      </w:r>
      <w:r>
        <w:rPr>
          <w:sz w:val="24"/>
        </w:rPr>
        <w:t>(non-insulin-dependent) diabetes mellitus and hypertension. Community Dent Oral Epidemiol. 2000; 28:</w:t>
      </w:r>
      <w:r>
        <w:rPr>
          <w:spacing w:val="-10"/>
          <w:sz w:val="24"/>
        </w:rPr>
        <w:t> </w:t>
      </w:r>
      <w:r>
        <w:rPr>
          <w:sz w:val="24"/>
        </w:rPr>
        <w:t>373-381.</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ListParagraph"/>
        <w:numPr>
          <w:ilvl w:val="0"/>
          <w:numId w:val="21"/>
        </w:numPr>
        <w:tabs>
          <w:tab w:pos="453" w:val="left" w:leader="none"/>
        </w:tabs>
        <w:spacing w:line="480" w:lineRule="auto" w:before="207" w:after="0"/>
        <w:ind w:left="102" w:right="125" w:firstLine="0"/>
        <w:jc w:val="both"/>
        <w:rPr>
          <w:sz w:val="24"/>
        </w:rPr>
      </w:pPr>
      <w:r>
        <w:rPr>
          <w:sz w:val="24"/>
        </w:rPr>
        <w:t>Radhika</w:t>
      </w:r>
      <w:r>
        <w:rPr>
          <w:spacing w:val="-11"/>
          <w:sz w:val="24"/>
        </w:rPr>
        <w:t> </w:t>
      </w:r>
      <w:r>
        <w:rPr>
          <w:sz w:val="24"/>
        </w:rPr>
        <w:t>T,</w:t>
      </w:r>
      <w:r>
        <w:rPr>
          <w:spacing w:val="-9"/>
          <w:sz w:val="24"/>
        </w:rPr>
        <w:t> </w:t>
      </w:r>
      <w:r>
        <w:rPr>
          <w:sz w:val="24"/>
        </w:rPr>
        <w:t>Ranganathan</w:t>
      </w:r>
      <w:r>
        <w:rPr>
          <w:spacing w:val="-12"/>
          <w:sz w:val="24"/>
        </w:rPr>
        <w:t> </w:t>
      </w:r>
      <w:r>
        <w:rPr>
          <w:sz w:val="24"/>
        </w:rPr>
        <w:t>K.</w:t>
      </w:r>
      <w:r>
        <w:rPr>
          <w:spacing w:val="-9"/>
          <w:sz w:val="24"/>
        </w:rPr>
        <w:t> </w:t>
      </w:r>
      <w:r>
        <w:rPr>
          <w:sz w:val="24"/>
        </w:rPr>
        <w:t>Periodontal</w:t>
      </w:r>
      <w:r>
        <w:rPr>
          <w:spacing w:val="-11"/>
          <w:sz w:val="24"/>
        </w:rPr>
        <w:t> </w:t>
      </w:r>
      <w:r>
        <w:rPr>
          <w:sz w:val="24"/>
        </w:rPr>
        <w:t>health</w:t>
      </w:r>
      <w:r>
        <w:rPr>
          <w:spacing w:val="-11"/>
          <w:sz w:val="24"/>
        </w:rPr>
        <w:t> </w:t>
      </w:r>
      <w:r>
        <w:rPr>
          <w:sz w:val="24"/>
        </w:rPr>
        <w:t>in</w:t>
      </w:r>
      <w:r>
        <w:rPr>
          <w:spacing w:val="-11"/>
          <w:sz w:val="24"/>
        </w:rPr>
        <w:t> </w:t>
      </w:r>
      <w:r>
        <w:rPr>
          <w:sz w:val="24"/>
        </w:rPr>
        <w:t>type</w:t>
      </w:r>
      <w:r>
        <w:rPr>
          <w:spacing w:val="-12"/>
          <w:sz w:val="24"/>
        </w:rPr>
        <w:t> </w:t>
      </w:r>
      <w:r>
        <w:rPr>
          <w:sz w:val="24"/>
        </w:rPr>
        <w:t>2</w:t>
      </w:r>
      <w:r>
        <w:rPr>
          <w:spacing w:val="-9"/>
          <w:sz w:val="24"/>
        </w:rPr>
        <w:t> </w:t>
      </w:r>
      <w:r>
        <w:rPr>
          <w:sz w:val="24"/>
        </w:rPr>
        <w:t>diabetics.</w:t>
      </w:r>
      <w:r>
        <w:rPr>
          <w:spacing w:val="-9"/>
          <w:sz w:val="24"/>
        </w:rPr>
        <w:t> </w:t>
      </w:r>
      <w:r>
        <w:rPr>
          <w:sz w:val="24"/>
        </w:rPr>
        <w:t>J</w:t>
      </w:r>
      <w:r>
        <w:rPr>
          <w:spacing w:val="-9"/>
          <w:sz w:val="24"/>
        </w:rPr>
        <w:t> </w:t>
      </w:r>
      <w:r>
        <w:rPr>
          <w:sz w:val="24"/>
        </w:rPr>
        <w:t>Dr</w:t>
      </w:r>
      <w:r>
        <w:rPr>
          <w:spacing w:val="-10"/>
          <w:sz w:val="24"/>
        </w:rPr>
        <w:t> </w:t>
      </w:r>
      <w:r>
        <w:rPr>
          <w:sz w:val="24"/>
        </w:rPr>
        <w:t>NTR</w:t>
      </w:r>
      <w:r>
        <w:rPr>
          <w:spacing w:val="-11"/>
          <w:sz w:val="24"/>
        </w:rPr>
        <w:t> </w:t>
      </w:r>
      <w:r>
        <w:rPr>
          <w:sz w:val="24"/>
        </w:rPr>
        <w:t>Univ</w:t>
      </w:r>
      <w:r>
        <w:rPr>
          <w:spacing w:val="-11"/>
          <w:sz w:val="24"/>
        </w:rPr>
        <w:t> </w:t>
      </w:r>
      <w:r>
        <w:rPr>
          <w:sz w:val="24"/>
        </w:rPr>
        <w:t>Health Sci. 2014; 3:</w:t>
      </w:r>
      <w:r>
        <w:rPr>
          <w:spacing w:val="-3"/>
          <w:sz w:val="24"/>
        </w:rPr>
        <w:t> </w:t>
      </w:r>
      <w:r>
        <w:rPr>
          <w:sz w:val="24"/>
        </w:rPr>
        <w:t>37-42.</w:t>
      </w:r>
    </w:p>
    <w:p>
      <w:pPr>
        <w:pStyle w:val="ListParagraph"/>
        <w:numPr>
          <w:ilvl w:val="0"/>
          <w:numId w:val="21"/>
        </w:numPr>
        <w:tabs>
          <w:tab w:pos="458" w:val="left" w:leader="none"/>
        </w:tabs>
        <w:spacing w:line="480" w:lineRule="auto" w:before="10" w:after="0"/>
        <w:ind w:left="102" w:right="119" w:firstLine="0"/>
        <w:jc w:val="both"/>
        <w:rPr>
          <w:sz w:val="24"/>
        </w:rPr>
      </w:pPr>
      <w:r>
        <w:rPr>
          <w:sz w:val="24"/>
        </w:rPr>
        <w:t>Ramesh</w:t>
      </w:r>
      <w:r>
        <w:rPr>
          <w:spacing w:val="-8"/>
          <w:sz w:val="24"/>
        </w:rPr>
        <w:t> </w:t>
      </w:r>
      <w:r>
        <w:rPr>
          <w:sz w:val="24"/>
        </w:rPr>
        <w:t>A,</w:t>
      </w:r>
      <w:r>
        <w:rPr>
          <w:spacing w:val="-8"/>
          <w:sz w:val="24"/>
        </w:rPr>
        <w:t> </w:t>
      </w:r>
      <w:r>
        <w:rPr>
          <w:sz w:val="24"/>
        </w:rPr>
        <w:t>Thomas</w:t>
      </w:r>
      <w:r>
        <w:rPr>
          <w:spacing w:val="-7"/>
          <w:sz w:val="24"/>
        </w:rPr>
        <w:t> </w:t>
      </w:r>
      <w:r>
        <w:rPr>
          <w:sz w:val="24"/>
        </w:rPr>
        <w:t>B,</w:t>
      </w:r>
      <w:r>
        <w:rPr>
          <w:spacing w:val="-7"/>
          <w:sz w:val="24"/>
        </w:rPr>
        <w:t> </w:t>
      </w:r>
      <w:r>
        <w:rPr>
          <w:sz w:val="24"/>
        </w:rPr>
        <w:t>Anand</w:t>
      </w:r>
      <w:r>
        <w:rPr>
          <w:spacing w:val="-7"/>
          <w:sz w:val="24"/>
        </w:rPr>
        <w:t> </w:t>
      </w:r>
      <w:r>
        <w:rPr>
          <w:sz w:val="24"/>
        </w:rPr>
        <w:t>A,</w:t>
      </w:r>
      <w:r>
        <w:rPr>
          <w:spacing w:val="-5"/>
          <w:sz w:val="24"/>
        </w:rPr>
        <w:t> </w:t>
      </w:r>
      <w:r>
        <w:rPr>
          <w:sz w:val="24"/>
        </w:rPr>
        <w:t>Kumari</w:t>
      </w:r>
      <w:r>
        <w:rPr>
          <w:spacing w:val="-7"/>
          <w:sz w:val="24"/>
        </w:rPr>
        <w:t> </w:t>
      </w:r>
      <w:r>
        <w:rPr>
          <w:sz w:val="24"/>
        </w:rPr>
        <w:t>S.</w:t>
      </w:r>
      <w:r>
        <w:rPr>
          <w:spacing w:val="-7"/>
          <w:sz w:val="24"/>
        </w:rPr>
        <w:t> </w:t>
      </w:r>
      <w:r>
        <w:rPr>
          <w:sz w:val="24"/>
        </w:rPr>
        <w:t>Comparative</w:t>
      </w:r>
      <w:r>
        <w:rPr>
          <w:spacing w:val="-8"/>
          <w:sz w:val="24"/>
        </w:rPr>
        <w:t> </w:t>
      </w:r>
      <w:r>
        <w:rPr>
          <w:sz w:val="24"/>
        </w:rPr>
        <w:t>evaluation</w:t>
      </w:r>
      <w:r>
        <w:rPr>
          <w:spacing w:val="-7"/>
          <w:sz w:val="24"/>
        </w:rPr>
        <w:t> </w:t>
      </w:r>
      <w:r>
        <w:rPr>
          <w:sz w:val="24"/>
        </w:rPr>
        <w:t>of</w:t>
      </w:r>
      <w:r>
        <w:rPr>
          <w:spacing w:val="-8"/>
          <w:sz w:val="24"/>
        </w:rPr>
        <w:t> </w:t>
      </w:r>
      <w:r>
        <w:rPr>
          <w:sz w:val="24"/>
        </w:rPr>
        <w:t>myeloperoxidase levels among systematically healthy individuals and patient with type 3 Diabetes Mellitus, with chronic periodontitis- A biochemical study. JSPIK.2010; 4:</w:t>
      </w:r>
      <w:r>
        <w:rPr>
          <w:spacing w:val="-9"/>
          <w:sz w:val="24"/>
        </w:rPr>
        <w:t> </w:t>
      </w:r>
      <w:r>
        <w:rPr>
          <w:sz w:val="24"/>
        </w:rPr>
        <w:t>15-17.</w:t>
      </w:r>
    </w:p>
    <w:p>
      <w:pPr>
        <w:pStyle w:val="ListParagraph"/>
        <w:numPr>
          <w:ilvl w:val="0"/>
          <w:numId w:val="21"/>
        </w:numPr>
        <w:tabs>
          <w:tab w:pos="479" w:val="left" w:leader="none"/>
        </w:tabs>
        <w:spacing w:line="480" w:lineRule="auto" w:before="10" w:after="0"/>
        <w:ind w:left="102" w:right="117" w:firstLine="0"/>
        <w:jc w:val="both"/>
        <w:rPr>
          <w:sz w:val="24"/>
        </w:rPr>
      </w:pPr>
      <w:r>
        <w:rPr>
          <w:sz w:val="24"/>
        </w:rPr>
        <w:t>Demmer RT, Jacobs DR Jr, Singh R, Zuk A, Rosenbaum M. Periodontal Bacteria and Prediabetes Prevalence in ORIGINS: The Oral Infections, Glucose Intolerance, and Insulin Resistance Study. J Dent Res. 2015; 94:</w:t>
      </w:r>
      <w:r>
        <w:rPr>
          <w:spacing w:val="-7"/>
          <w:sz w:val="24"/>
        </w:rPr>
        <w:t> </w:t>
      </w:r>
      <w:r>
        <w:rPr>
          <w:sz w:val="24"/>
        </w:rPr>
        <w:t>201S-211S</w:t>
      </w:r>
    </w:p>
    <w:p>
      <w:pPr>
        <w:pStyle w:val="ListParagraph"/>
        <w:numPr>
          <w:ilvl w:val="0"/>
          <w:numId w:val="21"/>
        </w:numPr>
        <w:tabs>
          <w:tab w:pos="453" w:val="left" w:leader="none"/>
        </w:tabs>
        <w:spacing w:line="480" w:lineRule="auto" w:before="10" w:after="0"/>
        <w:ind w:left="102" w:right="120" w:firstLine="0"/>
        <w:jc w:val="both"/>
        <w:rPr>
          <w:sz w:val="24"/>
        </w:rPr>
      </w:pPr>
      <w:r>
        <w:rPr>
          <w:sz w:val="24"/>
        </w:rPr>
        <w:t>Lazenby</w:t>
      </w:r>
      <w:r>
        <w:rPr>
          <w:spacing w:val="-18"/>
          <w:sz w:val="24"/>
        </w:rPr>
        <w:t> </w:t>
      </w:r>
      <w:r>
        <w:rPr>
          <w:sz w:val="24"/>
        </w:rPr>
        <w:t>MG,</w:t>
      </w:r>
      <w:r>
        <w:rPr>
          <w:spacing w:val="-14"/>
          <w:sz w:val="24"/>
        </w:rPr>
        <w:t> </w:t>
      </w:r>
      <w:r>
        <w:rPr>
          <w:sz w:val="24"/>
        </w:rPr>
        <w:t>Crook</w:t>
      </w:r>
      <w:r>
        <w:rPr>
          <w:spacing w:val="-11"/>
          <w:sz w:val="24"/>
        </w:rPr>
        <w:t> </w:t>
      </w:r>
      <w:r>
        <w:rPr>
          <w:sz w:val="24"/>
        </w:rPr>
        <w:t>MA.</w:t>
      </w:r>
      <w:r>
        <w:rPr>
          <w:spacing w:val="-14"/>
          <w:sz w:val="24"/>
        </w:rPr>
        <w:t> </w:t>
      </w:r>
      <w:r>
        <w:rPr>
          <w:sz w:val="24"/>
        </w:rPr>
        <w:t>The</w:t>
      </w:r>
      <w:r>
        <w:rPr>
          <w:spacing w:val="-15"/>
          <w:sz w:val="24"/>
        </w:rPr>
        <w:t> </w:t>
      </w:r>
      <w:r>
        <w:rPr>
          <w:sz w:val="24"/>
        </w:rPr>
        <w:t>innate</w:t>
      </w:r>
      <w:r>
        <w:rPr>
          <w:spacing w:val="-14"/>
          <w:sz w:val="24"/>
        </w:rPr>
        <w:t> </w:t>
      </w:r>
      <w:r>
        <w:rPr>
          <w:sz w:val="24"/>
        </w:rPr>
        <w:t>immune</w:t>
      </w:r>
      <w:r>
        <w:rPr>
          <w:spacing w:val="-14"/>
          <w:sz w:val="24"/>
        </w:rPr>
        <w:t> </w:t>
      </w:r>
      <w:r>
        <w:rPr>
          <w:sz w:val="24"/>
        </w:rPr>
        <w:t>system</w:t>
      </w:r>
      <w:r>
        <w:rPr>
          <w:spacing w:val="-12"/>
          <w:sz w:val="24"/>
        </w:rPr>
        <w:t> </w:t>
      </w:r>
      <w:r>
        <w:rPr>
          <w:sz w:val="24"/>
        </w:rPr>
        <w:t>and</w:t>
      </w:r>
      <w:r>
        <w:rPr>
          <w:spacing w:val="-13"/>
          <w:sz w:val="24"/>
        </w:rPr>
        <w:t> </w:t>
      </w:r>
      <w:r>
        <w:rPr>
          <w:sz w:val="24"/>
        </w:rPr>
        <w:t>diabetes</w:t>
      </w:r>
      <w:r>
        <w:rPr>
          <w:spacing w:val="-14"/>
          <w:sz w:val="24"/>
        </w:rPr>
        <w:t> </w:t>
      </w:r>
      <w:r>
        <w:rPr>
          <w:sz w:val="24"/>
        </w:rPr>
        <w:t>mellitus:</w:t>
      </w:r>
      <w:r>
        <w:rPr>
          <w:spacing w:val="-12"/>
          <w:sz w:val="24"/>
        </w:rPr>
        <w:t> </w:t>
      </w:r>
      <w:r>
        <w:rPr>
          <w:sz w:val="24"/>
        </w:rPr>
        <w:t>the</w:t>
      </w:r>
      <w:r>
        <w:rPr>
          <w:spacing w:val="-14"/>
          <w:sz w:val="24"/>
        </w:rPr>
        <w:t> </w:t>
      </w:r>
      <w:r>
        <w:rPr>
          <w:sz w:val="24"/>
        </w:rPr>
        <w:t>relevance of periodontitis? A hypothesis. Clin Sci (Lond). 2010; 119:</w:t>
      </w:r>
      <w:r>
        <w:rPr>
          <w:spacing w:val="-11"/>
          <w:sz w:val="24"/>
        </w:rPr>
        <w:t> </w:t>
      </w:r>
      <w:r>
        <w:rPr>
          <w:sz w:val="24"/>
        </w:rPr>
        <w:t>423-429.</w:t>
      </w:r>
    </w:p>
    <w:p>
      <w:pPr>
        <w:pStyle w:val="ListParagraph"/>
        <w:numPr>
          <w:ilvl w:val="0"/>
          <w:numId w:val="21"/>
        </w:numPr>
        <w:tabs>
          <w:tab w:pos="472" w:val="left" w:leader="none"/>
        </w:tabs>
        <w:spacing w:line="480" w:lineRule="auto" w:before="10" w:after="0"/>
        <w:ind w:left="102" w:right="115" w:firstLine="0"/>
        <w:jc w:val="both"/>
        <w:rPr>
          <w:sz w:val="24"/>
        </w:rPr>
      </w:pPr>
      <w:r>
        <w:rPr>
          <w:sz w:val="24"/>
        </w:rPr>
        <w:t>Lee HK, Choi SH, Won KC, Merchant AT, Song KB, et al. The effect of intensive oral hygiene</w:t>
      </w:r>
      <w:r>
        <w:rPr>
          <w:spacing w:val="-15"/>
          <w:sz w:val="24"/>
        </w:rPr>
        <w:t> </w:t>
      </w:r>
      <w:r>
        <w:rPr>
          <w:sz w:val="24"/>
        </w:rPr>
        <w:t>care</w:t>
      </w:r>
      <w:r>
        <w:rPr>
          <w:spacing w:val="-16"/>
          <w:sz w:val="24"/>
        </w:rPr>
        <w:t> </w:t>
      </w:r>
      <w:r>
        <w:rPr>
          <w:sz w:val="24"/>
        </w:rPr>
        <w:t>on</w:t>
      </w:r>
      <w:r>
        <w:rPr>
          <w:spacing w:val="-12"/>
          <w:sz w:val="24"/>
        </w:rPr>
        <w:t> </w:t>
      </w:r>
      <w:r>
        <w:rPr>
          <w:sz w:val="24"/>
        </w:rPr>
        <w:t>gingivitis</w:t>
      </w:r>
      <w:r>
        <w:rPr>
          <w:spacing w:val="-12"/>
          <w:sz w:val="24"/>
        </w:rPr>
        <w:t> </w:t>
      </w:r>
      <w:r>
        <w:rPr>
          <w:sz w:val="24"/>
        </w:rPr>
        <w:t>and</w:t>
      </w:r>
      <w:r>
        <w:rPr>
          <w:spacing w:val="-14"/>
          <w:sz w:val="24"/>
        </w:rPr>
        <w:t> </w:t>
      </w:r>
      <w:r>
        <w:rPr>
          <w:sz w:val="24"/>
        </w:rPr>
        <w:t>periodontal</w:t>
      </w:r>
      <w:r>
        <w:rPr>
          <w:spacing w:val="-15"/>
          <w:sz w:val="24"/>
        </w:rPr>
        <w:t> </w:t>
      </w:r>
      <w:r>
        <w:rPr>
          <w:sz w:val="24"/>
        </w:rPr>
        <w:t>destruction</w:t>
      </w:r>
      <w:r>
        <w:rPr>
          <w:spacing w:val="-12"/>
          <w:sz w:val="24"/>
        </w:rPr>
        <w:t> </w:t>
      </w:r>
      <w:r>
        <w:rPr>
          <w:sz w:val="24"/>
        </w:rPr>
        <w:t>in</w:t>
      </w:r>
      <w:r>
        <w:rPr>
          <w:spacing w:val="-14"/>
          <w:sz w:val="24"/>
        </w:rPr>
        <w:t> </w:t>
      </w:r>
      <w:r>
        <w:rPr>
          <w:sz w:val="24"/>
        </w:rPr>
        <w:t>type</w:t>
      </w:r>
      <w:r>
        <w:rPr>
          <w:spacing w:val="-15"/>
          <w:sz w:val="24"/>
        </w:rPr>
        <w:t> </w:t>
      </w:r>
      <w:r>
        <w:rPr>
          <w:sz w:val="24"/>
        </w:rPr>
        <w:t>2</w:t>
      </w:r>
      <w:r>
        <w:rPr>
          <w:spacing w:val="-14"/>
          <w:sz w:val="24"/>
        </w:rPr>
        <w:t> </w:t>
      </w:r>
      <w:r>
        <w:rPr>
          <w:sz w:val="24"/>
        </w:rPr>
        <w:t>diabetic</w:t>
      </w:r>
      <w:r>
        <w:rPr>
          <w:spacing w:val="-15"/>
          <w:sz w:val="24"/>
        </w:rPr>
        <w:t> </w:t>
      </w:r>
      <w:r>
        <w:rPr>
          <w:sz w:val="24"/>
        </w:rPr>
        <w:t>patients.</w:t>
      </w:r>
      <w:r>
        <w:rPr>
          <w:spacing w:val="-14"/>
          <w:sz w:val="24"/>
        </w:rPr>
        <w:t> </w:t>
      </w:r>
      <w:r>
        <w:rPr>
          <w:sz w:val="24"/>
        </w:rPr>
        <w:t>Yonsei</w:t>
      </w:r>
      <w:r>
        <w:rPr>
          <w:spacing w:val="-14"/>
          <w:sz w:val="24"/>
        </w:rPr>
        <w:t> </w:t>
      </w:r>
      <w:r>
        <w:rPr>
          <w:sz w:val="24"/>
        </w:rPr>
        <w:t>Med J. 2009; 50: 529-536.</w:t>
      </w:r>
    </w:p>
    <w:p>
      <w:pPr>
        <w:pStyle w:val="ListParagraph"/>
        <w:numPr>
          <w:ilvl w:val="0"/>
          <w:numId w:val="21"/>
        </w:numPr>
        <w:tabs>
          <w:tab w:pos="479" w:val="left" w:leader="none"/>
        </w:tabs>
        <w:spacing w:line="480" w:lineRule="auto" w:before="10" w:after="0"/>
        <w:ind w:left="102" w:right="119" w:firstLine="0"/>
        <w:jc w:val="both"/>
        <w:rPr>
          <w:sz w:val="24"/>
        </w:rPr>
      </w:pPr>
      <w:r>
        <w:rPr>
          <w:sz w:val="24"/>
        </w:rPr>
        <w:t>Monea A, Gruber R, Elod N, Beresescu G, Moldovan C, Monea M. Saliva and serum levels</w:t>
      </w:r>
      <w:r>
        <w:rPr>
          <w:spacing w:val="-15"/>
          <w:sz w:val="24"/>
        </w:rPr>
        <w:t> </w:t>
      </w:r>
      <w:r>
        <w:rPr>
          <w:sz w:val="24"/>
        </w:rPr>
        <w:t>of</w:t>
      </w:r>
      <w:r>
        <w:rPr>
          <w:spacing w:val="-14"/>
          <w:sz w:val="24"/>
        </w:rPr>
        <w:t> </w:t>
      </w:r>
      <w:r>
        <w:rPr>
          <w:sz w:val="24"/>
        </w:rPr>
        <w:t>TNF-</w:t>
      </w:r>
      <w:r>
        <w:rPr>
          <w:spacing w:val="-14"/>
          <w:sz w:val="24"/>
        </w:rPr>
        <w:t> </w:t>
      </w:r>
      <w:r>
        <w:rPr>
          <w:sz w:val="24"/>
        </w:rPr>
        <w:t>α</w:t>
      </w:r>
      <w:r>
        <w:rPr>
          <w:spacing w:val="-17"/>
          <w:sz w:val="24"/>
        </w:rPr>
        <w:t> </w:t>
      </w:r>
      <w:r>
        <w:rPr>
          <w:sz w:val="24"/>
        </w:rPr>
        <w:t>and</w:t>
      </w:r>
      <w:r>
        <w:rPr>
          <w:spacing w:val="-11"/>
          <w:sz w:val="24"/>
        </w:rPr>
        <w:t> </w:t>
      </w:r>
      <w:r>
        <w:rPr>
          <w:sz w:val="24"/>
        </w:rPr>
        <w:t>IL-6</w:t>
      </w:r>
      <w:r>
        <w:rPr>
          <w:spacing w:val="-14"/>
          <w:sz w:val="24"/>
        </w:rPr>
        <w:t> </w:t>
      </w:r>
      <w:r>
        <w:rPr>
          <w:sz w:val="24"/>
        </w:rPr>
        <w:t>in</w:t>
      </w:r>
      <w:r>
        <w:rPr>
          <w:spacing w:val="-15"/>
          <w:sz w:val="24"/>
        </w:rPr>
        <w:t> </w:t>
      </w:r>
      <w:r>
        <w:rPr>
          <w:sz w:val="24"/>
        </w:rPr>
        <w:t>a</w:t>
      </w:r>
      <w:r>
        <w:rPr>
          <w:spacing w:val="-15"/>
          <w:sz w:val="24"/>
        </w:rPr>
        <w:t> </w:t>
      </w:r>
      <w:r>
        <w:rPr>
          <w:sz w:val="24"/>
        </w:rPr>
        <w:t>simple</w:t>
      </w:r>
      <w:r>
        <w:rPr>
          <w:spacing w:val="-16"/>
          <w:sz w:val="24"/>
        </w:rPr>
        <w:t> </w:t>
      </w:r>
      <w:r>
        <w:rPr>
          <w:sz w:val="24"/>
        </w:rPr>
        <w:t>of</w:t>
      </w:r>
      <w:r>
        <w:rPr>
          <w:spacing w:val="-17"/>
          <w:sz w:val="24"/>
        </w:rPr>
        <w:t> </w:t>
      </w:r>
      <w:r>
        <w:rPr>
          <w:sz w:val="24"/>
        </w:rPr>
        <w:t>Romania</w:t>
      </w:r>
      <w:r>
        <w:rPr>
          <w:spacing w:val="-17"/>
          <w:sz w:val="24"/>
        </w:rPr>
        <w:t> </w:t>
      </w:r>
      <w:r>
        <w:rPr>
          <w:sz w:val="24"/>
        </w:rPr>
        <w:t>adult</w:t>
      </w:r>
      <w:r>
        <w:rPr>
          <w:spacing w:val="-15"/>
          <w:sz w:val="24"/>
        </w:rPr>
        <w:t> </w:t>
      </w:r>
      <w:r>
        <w:rPr>
          <w:sz w:val="24"/>
        </w:rPr>
        <w:t>subjects</w:t>
      </w:r>
      <w:r>
        <w:rPr>
          <w:spacing w:val="-15"/>
          <w:sz w:val="24"/>
        </w:rPr>
        <w:t> </w:t>
      </w:r>
      <w:r>
        <w:rPr>
          <w:sz w:val="24"/>
        </w:rPr>
        <w:t>with</w:t>
      </w:r>
      <w:r>
        <w:rPr>
          <w:spacing w:val="-15"/>
          <w:sz w:val="24"/>
        </w:rPr>
        <w:t> </w:t>
      </w:r>
      <w:r>
        <w:rPr>
          <w:sz w:val="24"/>
        </w:rPr>
        <w:t>type</w:t>
      </w:r>
      <w:r>
        <w:rPr>
          <w:spacing w:val="-15"/>
          <w:sz w:val="24"/>
        </w:rPr>
        <w:t> </w:t>
      </w:r>
      <w:r>
        <w:rPr>
          <w:sz w:val="24"/>
        </w:rPr>
        <w:t>2</w:t>
      </w:r>
      <w:r>
        <w:rPr>
          <w:spacing w:val="-13"/>
          <w:sz w:val="24"/>
        </w:rPr>
        <w:t> </w:t>
      </w:r>
      <w:r>
        <w:rPr>
          <w:sz w:val="24"/>
        </w:rPr>
        <w:t>Diabetes</w:t>
      </w:r>
      <w:r>
        <w:rPr>
          <w:spacing w:val="-16"/>
          <w:sz w:val="24"/>
        </w:rPr>
        <w:t> </w:t>
      </w:r>
      <w:r>
        <w:rPr>
          <w:sz w:val="24"/>
        </w:rPr>
        <w:t>Mellitus and Periodontal Disease. ESJ. 2014; 10:</w:t>
      </w:r>
      <w:r>
        <w:rPr>
          <w:spacing w:val="-6"/>
          <w:sz w:val="24"/>
        </w:rPr>
        <w:t> </w:t>
      </w:r>
      <w:r>
        <w:rPr>
          <w:sz w:val="24"/>
        </w:rPr>
        <w:t>350-359.</w:t>
      </w:r>
    </w:p>
    <w:p>
      <w:pPr>
        <w:pStyle w:val="ListParagraph"/>
        <w:numPr>
          <w:ilvl w:val="0"/>
          <w:numId w:val="21"/>
        </w:numPr>
        <w:tabs>
          <w:tab w:pos="467" w:val="left" w:leader="none"/>
        </w:tabs>
        <w:spacing w:line="480" w:lineRule="auto" w:before="10" w:after="0"/>
        <w:ind w:left="102" w:right="118" w:firstLine="0"/>
        <w:jc w:val="both"/>
        <w:rPr>
          <w:sz w:val="24"/>
        </w:rPr>
      </w:pPr>
      <w:r>
        <w:rPr>
          <w:sz w:val="24"/>
        </w:rPr>
        <w:t>Kosaka T, Kokubo Y, Ono T, Sekine S, Kida M, et al. Salivary inflammatory cytokines may be novel markers of carotid atherosclerosis in a Japanese general population: the Suita study. Atherosclerosis. 2014; 237:</w:t>
      </w:r>
      <w:r>
        <w:rPr>
          <w:spacing w:val="-5"/>
          <w:sz w:val="24"/>
        </w:rPr>
        <w:t> </w:t>
      </w:r>
      <w:r>
        <w:rPr>
          <w:sz w:val="24"/>
        </w:rPr>
        <w:t>123-128.</w:t>
      </w:r>
    </w:p>
    <w:p>
      <w:pPr>
        <w:pStyle w:val="ListParagraph"/>
        <w:numPr>
          <w:ilvl w:val="0"/>
          <w:numId w:val="21"/>
        </w:numPr>
        <w:tabs>
          <w:tab w:pos="467" w:val="left" w:leader="none"/>
        </w:tabs>
        <w:spacing w:line="480" w:lineRule="auto" w:before="11" w:after="0"/>
        <w:ind w:left="102" w:right="116" w:firstLine="0"/>
        <w:jc w:val="both"/>
        <w:rPr>
          <w:sz w:val="24"/>
        </w:rPr>
      </w:pPr>
      <w:r>
        <w:rPr>
          <w:sz w:val="24"/>
        </w:rPr>
        <w:t>Mohamed HG, Idris SB, Ahmed MF, Åstrøm AN, Mustafa K</w:t>
      </w:r>
      <w:r>
        <w:rPr>
          <w:i/>
          <w:sz w:val="24"/>
        </w:rPr>
        <w:t>, et-al</w:t>
      </w:r>
      <w:r>
        <w:rPr>
          <w:sz w:val="24"/>
        </w:rPr>
        <w:t>. Influence of type 2 diabetes on local production of inflammatory molecules in adults with and without chronic periodontitis: a cross-sectional study. BMC Oral Health. 2015; 15:</w:t>
      </w:r>
      <w:r>
        <w:rPr>
          <w:spacing w:val="-12"/>
          <w:sz w:val="24"/>
        </w:rPr>
        <w:t> </w:t>
      </w:r>
      <w:r>
        <w:rPr>
          <w:sz w:val="24"/>
        </w:rPr>
        <w:t>86.</w:t>
      </w:r>
    </w:p>
    <w:p>
      <w:pPr>
        <w:pStyle w:val="ListParagraph"/>
        <w:numPr>
          <w:ilvl w:val="0"/>
          <w:numId w:val="21"/>
        </w:numPr>
        <w:tabs>
          <w:tab w:pos="482" w:val="left" w:leader="none"/>
        </w:tabs>
        <w:spacing w:line="240" w:lineRule="auto" w:before="10" w:after="0"/>
        <w:ind w:left="481" w:right="0" w:hanging="379"/>
        <w:jc w:val="both"/>
        <w:rPr>
          <w:sz w:val="24"/>
        </w:rPr>
      </w:pPr>
      <w:r>
        <w:rPr>
          <w:sz w:val="24"/>
        </w:rPr>
        <w:t>Lohman TG, Roche F, Martorell R: Anthropometric standardization reference  </w:t>
      </w:r>
      <w:r>
        <w:rPr>
          <w:spacing w:val="5"/>
          <w:sz w:val="24"/>
        </w:rPr>
        <w:t> </w:t>
      </w:r>
      <w:r>
        <w:rPr>
          <w:sz w:val="24"/>
        </w:rPr>
        <w:t>manual.</w:t>
      </w:r>
    </w:p>
    <w:p>
      <w:pPr>
        <w:pStyle w:val="BodyText"/>
        <w:spacing w:before="11"/>
        <w:rPr>
          <w:sz w:val="23"/>
        </w:rPr>
      </w:pPr>
    </w:p>
    <w:p>
      <w:pPr>
        <w:pStyle w:val="BodyText"/>
        <w:ind w:left="102"/>
        <w:jc w:val="both"/>
      </w:pPr>
      <w:r>
        <w:rPr/>
        <w:t>Champaign, IL: Human Kinetics, Publishers; 1988.</w:t>
      </w:r>
    </w:p>
    <w:p>
      <w:pPr>
        <w:spacing w:after="0"/>
        <w:jc w:val="both"/>
        <w:sectPr>
          <w:pgSz w:w="12240" w:h="15840"/>
          <w:pgMar w:header="731" w:footer="0" w:top="960" w:bottom="280" w:left="1600" w:right="1580"/>
        </w:sectPr>
      </w:pPr>
    </w:p>
    <w:p>
      <w:pPr>
        <w:pStyle w:val="BodyText"/>
        <w:rPr>
          <w:sz w:val="20"/>
        </w:rPr>
      </w:pPr>
    </w:p>
    <w:p>
      <w:pPr>
        <w:pStyle w:val="ListParagraph"/>
        <w:numPr>
          <w:ilvl w:val="0"/>
          <w:numId w:val="21"/>
        </w:numPr>
        <w:tabs>
          <w:tab w:pos="463" w:val="left" w:leader="none"/>
        </w:tabs>
        <w:spacing w:line="240" w:lineRule="auto" w:before="207" w:after="0"/>
        <w:ind w:left="462" w:right="0" w:hanging="360"/>
        <w:jc w:val="both"/>
        <w:rPr>
          <w:sz w:val="24"/>
        </w:rPr>
      </w:pPr>
      <w:r>
        <w:rPr>
          <w:sz w:val="24"/>
        </w:rPr>
        <w:t>World Health Organization. Oral Health Surveys, Basic methods, 2013. 5ed.</w:t>
      </w:r>
      <w:r>
        <w:rPr>
          <w:spacing w:val="-18"/>
          <w:sz w:val="24"/>
        </w:rPr>
        <w:t> </w:t>
      </w:r>
      <w:r>
        <w:rPr>
          <w:sz w:val="24"/>
        </w:rPr>
        <w:t>France.</w:t>
      </w:r>
    </w:p>
    <w:p>
      <w:pPr>
        <w:pStyle w:val="BodyText"/>
      </w:pPr>
    </w:p>
    <w:p>
      <w:pPr>
        <w:pStyle w:val="ListParagraph"/>
        <w:numPr>
          <w:ilvl w:val="0"/>
          <w:numId w:val="21"/>
        </w:numPr>
        <w:tabs>
          <w:tab w:pos="470" w:val="left" w:leader="none"/>
        </w:tabs>
        <w:spacing w:line="480" w:lineRule="auto" w:before="0" w:after="0"/>
        <w:ind w:left="102" w:right="120" w:firstLine="0"/>
        <w:jc w:val="both"/>
        <w:rPr>
          <w:sz w:val="24"/>
        </w:rPr>
      </w:pPr>
      <w:r>
        <w:rPr>
          <w:sz w:val="24"/>
        </w:rPr>
        <w:t>Organización Mundial de la Salud: Appropriate body-mass index for Asian populations and its implications for policy and intervention strategies. Ginebra (Suiza): Organización Mundial de la Salud,</w:t>
      </w:r>
      <w:r>
        <w:rPr>
          <w:spacing w:val="-5"/>
          <w:sz w:val="24"/>
        </w:rPr>
        <w:t> </w:t>
      </w:r>
      <w:r>
        <w:rPr>
          <w:sz w:val="24"/>
        </w:rPr>
        <w:t>2004.</w:t>
      </w:r>
    </w:p>
    <w:p>
      <w:pPr>
        <w:pStyle w:val="ListParagraph"/>
        <w:numPr>
          <w:ilvl w:val="0"/>
          <w:numId w:val="21"/>
        </w:numPr>
        <w:tabs>
          <w:tab w:pos="451" w:val="left" w:leader="none"/>
        </w:tabs>
        <w:spacing w:line="480" w:lineRule="auto" w:before="10" w:after="0"/>
        <w:ind w:left="102" w:right="123" w:firstLine="0"/>
        <w:jc w:val="both"/>
        <w:rPr>
          <w:sz w:val="24"/>
        </w:rPr>
      </w:pPr>
      <w:r>
        <w:rPr>
          <w:sz w:val="24"/>
        </w:rPr>
        <w:t>StataCorp.</w:t>
      </w:r>
      <w:r>
        <w:rPr>
          <w:spacing w:val="-15"/>
          <w:sz w:val="24"/>
        </w:rPr>
        <w:t> </w:t>
      </w:r>
      <w:r>
        <w:rPr>
          <w:sz w:val="24"/>
        </w:rPr>
        <w:t>Stata</w:t>
      </w:r>
      <w:r>
        <w:rPr>
          <w:spacing w:val="-15"/>
          <w:sz w:val="24"/>
        </w:rPr>
        <w:t> </w:t>
      </w:r>
      <w:r>
        <w:rPr>
          <w:sz w:val="24"/>
        </w:rPr>
        <w:t>Statistical</w:t>
      </w:r>
      <w:r>
        <w:rPr>
          <w:spacing w:val="-14"/>
          <w:sz w:val="24"/>
        </w:rPr>
        <w:t> </w:t>
      </w:r>
      <w:r>
        <w:rPr>
          <w:sz w:val="24"/>
        </w:rPr>
        <w:t>Software:</w:t>
      </w:r>
      <w:r>
        <w:rPr>
          <w:spacing w:val="-14"/>
          <w:sz w:val="24"/>
        </w:rPr>
        <w:t> </w:t>
      </w:r>
      <w:r>
        <w:rPr>
          <w:sz w:val="24"/>
        </w:rPr>
        <w:t>Release</w:t>
      </w:r>
      <w:r>
        <w:rPr>
          <w:spacing w:val="-15"/>
          <w:sz w:val="24"/>
        </w:rPr>
        <w:t> </w:t>
      </w:r>
      <w:r>
        <w:rPr>
          <w:sz w:val="24"/>
        </w:rPr>
        <w:t>9</w:t>
      </w:r>
      <w:r>
        <w:rPr>
          <w:spacing w:val="-14"/>
          <w:sz w:val="24"/>
        </w:rPr>
        <w:t> </w:t>
      </w:r>
      <w:r>
        <w:rPr>
          <w:sz w:val="24"/>
        </w:rPr>
        <w:t>StataCorp</w:t>
      </w:r>
      <w:r>
        <w:rPr>
          <w:spacing w:val="-13"/>
          <w:sz w:val="24"/>
        </w:rPr>
        <w:t> </w:t>
      </w:r>
      <w:r>
        <w:rPr>
          <w:sz w:val="24"/>
        </w:rPr>
        <w:t>LP.</w:t>
      </w:r>
      <w:r>
        <w:rPr>
          <w:spacing w:val="-14"/>
          <w:sz w:val="24"/>
        </w:rPr>
        <w:t> </w:t>
      </w:r>
      <w:r>
        <w:rPr>
          <w:sz w:val="24"/>
        </w:rPr>
        <w:t>TX,</w:t>
      </w:r>
      <w:r>
        <w:rPr>
          <w:spacing w:val="-14"/>
          <w:sz w:val="24"/>
        </w:rPr>
        <w:t> </w:t>
      </w:r>
      <w:r>
        <w:rPr>
          <w:sz w:val="24"/>
        </w:rPr>
        <w:t>USA:</w:t>
      </w:r>
      <w:r>
        <w:rPr>
          <w:spacing w:val="-14"/>
          <w:sz w:val="24"/>
        </w:rPr>
        <w:t> </w:t>
      </w:r>
      <w:r>
        <w:rPr>
          <w:sz w:val="24"/>
        </w:rPr>
        <w:t>College</w:t>
      </w:r>
      <w:r>
        <w:rPr>
          <w:spacing w:val="-15"/>
          <w:sz w:val="24"/>
        </w:rPr>
        <w:t> </w:t>
      </w:r>
      <w:r>
        <w:rPr>
          <w:sz w:val="24"/>
        </w:rPr>
        <w:t>Station; 2005.</w:t>
      </w:r>
    </w:p>
    <w:p>
      <w:pPr>
        <w:pStyle w:val="ListParagraph"/>
        <w:numPr>
          <w:ilvl w:val="0"/>
          <w:numId w:val="21"/>
        </w:numPr>
        <w:tabs>
          <w:tab w:pos="470" w:val="left" w:leader="none"/>
        </w:tabs>
        <w:spacing w:line="480" w:lineRule="auto" w:before="10" w:after="0"/>
        <w:ind w:left="102" w:right="117" w:firstLine="0"/>
        <w:jc w:val="both"/>
        <w:rPr>
          <w:sz w:val="24"/>
        </w:rPr>
      </w:pPr>
      <w:r>
        <w:rPr>
          <w:sz w:val="24"/>
        </w:rPr>
        <w:t>Guadarrama-López AL, Valdés-Ramos R, Kaufer-Horwitz M, Harbige LS, Contreras I, Martínez-Carrillo BE. Relationship between Fatty Acid Habitual Intake and Early Inflammation Biomarkers in Individuals with and without Type 2 Diabetes in Mexico. Endocr Metab Immune Disord Drug Targets. 2015; 15:</w:t>
      </w:r>
      <w:r>
        <w:rPr>
          <w:spacing w:val="-8"/>
          <w:sz w:val="24"/>
        </w:rPr>
        <w:t> </w:t>
      </w:r>
      <w:r>
        <w:rPr>
          <w:sz w:val="24"/>
        </w:rPr>
        <w:t>234-241.</w:t>
      </w:r>
    </w:p>
    <w:p>
      <w:pPr>
        <w:pStyle w:val="ListParagraph"/>
        <w:numPr>
          <w:ilvl w:val="0"/>
          <w:numId w:val="21"/>
        </w:numPr>
        <w:tabs>
          <w:tab w:pos="479" w:val="left" w:leader="none"/>
        </w:tabs>
        <w:spacing w:line="480" w:lineRule="auto" w:before="10" w:after="0"/>
        <w:ind w:left="102" w:right="114" w:firstLine="0"/>
        <w:jc w:val="both"/>
        <w:rPr>
          <w:sz w:val="24"/>
        </w:rPr>
      </w:pPr>
      <w:r>
        <w:rPr>
          <w:sz w:val="24"/>
        </w:rPr>
        <w:t>Ebersole JL, Schuster JL, Stevens J, Dawson D, Kryscio RJ, et-al. Patterns of salivary analytes provide diagnostic capacity for distinguishing chronic adult periodontitis from health. J Clin Immunol. 2013;</w:t>
      </w:r>
      <w:r>
        <w:rPr>
          <w:spacing w:val="-6"/>
          <w:sz w:val="24"/>
        </w:rPr>
        <w:t> </w:t>
      </w:r>
      <w:r>
        <w:rPr>
          <w:sz w:val="24"/>
        </w:rPr>
        <w:t>33:271-279.</w:t>
      </w:r>
    </w:p>
    <w:p>
      <w:pPr>
        <w:pStyle w:val="ListParagraph"/>
        <w:numPr>
          <w:ilvl w:val="0"/>
          <w:numId w:val="21"/>
        </w:numPr>
        <w:tabs>
          <w:tab w:pos="522" w:val="left" w:leader="none"/>
        </w:tabs>
        <w:spacing w:line="480" w:lineRule="auto" w:before="10" w:after="0"/>
        <w:ind w:left="102" w:right="124" w:firstLine="0"/>
        <w:jc w:val="both"/>
        <w:rPr>
          <w:sz w:val="24"/>
        </w:rPr>
      </w:pPr>
      <w:r>
        <w:rPr>
          <w:sz w:val="24"/>
        </w:rPr>
        <w:t>Donath MY, Shoelson SE. Type 2 diabetes as an inflammatory disease. Nat Rev Immunol. 2011; 11:</w:t>
      </w:r>
      <w:r>
        <w:rPr>
          <w:spacing w:val="-2"/>
          <w:sz w:val="24"/>
        </w:rPr>
        <w:t> </w:t>
      </w:r>
      <w:r>
        <w:rPr>
          <w:sz w:val="24"/>
        </w:rPr>
        <w:t>98-107.</w:t>
      </w:r>
    </w:p>
    <w:p>
      <w:pPr>
        <w:pStyle w:val="ListParagraph"/>
        <w:numPr>
          <w:ilvl w:val="0"/>
          <w:numId w:val="21"/>
        </w:numPr>
        <w:tabs>
          <w:tab w:pos="458" w:val="left" w:leader="none"/>
        </w:tabs>
        <w:spacing w:line="480" w:lineRule="auto" w:before="10" w:after="0"/>
        <w:ind w:left="102" w:right="118" w:firstLine="0"/>
        <w:jc w:val="both"/>
        <w:rPr>
          <w:sz w:val="24"/>
        </w:rPr>
      </w:pPr>
      <w:r>
        <w:rPr>
          <w:sz w:val="24"/>
        </w:rPr>
        <w:t>Cai</w:t>
      </w:r>
      <w:r>
        <w:rPr>
          <w:spacing w:val="-6"/>
          <w:sz w:val="24"/>
        </w:rPr>
        <w:t> </w:t>
      </w:r>
      <w:r>
        <w:rPr>
          <w:sz w:val="24"/>
        </w:rPr>
        <w:t>D,</w:t>
      </w:r>
      <w:r>
        <w:rPr>
          <w:spacing w:val="-7"/>
          <w:sz w:val="24"/>
        </w:rPr>
        <w:t> </w:t>
      </w:r>
      <w:r>
        <w:rPr>
          <w:sz w:val="24"/>
        </w:rPr>
        <w:t>Yuan</w:t>
      </w:r>
      <w:r>
        <w:rPr>
          <w:spacing w:val="-4"/>
          <w:sz w:val="24"/>
        </w:rPr>
        <w:t> </w:t>
      </w:r>
      <w:r>
        <w:rPr>
          <w:sz w:val="24"/>
        </w:rPr>
        <w:t>M,</w:t>
      </w:r>
      <w:r>
        <w:rPr>
          <w:spacing w:val="-6"/>
          <w:sz w:val="24"/>
        </w:rPr>
        <w:t> </w:t>
      </w:r>
      <w:r>
        <w:rPr>
          <w:sz w:val="24"/>
        </w:rPr>
        <w:t>Frantz</w:t>
      </w:r>
      <w:r>
        <w:rPr>
          <w:spacing w:val="-5"/>
          <w:sz w:val="24"/>
        </w:rPr>
        <w:t> </w:t>
      </w:r>
      <w:r>
        <w:rPr>
          <w:sz w:val="24"/>
        </w:rPr>
        <w:t>D,</w:t>
      </w:r>
      <w:r>
        <w:rPr>
          <w:spacing w:val="-7"/>
          <w:sz w:val="24"/>
        </w:rPr>
        <w:t> </w:t>
      </w:r>
      <w:r>
        <w:rPr>
          <w:sz w:val="24"/>
        </w:rPr>
        <w:t>Melendez</w:t>
      </w:r>
      <w:r>
        <w:rPr>
          <w:spacing w:val="-5"/>
          <w:sz w:val="24"/>
        </w:rPr>
        <w:t> </w:t>
      </w:r>
      <w:r>
        <w:rPr>
          <w:sz w:val="24"/>
        </w:rPr>
        <w:t>P,</w:t>
      </w:r>
      <w:r>
        <w:rPr>
          <w:spacing w:val="-6"/>
          <w:sz w:val="24"/>
        </w:rPr>
        <w:t> </w:t>
      </w:r>
      <w:r>
        <w:rPr>
          <w:sz w:val="24"/>
        </w:rPr>
        <w:t>Hansen</w:t>
      </w:r>
      <w:r>
        <w:rPr>
          <w:spacing w:val="-3"/>
          <w:sz w:val="24"/>
        </w:rPr>
        <w:t> L,</w:t>
      </w:r>
      <w:r>
        <w:rPr>
          <w:spacing w:val="-2"/>
          <w:sz w:val="24"/>
        </w:rPr>
        <w:t> </w:t>
      </w:r>
      <w:r>
        <w:rPr>
          <w:sz w:val="24"/>
        </w:rPr>
        <w:t>Lee</w:t>
      </w:r>
      <w:r>
        <w:rPr>
          <w:spacing w:val="-5"/>
          <w:sz w:val="24"/>
        </w:rPr>
        <w:t> </w:t>
      </w:r>
      <w:r>
        <w:rPr>
          <w:sz w:val="24"/>
        </w:rPr>
        <w:t>J,</w:t>
      </w:r>
      <w:r>
        <w:rPr>
          <w:spacing w:val="-6"/>
          <w:sz w:val="24"/>
        </w:rPr>
        <w:t> </w:t>
      </w:r>
      <w:r>
        <w:rPr>
          <w:sz w:val="24"/>
        </w:rPr>
        <w:t>Shoelson</w:t>
      </w:r>
      <w:r>
        <w:rPr>
          <w:spacing w:val="-6"/>
          <w:sz w:val="24"/>
        </w:rPr>
        <w:t> </w:t>
      </w:r>
      <w:r>
        <w:rPr>
          <w:sz w:val="24"/>
        </w:rPr>
        <w:t>S.</w:t>
      </w:r>
      <w:r>
        <w:rPr>
          <w:spacing w:val="-6"/>
          <w:sz w:val="24"/>
        </w:rPr>
        <w:t> </w:t>
      </w:r>
      <w:r>
        <w:rPr>
          <w:sz w:val="24"/>
        </w:rPr>
        <w:t>Local</w:t>
      </w:r>
      <w:r>
        <w:rPr>
          <w:spacing w:val="-6"/>
          <w:sz w:val="24"/>
        </w:rPr>
        <w:t> </w:t>
      </w:r>
      <w:r>
        <w:rPr>
          <w:sz w:val="24"/>
        </w:rPr>
        <w:t>and</w:t>
      </w:r>
      <w:r>
        <w:rPr>
          <w:spacing w:val="-6"/>
          <w:sz w:val="24"/>
        </w:rPr>
        <w:t> </w:t>
      </w:r>
      <w:r>
        <w:rPr>
          <w:sz w:val="24"/>
        </w:rPr>
        <w:t>systemic insulin resistance resulting from hepatic activation of IKK-beta and NF-kappaB. Nat Med. 2005;</w:t>
      </w:r>
      <w:r>
        <w:rPr>
          <w:spacing w:val="-1"/>
          <w:sz w:val="24"/>
        </w:rPr>
        <w:t> </w:t>
      </w:r>
      <w:r>
        <w:rPr>
          <w:sz w:val="24"/>
        </w:rPr>
        <w:t>11:183-190.</w:t>
      </w:r>
    </w:p>
    <w:p>
      <w:pPr>
        <w:pStyle w:val="ListParagraph"/>
        <w:numPr>
          <w:ilvl w:val="0"/>
          <w:numId w:val="21"/>
        </w:numPr>
        <w:tabs>
          <w:tab w:pos="470" w:val="left" w:leader="none"/>
        </w:tabs>
        <w:spacing w:line="480" w:lineRule="auto" w:before="10" w:after="0"/>
        <w:ind w:left="102" w:right="123" w:firstLine="0"/>
        <w:jc w:val="both"/>
        <w:rPr>
          <w:sz w:val="24"/>
        </w:rPr>
      </w:pPr>
      <w:r>
        <w:rPr>
          <w:sz w:val="24"/>
        </w:rPr>
        <w:t>Stanko P, Izakovicova Holla L. Bidirectional association between diabetes mellitus and inflammatory periodontal disease. A review, Biomed Pap Univ Palacky Olomouc Czech Repub, Olomouc. Czechoslovakia. 2014; 158:</w:t>
      </w:r>
      <w:r>
        <w:rPr>
          <w:spacing w:val="-4"/>
          <w:sz w:val="24"/>
        </w:rPr>
        <w:t> </w:t>
      </w:r>
      <w:r>
        <w:rPr>
          <w:sz w:val="24"/>
        </w:rPr>
        <w:t>35-38.</w:t>
      </w:r>
    </w:p>
    <w:p>
      <w:pPr>
        <w:pStyle w:val="ListParagraph"/>
        <w:numPr>
          <w:ilvl w:val="0"/>
          <w:numId w:val="21"/>
        </w:numPr>
        <w:tabs>
          <w:tab w:pos="455" w:val="left" w:leader="none"/>
        </w:tabs>
        <w:spacing w:line="480" w:lineRule="auto" w:before="10" w:after="0"/>
        <w:ind w:left="102" w:right="113" w:firstLine="0"/>
        <w:jc w:val="both"/>
        <w:rPr>
          <w:sz w:val="24"/>
        </w:rPr>
      </w:pPr>
      <w:r>
        <w:rPr>
          <w:sz w:val="24"/>
        </w:rPr>
        <w:t>Gocke</w:t>
      </w:r>
      <w:r>
        <w:rPr>
          <w:spacing w:val="-10"/>
          <w:sz w:val="24"/>
        </w:rPr>
        <w:t> </w:t>
      </w:r>
      <w:r>
        <w:rPr>
          <w:sz w:val="24"/>
        </w:rPr>
        <w:t>C,</w:t>
      </w:r>
      <w:r>
        <w:rPr>
          <w:spacing w:val="-9"/>
          <w:sz w:val="24"/>
        </w:rPr>
        <w:t> </w:t>
      </w:r>
      <w:r>
        <w:rPr>
          <w:sz w:val="24"/>
        </w:rPr>
        <w:t>Holtfreter</w:t>
      </w:r>
      <w:r>
        <w:rPr>
          <w:spacing w:val="-7"/>
          <w:sz w:val="24"/>
        </w:rPr>
        <w:t> </w:t>
      </w:r>
      <w:r>
        <w:rPr>
          <w:sz w:val="24"/>
        </w:rPr>
        <w:t>B,</w:t>
      </w:r>
      <w:r>
        <w:rPr>
          <w:spacing w:val="-9"/>
          <w:sz w:val="24"/>
        </w:rPr>
        <w:t> </w:t>
      </w:r>
      <w:r>
        <w:rPr>
          <w:sz w:val="24"/>
        </w:rPr>
        <w:t>Meisel</w:t>
      </w:r>
      <w:r>
        <w:rPr>
          <w:spacing w:val="-8"/>
          <w:sz w:val="24"/>
        </w:rPr>
        <w:t> </w:t>
      </w:r>
      <w:r>
        <w:rPr>
          <w:sz w:val="24"/>
        </w:rPr>
        <w:t>P,</w:t>
      </w:r>
      <w:r>
        <w:rPr>
          <w:spacing w:val="-9"/>
          <w:sz w:val="24"/>
        </w:rPr>
        <w:t> </w:t>
      </w:r>
      <w:r>
        <w:rPr>
          <w:sz w:val="24"/>
        </w:rPr>
        <w:t>Grotevendt</w:t>
      </w:r>
      <w:r>
        <w:rPr>
          <w:spacing w:val="-8"/>
          <w:sz w:val="24"/>
        </w:rPr>
        <w:t> </w:t>
      </w:r>
      <w:r>
        <w:rPr>
          <w:sz w:val="24"/>
        </w:rPr>
        <w:t>A,</w:t>
      </w:r>
      <w:r>
        <w:rPr>
          <w:spacing w:val="-9"/>
          <w:sz w:val="24"/>
        </w:rPr>
        <w:t> </w:t>
      </w:r>
      <w:r>
        <w:rPr>
          <w:sz w:val="24"/>
        </w:rPr>
        <w:t>Jablonowski</w:t>
      </w:r>
      <w:r>
        <w:rPr>
          <w:spacing w:val="-8"/>
          <w:sz w:val="24"/>
        </w:rPr>
        <w:t> </w:t>
      </w:r>
      <w:r>
        <w:rPr>
          <w:spacing w:val="-3"/>
          <w:sz w:val="24"/>
        </w:rPr>
        <w:t>L,</w:t>
      </w:r>
      <w:r>
        <w:rPr>
          <w:spacing w:val="-4"/>
          <w:sz w:val="24"/>
        </w:rPr>
        <w:t> </w:t>
      </w:r>
      <w:r>
        <w:rPr>
          <w:i/>
          <w:sz w:val="24"/>
        </w:rPr>
        <w:t>et-al</w:t>
      </w:r>
      <w:r>
        <w:rPr>
          <w:sz w:val="24"/>
        </w:rPr>
        <w:t>.</w:t>
      </w:r>
      <w:r>
        <w:rPr>
          <w:spacing w:val="-6"/>
          <w:sz w:val="24"/>
        </w:rPr>
        <w:t> </w:t>
      </w:r>
      <w:r>
        <w:rPr>
          <w:sz w:val="24"/>
        </w:rPr>
        <w:t>Abdominal</w:t>
      </w:r>
      <w:r>
        <w:rPr>
          <w:spacing w:val="-9"/>
          <w:sz w:val="24"/>
        </w:rPr>
        <w:t> </w:t>
      </w:r>
      <w:r>
        <w:rPr>
          <w:sz w:val="24"/>
        </w:rPr>
        <w:t>obesity modifies long-term associations between periodontitis and markers of systemic inflammation. Atherosclerosis. 2014; 235:</w:t>
      </w:r>
      <w:r>
        <w:rPr>
          <w:spacing w:val="-5"/>
          <w:sz w:val="24"/>
        </w:rPr>
        <w:t> </w:t>
      </w:r>
      <w:r>
        <w:rPr>
          <w:sz w:val="24"/>
        </w:rPr>
        <w:t>351-357.</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ListParagraph"/>
        <w:numPr>
          <w:ilvl w:val="0"/>
          <w:numId w:val="21"/>
        </w:numPr>
        <w:tabs>
          <w:tab w:pos="467" w:val="left" w:leader="none"/>
        </w:tabs>
        <w:spacing w:line="480" w:lineRule="auto" w:before="207" w:after="0"/>
        <w:ind w:left="102" w:right="116" w:firstLine="0"/>
        <w:jc w:val="both"/>
        <w:rPr>
          <w:sz w:val="24"/>
        </w:rPr>
      </w:pPr>
      <w:r>
        <w:rPr>
          <w:sz w:val="24"/>
        </w:rPr>
        <w:t>Khosravi R, Ka K, Huang T, Khalili S, Nguyen BH, et al. Tumor necrosis factor- α and interleukin-6: potential interorgan inflammatory mediators contributing to destructive periodontal disease in obesity or metabolic syndrome. Mediators Inflamm. 2013; 2013:728987. doi: 10.1155/2013/728987. Epub 2013 Aug</w:t>
      </w:r>
      <w:r>
        <w:rPr>
          <w:spacing w:val="-7"/>
          <w:sz w:val="24"/>
        </w:rPr>
        <w:t> </w:t>
      </w:r>
      <w:r>
        <w:rPr>
          <w:sz w:val="24"/>
        </w:rPr>
        <w:t>28.</w:t>
      </w:r>
    </w:p>
    <w:p>
      <w:pPr>
        <w:pStyle w:val="ListParagraph"/>
        <w:numPr>
          <w:ilvl w:val="0"/>
          <w:numId w:val="21"/>
        </w:numPr>
        <w:tabs>
          <w:tab w:pos="455" w:val="left" w:leader="none"/>
        </w:tabs>
        <w:spacing w:line="240" w:lineRule="auto" w:before="10" w:after="0"/>
        <w:ind w:left="454" w:right="0" w:hanging="352"/>
        <w:jc w:val="both"/>
        <w:rPr>
          <w:sz w:val="24"/>
        </w:rPr>
      </w:pPr>
      <w:r>
        <w:rPr>
          <w:sz w:val="24"/>
        </w:rPr>
        <w:t>Waki</w:t>
      </w:r>
      <w:r>
        <w:rPr>
          <w:spacing w:val="-8"/>
          <w:sz w:val="24"/>
        </w:rPr>
        <w:t> </w:t>
      </w:r>
      <w:r>
        <w:rPr>
          <w:sz w:val="24"/>
        </w:rPr>
        <w:t>H</w:t>
      </w:r>
      <w:r>
        <w:rPr>
          <w:spacing w:val="-9"/>
          <w:sz w:val="24"/>
        </w:rPr>
        <w:t> </w:t>
      </w:r>
      <w:r>
        <w:rPr>
          <w:sz w:val="24"/>
        </w:rPr>
        <w:t>and</w:t>
      </w:r>
      <w:r>
        <w:rPr>
          <w:spacing w:val="-9"/>
          <w:sz w:val="24"/>
        </w:rPr>
        <w:t> </w:t>
      </w:r>
      <w:r>
        <w:rPr>
          <w:sz w:val="24"/>
        </w:rPr>
        <w:t>Tontonoz</w:t>
      </w:r>
      <w:r>
        <w:rPr>
          <w:spacing w:val="-7"/>
          <w:sz w:val="24"/>
        </w:rPr>
        <w:t> </w:t>
      </w:r>
      <w:r>
        <w:rPr>
          <w:sz w:val="24"/>
        </w:rPr>
        <w:t>P</w:t>
      </w:r>
      <w:r>
        <w:rPr>
          <w:spacing w:val="-8"/>
          <w:sz w:val="24"/>
        </w:rPr>
        <w:t> </w:t>
      </w:r>
      <w:r>
        <w:rPr>
          <w:sz w:val="24"/>
        </w:rPr>
        <w:t>(2007).</w:t>
      </w:r>
      <w:r>
        <w:rPr>
          <w:spacing w:val="-9"/>
          <w:sz w:val="24"/>
        </w:rPr>
        <w:t> </w:t>
      </w:r>
      <w:r>
        <w:rPr>
          <w:sz w:val="24"/>
        </w:rPr>
        <w:t>Endocrine</w:t>
      </w:r>
      <w:r>
        <w:rPr>
          <w:spacing w:val="-10"/>
          <w:sz w:val="24"/>
        </w:rPr>
        <w:t> </w:t>
      </w:r>
      <w:r>
        <w:rPr>
          <w:sz w:val="24"/>
        </w:rPr>
        <w:t>functions</w:t>
      </w:r>
      <w:r>
        <w:rPr>
          <w:spacing w:val="-8"/>
          <w:sz w:val="24"/>
        </w:rPr>
        <w:t> </w:t>
      </w:r>
      <w:r>
        <w:rPr>
          <w:sz w:val="24"/>
        </w:rPr>
        <w:t>of</w:t>
      </w:r>
      <w:r>
        <w:rPr>
          <w:spacing w:val="-9"/>
          <w:sz w:val="24"/>
        </w:rPr>
        <w:t> </w:t>
      </w:r>
      <w:r>
        <w:rPr>
          <w:sz w:val="24"/>
        </w:rPr>
        <w:t>adipose</w:t>
      </w:r>
      <w:r>
        <w:rPr>
          <w:spacing w:val="-10"/>
          <w:sz w:val="24"/>
        </w:rPr>
        <w:t> </w:t>
      </w:r>
      <w:r>
        <w:rPr>
          <w:sz w:val="24"/>
        </w:rPr>
        <w:t>tissue.</w:t>
      </w:r>
      <w:r>
        <w:rPr>
          <w:spacing w:val="-9"/>
          <w:sz w:val="24"/>
        </w:rPr>
        <w:t> </w:t>
      </w:r>
      <w:r>
        <w:rPr>
          <w:sz w:val="24"/>
        </w:rPr>
        <w:t>Annu</w:t>
      </w:r>
      <w:r>
        <w:rPr>
          <w:spacing w:val="-9"/>
          <w:sz w:val="24"/>
        </w:rPr>
        <w:t> </w:t>
      </w:r>
      <w:r>
        <w:rPr>
          <w:sz w:val="24"/>
        </w:rPr>
        <w:t>Rev</w:t>
      </w:r>
      <w:r>
        <w:rPr>
          <w:spacing w:val="-9"/>
          <w:sz w:val="24"/>
        </w:rPr>
        <w:t> </w:t>
      </w:r>
      <w:r>
        <w:rPr>
          <w:sz w:val="24"/>
        </w:rPr>
        <w:t>Pathol.</w:t>
      </w:r>
    </w:p>
    <w:p>
      <w:pPr>
        <w:pStyle w:val="BodyText"/>
      </w:pPr>
    </w:p>
    <w:p>
      <w:pPr>
        <w:pStyle w:val="BodyText"/>
        <w:ind w:left="102"/>
        <w:jc w:val="both"/>
      </w:pPr>
      <w:r>
        <w:rPr/>
        <w:t>2007; 2: 31–56.</w:t>
      </w:r>
    </w:p>
    <w:p>
      <w:pPr>
        <w:pStyle w:val="BodyText"/>
      </w:pPr>
    </w:p>
    <w:p>
      <w:pPr>
        <w:pStyle w:val="ListParagraph"/>
        <w:numPr>
          <w:ilvl w:val="0"/>
          <w:numId w:val="21"/>
        </w:numPr>
        <w:tabs>
          <w:tab w:pos="477" w:val="left" w:leader="none"/>
        </w:tabs>
        <w:spacing w:line="480" w:lineRule="auto" w:before="0" w:after="0"/>
        <w:ind w:left="102" w:right="117" w:firstLine="0"/>
        <w:jc w:val="both"/>
        <w:rPr>
          <w:sz w:val="24"/>
        </w:rPr>
      </w:pPr>
      <w:r>
        <w:rPr>
          <w:sz w:val="24"/>
        </w:rPr>
        <w:t>Kahn BB and Flier JS. Obesity and insulin resistance. J. Clin. Invest. 2000; 106: 473– 481.</w:t>
      </w:r>
    </w:p>
    <w:p>
      <w:pPr>
        <w:pStyle w:val="ListParagraph"/>
        <w:numPr>
          <w:ilvl w:val="0"/>
          <w:numId w:val="21"/>
        </w:numPr>
        <w:tabs>
          <w:tab w:pos="522" w:val="left" w:leader="none"/>
        </w:tabs>
        <w:spacing w:line="480" w:lineRule="auto" w:before="10" w:after="0"/>
        <w:ind w:left="102" w:right="122" w:firstLine="0"/>
        <w:jc w:val="both"/>
        <w:rPr>
          <w:sz w:val="24"/>
        </w:rPr>
      </w:pPr>
      <w:r>
        <w:rPr>
          <w:sz w:val="24"/>
        </w:rPr>
        <w:t>Gomez C, Karavitis J, Palmer J, Faunce D, Ramírez </w:t>
      </w:r>
      <w:r>
        <w:rPr>
          <w:spacing w:val="-3"/>
          <w:sz w:val="24"/>
        </w:rPr>
        <w:t>L, </w:t>
      </w:r>
      <w:r>
        <w:rPr>
          <w:sz w:val="24"/>
        </w:rPr>
        <w:t>Nomellini V, Kovacs E. Interleukin-6 contributes to age-related alteration of cytokine production by macrophages. Mediators of Inflammation. 2010.</w:t>
      </w:r>
      <w:r>
        <w:rPr>
          <w:spacing w:val="-9"/>
          <w:sz w:val="24"/>
        </w:rPr>
        <w:t> </w:t>
      </w:r>
      <w:r>
        <w:rPr>
          <w:sz w:val="24"/>
        </w:rPr>
        <w:t>doi:10.1155/2010/475139</w:t>
      </w:r>
    </w:p>
    <w:p>
      <w:pPr>
        <w:pStyle w:val="ListParagraph"/>
        <w:numPr>
          <w:ilvl w:val="0"/>
          <w:numId w:val="21"/>
        </w:numPr>
        <w:tabs>
          <w:tab w:pos="537" w:val="left" w:leader="none"/>
        </w:tabs>
        <w:spacing w:line="480" w:lineRule="auto" w:before="10" w:after="0"/>
        <w:ind w:left="102" w:right="116" w:firstLine="0"/>
        <w:jc w:val="both"/>
        <w:rPr>
          <w:sz w:val="24"/>
        </w:rPr>
      </w:pPr>
      <w:r>
        <w:rPr>
          <w:sz w:val="24"/>
        </w:rPr>
        <w:t>Franceschi C, Campisi J. Chronic inflammation (inflammaging) and its potential contribution to age-associated diseases. J Gerontol A Biol Sci Med Sci. 2014 Jun;69 Suppl 1:S4-9. doi:</w:t>
      </w:r>
      <w:r>
        <w:rPr>
          <w:spacing w:val="-5"/>
          <w:sz w:val="24"/>
        </w:rPr>
        <w:t> </w:t>
      </w:r>
      <w:r>
        <w:rPr>
          <w:sz w:val="24"/>
        </w:rPr>
        <w:t>10.1093/gerona/glu057.</w:t>
      </w:r>
    </w:p>
    <w:p>
      <w:pPr>
        <w:pStyle w:val="ListParagraph"/>
        <w:numPr>
          <w:ilvl w:val="0"/>
          <w:numId w:val="21"/>
        </w:numPr>
        <w:tabs>
          <w:tab w:pos="489" w:val="left" w:leader="none"/>
        </w:tabs>
        <w:spacing w:line="480" w:lineRule="auto" w:before="10" w:after="0"/>
        <w:ind w:left="102" w:right="113" w:firstLine="0"/>
        <w:jc w:val="both"/>
        <w:rPr>
          <w:sz w:val="24"/>
        </w:rPr>
      </w:pPr>
      <w:r>
        <w:rPr>
          <w:sz w:val="24"/>
        </w:rPr>
        <w:t>Ershler W, Keller E. Age-associated increased interleukin-6 gene expression, late-life diseases, and frailty. Ann Rev Med. 2000; 51:</w:t>
      </w:r>
      <w:r>
        <w:rPr>
          <w:spacing w:val="-7"/>
          <w:sz w:val="24"/>
        </w:rPr>
        <w:t> </w:t>
      </w:r>
      <w:r>
        <w:rPr>
          <w:sz w:val="24"/>
        </w:rPr>
        <w:t>245-270.</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Heading3"/>
        <w:numPr>
          <w:ilvl w:val="2"/>
          <w:numId w:val="20"/>
        </w:numPr>
        <w:tabs>
          <w:tab w:pos="782" w:val="left" w:leader="none"/>
        </w:tabs>
        <w:spacing w:line="240" w:lineRule="auto" w:before="212" w:after="0"/>
        <w:ind w:left="782" w:right="0" w:hanging="660"/>
        <w:jc w:val="left"/>
      </w:pPr>
      <w:r>
        <w:rPr/>
        <w:t>Tablas</w:t>
      </w:r>
    </w:p>
    <w:p>
      <w:pPr>
        <w:pStyle w:val="BodyText"/>
        <w:spacing w:before="1"/>
        <w:rPr>
          <w:b/>
          <w:sz w:val="27"/>
        </w:rPr>
      </w:pPr>
    </w:p>
    <w:p>
      <w:pPr>
        <w:spacing w:before="1"/>
        <w:ind w:left="122" w:right="0" w:firstLine="0"/>
        <w:jc w:val="left"/>
        <w:rPr>
          <w:b/>
          <w:sz w:val="24"/>
        </w:rPr>
      </w:pPr>
      <w:r>
        <w:rPr>
          <w:b/>
          <w:sz w:val="24"/>
        </w:rPr>
        <w:t>Table 1. Clinical and anthropometric characteristics of the study sample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after="1"/>
        <w:rPr>
          <w:b/>
          <w:sz w:val="19"/>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46"/>
        <w:gridCol w:w="1665"/>
        <w:gridCol w:w="1143"/>
      </w:tblGrid>
      <w:tr>
        <w:trPr>
          <w:trHeight w:val="360" w:hRule="exact"/>
        </w:trPr>
        <w:tc>
          <w:tcPr>
            <w:tcW w:w="6246" w:type="dxa"/>
            <w:tcBorders>
              <w:left w:val="nil"/>
              <w:right w:val="nil"/>
            </w:tcBorders>
          </w:tcPr>
          <w:p>
            <w:pPr>
              <w:pStyle w:val="TableParagraph"/>
              <w:spacing w:before="49"/>
              <w:ind w:left="362"/>
              <w:rPr>
                <w:b/>
                <w:sz w:val="24"/>
              </w:rPr>
            </w:pPr>
            <w:r>
              <w:rPr>
                <w:b/>
                <w:sz w:val="24"/>
              </w:rPr>
              <w:t>Characteristics</w:t>
            </w:r>
          </w:p>
        </w:tc>
        <w:tc>
          <w:tcPr>
            <w:tcW w:w="1665" w:type="dxa"/>
            <w:tcBorders>
              <w:left w:val="nil"/>
              <w:right w:val="nil"/>
            </w:tcBorders>
          </w:tcPr>
          <w:p>
            <w:pPr>
              <w:pStyle w:val="TableParagraph"/>
              <w:spacing w:before="49"/>
              <w:ind w:left="450"/>
              <w:jc w:val="center"/>
              <w:rPr>
                <w:b/>
                <w:sz w:val="24"/>
              </w:rPr>
            </w:pPr>
            <w:r>
              <w:rPr>
                <w:b/>
                <w:w w:val="99"/>
                <w:sz w:val="24"/>
              </w:rPr>
              <w:t>N</w:t>
            </w:r>
          </w:p>
        </w:tc>
        <w:tc>
          <w:tcPr>
            <w:tcW w:w="1143" w:type="dxa"/>
            <w:tcBorders>
              <w:left w:val="nil"/>
              <w:right w:val="nil"/>
            </w:tcBorders>
          </w:tcPr>
          <w:p>
            <w:pPr>
              <w:pStyle w:val="TableParagraph"/>
              <w:spacing w:before="49"/>
              <w:ind w:right="45"/>
              <w:jc w:val="center"/>
              <w:rPr>
                <w:b/>
                <w:sz w:val="24"/>
              </w:rPr>
            </w:pPr>
            <w:r>
              <w:rPr>
                <w:b/>
                <w:sz w:val="24"/>
              </w:rPr>
              <w:t>%</w:t>
            </w:r>
          </w:p>
        </w:tc>
      </w:tr>
      <w:tr>
        <w:trPr>
          <w:trHeight w:val="1311" w:hRule="exact"/>
        </w:trPr>
        <w:tc>
          <w:tcPr>
            <w:tcW w:w="6246" w:type="dxa"/>
            <w:tcBorders>
              <w:left w:val="nil"/>
              <w:bottom w:val="nil"/>
              <w:right w:val="nil"/>
            </w:tcBorders>
          </w:tcPr>
          <w:p>
            <w:pPr>
              <w:pStyle w:val="TableParagraph"/>
              <w:spacing w:before="9"/>
              <w:rPr>
                <w:b/>
                <w:sz w:val="30"/>
              </w:rPr>
            </w:pPr>
          </w:p>
          <w:p>
            <w:pPr>
              <w:pStyle w:val="TableParagraph"/>
              <w:spacing w:line="278" w:lineRule="auto"/>
              <w:ind w:left="242" w:right="4998" w:hanging="120"/>
              <w:rPr>
                <w:sz w:val="24"/>
              </w:rPr>
            </w:pPr>
            <w:r>
              <w:rPr>
                <w:sz w:val="24"/>
              </w:rPr>
              <w:t>Age (years) 22-38</w:t>
            </w:r>
          </w:p>
          <w:p>
            <w:pPr>
              <w:pStyle w:val="TableParagraph"/>
              <w:spacing w:before="3"/>
              <w:ind w:left="242"/>
              <w:rPr>
                <w:sz w:val="24"/>
              </w:rPr>
            </w:pPr>
            <w:r>
              <w:rPr>
                <w:sz w:val="24"/>
              </w:rPr>
              <w:t>39-60</w:t>
            </w:r>
          </w:p>
        </w:tc>
        <w:tc>
          <w:tcPr>
            <w:tcW w:w="1665" w:type="dxa"/>
            <w:tcBorders>
              <w:left w:val="nil"/>
              <w:bottom w:val="nil"/>
              <w:right w:val="nil"/>
            </w:tcBorders>
          </w:tcPr>
          <w:p>
            <w:pPr>
              <w:pStyle w:val="TableParagraph"/>
              <w:rPr>
                <w:b/>
                <w:sz w:val="24"/>
              </w:rPr>
            </w:pPr>
          </w:p>
          <w:p>
            <w:pPr>
              <w:pStyle w:val="TableParagraph"/>
              <w:spacing w:before="6"/>
              <w:rPr>
                <w:b/>
                <w:sz w:val="34"/>
              </w:rPr>
            </w:pPr>
          </w:p>
          <w:p>
            <w:pPr>
              <w:pStyle w:val="TableParagraph"/>
              <w:ind w:left="937"/>
              <w:rPr>
                <w:sz w:val="24"/>
              </w:rPr>
            </w:pPr>
            <w:r>
              <w:rPr>
                <w:sz w:val="24"/>
              </w:rPr>
              <w:t>47</w:t>
            </w:r>
          </w:p>
          <w:p>
            <w:pPr>
              <w:pStyle w:val="TableParagraph"/>
              <w:spacing w:before="45"/>
              <w:ind w:left="937"/>
              <w:rPr>
                <w:sz w:val="24"/>
              </w:rPr>
            </w:pPr>
            <w:r>
              <w:rPr>
                <w:sz w:val="24"/>
              </w:rPr>
              <w:t>43</w:t>
            </w:r>
          </w:p>
        </w:tc>
        <w:tc>
          <w:tcPr>
            <w:tcW w:w="1143" w:type="dxa"/>
            <w:tcBorders>
              <w:left w:val="nil"/>
              <w:bottom w:val="nil"/>
              <w:right w:val="nil"/>
            </w:tcBorders>
          </w:tcPr>
          <w:p>
            <w:pPr>
              <w:pStyle w:val="TableParagraph"/>
              <w:rPr>
                <w:b/>
                <w:sz w:val="24"/>
              </w:rPr>
            </w:pPr>
          </w:p>
          <w:p>
            <w:pPr>
              <w:pStyle w:val="TableParagraph"/>
              <w:spacing w:before="6"/>
              <w:rPr>
                <w:b/>
                <w:sz w:val="34"/>
              </w:rPr>
            </w:pPr>
          </w:p>
          <w:p>
            <w:pPr>
              <w:pStyle w:val="TableParagraph"/>
              <w:ind w:left="336"/>
              <w:rPr>
                <w:sz w:val="24"/>
              </w:rPr>
            </w:pPr>
            <w:r>
              <w:rPr>
                <w:sz w:val="24"/>
              </w:rPr>
              <w:t>52.2</w:t>
            </w:r>
          </w:p>
          <w:p>
            <w:pPr>
              <w:pStyle w:val="TableParagraph"/>
              <w:spacing w:before="45"/>
              <w:ind w:left="336"/>
              <w:rPr>
                <w:sz w:val="24"/>
              </w:rPr>
            </w:pPr>
            <w:r>
              <w:rPr>
                <w:sz w:val="24"/>
              </w:rPr>
              <w:t>47.8</w:t>
            </w:r>
          </w:p>
        </w:tc>
      </w:tr>
      <w:tr>
        <w:trPr>
          <w:trHeight w:val="960" w:hRule="exact"/>
        </w:trPr>
        <w:tc>
          <w:tcPr>
            <w:tcW w:w="6246" w:type="dxa"/>
            <w:tcBorders>
              <w:top w:val="nil"/>
              <w:left w:val="nil"/>
              <w:bottom w:val="nil"/>
              <w:right w:val="nil"/>
            </w:tcBorders>
          </w:tcPr>
          <w:p>
            <w:pPr>
              <w:pStyle w:val="TableParagraph"/>
              <w:spacing w:line="278" w:lineRule="auto" w:before="9"/>
              <w:ind w:left="242" w:right="5278" w:hanging="120"/>
              <w:rPr>
                <w:sz w:val="24"/>
              </w:rPr>
            </w:pPr>
            <w:r>
              <w:rPr>
                <w:sz w:val="24"/>
              </w:rPr>
              <w:t>Gender Female Male</w:t>
            </w:r>
          </w:p>
        </w:tc>
        <w:tc>
          <w:tcPr>
            <w:tcW w:w="1665" w:type="dxa"/>
            <w:tcBorders>
              <w:top w:val="nil"/>
              <w:left w:val="nil"/>
              <w:bottom w:val="nil"/>
              <w:right w:val="nil"/>
            </w:tcBorders>
          </w:tcPr>
          <w:p>
            <w:pPr>
              <w:pStyle w:val="TableParagraph"/>
              <w:spacing w:before="6"/>
              <w:rPr>
                <w:b/>
                <w:sz w:val="28"/>
              </w:rPr>
            </w:pPr>
          </w:p>
          <w:p>
            <w:pPr>
              <w:pStyle w:val="TableParagraph"/>
              <w:ind w:left="937"/>
              <w:rPr>
                <w:sz w:val="24"/>
              </w:rPr>
            </w:pPr>
            <w:r>
              <w:rPr>
                <w:sz w:val="24"/>
              </w:rPr>
              <w:t>62</w:t>
            </w:r>
          </w:p>
          <w:p>
            <w:pPr>
              <w:pStyle w:val="TableParagraph"/>
              <w:spacing w:before="45"/>
              <w:ind w:left="937"/>
              <w:rPr>
                <w:sz w:val="24"/>
              </w:rPr>
            </w:pPr>
            <w:r>
              <w:rPr>
                <w:sz w:val="24"/>
              </w:rPr>
              <w:t>28</w:t>
            </w:r>
          </w:p>
        </w:tc>
        <w:tc>
          <w:tcPr>
            <w:tcW w:w="1143" w:type="dxa"/>
            <w:tcBorders>
              <w:top w:val="nil"/>
              <w:left w:val="nil"/>
              <w:bottom w:val="nil"/>
              <w:right w:val="nil"/>
            </w:tcBorders>
          </w:tcPr>
          <w:p>
            <w:pPr>
              <w:pStyle w:val="TableParagraph"/>
              <w:spacing w:before="6"/>
              <w:rPr>
                <w:b/>
                <w:sz w:val="28"/>
              </w:rPr>
            </w:pPr>
          </w:p>
          <w:p>
            <w:pPr>
              <w:pStyle w:val="TableParagraph"/>
              <w:ind w:left="336"/>
              <w:rPr>
                <w:sz w:val="24"/>
              </w:rPr>
            </w:pPr>
            <w:r>
              <w:rPr>
                <w:sz w:val="24"/>
              </w:rPr>
              <w:t>69.0</w:t>
            </w:r>
          </w:p>
          <w:p>
            <w:pPr>
              <w:pStyle w:val="TableParagraph"/>
              <w:spacing w:before="45"/>
              <w:ind w:left="336"/>
              <w:rPr>
                <w:sz w:val="24"/>
              </w:rPr>
            </w:pPr>
            <w:r>
              <w:rPr>
                <w:sz w:val="24"/>
              </w:rPr>
              <w:t>31.0</w:t>
            </w:r>
          </w:p>
        </w:tc>
      </w:tr>
      <w:tr>
        <w:trPr>
          <w:trHeight w:val="960" w:hRule="exact"/>
        </w:trPr>
        <w:tc>
          <w:tcPr>
            <w:tcW w:w="6246" w:type="dxa"/>
            <w:tcBorders>
              <w:top w:val="nil"/>
              <w:left w:val="nil"/>
              <w:bottom w:val="nil"/>
              <w:right w:val="nil"/>
            </w:tcBorders>
          </w:tcPr>
          <w:p>
            <w:pPr>
              <w:pStyle w:val="TableParagraph"/>
              <w:spacing w:line="278" w:lineRule="auto" w:before="8"/>
              <w:ind w:left="242" w:right="4630" w:hanging="120"/>
              <w:rPr>
                <w:sz w:val="24"/>
              </w:rPr>
            </w:pPr>
            <w:r>
              <w:rPr>
                <w:sz w:val="24"/>
              </w:rPr>
              <w:t>Smoking status Non smokers</w:t>
            </w:r>
          </w:p>
          <w:p>
            <w:pPr>
              <w:pStyle w:val="TableParagraph"/>
              <w:spacing w:before="3"/>
              <w:ind w:left="242"/>
              <w:rPr>
                <w:sz w:val="24"/>
              </w:rPr>
            </w:pPr>
            <w:r>
              <w:rPr>
                <w:sz w:val="24"/>
              </w:rPr>
              <w:t>Former and current smokers</w:t>
            </w:r>
          </w:p>
        </w:tc>
        <w:tc>
          <w:tcPr>
            <w:tcW w:w="1665" w:type="dxa"/>
            <w:tcBorders>
              <w:top w:val="nil"/>
              <w:left w:val="nil"/>
              <w:bottom w:val="nil"/>
              <w:right w:val="nil"/>
            </w:tcBorders>
          </w:tcPr>
          <w:p>
            <w:pPr>
              <w:pStyle w:val="TableParagraph"/>
              <w:spacing w:before="5"/>
              <w:rPr>
                <w:b/>
                <w:sz w:val="28"/>
              </w:rPr>
            </w:pPr>
          </w:p>
          <w:p>
            <w:pPr>
              <w:pStyle w:val="TableParagraph"/>
              <w:spacing w:before="1"/>
              <w:ind w:left="937"/>
              <w:rPr>
                <w:sz w:val="24"/>
              </w:rPr>
            </w:pPr>
            <w:r>
              <w:rPr>
                <w:sz w:val="24"/>
              </w:rPr>
              <w:t>49</w:t>
            </w:r>
          </w:p>
          <w:p>
            <w:pPr>
              <w:pStyle w:val="TableParagraph"/>
              <w:spacing w:before="45"/>
              <w:ind w:left="937"/>
              <w:rPr>
                <w:sz w:val="24"/>
              </w:rPr>
            </w:pPr>
            <w:r>
              <w:rPr>
                <w:sz w:val="24"/>
              </w:rPr>
              <w:t>41</w:t>
            </w:r>
          </w:p>
        </w:tc>
        <w:tc>
          <w:tcPr>
            <w:tcW w:w="1143" w:type="dxa"/>
            <w:tcBorders>
              <w:top w:val="nil"/>
              <w:left w:val="nil"/>
              <w:bottom w:val="nil"/>
              <w:right w:val="nil"/>
            </w:tcBorders>
          </w:tcPr>
          <w:p>
            <w:pPr>
              <w:pStyle w:val="TableParagraph"/>
              <w:spacing w:before="5"/>
              <w:rPr>
                <w:b/>
                <w:sz w:val="28"/>
              </w:rPr>
            </w:pPr>
          </w:p>
          <w:p>
            <w:pPr>
              <w:pStyle w:val="TableParagraph"/>
              <w:spacing w:before="1"/>
              <w:ind w:left="336"/>
              <w:rPr>
                <w:sz w:val="24"/>
              </w:rPr>
            </w:pPr>
            <w:r>
              <w:rPr>
                <w:sz w:val="24"/>
              </w:rPr>
              <w:t>54.4</w:t>
            </w:r>
          </w:p>
          <w:p>
            <w:pPr>
              <w:pStyle w:val="TableParagraph"/>
              <w:spacing w:before="45"/>
              <w:ind w:left="336"/>
              <w:rPr>
                <w:sz w:val="24"/>
              </w:rPr>
            </w:pPr>
            <w:r>
              <w:rPr>
                <w:sz w:val="24"/>
              </w:rPr>
              <w:t>45.6</w:t>
            </w:r>
          </w:p>
        </w:tc>
      </w:tr>
      <w:tr>
        <w:trPr>
          <w:trHeight w:val="946" w:hRule="exact"/>
        </w:trPr>
        <w:tc>
          <w:tcPr>
            <w:tcW w:w="6246" w:type="dxa"/>
            <w:tcBorders>
              <w:top w:val="nil"/>
              <w:left w:val="nil"/>
              <w:bottom w:val="nil"/>
              <w:right w:val="nil"/>
            </w:tcBorders>
          </w:tcPr>
          <w:p>
            <w:pPr>
              <w:pStyle w:val="TableParagraph"/>
              <w:spacing w:line="278" w:lineRule="auto" w:before="8"/>
              <w:ind w:left="302" w:right="4031" w:hanging="180"/>
              <w:rPr>
                <w:sz w:val="24"/>
              </w:rPr>
            </w:pPr>
            <w:r>
              <w:rPr>
                <w:sz w:val="24"/>
              </w:rPr>
              <w:t>Alcohol consumption Never</w:t>
            </w:r>
          </w:p>
          <w:p>
            <w:pPr>
              <w:pStyle w:val="TableParagraph"/>
              <w:spacing w:before="3"/>
              <w:ind w:left="302"/>
              <w:rPr>
                <w:sz w:val="24"/>
              </w:rPr>
            </w:pPr>
            <w:r>
              <w:rPr>
                <w:sz w:val="24"/>
              </w:rPr>
              <w:t>Current consumer</w:t>
            </w:r>
          </w:p>
        </w:tc>
        <w:tc>
          <w:tcPr>
            <w:tcW w:w="1665" w:type="dxa"/>
            <w:tcBorders>
              <w:top w:val="nil"/>
              <w:left w:val="nil"/>
              <w:bottom w:val="nil"/>
              <w:right w:val="nil"/>
            </w:tcBorders>
          </w:tcPr>
          <w:p>
            <w:pPr>
              <w:pStyle w:val="TableParagraph"/>
              <w:spacing w:before="5"/>
              <w:rPr>
                <w:b/>
                <w:sz w:val="28"/>
              </w:rPr>
            </w:pPr>
          </w:p>
          <w:p>
            <w:pPr>
              <w:pStyle w:val="TableParagraph"/>
              <w:spacing w:before="1"/>
              <w:ind w:left="937"/>
              <w:rPr>
                <w:sz w:val="24"/>
              </w:rPr>
            </w:pPr>
            <w:r>
              <w:rPr>
                <w:sz w:val="24"/>
              </w:rPr>
              <w:t>40</w:t>
            </w:r>
          </w:p>
          <w:p>
            <w:pPr>
              <w:pStyle w:val="TableParagraph"/>
              <w:spacing w:before="45"/>
              <w:ind w:left="937"/>
              <w:rPr>
                <w:sz w:val="24"/>
              </w:rPr>
            </w:pPr>
            <w:r>
              <w:rPr>
                <w:sz w:val="24"/>
              </w:rPr>
              <w:t>50</w:t>
            </w:r>
          </w:p>
        </w:tc>
        <w:tc>
          <w:tcPr>
            <w:tcW w:w="1143" w:type="dxa"/>
            <w:tcBorders>
              <w:top w:val="nil"/>
              <w:left w:val="nil"/>
              <w:bottom w:val="nil"/>
              <w:right w:val="nil"/>
            </w:tcBorders>
          </w:tcPr>
          <w:p>
            <w:pPr>
              <w:pStyle w:val="TableParagraph"/>
              <w:spacing w:before="5"/>
              <w:rPr>
                <w:b/>
                <w:sz w:val="28"/>
              </w:rPr>
            </w:pPr>
          </w:p>
          <w:p>
            <w:pPr>
              <w:pStyle w:val="TableParagraph"/>
              <w:spacing w:before="1"/>
              <w:ind w:left="336"/>
              <w:rPr>
                <w:sz w:val="24"/>
              </w:rPr>
            </w:pPr>
            <w:r>
              <w:rPr>
                <w:sz w:val="24"/>
              </w:rPr>
              <w:t>44.4</w:t>
            </w:r>
          </w:p>
          <w:p>
            <w:pPr>
              <w:pStyle w:val="TableParagraph"/>
              <w:spacing w:before="45"/>
              <w:ind w:left="336"/>
              <w:rPr>
                <w:sz w:val="24"/>
              </w:rPr>
            </w:pPr>
            <w:r>
              <w:rPr>
                <w:sz w:val="24"/>
              </w:rPr>
              <w:t>55.6</w:t>
            </w:r>
          </w:p>
        </w:tc>
      </w:tr>
      <w:tr>
        <w:trPr>
          <w:trHeight w:val="1293" w:hRule="exact"/>
        </w:trPr>
        <w:tc>
          <w:tcPr>
            <w:tcW w:w="6246" w:type="dxa"/>
            <w:tcBorders>
              <w:top w:val="nil"/>
              <w:left w:val="nil"/>
              <w:bottom w:val="nil"/>
              <w:right w:val="nil"/>
            </w:tcBorders>
          </w:tcPr>
          <w:p>
            <w:pPr>
              <w:pStyle w:val="TableParagraph"/>
              <w:spacing w:before="7"/>
              <w:ind w:left="122"/>
              <w:rPr>
                <w:sz w:val="16"/>
              </w:rPr>
            </w:pPr>
            <w:r>
              <w:rPr>
                <w:sz w:val="24"/>
              </w:rPr>
              <w:t>Body mass index, kg/m</w:t>
            </w:r>
            <w:r>
              <w:rPr>
                <w:position w:val="9"/>
                <w:sz w:val="16"/>
              </w:rPr>
              <w:t>2</w:t>
            </w:r>
          </w:p>
          <w:p>
            <w:pPr>
              <w:pStyle w:val="TableParagraph"/>
              <w:spacing w:line="280" w:lineRule="auto" w:before="43"/>
              <w:ind w:left="122" w:right="4036"/>
              <w:rPr>
                <w:sz w:val="24"/>
              </w:rPr>
            </w:pPr>
            <w:r>
              <w:rPr>
                <w:sz w:val="24"/>
              </w:rPr>
              <w:t>&lt; 25 (normal weight) 25-30 (overweight)</w:t>
            </w:r>
          </w:p>
          <w:p>
            <w:pPr>
              <w:pStyle w:val="TableParagraph"/>
              <w:spacing w:line="274" w:lineRule="exact"/>
              <w:ind w:left="122"/>
              <w:rPr>
                <w:sz w:val="24"/>
              </w:rPr>
            </w:pPr>
            <w:r>
              <w:rPr>
                <w:sz w:val="24"/>
              </w:rPr>
              <w:t>≥ 30 (obesity)</w:t>
            </w:r>
          </w:p>
        </w:tc>
        <w:tc>
          <w:tcPr>
            <w:tcW w:w="1665" w:type="dxa"/>
            <w:tcBorders>
              <w:top w:val="nil"/>
              <w:left w:val="nil"/>
              <w:bottom w:val="nil"/>
              <w:right w:val="nil"/>
            </w:tcBorders>
          </w:tcPr>
          <w:p>
            <w:pPr>
              <w:pStyle w:val="TableParagraph"/>
              <w:spacing w:before="8"/>
              <w:rPr>
                <w:b/>
                <w:sz w:val="29"/>
              </w:rPr>
            </w:pPr>
          </w:p>
          <w:p>
            <w:pPr>
              <w:pStyle w:val="TableParagraph"/>
              <w:ind w:left="937"/>
              <w:rPr>
                <w:sz w:val="24"/>
              </w:rPr>
            </w:pPr>
            <w:r>
              <w:rPr>
                <w:sz w:val="24"/>
              </w:rPr>
              <w:t>28</w:t>
            </w:r>
          </w:p>
          <w:p>
            <w:pPr>
              <w:pStyle w:val="TableParagraph"/>
              <w:spacing w:before="45"/>
              <w:ind w:left="937"/>
              <w:rPr>
                <w:sz w:val="24"/>
              </w:rPr>
            </w:pPr>
            <w:r>
              <w:rPr>
                <w:sz w:val="24"/>
              </w:rPr>
              <w:t>38</w:t>
            </w:r>
          </w:p>
          <w:p>
            <w:pPr>
              <w:pStyle w:val="TableParagraph"/>
              <w:spacing w:before="43"/>
              <w:ind w:left="937"/>
              <w:rPr>
                <w:sz w:val="24"/>
              </w:rPr>
            </w:pPr>
            <w:r>
              <w:rPr>
                <w:sz w:val="24"/>
              </w:rPr>
              <w:t>24</w:t>
            </w:r>
          </w:p>
        </w:tc>
        <w:tc>
          <w:tcPr>
            <w:tcW w:w="1143" w:type="dxa"/>
            <w:tcBorders>
              <w:top w:val="nil"/>
              <w:left w:val="nil"/>
              <w:bottom w:val="nil"/>
              <w:right w:val="nil"/>
            </w:tcBorders>
          </w:tcPr>
          <w:p>
            <w:pPr>
              <w:pStyle w:val="TableParagraph"/>
              <w:spacing w:before="8"/>
              <w:rPr>
                <w:b/>
                <w:sz w:val="29"/>
              </w:rPr>
            </w:pPr>
          </w:p>
          <w:p>
            <w:pPr>
              <w:pStyle w:val="TableParagraph"/>
              <w:ind w:left="336"/>
              <w:rPr>
                <w:sz w:val="24"/>
              </w:rPr>
            </w:pPr>
            <w:r>
              <w:rPr>
                <w:sz w:val="24"/>
              </w:rPr>
              <w:t>31.2</w:t>
            </w:r>
          </w:p>
          <w:p>
            <w:pPr>
              <w:pStyle w:val="TableParagraph"/>
              <w:spacing w:before="45"/>
              <w:ind w:left="336"/>
              <w:rPr>
                <w:sz w:val="24"/>
              </w:rPr>
            </w:pPr>
            <w:r>
              <w:rPr>
                <w:sz w:val="24"/>
              </w:rPr>
              <w:t>42.2</w:t>
            </w:r>
          </w:p>
          <w:p>
            <w:pPr>
              <w:pStyle w:val="TableParagraph"/>
              <w:spacing w:before="43"/>
              <w:ind w:left="336"/>
              <w:rPr>
                <w:sz w:val="24"/>
              </w:rPr>
            </w:pPr>
            <w:r>
              <w:rPr>
                <w:sz w:val="24"/>
              </w:rPr>
              <w:t>26.6</w:t>
            </w:r>
          </w:p>
        </w:tc>
      </w:tr>
      <w:tr>
        <w:trPr>
          <w:trHeight w:val="320" w:hRule="exact"/>
        </w:trPr>
        <w:tc>
          <w:tcPr>
            <w:tcW w:w="6246" w:type="dxa"/>
            <w:tcBorders>
              <w:top w:val="nil"/>
              <w:left w:val="nil"/>
              <w:bottom w:val="nil"/>
              <w:right w:val="nil"/>
            </w:tcBorders>
          </w:tcPr>
          <w:p>
            <w:pPr>
              <w:pStyle w:val="TableParagraph"/>
              <w:spacing w:before="8"/>
              <w:ind w:left="122"/>
              <w:rPr>
                <w:sz w:val="24"/>
              </w:rPr>
            </w:pPr>
            <w:r>
              <w:rPr>
                <w:sz w:val="24"/>
              </w:rPr>
              <w:t>High blood pressure (≥130/85 mmHg)</w:t>
            </w:r>
          </w:p>
        </w:tc>
        <w:tc>
          <w:tcPr>
            <w:tcW w:w="1665" w:type="dxa"/>
            <w:tcBorders>
              <w:top w:val="nil"/>
              <w:left w:val="nil"/>
              <w:bottom w:val="nil"/>
              <w:right w:val="nil"/>
            </w:tcBorders>
          </w:tcPr>
          <w:p>
            <w:pPr>
              <w:pStyle w:val="TableParagraph"/>
              <w:spacing w:before="8"/>
              <w:ind w:left="762" w:right="312"/>
              <w:jc w:val="center"/>
              <w:rPr>
                <w:sz w:val="24"/>
              </w:rPr>
            </w:pPr>
            <w:r>
              <w:rPr>
                <w:sz w:val="24"/>
              </w:rPr>
              <w:t>11</w:t>
            </w:r>
          </w:p>
        </w:tc>
        <w:tc>
          <w:tcPr>
            <w:tcW w:w="1143" w:type="dxa"/>
            <w:tcBorders>
              <w:top w:val="nil"/>
              <w:left w:val="nil"/>
              <w:bottom w:val="nil"/>
              <w:right w:val="nil"/>
            </w:tcBorders>
          </w:tcPr>
          <w:p>
            <w:pPr>
              <w:pStyle w:val="TableParagraph"/>
              <w:spacing w:before="8"/>
              <w:ind w:left="317" w:right="365"/>
              <w:jc w:val="center"/>
              <w:rPr>
                <w:sz w:val="24"/>
              </w:rPr>
            </w:pPr>
            <w:r>
              <w:rPr>
                <w:sz w:val="24"/>
              </w:rPr>
              <w:t>12.2</w:t>
            </w:r>
          </w:p>
        </w:tc>
      </w:tr>
      <w:tr>
        <w:trPr>
          <w:trHeight w:val="320" w:hRule="exact"/>
        </w:trPr>
        <w:tc>
          <w:tcPr>
            <w:tcW w:w="6246" w:type="dxa"/>
            <w:tcBorders>
              <w:top w:val="nil"/>
              <w:left w:val="nil"/>
              <w:bottom w:val="nil"/>
              <w:right w:val="nil"/>
            </w:tcBorders>
          </w:tcPr>
          <w:p>
            <w:pPr>
              <w:pStyle w:val="TableParagraph"/>
              <w:spacing w:before="10"/>
              <w:ind w:left="122"/>
              <w:rPr>
                <w:sz w:val="24"/>
              </w:rPr>
            </w:pPr>
            <w:r>
              <w:rPr>
                <w:sz w:val="24"/>
              </w:rPr>
              <w:t>High triacylglycerides (&gt;150 mg/dL)</w:t>
            </w:r>
          </w:p>
        </w:tc>
        <w:tc>
          <w:tcPr>
            <w:tcW w:w="1665" w:type="dxa"/>
            <w:tcBorders>
              <w:top w:val="nil"/>
              <w:left w:val="nil"/>
              <w:bottom w:val="nil"/>
              <w:right w:val="nil"/>
            </w:tcBorders>
          </w:tcPr>
          <w:p>
            <w:pPr>
              <w:pStyle w:val="TableParagraph"/>
              <w:spacing w:before="10"/>
              <w:ind w:left="762" w:right="312"/>
              <w:jc w:val="center"/>
              <w:rPr>
                <w:sz w:val="24"/>
              </w:rPr>
            </w:pPr>
            <w:r>
              <w:rPr>
                <w:sz w:val="24"/>
              </w:rPr>
              <w:t>44</w:t>
            </w:r>
          </w:p>
        </w:tc>
        <w:tc>
          <w:tcPr>
            <w:tcW w:w="1143" w:type="dxa"/>
            <w:tcBorders>
              <w:top w:val="nil"/>
              <w:left w:val="nil"/>
              <w:bottom w:val="nil"/>
              <w:right w:val="nil"/>
            </w:tcBorders>
          </w:tcPr>
          <w:p>
            <w:pPr>
              <w:pStyle w:val="TableParagraph"/>
              <w:spacing w:before="10"/>
              <w:ind w:left="317" w:right="365"/>
              <w:jc w:val="center"/>
              <w:rPr>
                <w:sz w:val="24"/>
              </w:rPr>
            </w:pPr>
            <w:r>
              <w:rPr>
                <w:sz w:val="24"/>
              </w:rPr>
              <w:t>48.9</w:t>
            </w:r>
          </w:p>
        </w:tc>
      </w:tr>
      <w:tr>
        <w:trPr>
          <w:trHeight w:val="319" w:hRule="exact"/>
        </w:trPr>
        <w:tc>
          <w:tcPr>
            <w:tcW w:w="6246" w:type="dxa"/>
            <w:tcBorders>
              <w:top w:val="nil"/>
              <w:left w:val="nil"/>
              <w:bottom w:val="nil"/>
              <w:right w:val="nil"/>
            </w:tcBorders>
          </w:tcPr>
          <w:p>
            <w:pPr>
              <w:pStyle w:val="TableParagraph"/>
              <w:spacing w:before="8"/>
              <w:ind w:left="122"/>
              <w:rPr>
                <w:sz w:val="24"/>
              </w:rPr>
            </w:pPr>
            <w:r>
              <w:rPr>
                <w:sz w:val="24"/>
              </w:rPr>
              <w:t>High total cholesterol (&gt; 200 mg/dL)</w:t>
            </w:r>
          </w:p>
        </w:tc>
        <w:tc>
          <w:tcPr>
            <w:tcW w:w="1665" w:type="dxa"/>
            <w:tcBorders>
              <w:top w:val="nil"/>
              <w:left w:val="nil"/>
              <w:bottom w:val="nil"/>
              <w:right w:val="nil"/>
            </w:tcBorders>
          </w:tcPr>
          <w:p>
            <w:pPr>
              <w:pStyle w:val="TableParagraph"/>
              <w:spacing w:before="8"/>
              <w:ind w:left="762" w:right="312"/>
              <w:jc w:val="center"/>
              <w:rPr>
                <w:sz w:val="24"/>
              </w:rPr>
            </w:pPr>
            <w:r>
              <w:rPr>
                <w:sz w:val="24"/>
              </w:rPr>
              <w:t>33</w:t>
            </w:r>
          </w:p>
        </w:tc>
        <w:tc>
          <w:tcPr>
            <w:tcW w:w="1143" w:type="dxa"/>
            <w:tcBorders>
              <w:top w:val="nil"/>
              <w:left w:val="nil"/>
              <w:bottom w:val="nil"/>
              <w:right w:val="nil"/>
            </w:tcBorders>
          </w:tcPr>
          <w:p>
            <w:pPr>
              <w:pStyle w:val="TableParagraph"/>
              <w:spacing w:before="8"/>
              <w:ind w:left="317" w:right="365"/>
              <w:jc w:val="center"/>
              <w:rPr>
                <w:sz w:val="24"/>
              </w:rPr>
            </w:pPr>
            <w:r>
              <w:rPr>
                <w:sz w:val="24"/>
              </w:rPr>
              <w:t>36.6</w:t>
            </w:r>
          </w:p>
        </w:tc>
      </w:tr>
      <w:tr>
        <w:trPr>
          <w:trHeight w:val="320" w:hRule="exact"/>
        </w:trPr>
        <w:tc>
          <w:tcPr>
            <w:tcW w:w="6246" w:type="dxa"/>
            <w:tcBorders>
              <w:top w:val="nil"/>
              <w:left w:val="nil"/>
              <w:bottom w:val="nil"/>
              <w:right w:val="nil"/>
            </w:tcBorders>
          </w:tcPr>
          <w:p>
            <w:pPr>
              <w:pStyle w:val="TableParagraph"/>
              <w:spacing w:before="8"/>
              <w:ind w:left="122"/>
              <w:rPr>
                <w:sz w:val="24"/>
              </w:rPr>
            </w:pPr>
            <w:r>
              <w:rPr>
                <w:sz w:val="24"/>
              </w:rPr>
              <w:t>Low HDL-chol (&lt; 45 mg/dL men, &lt; 50 mg/dL women)</w:t>
            </w:r>
          </w:p>
        </w:tc>
        <w:tc>
          <w:tcPr>
            <w:tcW w:w="1665" w:type="dxa"/>
            <w:tcBorders>
              <w:top w:val="nil"/>
              <w:left w:val="nil"/>
              <w:bottom w:val="nil"/>
              <w:right w:val="nil"/>
            </w:tcBorders>
          </w:tcPr>
          <w:p>
            <w:pPr>
              <w:pStyle w:val="TableParagraph"/>
              <w:spacing w:before="8"/>
              <w:ind w:left="762" w:right="312"/>
              <w:jc w:val="center"/>
              <w:rPr>
                <w:sz w:val="24"/>
              </w:rPr>
            </w:pPr>
            <w:r>
              <w:rPr>
                <w:sz w:val="24"/>
              </w:rPr>
              <w:t>68</w:t>
            </w:r>
          </w:p>
        </w:tc>
        <w:tc>
          <w:tcPr>
            <w:tcW w:w="1143" w:type="dxa"/>
            <w:tcBorders>
              <w:top w:val="nil"/>
              <w:left w:val="nil"/>
              <w:bottom w:val="nil"/>
              <w:right w:val="nil"/>
            </w:tcBorders>
          </w:tcPr>
          <w:p>
            <w:pPr>
              <w:pStyle w:val="TableParagraph"/>
              <w:spacing w:before="8"/>
              <w:ind w:left="317" w:right="365"/>
              <w:jc w:val="center"/>
              <w:rPr>
                <w:sz w:val="24"/>
              </w:rPr>
            </w:pPr>
            <w:r>
              <w:rPr>
                <w:sz w:val="24"/>
              </w:rPr>
              <w:t>76.4</w:t>
            </w:r>
          </w:p>
        </w:tc>
      </w:tr>
      <w:tr>
        <w:trPr>
          <w:trHeight w:val="320" w:hRule="exact"/>
        </w:trPr>
        <w:tc>
          <w:tcPr>
            <w:tcW w:w="6246" w:type="dxa"/>
            <w:tcBorders>
              <w:top w:val="nil"/>
              <w:left w:val="nil"/>
              <w:bottom w:val="nil"/>
              <w:right w:val="nil"/>
            </w:tcBorders>
          </w:tcPr>
          <w:p>
            <w:pPr/>
          </w:p>
        </w:tc>
        <w:tc>
          <w:tcPr>
            <w:tcW w:w="1665" w:type="dxa"/>
            <w:tcBorders>
              <w:top w:val="nil"/>
              <w:left w:val="nil"/>
              <w:bottom w:val="nil"/>
              <w:right w:val="nil"/>
            </w:tcBorders>
          </w:tcPr>
          <w:p>
            <w:pPr>
              <w:pStyle w:val="TableParagraph"/>
              <w:spacing w:before="10"/>
              <w:ind w:left="762" w:right="315"/>
              <w:jc w:val="center"/>
              <w:rPr>
                <w:sz w:val="24"/>
              </w:rPr>
            </w:pPr>
            <w:r>
              <w:rPr>
                <w:sz w:val="24"/>
              </w:rPr>
              <w:t>Mean</w:t>
            </w:r>
          </w:p>
        </w:tc>
        <w:tc>
          <w:tcPr>
            <w:tcW w:w="1143" w:type="dxa"/>
            <w:tcBorders>
              <w:top w:val="nil"/>
              <w:left w:val="nil"/>
              <w:bottom w:val="nil"/>
              <w:right w:val="nil"/>
            </w:tcBorders>
          </w:tcPr>
          <w:p>
            <w:pPr>
              <w:pStyle w:val="TableParagraph"/>
              <w:spacing w:before="10"/>
              <w:ind w:left="317" w:right="364"/>
              <w:jc w:val="center"/>
              <w:rPr>
                <w:sz w:val="24"/>
              </w:rPr>
            </w:pPr>
            <w:r>
              <w:rPr>
                <w:sz w:val="24"/>
              </w:rPr>
              <w:t>DS</w:t>
            </w:r>
          </w:p>
        </w:tc>
      </w:tr>
      <w:tr>
        <w:trPr>
          <w:trHeight w:val="319" w:hRule="exact"/>
        </w:trPr>
        <w:tc>
          <w:tcPr>
            <w:tcW w:w="6246" w:type="dxa"/>
            <w:tcBorders>
              <w:top w:val="nil"/>
              <w:left w:val="nil"/>
              <w:bottom w:val="nil"/>
              <w:right w:val="nil"/>
            </w:tcBorders>
          </w:tcPr>
          <w:p>
            <w:pPr>
              <w:pStyle w:val="TableParagraph"/>
              <w:spacing w:before="8"/>
              <w:ind w:left="122"/>
              <w:rPr>
                <w:sz w:val="24"/>
              </w:rPr>
            </w:pPr>
            <w:r>
              <w:rPr>
                <w:sz w:val="24"/>
              </w:rPr>
              <w:t>Probing depth, mm</w:t>
            </w:r>
          </w:p>
        </w:tc>
        <w:tc>
          <w:tcPr>
            <w:tcW w:w="1665" w:type="dxa"/>
            <w:tcBorders>
              <w:top w:val="nil"/>
              <w:left w:val="nil"/>
              <w:bottom w:val="nil"/>
              <w:right w:val="nil"/>
            </w:tcBorders>
          </w:tcPr>
          <w:p>
            <w:pPr>
              <w:pStyle w:val="TableParagraph"/>
              <w:spacing w:before="8"/>
              <w:ind w:left="762" w:right="310"/>
              <w:jc w:val="center"/>
              <w:rPr>
                <w:sz w:val="24"/>
              </w:rPr>
            </w:pPr>
            <w:r>
              <w:rPr>
                <w:sz w:val="24"/>
              </w:rPr>
              <w:t>3.6</w:t>
            </w:r>
          </w:p>
        </w:tc>
        <w:tc>
          <w:tcPr>
            <w:tcW w:w="1143" w:type="dxa"/>
            <w:tcBorders>
              <w:top w:val="nil"/>
              <w:left w:val="nil"/>
              <w:bottom w:val="nil"/>
              <w:right w:val="nil"/>
            </w:tcBorders>
          </w:tcPr>
          <w:p>
            <w:pPr>
              <w:pStyle w:val="TableParagraph"/>
              <w:spacing w:before="8"/>
              <w:ind w:left="317" w:right="365"/>
              <w:jc w:val="center"/>
              <w:rPr>
                <w:sz w:val="24"/>
              </w:rPr>
            </w:pPr>
            <w:r>
              <w:rPr>
                <w:sz w:val="24"/>
              </w:rPr>
              <w:t>1.4</w:t>
            </w:r>
          </w:p>
        </w:tc>
      </w:tr>
      <w:tr>
        <w:trPr>
          <w:trHeight w:val="320" w:hRule="exact"/>
        </w:trPr>
        <w:tc>
          <w:tcPr>
            <w:tcW w:w="6246" w:type="dxa"/>
            <w:tcBorders>
              <w:top w:val="nil"/>
              <w:left w:val="nil"/>
              <w:bottom w:val="nil"/>
              <w:right w:val="nil"/>
            </w:tcBorders>
          </w:tcPr>
          <w:p>
            <w:pPr>
              <w:pStyle w:val="TableParagraph"/>
              <w:spacing w:before="8"/>
              <w:ind w:left="122"/>
              <w:rPr>
                <w:sz w:val="24"/>
              </w:rPr>
            </w:pPr>
            <w:r>
              <w:rPr>
                <w:sz w:val="24"/>
              </w:rPr>
              <w:t>Glucose, mg/dL</w:t>
            </w:r>
          </w:p>
        </w:tc>
        <w:tc>
          <w:tcPr>
            <w:tcW w:w="1665" w:type="dxa"/>
            <w:tcBorders>
              <w:top w:val="nil"/>
              <w:left w:val="nil"/>
              <w:bottom w:val="nil"/>
              <w:right w:val="nil"/>
            </w:tcBorders>
          </w:tcPr>
          <w:p>
            <w:pPr>
              <w:pStyle w:val="TableParagraph"/>
              <w:spacing w:before="8"/>
              <w:ind w:left="762" w:right="310"/>
              <w:jc w:val="center"/>
              <w:rPr>
                <w:sz w:val="24"/>
              </w:rPr>
            </w:pPr>
            <w:r>
              <w:rPr>
                <w:sz w:val="24"/>
              </w:rPr>
              <w:t>120.0</w:t>
            </w:r>
          </w:p>
        </w:tc>
        <w:tc>
          <w:tcPr>
            <w:tcW w:w="1143" w:type="dxa"/>
            <w:tcBorders>
              <w:top w:val="nil"/>
              <w:left w:val="nil"/>
              <w:bottom w:val="nil"/>
              <w:right w:val="nil"/>
            </w:tcBorders>
          </w:tcPr>
          <w:p>
            <w:pPr>
              <w:pStyle w:val="TableParagraph"/>
              <w:spacing w:before="8"/>
              <w:ind w:left="317" w:right="365"/>
              <w:jc w:val="center"/>
              <w:rPr>
                <w:sz w:val="24"/>
              </w:rPr>
            </w:pPr>
            <w:r>
              <w:rPr>
                <w:sz w:val="24"/>
              </w:rPr>
              <w:t>60.3</w:t>
            </w:r>
          </w:p>
        </w:tc>
      </w:tr>
      <w:tr>
        <w:trPr>
          <w:trHeight w:val="302" w:hRule="exact"/>
        </w:trPr>
        <w:tc>
          <w:tcPr>
            <w:tcW w:w="6246" w:type="dxa"/>
            <w:tcBorders>
              <w:top w:val="nil"/>
              <w:left w:val="nil"/>
              <w:right w:val="nil"/>
            </w:tcBorders>
          </w:tcPr>
          <w:p>
            <w:pPr>
              <w:pStyle w:val="TableParagraph"/>
              <w:spacing w:before="10"/>
              <w:ind w:left="122"/>
              <w:rPr>
                <w:sz w:val="24"/>
              </w:rPr>
            </w:pPr>
            <w:r>
              <w:rPr>
                <w:sz w:val="24"/>
              </w:rPr>
              <w:t>IL6, pg/mL</w:t>
            </w:r>
          </w:p>
        </w:tc>
        <w:tc>
          <w:tcPr>
            <w:tcW w:w="1665" w:type="dxa"/>
            <w:tcBorders>
              <w:top w:val="nil"/>
              <w:left w:val="nil"/>
              <w:right w:val="nil"/>
            </w:tcBorders>
          </w:tcPr>
          <w:p>
            <w:pPr>
              <w:pStyle w:val="TableParagraph"/>
              <w:spacing w:before="10"/>
              <w:ind w:left="762" w:right="310"/>
              <w:jc w:val="center"/>
              <w:rPr>
                <w:sz w:val="24"/>
              </w:rPr>
            </w:pPr>
            <w:r>
              <w:rPr>
                <w:sz w:val="24"/>
              </w:rPr>
              <w:t>1.2</w:t>
            </w:r>
          </w:p>
        </w:tc>
        <w:tc>
          <w:tcPr>
            <w:tcW w:w="1143" w:type="dxa"/>
            <w:tcBorders>
              <w:top w:val="nil"/>
              <w:left w:val="nil"/>
              <w:right w:val="nil"/>
            </w:tcBorders>
          </w:tcPr>
          <w:p>
            <w:pPr>
              <w:pStyle w:val="TableParagraph"/>
              <w:spacing w:before="10"/>
              <w:ind w:left="317" w:right="365"/>
              <w:jc w:val="center"/>
              <w:rPr>
                <w:sz w:val="24"/>
              </w:rPr>
            </w:pPr>
            <w:r>
              <w:rPr>
                <w:sz w:val="24"/>
              </w:rPr>
              <w:t>3.0</w:t>
            </w:r>
          </w:p>
        </w:tc>
      </w:tr>
    </w:tbl>
    <w:p>
      <w:pPr>
        <w:spacing w:after="0"/>
        <w:jc w:val="center"/>
        <w:rPr>
          <w:sz w:val="24"/>
        </w:rPr>
        <w:sectPr>
          <w:pgSz w:w="12240" w:h="15840"/>
          <w:pgMar w:header="731" w:footer="0" w:top="960" w:bottom="280" w:left="1580" w:right="1380"/>
        </w:sectPr>
      </w:pPr>
    </w:p>
    <w:p>
      <w:pPr>
        <w:pStyle w:val="BodyText"/>
        <w:rPr>
          <w:b/>
          <w:sz w:val="20"/>
        </w:rPr>
      </w:pPr>
    </w:p>
    <w:p>
      <w:pPr>
        <w:spacing w:before="212"/>
        <w:ind w:left="802" w:right="0" w:firstLine="0"/>
        <w:jc w:val="left"/>
        <w:rPr>
          <w:b/>
          <w:sz w:val="24"/>
        </w:rPr>
      </w:pPr>
      <w:r>
        <w:rPr>
          <w:b/>
          <w:sz w:val="24"/>
        </w:rPr>
        <w:t>Table 2. Clinical and anthropometric characteristics by study groups</w:t>
      </w:r>
    </w:p>
    <w:p>
      <w:pPr>
        <w:pStyle w:val="BodyText"/>
        <w:spacing w:before="1"/>
        <w:rPr>
          <w:b/>
          <w:sz w:val="17"/>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43"/>
        <w:gridCol w:w="1702"/>
        <w:gridCol w:w="1651"/>
        <w:gridCol w:w="2034"/>
        <w:gridCol w:w="960"/>
      </w:tblGrid>
      <w:tr>
        <w:trPr>
          <w:trHeight w:val="389" w:hRule="exact"/>
        </w:trPr>
        <w:tc>
          <w:tcPr>
            <w:tcW w:w="10190" w:type="dxa"/>
            <w:gridSpan w:val="5"/>
            <w:tcBorders>
              <w:left w:val="nil"/>
              <w:bottom w:val="nil"/>
              <w:right w:val="nil"/>
            </w:tcBorders>
          </w:tcPr>
          <w:p>
            <w:pPr>
              <w:pStyle w:val="TableParagraph"/>
              <w:spacing w:before="5"/>
              <w:ind w:left="6659"/>
              <w:rPr>
                <w:b/>
                <w:sz w:val="22"/>
              </w:rPr>
            </w:pPr>
            <w:r>
              <w:rPr>
                <w:b/>
                <w:sz w:val="22"/>
              </w:rPr>
              <w:t>Groups</w:t>
            </w:r>
          </w:p>
        </w:tc>
      </w:tr>
      <w:tr>
        <w:trPr>
          <w:trHeight w:val="370" w:hRule="exact"/>
        </w:trPr>
        <w:tc>
          <w:tcPr>
            <w:tcW w:w="3843" w:type="dxa"/>
            <w:tcBorders>
              <w:top w:val="nil"/>
              <w:left w:val="nil"/>
              <w:bottom w:val="nil"/>
              <w:right w:val="nil"/>
            </w:tcBorders>
          </w:tcPr>
          <w:p>
            <w:pPr/>
          </w:p>
        </w:tc>
        <w:tc>
          <w:tcPr>
            <w:tcW w:w="1702" w:type="dxa"/>
            <w:tcBorders>
              <w:left w:val="nil"/>
              <w:right w:val="nil"/>
            </w:tcBorders>
          </w:tcPr>
          <w:p>
            <w:pPr>
              <w:pStyle w:val="TableParagraph"/>
              <w:spacing w:before="50"/>
              <w:ind w:left="108" w:right="109"/>
              <w:jc w:val="center"/>
              <w:rPr>
                <w:b/>
                <w:sz w:val="22"/>
              </w:rPr>
            </w:pPr>
            <w:r>
              <w:rPr>
                <w:b/>
                <w:sz w:val="22"/>
              </w:rPr>
              <w:t>DM2+PD n=30</w:t>
            </w:r>
          </w:p>
        </w:tc>
        <w:tc>
          <w:tcPr>
            <w:tcW w:w="1651" w:type="dxa"/>
            <w:tcBorders>
              <w:left w:val="nil"/>
              <w:bottom w:val="nil"/>
              <w:right w:val="nil"/>
            </w:tcBorders>
          </w:tcPr>
          <w:p>
            <w:pPr>
              <w:pStyle w:val="TableParagraph"/>
              <w:spacing w:before="50"/>
              <w:ind w:left="369"/>
              <w:rPr>
                <w:b/>
                <w:sz w:val="22"/>
              </w:rPr>
            </w:pPr>
            <w:r>
              <w:rPr>
                <w:b/>
                <w:sz w:val="22"/>
              </w:rPr>
              <w:t>PD n=30</w:t>
            </w:r>
          </w:p>
        </w:tc>
        <w:tc>
          <w:tcPr>
            <w:tcW w:w="2034" w:type="dxa"/>
            <w:tcBorders>
              <w:left w:val="nil"/>
              <w:right w:val="nil"/>
            </w:tcBorders>
          </w:tcPr>
          <w:p>
            <w:pPr>
              <w:pStyle w:val="TableParagraph"/>
              <w:spacing w:before="50"/>
              <w:ind w:left="65" w:right="153"/>
              <w:jc w:val="center"/>
              <w:rPr>
                <w:b/>
                <w:sz w:val="22"/>
              </w:rPr>
            </w:pPr>
            <w:r>
              <w:rPr>
                <w:b/>
                <w:sz w:val="22"/>
              </w:rPr>
              <w:t>non DM2-PD n=30</w:t>
            </w:r>
          </w:p>
        </w:tc>
        <w:tc>
          <w:tcPr>
            <w:tcW w:w="960" w:type="dxa"/>
            <w:tcBorders>
              <w:left w:val="nil"/>
              <w:bottom w:val="nil"/>
              <w:right w:val="nil"/>
            </w:tcBorders>
          </w:tcPr>
          <w:p>
            <w:pPr/>
          </w:p>
        </w:tc>
      </w:tr>
      <w:tr>
        <w:trPr>
          <w:trHeight w:val="370" w:hRule="exact"/>
        </w:trPr>
        <w:tc>
          <w:tcPr>
            <w:tcW w:w="3843" w:type="dxa"/>
            <w:tcBorders>
              <w:top w:val="nil"/>
              <w:left w:val="nil"/>
              <w:right w:val="nil"/>
            </w:tcBorders>
          </w:tcPr>
          <w:p>
            <w:pPr>
              <w:pStyle w:val="TableParagraph"/>
              <w:spacing w:before="55"/>
              <w:ind w:left="120"/>
              <w:rPr>
                <w:b/>
                <w:sz w:val="22"/>
              </w:rPr>
            </w:pPr>
            <w:r>
              <w:rPr>
                <w:b/>
                <w:sz w:val="22"/>
              </w:rPr>
              <w:t>Characteristics</w:t>
            </w:r>
          </w:p>
        </w:tc>
        <w:tc>
          <w:tcPr>
            <w:tcW w:w="1702" w:type="dxa"/>
            <w:tcBorders>
              <w:left w:val="nil"/>
              <w:right w:val="nil"/>
            </w:tcBorders>
          </w:tcPr>
          <w:p>
            <w:pPr>
              <w:pStyle w:val="TableParagraph"/>
              <w:spacing w:before="50"/>
              <w:ind w:left="108" w:right="112"/>
              <w:jc w:val="center"/>
              <w:rPr>
                <w:b/>
                <w:sz w:val="22"/>
              </w:rPr>
            </w:pPr>
            <w:r>
              <w:rPr>
                <w:b/>
                <w:sz w:val="22"/>
              </w:rPr>
              <w:t>n (%)</w:t>
            </w:r>
          </w:p>
        </w:tc>
        <w:tc>
          <w:tcPr>
            <w:tcW w:w="1651" w:type="dxa"/>
            <w:tcBorders>
              <w:top w:val="nil"/>
              <w:left w:val="nil"/>
              <w:right w:val="nil"/>
            </w:tcBorders>
          </w:tcPr>
          <w:p>
            <w:pPr>
              <w:pStyle w:val="TableParagraph"/>
              <w:spacing w:line="20" w:lineRule="exact"/>
              <w:ind w:left="438"/>
              <w:rPr>
                <w:sz w:val="2"/>
              </w:rPr>
            </w:pPr>
            <w:r>
              <w:rPr>
                <w:sz w:val="2"/>
              </w:rPr>
              <w:pict>
                <v:group style="width:42.05pt;height:.5pt;mso-position-horizontal-relative:char;mso-position-vertical-relative:line" coordorigin="0,0" coordsize="841,10">
                  <v:line style="position:absolute" from="5,5" to="835,5" stroked="true" strokeweight=".48pt" strokecolor="#000000"/>
                </v:group>
              </w:pict>
            </w:r>
            <w:r>
              <w:rPr>
                <w:sz w:val="2"/>
              </w:rPr>
            </w:r>
          </w:p>
          <w:p>
            <w:pPr>
              <w:pStyle w:val="TableParagraph"/>
              <w:spacing w:before="34"/>
              <w:ind w:left="585"/>
              <w:rPr>
                <w:b/>
                <w:sz w:val="22"/>
              </w:rPr>
            </w:pPr>
            <w:r>
              <w:rPr>
                <w:b/>
                <w:sz w:val="22"/>
              </w:rPr>
              <w:t>n (%)</w:t>
            </w:r>
          </w:p>
        </w:tc>
        <w:tc>
          <w:tcPr>
            <w:tcW w:w="2034" w:type="dxa"/>
            <w:tcBorders>
              <w:left w:val="nil"/>
              <w:right w:val="nil"/>
            </w:tcBorders>
          </w:tcPr>
          <w:p>
            <w:pPr>
              <w:pStyle w:val="TableParagraph"/>
              <w:spacing w:before="50"/>
              <w:ind w:left="65" w:right="68"/>
              <w:jc w:val="center"/>
              <w:rPr>
                <w:b/>
                <w:sz w:val="22"/>
              </w:rPr>
            </w:pPr>
            <w:r>
              <w:rPr>
                <w:b/>
                <w:sz w:val="22"/>
              </w:rPr>
              <w:t>n (%)</w:t>
            </w:r>
          </w:p>
        </w:tc>
        <w:tc>
          <w:tcPr>
            <w:tcW w:w="960" w:type="dxa"/>
            <w:tcBorders>
              <w:top w:val="nil"/>
              <w:left w:val="nil"/>
              <w:right w:val="nil"/>
            </w:tcBorders>
          </w:tcPr>
          <w:p>
            <w:pPr>
              <w:pStyle w:val="TableParagraph"/>
              <w:spacing w:before="55"/>
              <w:ind w:left="100" w:right="100"/>
              <w:jc w:val="center"/>
              <w:rPr>
                <w:b/>
                <w:sz w:val="22"/>
              </w:rPr>
            </w:pPr>
            <w:r>
              <w:rPr>
                <w:b/>
                <w:sz w:val="22"/>
              </w:rPr>
              <w:t>ρ⃰⃰⃰</w:t>
            </w:r>
          </w:p>
        </w:tc>
      </w:tr>
      <w:tr>
        <w:trPr>
          <w:trHeight w:val="1087" w:hRule="exact"/>
        </w:trPr>
        <w:tc>
          <w:tcPr>
            <w:tcW w:w="3843" w:type="dxa"/>
            <w:tcBorders>
              <w:left w:val="nil"/>
              <w:bottom w:val="nil"/>
              <w:right w:val="nil"/>
            </w:tcBorders>
          </w:tcPr>
          <w:p>
            <w:pPr>
              <w:pStyle w:val="TableParagraph"/>
              <w:spacing w:line="360" w:lineRule="auto"/>
              <w:ind w:left="120" w:right="2688"/>
              <w:rPr>
                <w:sz w:val="22"/>
              </w:rPr>
            </w:pPr>
            <w:r>
              <w:rPr>
                <w:sz w:val="22"/>
              </w:rPr>
              <w:t>Age (years) 22-38</w:t>
            </w:r>
          </w:p>
          <w:p>
            <w:pPr>
              <w:pStyle w:val="TableParagraph"/>
              <w:spacing w:before="7"/>
              <w:ind w:left="120"/>
              <w:rPr>
                <w:sz w:val="22"/>
              </w:rPr>
            </w:pPr>
            <w:r>
              <w:rPr>
                <w:sz w:val="22"/>
              </w:rPr>
              <w:t>39-60</w:t>
            </w:r>
          </w:p>
        </w:tc>
        <w:tc>
          <w:tcPr>
            <w:tcW w:w="1702" w:type="dxa"/>
            <w:tcBorders>
              <w:left w:val="nil"/>
              <w:bottom w:val="nil"/>
              <w:right w:val="nil"/>
            </w:tcBorders>
          </w:tcPr>
          <w:p>
            <w:pPr>
              <w:pStyle w:val="TableParagraph"/>
              <w:spacing w:before="11"/>
              <w:rPr>
                <w:b/>
                <w:sz w:val="32"/>
              </w:rPr>
            </w:pPr>
          </w:p>
          <w:p>
            <w:pPr>
              <w:pStyle w:val="TableParagraph"/>
              <w:ind w:left="499"/>
              <w:rPr>
                <w:sz w:val="22"/>
              </w:rPr>
            </w:pPr>
            <w:r>
              <w:rPr>
                <w:sz w:val="22"/>
              </w:rPr>
              <w:t>3 (10.0)</w:t>
            </w:r>
          </w:p>
          <w:p>
            <w:pPr>
              <w:pStyle w:val="TableParagraph"/>
              <w:spacing w:before="128"/>
              <w:ind w:left="443"/>
              <w:rPr>
                <w:sz w:val="22"/>
              </w:rPr>
            </w:pPr>
            <w:r>
              <w:rPr>
                <w:sz w:val="22"/>
              </w:rPr>
              <w:t>27 (90.0)</w:t>
            </w:r>
          </w:p>
        </w:tc>
        <w:tc>
          <w:tcPr>
            <w:tcW w:w="1651" w:type="dxa"/>
            <w:tcBorders>
              <w:left w:val="nil"/>
              <w:bottom w:val="nil"/>
              <w:right w:val="nil"/>
            </w:tcBorders>
          </w:tcPr>
          <w:p>
            <w:pPr>
              <w:pStyle w:val="TableParagraph"/>
              <w:spacing w:before="11"/>
              <w:rPr>
                <w:b/>
                <w:sz w:val="32"/>
              </w:rPr>
            </w:pPr>
          </w:p>
          <w:p>
            <w:pPr>
              <w:pStyle w:val="TableParagraph"/>
              <w:ind w:left="443"/>
              <w:rPr>
                <w:sz w:val="22"/>
              </w:rPr>
            </w:pPr>
            <w:r>
              <w:rPr>
                <w:sz w:val="22"/>
              </w:rPr>
              <w:t>18 (60.0)</w:t>
            </w:r>
          </w:p>
          <w:p>
            <w:pPr>
              <w:pStyle w:val="TableParagraph"/>
              <w:spacing w:before="128"/>
              <w:ind w:left="443"/>
              <w:rPr>
                <w:sz w:val="22"/>
              </w:rPr>
            </w:pPr>
            <w:r>
              <w:rPr>
                <w:sz w:val="22"/>
              </w:rPr>
              <w:t>12 (40.0)</w:t>
            </w:r>
          </w:p>
        </w:tc>
        <w:tc>
          <w:tcPr>
            <w:tcW w:w="2034" w:type="dxa"/>
            <w:tcBorders>
              <w:left w:val="nil"/>
              <w:bottom w:val="nil"/>
              <w:right w:val="nil"/>
            </w:tcBorders>
          </w:tcPr>
          <w:p>
            <w:pPr>
              <w:pStyle w:val="TableParagraph"/>
              <w:spacing w:before="11"/>
              <w:rPr>
                <w:b/>
                <w:sz w:val="32"/>
              </w:rPr>
            </w:pPr>
          </w:p>
          <w:p>
            <w:pPr>
              <w:pStyle w:val="TableParagraph"/>
              <w:ind w:left="636"/>
              <w:rPr>
                <w:sz w:val="22"/>
              </w:rPr>
            </w:pPr>
            <w:r>
              <w:rPr>
                <w:sz w:val="22"/>
              </w:rPr>
              <w:t>26 (86.7)</w:t>
            </w:r>
          </w:p>
          <w:p>
            <w:pPr>
              <w:pStyle w:val="TableParagraph"/>
              <w:spacing w:before="128"/>
              <w:ind w:left="691"/>
              <w:rPr>
                <w:sz w:val="22"/>
              </w:rPr>
            </w:pPr>
            <w:r>
              <w:rPr>
                <w:sz w:val="22"/>
              </w:rPr>
              <w:t>4 (13.3)</w:t>
            </w:r>
          </w:p>
        </w:tc>
        <w:tc>
          <w:tcPr>
            <w:tcW w:w="960" w:type="dxa"/>
            <w:tcBorders>
              <w:left w:val="nil"/>
              <w:bottom w:val="nil"/>
              <w:right w:val="nil"/>
            </w:tcBorders>
          </w:tcPr>
          <w:p>
            <w:pPr>
              <w:pStyle w:val="TableParagraph"/>
              <w:rPr>
                <w:b/>
                <w:sz w:val="22"/>
              </w:rPr>
            </w:pPr>
          </w:p>
          <w:p>
            <w:pPr>
              <w:pStyle w:val="TableParagraph"/>
              <w:spacing w:before="5"/>
              <w:rPr>
                <w:b/>
                <w:sz w:val="27"/>
              </w:rPr>
            </w:pPr>
          </w:p>
          <w:p>
            <w:pPr>
              <w:pStyle w:val="TableParagraph"/>
              <w:ind w:left="100" w:right="100"/>
              <w:jc w:val="center"/>
              <w:rPr>
                <w:sz w:val="22"/>
              </w:rPr>
            </w:pPr>
            <w:r>
              <w:rPr>
                <w:sz w:val="22"/>
              </w:rPr>
              <w:t>&lt; 0.001</w:t>
            </w:r>
          </w:p>
        </w:tc>
      </w:tr>
      <w:tr>
        <w:trPr>
          <w:trHeight w:val="1138" w:hRule="exact"/>
        </w:trPr>
        <w:tc>
          <w:tcPr>
            <w:tcW w:w="3843" w:type="dxa"/>
            <w:tcBorders>
              <w:top w:val="nil"/>
              <w:left w:val="nil"/>
              <w:bottom w:val="nil"/>
              <w:right w:val="nil"/>
            </w:tcBorders>
          </w:tcPr>
          <w:p>
            <w:pPr>
              <w:pStyle w:val="TableParagraph"/>
              <w:spacing w:line="360" w:lineRule="auto" w:before="57"/>
              <w:ind w:left="120" w:right="3072"/>
              <w:jc w:val="both"/>
              <w:rPr>
                <w:sz w:val="22"/>
              </w:rPr>
            </w:pPr>
            <w:r>
              <w:rPr>
                <w:sz w:val="22"/>
              </w:rPr>
              <w:t>Gender Female Male</w:t>
            </w:r>
          </w:p>
        </w:tc>
        <w:tc>
          <w:tcPr>
            <w:tcW w:w="1702" w:type="dxa"/>
            <w:tcBorders>
              <w:top w:val="nil"/>
              <w:left w:val="nil"/>
              <w:bottom w:val="nil"/>
              <w:right w:val="nil"/>
            </w:tcBorders>
          </w:tcPr>
          <w:p>
            <w:pPr>
              <w:pStyle w:val="TableParagraph"/>
              <w:rPr>
                <w:b/>
                <w:sz w:val="22"/>
              </w:rPr>
            </w:pPr>
          </w:p>
          <w:p>
            <w:pPr>
              <w:pStyle w:val="TableParagraph"/>
              <w:spacing w:before="184"/>
              <w:ind w:left="443"/>
              <w:rPr>
                <w:sz w:val="22"/>
              </w:rPr>
            </w:pPr>
            <w:r>
              <w:rPr>
                <w:sz w:val="22"/>
              </w:rPr>
              <w:t>24 (80.0)</w:t>
            </w:r>
          </w:p>
          <w:p>
            <w:pPr>
              <w:pStyle w:val="TableParagraph"/>
              <w:spacing w:before="127"/>
              <w:ind w:left="499"/>
              <w:rPr>
                <w:sz w:val="22"/>
              </w:rPr>
            </w:pPr>
            <w:r>
              <w:rPr>
                <w:sz w:val="22"/>
              </w:rPr>
              <w:t>6 (20.0)</w:t>
            </w:r>
          </w:p>
        </w:tc>
        <w:tc>
          <w:tcPr>
            <w:tcW w:w="1651" w:type="dxa"/>
            <w:tcBorders>
              <w:top w:val="nil"/>
              <w:left w:val="nil"/>
              <w:bottom w:val="nil"/>
              <w:right w:val="nil"/>
            </w:tcBorders>
          </w:tcPr>
          <w:p>
            <w:pPr>
              <w:pStyle w:val="TableParagraph"/>
              <w:rPr>
                <w:b/>
                <w:sz w:val="22"/>
              </w:rPr>
            </w:pPr>
          </w:p>
          <w:p>
            <w:pPr>
              <w:pStyle w:val="TableParagraph"/>
              <w:spacing w:before="184"/>
              <w:ind w:left="443"/>
              <w:rPr>
                <w:sz w:val="22"/>
              </w:rPr>
            </w:pPr>
            <w:r>
              <w:rPr>
                <w:sz w:val="22"/>
              </w:rPr>
              <w:t>16 (53.3)</w:t>
            </w:r>
          </w:p>
          <w:p>
            <w:pPr>
              <w:pStyle w:val="TableParagraph"/>
              <w:spacing w:before="127"/>
              <w:ind w:left="443"/>
              <w:rPr>
                <w:sz w:val="22"/>
              </w:rPr>
            </w:pPr>
            <w:r>
              <w:rPr>
                <w:sz w:val="22"/>
              </w:rPr>
              <w:t>14 (46.7)</w:t>
            </w:r>
          </w:p>
        </w:tc>
        <w:tc>
          <w:tcPr>
            <w:tcW w:w="2034" w:type="dxa"/>
            <w:tcBorders>
              <w:top w:val="nil"/>
              <w:left w:val="nil"/>
              <w:bottom w:val="nil"/>
              <w:right w:val="nil"/>
            </w:tcBorders>
          </w:tcPr>
          <w:p>
            <w:pPr>
              <w:pStyle w:val="TableParagraph"/>
              <w:rPr>
                <w:b/>
                <w:sz w:val="22"/>
              </w:rPr>
            </w:pPr>
          </w:p>
          <w:p>
            <w:pPr>
              <w:pStyle w:val="TableParagraph"/>
              <w:spacing w:before="184"/>
              <w:ind w:left="636"/>
              <w:rPr>
                <w:sz w:val="22"/>
              </w:rPr>
            </w:pPr>
            <w:r>
              <w:rPr>
                <w:sz w:val="22"/>
              </w:rPr>
              <w:t>22 (73.3)</w:t>
            </w:r>
          </w:p>
          <w:p>
            <w:pPr>
              <w:pStyle w:val="TableParagraph"/>
              <w:spacing w:before="127"/>
              <w:ind w:left="691"/>
              <w:rPr>
                <w:sz w:val="22"/>
              </w:rPr>
            </w:pPr>
            <w:r>
              <w:rPr>
                <w:sz w:val="22"/>
              </w:rPr>
              <w:t>8 (26.7)</w:t>
            </w:r>
          </w:p>
        </w:tc>
        <w:tc>
          <w:tcPr>
            <w:tcW w:w="960" w:type="dxa"/>
            <w:tcBorders>
              <w:top w:val="nil"/>
              <w:left w:val="nil"/>
              <w:bottom w:val="nil"/>
              <w:right w:val="nil"/>
            </w:tcBorders>
          </w:tcPr>
          <w:p>
            <w:pPr>
              <w:pStyle w:val="TableParagraph"/>
              <w:rPr>
                <w:b/>
                <w:sz w:val="22"/>
              </w:rPr>
            </w:pPr>
          </w:p>
          <w:p>
            <w:pPr>
              <w:pStyle w:val="TableParagraph"/>
              <w:spacing w:before="184"/>
              <w:ind w:left="102" w:right="100"/>
              <w:jc w:val="center"/>
              <w:rPr>
                <w:sz w:val="22"/>
              </w:rPr>
            </w:pPr>
            <w:r>
              <w:rPr>
                <w:sz w:val="22"/>
              </w:rPr>
              <w:t>0.067</w:t>
            </w:r>
          </w:p>
        </w:tc>
      </w:tr>
      <w:tr>
        <w:trPr>
          <w:trHeight w:val="1138" w:hRule="exact"/>
        </w:trPr>
        <w:tc>
          <w:tcPr>
            <w:tcW w:w="3843" w:type="dxa"/>
            <w:tcBorders>
              <w:top w:val="nil"/>
              <w:left w:val="nil"/>
              <w:bottom w:val="nil"/>
              <w:right w:val="nil"/>
            </w:tcBorders>
          </w:tcPr>
          <w:p>
            <w:pPr>
              <w:pStyle w:val="TableParagraph"/>
              <w:spacing w:line="360" w:lineRule="auto" w:before="57"/>
              <w:ind w:left="120" w:right="2352"/>
              <w:rPr>
                <w:sz w:val="22"/>
              </w:rPr>
            </w:pPr>
            <w:r>
              <w:rPr>
                <w:sz w:val="22"/>
              </w:rPr>
              <w:t>Smoking status Non smokers</w:t>
            </w:r>
          </w:p>
          <w:p>
            <w:pPr>
              <w:pStyle w:val="TableParagraph"/>
              <w:spacing w:before="4"/>
              <w:ind w:left="120"/>
              <w:rPr>
                <w:sz w:val="22"/>
              </w:rPr>
            </w:pPr>
            <w:r>
              <w:rPr>
                <w:sz w:val="22"/>
              </w:rPr>
              <w:t>Former and current smokers</w:t>
            </w:r>
          </w:p>
        </w:tc>
        <w:tc>
          <w:tcPr>
            <w:tcW w:w="1702" w:type="dxa"/>
            <w:tcBorders>
              <w:top w:val="nil"/>
              <w:left w:val="nil"/>
              <w:bottom w:val="nil"/>
              <w:right w:val="nil"/>
            </w:tcBorders>
          </w:tcPr>
          <w:p>
            <w:pPr>
              <w:pStyle w:val="TableParagraph"/>
              <w:rPr>
                <w:b/>
                <w:sz w:val="22"/>
              </w:rPr>
            </w:pPr>
          </w:p>
          <w:p>
            <w:pPr>
              <w:pStyle w:val="TableParagraph"/>
              <w:spacing w:before="184"/>
              <w:ind w:left="443"/>
              <w:rPr>
                <w:sz w:val="22"/>
              </w:rPr>
            </w:pPr>
            <w:r>
              <w:rPr>
                <w:sz w:val="22"/>
              </w:rPr>
              <w:t>25 (83.3)</w:t>
            </w:r>
          </w:p>
          <w:p>
            <w:pPr>
              <w:pStyle w:val="TableParagraph"/>
              <w:spacing w:before="126"/>
              <w:ind w:left="499"/>
              <w:rPr>
                <w:sz w:val="22"/>
              </w:rPr>
            </w:pPr>
            <w:r>
              <w:rPr>
                <w:sz w:val="22"/>
              </w:rPr>
              <w:t>5 (16.7)</w:t>
            </w:r>
          </w:p>
        </w:tc>
        <w:tc>
          <w:tcPr>
            <w:tcW w:w="1651" w:type="dxa"/>
            <w:tcBorders>
              <w:top w:val="nil"/>
              <w:left w:val="nil"/>
              <w:bottom w:val="nil"/>
              <w:right w:val="nil"/>
            </w:tcBorders>
          </w:tcPr>
          <w:p>
            <w:pPr>
              <w:pStyle w:val="TableParagraph"/>
              <w:rPr>
                <w:b/>
                <w:sz w:val="22"/>
              </w:rPr>
            </w:pPr>
          </w:p>
          <w:p>
            <w:pPr>
              <w:pStyle w:val="TableParagraph"/>
              <w:spacing w:before="184"/>
              <w:ind w:left="443"/>
              <w:rPr>
                <w:sz w:val="22"/>
              </w:rPr>
            </w:pPr>
            <w:r>
              <w:rPr>
                <w:sz w:val="22"/>
              </w:rPr>
              <w:t>12 (40.0)</w:t>
            </w:r>
          </w:p>
          <w:p>
            <w:pPr>
              <w:pStyle w:val="TableParagraph"/>
              <w:spacing w:before="126"/>
              <w:ind w:left="443"/>
              <w:rPr>
                <w:sz w:val="22"/>
              </w:rPr>
            </w:pPr>
            <w:r>
              <w:rPr>
                <w:sz w:val="22"/>
              </w:rPr>
              <w:t>12 (60.0)</w:t>
            </w:r>
          </w:p>
        </w:tc>
        <w:tc>
          <w:tcPr>
            <w:tcW w:w="2034" w:type="dxa"/>
            <w:tcBorders>
              <w:top w:val="nil"/>
              <w:left w:val="nil"/>
              <w:bottom w:val="nil"/>
              <w:right w:val="nil"/>
            </w:tcBorders>
          </w:tcPr>
          <w:p>
            <w:pPr>
              <w:pStyle w:val="TableParagraph"/>
              <w:rPr>
                <w:b/>
                <w:sz w:val="22"/>
              </w:rPr>
            </w:pPr>
          </w:p>
          <w:p>
            <w:pPr>
              <w:pStyle w:val="TableParagraph"/>
              <w:spacing w:before="184"/>
              <w:ind w:left="636"/>
              <w:rPr>
                <w:sz w:val="22"/>
              </w:rPr>
            </w:pPr>
            <w:r>
              <w:rPr>
                <w:sz w:val="22"/>
              </w:rPr>
              <w:t>12 (40.0)</w:t>
            </w:r>
          </w:p>
          <w:p>
            <w:pPr>
              <w:pStyle w:val="TableParagraph"/>
              <w:spacing w:before="126"/>
              <w:ind w:left="636"/>
              <w:rPr>
                <w:sz w:val="22"/>
              </w:rPr>
            </w:pPr>
            <w:r>
              <w:rPr>
                <w:sz w:val="22"/>
              </w:rPr>
              <w:t>18 (60.0)</w:t>
            </w:r>
          </w:p>
        </w:tc>
        <w:tc>
          <w:tcPr>
            <w:tcW w:w="960" w:type="dxa"/>
            <w:tcBorders>
              <w:top w:val="nil"/>
              <w:left w:val="nil"/>
              <w:bottom w:val="nil"/>
              <w:right w:val="nil"/>
            </w:tcBorders>
          </w:tcPr>
          <w:p>
            <w:pPr>
              <w:pStyle w:val="TableParagraph"/>
              <w:rPr>
                <w:b/>
                <w:sz w:val="22"/>
              </w:rPr>
            </w:pPr>
          </w:p>
          <w:p>
            <w:pPr>
              <w:pStyle w:val="TableParagraph"/>
              <w:spacing w:before="184"/>
              <w:ind w:left="102" w:right="100"/>
              <w:jc w:val="center"/>
              <w:rPr>
                <w:sz w:val="22"/>
              </w:rPr>
            </w:pPr>
            <w:r>
              <w:rPr>
                <w:sz w:val="22"/>
              </w:rPr>
              <w:t>0.001</w:t>
            </w:r>
          </w:p>
        </w:tc>
      </w:tr>
      <w:tr>
        <w:trPr>
          <w:trHeight w:val="1133" w:hRule="exact"/>
        </w:trPr>
        <w:tc>
          <w:tcPr>
            <w:tcW w:w="3843" w:type="dxa"/>
            <w:tcBorders>
              <w:top w:val="nil"/>
              <w:left w:val="nil"/>
              <w:bottom w:val="nil"/>
              <w:right w:val="nil"/>
            </w:tcBorders>
          </w:tcPr>
          <w:p>
            <w:pPr>
              <w:pStyle w:val="TableParagraph"/>
              <w:spacing w:line="360" w:lineRule="auto" w:before="57"/>
              <w:ind w:left="120" w:right="1803"/>
              <w:rPr>
                <w:sz w:val="22"/>
              </w:rPr>
            </w:pPr>
            <w:r>
              <w:rPr>
                <w:sz w:val="22"/>
              </w:rPr>
              <w:t>Alcohol consumption Never</w:t>
            </w:r>
          </w:p>
          <w:p>
            <w:pPr>
              <w:pStyle w:val="TableParagraph"/>
              <w:spacing w:before="7"/>
              <w:ind w:left="300"/>
              <w:rPr>
                <w:sz w:val="22"/>
              </w:rPr>
            </w:pPr>
            <w:r>
              <w:rPr>
                <w:sz w:val="22"/>
              </w:rPr>
              <w:t>Current consumer</w:t>
            </w:r>
          </w:p>
        </w:tc>
        <w:tc>
          <w:tcPr>
            <w:tcW w:w="1702" w:type="dxa"/>
            <w:tcBorders>
              <w:top w:val="nil"/>
              <w:left w:val="nil"/>
              <w:bottom w:val="nil"/>
              <w:right w:val="nil"/>
            </w:tcBorders>
          </w:tcPr>
          <w:p>
            <w:pPr>
              <w:pStyle w:val="TableParagraph"/>
              <w:rPr>
                <w:b/>
                <w:sz w:val="22"/>
              </w:rPr>
            </w:pPr>
          </w:p>
          <w:p>
            <w:pPr>
              <w:pStyle w:val="TableParagraph"/>
              <w:spacing w:before="184"/>
              <w:ind w:left="443"/>
              <w:rPr>
                <w:sz w:val="22"/>
              </w:rPr>
            </w:pPr>
            <w:r>
              <w:rPr>
                <w:sz w:val="22"/>
              </w:rPr>
              <w:t>22 (73.3)</w:t>
            </w:r>
          </w:p>
          <w:p>
            <w:pPr>
              <w:pStyle w:val="TableParagraph"/>
              <w:spacing w:before="128"/>
              <w:ind w:left="499"/>
              <w:rPr>
                <w:sz w:val="22"/>
              </w:rPr>
            </w:pPr>
            <w:r>
              <w:rPr>
                <w:sz w:val="22"/>
              </w:rPr>
              <w:t>8 (26.7)</w:t>
            </w:r>
          </w:p>
        </w:tc>
        <w:tc>
          <w:tcPr>
            <w:tcW w:w="1651" w:type="dxa"/>
            <w:tcBorders>
              <w:top w:val="nil"/>
              <w:left w:val="nil"/>
              <w:bottom w:val="nil"/>
              <w:right w:val="nil"/>
            </w:tcBorders>
          </w:tcPr>
          <w:p>
            <w:pPr>
              <w:pStyle w:val="TableParagraph"/>
              <w:rPr>
                <w:b/>
                <w:sz w:val="22"/>
              </w:rPr>
            </w:pPr>
          </w:p>
          <w:p>
            <w:pPr>
              <w:pStyle w:val="TableParagraph"/>
              <w:spacing w:before="184"/>
              <w:ind w:left="443"/>
              <w:rPr>
                <w:sz w:val="22"/>
              </w:rPr>
            </w:pPr>
            <w:r>
              <w:rPr>
                <w:sz w:val="22"/>
              </w:rPr>
              <w:t>12 (40.0)</w:t>
            </w:r>
          </w:p>
          <w:p>
            <w:pPr>
              <w:pStyle w:val="TableParagraph"/>
              <w:spacing w:before="128"/>
              <w:ind w:left="443"/>
              <w:rPr>
                <w:sz w:val="22"/>
              </w:rPr>
            </w:pPr>
            <w:r>
              <w:rPr>
                <w:sz w:val="22"/>
              </w:rPr>
              <w:t>18 (60.0)</w:t>
            </w:r>
          </w:p>
        </w:tc>
        <w:tc>
          <w:tcPr>
            <w:tcW w:w="2034" w:type="dxa"/>
            <w:tcBorders>
              <w:top w:val="nil"/>
              <w:left w:val="nil"/>
              <w:bottom w:val="nil"/>
              <w:right w:val="nil"/>
            </w:tcBorders>
          </w:tcPr>
          <w:p>
            <w:pPr>
              <w:pStyle w:val="TableParagraph"/>
              <w:rPr>
                <w:b/>
                <w:sz w:val="22"/>
              </w:rPr>
            </w:pPr>
          </w:p>
          <w:p>
            <w:pPr>
              <w:pStyle w:val="TableParagraph"/>
              <w:spacing w:before="184"/>
              <w:ind w:left="691"/>
              <w:rPr>
                <w:sz w:val="22"/>
              </w:rPr>
            </w:pPr>
            <w:r>
              <w:rPr>
                <w:sz w:val="22"/>
              </w:rPr>
              <w:t>7 (23.3)</w:t>
            </w:r>
          </w:p>
          <w:p>
            <w:pPr>
              <w:pStyle w:val="TableParagraph"/>
              <w:spacing w:before="128"/>
              <w:ind w:left="636"/>
              <w:rPr>
                <w:sz w:val="22"/>
              </w:rPr>
            </w:pPr>
            <w:r>
              <w:rPr>
                <w:sz w:val="22"/>
              </w:rPr>
              <w:t>23 (76.7)</w:t>
            </w:r>
          </w:p>
        </w:tc>
        <w:tc>
          <w:tcPr>
            <w:tcW w:w="960" w:type="dxa"/>
            <w:tcBorders>
              <w:top w:val="nil"/>
              <w:left w:val="nil"/>
              <w:bottom w:val="nil"/>
              <w:right w:val="nil"/>
            </w:tcBorders>
          </w:tcPr>
          <w:p>
            <w:pPr>
              <w:pStyle w:val="TableParagraph"/>
              <w:rPr>
                <w:b/>
                <w:sz w:val="22"/>
              </w:rPr>
            </w:pPr>
          </w:p>
          <w:p>
            <w:pPr>
              <w:pStyle w:val="TableParagraph"/>
              <w:spacing w:before="184"/>
              <w:ind w:left="100" w:right="100"/>
              <w:jc w:val="center"/>
              <w:rPr>
                <w:sz w:val="22"/>
              </w:rPr>
            </w:pPr>
            <w:r>
              <w:rPr>
                <w:sz w:val="22"/>
              </w:rPr>
              <w:t>&lt; 0.001</w:t>
            </w:r>
          </w:p>
        </w:tc>
      </w:tr>
      <w:tr>
        <w:trPr>
          <w:trHeight w:val="1524" w:hRule="exact"/>
        </w:trPr>
        <w:tc>
          <w:tcPr>
            <w:tcW w:w="3843" w:type="dxa"/>
            <w:tcBorders>
              <w:top w:val="nil"/>
              <w:left w:val="nil"/>
              <w:bottom w:val="nil"/>
              <w:right w:val="nil"/>
            </w:tcBorders>
          </w:tcPr>
          <w:p>
            <w:pPr>
              <w:pStyle w:val="TableParagraph"/>
              <w:spacing w:before="59"/>
              <w:ind w:left="120"/>
              <w:rPr>
                <w:sz w:val="14"/>
              </w:rPr>
            </w:pPr>
            <w:r>
              <w:rPr>
                <w:sz w:val="22"/>
              </w:rPr>
              <w:t>Body mass index, kg/m</w:t>
            </w:r>
            <w:r>
              <w:rPr>
                <w:position w:val="8"/>
                <w:sz w:val="14"/>
              </w:rPr>
              <w:t>2</w:t>
            </w:r>
          </w:p>
          <w:p>
            <w:pPr>
              <w:pStyle w:val="TableParagraph"/>
              <w:spacing w:line="360" w:lineRule="auto" w:before="126"/>
              <w:ind w:left="300" w:right="1663"/>
              <w:rPr>
                <w:sz w:val="22"/>
              </w:rPr>
            </w:pPr>
            <w:r>
              <w:rPr>
                <w:sz w:val="22"/>
              </w:rPr>
              <w:t>&lt; 25 (normal weight) 25-30 (overweight)</w:t>
            </w:r>
          </w:p>
          <w:p>
            <w:pPr>
              <w:pStyle w:val="TableParagraph"/>
              <w:spacing w:before="4"/>
              <w:ind w:left="300"/>
              <w:rPr>
                <w:sz w:val="22"/>
              </w:rPr>
            </w:pPr>
            <w:r>
              <w:rPr>
                <w:sz w:val="22"/>
              </w:rPr>
              <w:t>≥ 30 (obesity)</w:t>
            </w:r>
          </w:p>
        </w:tc>
        <w:tc>
          <w:tcPr>
            <w:tcW w:w="1702" w:type="dxa"/>
            <w:tcBorders>
              <w:top w:val="nil"/>
              <w:left w:val="nil"/>
              <w:bottom w:val="nil"/>
              <w:right w:val="nil"/>
            </w:tcBorders>
          </w:tcPr>
          <w:p>
            <w:pPr>
              <w:pStyle w:val="TableParagraph"/>
              <w:rPr>
                <w:b/>
                <w:sz w:val="22"/>
              </w:rPr>
            </w:pPr>
          </w:p>
          <w:p>
            <w:pPr>
              <w:pStyle w:val="TableParagraph"/>
              <w:spacing w:before="190"/>
              <w:ind w:left="499"/>
              <w:rPr>
                <w:sz w:val="22"/>
              </w:rPr>
            </w:pPr>
            <w:r>
              <w:rPr>
                <w:sz w:val="22"/>
              </w:rPr>
              <w:t>5 (16.7)</w:t>
            </w:r>
          </w:p>
          <w:p>
            <w:pPr>
              <w:pStyle w:val="TableParagraph"/>
              <w:spacing w:before="126"/>
              <w:ind w:left="443"/>
              <w:rPr>
                <w:sz w:val="22"/>
              </w:rPr>
            </w:pPr>
            <w:r>
              <w:rPr>
                <w:sz w:val="22"/>
              </w:rPr>
              <w:t>12 (40.0)</w:t>
            </w:r>
          </w:p>
          <w:p>
            <w:pPr>
              <w:pStyle w:val="TableParagraph"/>
              <w:spacing w:before="126"/>
              <w:ind w:left="443"/>
              <w:rPr>
                <w:sz w:val="22"/>
              </w:rPr>
            </w:pPr>
            <w:r>
              <w:rPr>
                <w:sz w:val="22"/>
              </w:rPr>
              <w:t>13 (43.3)</w:t>
            </w:r>
          </w:p>
        </w:tc>
        <w:tc>
          <w:tcPr>
            <w:tcW w:w="1651" w:type="dxa"/>
            <w:tcBorders>
              <w:top w:val="nil"/>
              <w:left w:val="nil"/>
              <w:bottom w:val="nil"/>
              <w:right w:val="nil"/>
            </w:tcBorders>
          </w:tcPr>
          <w:p>
            <w:pPr>
              <w:pStyle w:val="TableParagraph"/>
              <w:rPr>
                <w:b/>
                <w:sz w:val="22"/>
              </w:rPr>
            </w:pPr>
          </w:p>
          <w:p>
            <w:pPr>
              <w:pStyle w:val="TableParagraph"/>
              <w:spacing w:before="190"/>
              <w:ind w:left="499"/>
              <w:rPr>
                <w:sz w:val="22"/>
              </w:rPr>
            </w:pPr>
            <w:r>
              <w:rPr>
                <w:sz w:val="22"/>
              </w:rPr>
              <w:t>4 (13.3)</w:t>
            </w:r>
          </w:p>
          <w:p>
            <w:pPr>
              <w:pStyle w:val="TableParagraph"/>
              <w:spacing w:before="126"/>
              <w:ind w:left="443"/>
              <w:rPr>
                <w:sz w:val="22"/>
              </w:rPr>
            </w:pPr>
            <w:r>
              <w:rPr>
                <w:sz w:val="22"/>
              </w:rPr>
              <w:t>18 (60.0)</w:t>
            </w:r>
          </w:p>
          <w:p>
            <w:pPr>
              <w:pStyle w:val="TableParagraph"/>
              <w:spacing w:before="126"/>
              <w:ind w:left="499"/>
              <w:rPr>
                <w:sz w:val="22"/>
              </w:rPr>
            </w:pPr>
            <w:r>
              <w:rPr>
                <w:sz w:val="22"/>
              </w:rPr>
              <w:t>8 (26.7)</w:t>
            </w:r>
          </w:p>
        </w:tc>
        <w:tc>
          <w:tcPr>
            <w:tcW w:w="2034" w:type="dxa"/>
            <w:tcBorders>
              <w:top w:val="nil"/>
              <w:left w:val="nil"/>
              <w:bottom w:val="nil"/>
              <w:right w:val="nil"/>
            </w:tcBorders>
          </w:tcPr>
          <w:p>
            <w:pPr>
              <w:pStyle w:val="TableParagraph"/>
              <w:rPr>
                <w:b/>
                <w:sz w:val="22"/>
              </w:rPr>
            </w:pPr>
          </w:p>
          <w:p>
            <w:pPr>
              <w:pStyle w:val="TableParagraph"/>
              <w:spacing w:before="190"/>
              <w:ind w:left="636"/>
              <w:rPr>
                <w:sz w:val="22"/>
              </w:rPr>
            </w:pPr>
            <w:r>
              <w:rPr>
                <w:sz w:val="22"/>
              </w:rPr>
              <w:t>19 (63.3)</w:t>
            </w:r>
          </w:p>
          <w:p>
            <w:pPr>
              <w:pStyle w:val="TableParagraph"/>
              <w:spacing w:before="126"/>
              <w:ind w:left="691"/>
              <w:rPr>
                <w:sz w:val="22"/>
              </w:rPr>
            </w:pPr>
            <w:r>
              <w:rPr>
                <w:sz w:val="22"/>
              </w:rPr>
              <w:t>8 (26.7)</w:t>
            </w:r>
          </w:p>
          <w:p>
            <w:pPr>
              <w:pStyle w:val="TableParagraph"/>
              <w:spacing w:before="126"/>
              <w:ind w:left="691"/>
              <w:rPr>
                <w:sz w:val="22"/>
              </w:rPr>
            </w:pPr>
            <w:r>
              <w:rPr>
                <w:sz w:val="22"/>
              </w:rPr>
              <w:t>3 (10.0)</w:t>
            </w:r>
          </w:p>
        </w:tc>
        <w:tc>
          <w:tcPr>
            <w:tcW w:w="960" w:type="dxa"/>
            <w:tcBorders>
              <w:top w:val="nil"/>
              <w:left w:val="nil"/>
              <w:bottom w:val="nil"/>
              <w:right w:val="nil"/>
            </w:tcBorders>
          </w:tcPr>
          <w:p>
            <w:pPr>
              <w:pStyle w:val="TableParagraph"/>
              <w:rPr>
                <w:b/>
                <w:sz w:val="22"/>
              </w:rPr>
            </w:pPr>
          </w:p>
          <w:p>
            <w:pPr>
              <w:pStyle w:val="TableParagraph"/>
              <w:spacing w:before="190"/>
              <w:ind w:left="141"/>
              <w:rPr>
                <w:sz w:val="22"/>
              </w:rPr>
            </w:pPr>
            <w:r>
              <w:rPr>
                <w:sz w:val="22"/>
              </w:rPr>
              <w:t>&lt; 0.001</w:t>
            </w:r>
          </w:p>
          <w:p>
            <w:pPr>
              <w:pStyle w:val="TableParagraph"/>
              <w:spacing w:before="126"/>
              <w:ind w:left="232"/>
              <w:rPr>
                <w:sz w:val="22"/>
              </w:rPr>
            </w:pPr>
            <w:r>
              <w:rPr>
                <w:sz w:val="22"/>
              </w:rPr>
              <w:t>0.031</w:t>
            </w:r>
          </w:p>
          <w:p>
            <w:pPr>
              <w:pStyle w:val="TableParagraph"/>
              <w:spacing w:before="126"/>
              <w:ind w:left="232"/>
              <w:rPr>
                <w:sz w:val="22"/>
              </w:rPr>
            </w:pPr>
            <w:r>
              <w:rPr>
                <w:sz w:val="22"/>
              </w:rPr>
              <w:t>0.014</w:t>
            </w:r>
          </w:p>
        </w:tc>
      </w:tr>
      <w:tr>
        <w:trPr>
          <w:trHeight w:val="379" w:hRule="exact"/>
        </w:trPr>
        <w:tc>
          <w:tcPr>
            <w:tcW w:w="3843" w:type="dxa"/>
            <w:tcBorders>
              <w:top w:val="nil"/>
              <w:left w:val="nil"/>
              <w:bottom w:val="nil"/>
              <w:right w:val="nil"/>
            </w:tcBorders>
          </w:tcPr>
          <w:p>
            <w:pPr>
              <w:pStyle w:val="TableParagraph"/>
              <w:spacing w:before="57"/>
              <w:ind w:left="120"/>
              <w:rPr>
                <w:sz w:val="22"/>
              </w:rPr>
            </w:pPr>
            <w:r>
              <w:rPr>
                <w:sz w:val="22"/>
              </w:rPr>
              <w:t>High blood pressure (≥130/85 mmHg)</w:t>
            </w:r>
          </w:p>
        </w:tc>
        <w:tc>
          <w:tcPr>
            <w:tcW w:w="1702" w:type="dxa"/>
            <w:tcBorders>
              <w:top w:val="nil"/>
              <w:left w:val="nil"/>
              <w:bottom w:val="nil"/>
              <w:right w:val="nil"/>
            </w:tcBorders>
          </w:tcPr>
          <w:p>
            <w:pPr>
              <w:pStyle w:val="TableParagraph"/>
              <w:spacing w:before="57"/>
              <w:ind w:left="108" w:right="112"/>
              <w:jc w:val="center"/>
              <w:rPr>
                <w:sz w:val="22"/>
              </w:rPr>
            </w:pPr>
            <w:r>
              <w:rPr>
                <w:sz w:val="22"/>
              </w:rPr>
              <w:t>11 (38.0)</w:t>
            </w:r>
          </w:p>
        </w:tc>
        <w:tc>
          <w:tcPr>
            <w:tcW w:w="1651" w:type="dxa"/>
            <w:tcBorders>
              <w:top w:val="nil"/>
              <w:left w:val="nil"/>
              <w:bottom w:val="nil"/>
              <w:right w:val="nil"/>
            </w:tcBorders>
          </w:tcPr>
          <w:p>
            <w:pPr>
              <w:pStyle w:val="TableParagraph"/>
              <w:spacing w:before="57"/>
              <w:ind w:left="443"/>
              <w:rPr>
                <w:sz w:val="22"/>
              </w:rPr>
            </w:pPr>
            <w:r>
              <w:rPr>
                <w:sz w:val="22"/>
              </w:rPr>
              <w:t>10 (35.7)</w:t>
            </w:r>
          </w:p>
        </w:tc>
        <w:tc>
          <w:tcPr>
            <w:tcW w:w="2034" w:type="dxa"/>
            <w:tcBorders>
              <w:top w:val="nil"/>
              <w:left w:val="nil"/>
              <w:bottom w:val="nil"/>
              <w:right w:val="nil"/>
            </w:tcBorders>
          </w:tcPr>
          <w:p>
            <w:pPr>
              <w:pStyle w:val="TableParagraph"/>
              <w:spacing w:before="57"/>
              <w:ind w:left="65" w:right="19"/>
              <w:jc w:val="center"/>
              <w:rPr>
                <w:sz w:val="22"/>
              </w:rPr>
            </w:pPr>
            <w:r>
              <w:rPr>
                <w:sz w:val="22"/>
              </w:rPr>
              <w:t>12 (40.0)</w:t>
            </w:r>
          </w:p>
        </w:tc>
        <w:tc>
          <w:tcPr>
            <w:tcW w:w="960" w:type="dxa"/>
            <w:tcBorders>
              <w:top w:val="nil"/>
              <w:left w:val="nil"/>
              <w:bottom w:val="nil"/>
              <w:right w:val="nil"/>
            </w:tcBorders>
          </w:tcPr>
          <w:p>
            <w:pPr>
              <w:pStyle w:val="TableParagraph"/>
              <w:spacing w:before="57"/>
              <w:ind w:left="102" w:right="100"/>
              <w:jc w:val="center"/>
              <w:rPr>
                <w:sz w:val="22"/>
              </w:rPr>
            </w:pPr>
            <w:r>
              <w:rPr>
                <w:sz w:val="22"/>
              </w:rPr>
              <w:t>0.945</w:t>
            </w:r>
          </w:p>
        </w:tc>
      </w:tr>
      <w:tr>
        <w:trPr>
          <w:trHeight w:val="379" w:hRule="exact"/>
        </w:trPr>
        <w:tc>
          <w:tcPr>
            <w:tcW w:w="3843" w:type="dxa"/>
            <w:tcBorders>
              <w:top w:val="nil"/>
              <w:left w:val="nil"/>
              <w:bottom w:val="nil"/>
              <w:right w:val="nil"/>
            </w:tcBorders>
          </w:tcPr>
          <w:p>
            <w:pPr>
              <w:pStyle w:val="TableParagraph"/>
              <w:spacing w:before="57"/>
              <w:ind w:left="120"/>
              <w:rPr>
                <w:sz w:val="22"/>
              </w:rPr>
            </w:pPr>
            <w:r>
              <w:rPr>
                <w:sz w:val="22"/>
              </w:rPr>
              <w:t>High triaylglycerides (&gt;150 mg/dL)</w:t>
            </w:r>
          </w:p>
        </w:tc>
        <w:tc>
          <w:tcPr>
            <w:tcW w:w="1702" w:type="dxa"/>
            <w:tcBorders>
              <w:top w:val="nil"/>
              <w:left w:val="nil"/>
              <w:bottom w:val="nil"/>
              <w:right w:val="nil"/>
            </w:tcBorders>
          </w:tcPr>
          <w:p>
            <w:pPr>
              <w:pStyle w:val="TableParagraph"/>
              <w:spacing w:before="57"/>
              <w:ind w:left="108" w:right="112"/>
              <w:jc w:val="center"/>
              <w:rPr>
                <w:sz w:val="22"/>
              </w:rPr>
            </w:pPr>
            <w:r>
              <w:rPr>
                <w:sz w:val="22"/>
              </w:rPr>
              <w:t>14 (46.7)</w:t>
            </w:r>
          </w:p>
        </w:tc>
        <w:tc>
          <w:tcPr>
            <w:tcW w:w="1651" w:type="dxa"/>
            <w:tcBorders>
              <w:top w:val="nil"/>
              <w:left w:val="nil"/>
              <w:bottom w:val="nil"/>
              <w:right w:val="nil"/>
            </w:tcBorders>
          </w:tcPr>
          <w:p>
            <w:pPr>
              <w:pStyle w:val="TableParagraph"/>
              <w:spacing w:before="57"/>
              <w:ind w:left="443"/>
              <w:rPr>
                <w:sz w:val="22"/>
              </w:rPr>
            </w:pPr>
            <w:r>
              <w:rPr>
                <w:sz w:val="22"/>
              </w:rPr>
              <w:t>19 (63.3)</w:t>
            </w:r>
          </w:p>
        </w:tc>
        <w:tc>
          <w:tcPr>
            <w:tcW w:w="2034" w:type="dxa"/>
            <w:tcBorders>
              <w:top w:val="nil"/>
              <w:left w:val="nil"/>
              <w:bottom w:val="nil"/>
              <w:right w:val="nil"/>
            </w:tcBorders>
          </w:tcPr>
          <w:p>
            <w:pPr>
              <w:pStyle w:val="TableParagraph"/>
              <w:spacing w:before="57"/>
              <w:ind w:left="65" w:right="19"/>
              <w:jc w:val="center"/>
              <w:rPr>
                <w:sz w:val="22"/>
              </w:rPr>
            </w:pPr>
            <w:r>
              <w:rPr>
                <w:sz w:val="22"/>
              </w:rPr>
              <w:t>11 (36.7)</w:t>
            </w:r>
          </w:p>
        </w:tc>
        <w:tc>
          <w:tcPr>
            <w:tcW w:w="960" w:type="dxa"/>
            <w:tcBorders>
              <w:top w:val="nil"/>
              <w:left w:val="nil"/>
              <w:bottom w:val="nil"/>
              <w:right w:val="nil"/>
            </w:tcBorders>
          </w:tcPr>
          <w:p>
            <w:pPr>
              <w:pStyle w:val="TableParagraph"/>
              <w:spacing w:before="57"/>
              <w:ind w:left="102" w:right="100"/>
              <w:jc w:val="center"/>
              <w:rPr>
                <w:sz w:val="22"/>
              </w:rPr>
            </w:pPr>
            <w:r>
              <w:rPr>
                <w:sz w:val="22"/>
              </w:rPr>
              <w:t>0.113</w:t>
            </w:r>
          </w:p>
        </w:tc>
      </w:tr>
      <w:tr>
        <w:trPr>
          <w:trHeight w:val="379" w:hRule="exact"/>
        </w:trPr>
        <w:tc>
          <w:tcPr>
            <w:tcW w:w="3843" w:type="dxa"/>
            <w:tcBorders>
              <w:top w:val="nil"/>
              <w:left w:val="nil"/>
              <w:bottom w:val="nil"/>
              <w:right w:val="nil"/>
            </w:tcBorders>
          </w:tcPr>
          <w:p>
            <w:pPr>
              <w:pStyle w:val="TableParagraph"/>
              <w:spacing w:before="57"/>
              <w:ind w:left="120"/>
              <w:rPr>
                <w:sz w:val="22"/>
              </w:rPr>
            </w:pPr>
            <w:r>
              <w:rPr>
                <w:sz w:val="22"/>
              </w:rPr>
              <w:t>High total cholesterol (&gt; 200 mg/dL)</w:t>
            </w:r>
          </w:p>
        </w:tc>
        <w:tc>
          <w:tcPr>
            <w:tcW w:w="1702" w:type="dxa"/>
            <w:tcBorders>
              <w:top w:val="nil"/>
              <w:left w:val="nil"/>
              <w:bottom w:val="nil"/>
              <w:right w:val="nil"/>
            </w:tcBorders>
          </w:tcPr>
          <w:p>
            <w:pPr>
              <w:pStyle w:val="TableParagraph"/>
              <w:spacing w:before="57"/>
              <w:ind w:left="108" w:right="112"/>
              <w:jc w:val="center"/>
              <w:rPr>
                <w:sz w:val="22"/>
              </w:rPr>
            </w:pPr>
            <w:r>
              <w:rPr>
                <w:sz w:val="22"/>
              </w:rPr>
              <w:t>16 (53.3)</w:t>
            </w:r>
          </w:p>
        </w:tc>
        <w:tc>
          <w:tcPr>
            <w:tcW w:w="1651" w:type="dxa"/>
            <w:tcBorders>
              <w:top w:val="nil"/>
              <w:left w:val="nil"/>
              <w:bottom w:val="nil"/>
              <w:right w:val="nil"/>
            </w:tcBorders>
          </w:tcPr>
          <w:p>
            <w:pPr>
              <w:pStyle w:val="TableParagraph"/>
              <w:spacing w:before="57"/>
              <w:ind w:left="499"/>
              <w:rPr>
                <w:sz w:val="22"/>
              </w:rPr>
            </w:pPr>
            <w:r>
              <w:rPr>
                <w:sz w:val="22"/>
              </w:rPr>
              <w:t>9 (30.0)</w:t>
            </w:r>
          </w:p>
        </w:tc>
        <w:tc>
          <w:tcPr>
            <w:tcW w:w="2034" w:type="dxa"/>
            <w:tcBorders>
              <w:top w:val="nil"/>
              <w:left w:val="nil"/>
              <w:bottom w:val="nil"/>
              <w:right w:val="nil"/>
            </w:tcBorders>
          </w:tcPr>
          <w:p>
            <w:pPr>
              <w:pStyle w:val="TableParagraph"/>
              <w:spacing w:before="57"/>
              <w:ind w:left="65" w:right="19"/>
              <w:jc w:val="center"/>
              <w:rPr>
                <w:sz w:val="22"/>
              </w:rPr>
            </w:pPr>
            <w:r>
              <w:rPr>
                <w:sz w:val="22"/>
              </w:rPr>
              <w:t>8 (26.7)</w:t>
            </w:r>
          </w:p>
        </w:tc>
        <w:tc>
          <w:tcPr>
            <w:tcW w:w="960" w:type="dxa"/>
            <w:tcBorders>
              <w:top w:val="nil"/>
              <w:left w:val="nil"/>
              <w:bottom w:val="nil"/>
              <w:right w:val="nil"/>
            </w:tcBorders>
          </w:tcPr>
          <w:p>
            <w:pPr>
              <w:pStyle w:val="TableParagraph"/>
              <w:spacing w:before="57"/>
              <w:ind w:left="102" w:right="100"/>
              <w:jc w:val="center"/>
              <w:rPr>
                <w:sz w:val="22"/>
              </w:rPr>
            </w:pPr>
            <w:r>
              <w:rPr>
                <w:sz w:val="22"/>
              </w:rPr>
              <w:t>0.065</w:t>
            </w:r>
          </w:p>
        </w:tc>
      </w:tr>
      <w:tr>
        <w:trPr>
          <w:trHeight w:val="763" w:hRule="exact"/>
        </w:trPr>
        <w:tc>
          <w:tcPr>
            <w:tcW w:w="3843" w:type="dxa"/>
            <w:tcBorders>
              <w:top w:val="nil"/>
              <w:left w:val="nil"/>
              <w:bottom w:val="nil"/>
              <w:right w:val="nil"/>
            </w:tcBorders>
          </w:tcPr>
          <w:p>
            <w:pPr>
              <w:pStyle w:val="TableParagraph"/>
              <w:spacing w:line="362" w:lineRule="auto" w:before="57"/>
              <w:ind w:left="120" w:right="339"/>
              <w:rPr>
                <w:sz w:val="22"/>
              </w:rPr>
            </w:pPr>
            <w:r>
              <w:rPr>
                <w:sz w:val="22"/>
              </w:rPr>
              <w:t>Low HDL-chol (&lt;45 mg/dL men, &lt;50 mg/dL women)</w:t>
            </w:r>
          </w:p>
        </w:tc>
        <w:tc>
          <w:tcPr>
            <w:tcW w:w="1702" w:type="dxa"/>
            <w:tcBorders>
              <w:top w:val="nil"/>
              <w:left w:val="nil"/>
              <w:bottom w:val="nil"/>
              <w:right w:val="nil"/>
            </w:tcBorders>
          </w:tcPr>
          <w:p>
            <w:pPr>
              <w:pStyle w:val="TableParagraph"/>
              <w:spacing w:before="5"/>
              <w:rPr>
                <w:b/>
                <w:sz w:val="21"/>
              </w:rPr>
            </w:pPr>
          </w:p>
          <w:p>
            <w:pPr>
              <w:pStyle w:val="TableParagraph"/>
              <w:ind w:left="108" w:right="112"/>
              <w:jc w:val="center"/>
              <w:rPr>
                <w:sz w:val="22"/>
              </w:rPr>
            </w:pPr>
            <w:r>
              <w:rPr>
                <w:sz w:val="22"/>
              </w:rPr>
              <w:t>21 (72.4)</w:t>
            </w:r>
          </w:p>
        </w:tc>
        <w:tc>
          <w:tcPr>
            <w:tcW w:w="1651" w:type="dxa"/>
            <w:tcBorders>
              <w:top w:val="nil"/>
              <w:left w:val="nil"/>
              <w:bottom w:val="nil"/>
              <w:right w:val="nil"/>
            </w:tcBorders>
          </w:tcPr>
          <w:p>
            <w:pPr>
              <w:pStyle w:val="TableParagraph"/>
              <w:spacing w:before="5"/>
              <w:rPr>
                <w:b/>
                <w:sz w:val="21"/>
              </w:rPr>
            </w:pPr>
          </w:p>
          <w:p>
            <w:pPr>
              <w:pStyle w:val="TableParagraph"/>
              <w:ind w:left="443"/>
              <w:rPr>
                <w:sz w:val="22"/>
              </w:rPr>
            </w:pPr>
            <w:r>
              <w:rPr>
                <w:sz w:val="22"/>
              </w:rPr>
              <w:t>28 (93.3)</w:t>
            </w:r>
          </w:p>
        </w:tc>
        <w:tc>
          <w:tcPr>
            <w:tcW w:w="2034" w:type="dxa"/>
            <w:tcBorders>
              <w:top w:val="nil"/>
              <w:left w:val="nil"/>
              <w:bottom w:val="nil"/>
              <w:right w:val="nil"/>
            </w:tcBorders>
          </w:tcPr>
          <w:p>
            <w:pPr>
              <w:pStyle w:val="TableParagraph"/>
              <w:spacing w:before="5"/>
              <w:rPr>
                <w:b/>
                <w:sz w:val="21"/>
              </w:rPr>
            </w:pPr>
          </w:p>
          <w:p>
            <w:pPr>
              <w:pStyle w:val="TableParagraph"/>
              <w:ind w:left="65" w:right="19"/>
              <w:jc w:val="center"/>
              <w:rPr>
                <w:sz w:val="22"/>
              </w:rPr>
            </w:pPr>
            <w:r>
              <w:rPr>
                <w:sz w:val="22"/>
              </w:rPr>
              <w:t>19 (63.3)</w:t>
            </w:r>
          </w:p>
        </w:tc>
        <w:tc>
          <w:tcPr>
            <w:tcW w:w="960" w:type="dxa"/>
            <w:tcBorders>
              <w:top w:val="nil"/>
              <w:left w:val="nil"/>
              <w:bottom w:val="nil"/>
              <w:right w:val="nil"/>
            </w:tcBorders>
          </w:tcPr>
          <w:p>
            <w:pPr>
              <w:pStyle w:val="TableParagraph"/>
              <w:spacing w:before="5"/>
              <w:rPr>
                <w:b/>
                <w:sz w:val="21"/>
              </w:rPr>
            </w:pPr>
          </w:p>
          <w:p>
            <w:pPr>
              <w:pStyle w:val="TableParagraph"/>
              <w:ind w:left="102" w:right="100"/>
              <w:jc w:val="center"/>
              <w:rPr>
                <w:sz w:val="22"/>
              </w:rPr>
            </w:pPr>
            <w:r>
              <w:rPr>
                <w:sz w:val="22"/>
              </w:rPr>
              <w:t>0.020</w:t>
            </w:r>
          </w:p>
        </w:tc>
      </w:tr>
      <w:tr>
        <w:trPr>
          <w:trHeight w:val="379" w:hRule="exact"/>
        </w:trPr>
        <w:tc>
          <w:tcPr>
            <w:tcW w:w="3843" w:type="dxa"/>
            <w:tcBorders>
              <w:top w:val="nil"/>
              <w:left w:val="nil"/>
              <w:bottom w:val="nil"/>
              <w:right w:val="nil"/>
            </w:tcBorders>
          </w:tcPr>
          <w:p>
            <w:pPr/>
          </w:p>
        </w:tc>
        <w:tc>
          <w:tcPr>
            <w:tcW w:w="1702" w:type="dxa"/>
            <w:tcBorders>
              <w:top w:val="nil"/>
              <w:left w:val="nil"/>
              <w:bottom w:val="nil"/>
              <w:right w:val="nil"/>
            </w:tcBorders>
          </w:tcPr>
          <w:p>
            <w:pPr>
              <w:pStyle w:val="TableParagraph"/>
              <w:spacing w:before="60"/>
              <w:ind w:left="108" w:right="109"/>
              <w:jc w:val="center"/>
              <w:rPr>
                <w:b/>
                <w:sz w:val="22"/>
              </w:rPr>
            </w:pPr>
            <w:r>
              <w:rPr>
                <w:b/>
                <w:sz w:val="22"/>
              </w:rPr>
              <w:t>Mean ± DS</w:t>
            </w:r>
          </w:p>
        </w:tc>
        <w:tc>
          <w:tcPr>
            <w:tcW w:w="1651" w:type="dxa"/>
            <w:tcBorders>
              <w:top w:val="nil"/>
              <w:left w:val="nil"/>
              <w:bottom w:val="nil"/>
              <w:right w:val="nil"/>
            </w:tcBorders>
          </w:tcPr>
          <w:p>
            <w:pPr>
              <w:pStyle w:val="TableParagraph"/>
              <w:spacing w:before="60"/>
              <w:ind w:left="323"/>
              <w:rPr>
                <w:b/>
                <w:sz w:val="22"/>
              </w:rPr>
            </w:pPr>
            <w:r>
              <w:rPr>
                <w:b/>
                <w:sz w:val="22"/>
              </w:rPr>
              <w:t>Mean ± DS</w:t>
            </w:r>
          </w:p>
        </w:tc>
        <w:tc>
          <w:tcPr>
            <w:tcW w:w="2034" w:type="dxa"/>
            <w:tcBorders>
              <w:top w:val="nil"/>
              <w:left w:val="nil"/>
              <w:bottom w:val="nil"/>
              <w:right w:val="nil"/>
            </w:tcBorders>
          </w:tcPr>
          <w:p>
            <w:pPr>
              <w:pStyle w:val="TableParagraph"/>
              <w:spacing w:before="60"/>
              <w:ind w:left="65" w:right="15"/>
              <w:jc w:val="center"/>
              <w:rPr>
                <w:b/>
                <w:sz w:val="22"/>
              </w:rPr>
            </w:pPr>
            <w:r>
              <w:rPr>
                <w:b/>
                <w:sz w:val="22"/>
              </w:rPr>
              <w:t>Mean ± DS</w:t>
            </w:r>
          </w:p>
        </w:tc>
        <w:tc>
          <w:tcPr>
            <w:tcW w:w="960" w:type="dxa"/>
            <w:tcBorders>
              <w:top w:val="nil"/>
              <w:left w:val="nil"/>
              <w:bottom w:val="nil"/>
              <w:right w:val="nil"/>
            </w:tcBorders>
          </w:tcPr>
          <w:p>
            <w:pPr/>
          </w:p>
        </w:tc>
      </w:tr>
      <w:tr>
        <w:trPr>
          <w:trHeight w:val="757" w:hRule="exact"/>
        </w:trPr>
        <w:tc>
          <w:tcPr>
            <w:tcW w:w="3843" w:type="dxa"/>
            <w:tcBorders>
              <w:top w:val="nil"/>
              <w:left w:val="nil"/>
              <w:bottom w:val="nil"/>
              <w:right w:val="nil"/>
            </w:tcBorders>
          </w:tcPr>
          <w:p>
            <w:pPr>
              <w:pStyle w:val="TableParagraph"/>
              <w:spacing w:before="4"/>
              <w:rPr>
                <w:b/>
                <w:sz w:val="21"/>
              </w:rPr>
            </w:pPr>
          </w:p>
          <w:p>
            <w:pPr>
              <w:pStyle w:val="TableParagraph"/>
              <w:ind w:left="120"/>
              <w:rPr>
                <w:sz w:val="22"/>
              </w:rPr>
            </w:pPr>
            <w:r>
              <w:rPr>
                <w:sz w:val="22"/>
              </w:rPr>
              <w:t>Probing depth, mm</w:t>
            </w:r>
          </w:p>
        </w:tc>
        <w:tc>
          <w:tcPr>
            <w:tcW w:w="1702" w:type="dxa"/>
            <w:tcBorders>
              <w:top w:val="nil"/>
              <w:left w:val="nil"/>
              <w:bottom w:val="nil"/>
              <w:right w:val="nil"/>
            </w:tcBorders>
          </w:tcPr>
          <w:p>
            <w:pPr>
              <w:pStyle w:val="TableParagraph"/>
              <w:spacing w:before="4"/>
              <w:rPr>
                <w:b/>
                <w:sz w:val="21"/>
              </w:rPr>
            </w:pPr>
          </w:p>
          <w:p>
            <w:pPr>
              <w:pStyle w:val="TableParagraph"/>
              <w:ind w:left="108" w:right="109"/>
              <w:jc w:val="center"/>
              <w:rPr>
                <w:sz w:val="22"/>
              </w:rPr>
            </w:pPr>
            <w:r>
              <w:rPr>
                <w:sz w:val="22"/>
              </w:rPr>
              <w:t>4.4±1.4</w:t>
            </w:r>
          </w:p>
        </w:tc>
        <w:tc>
          <w:tcPr>
            <w:tcW w:w="1651" w:type="dxa"/>
            <w:tcBorders>
              <w:top w:val="nil"/>
              <w:left w:val="nil"/>
              <w:bottom w:val="nil"/>
              <w:right w:val="nil"/>
            </w:tcBorders>
          </w:tcPr>
          <w:p>
            <w:pPr>
              <w:pStyle w:val="TableParagraph"/>
              <w:spacing w:before="4"/>
              <w:rPr>
                <w:b/>
                <w:sz w:val="21"/>
              </w:rPr>
            </w:pPr>
          </w:p>
          <w:p>
            <w:pPr>
              <w:pStyle w:val="TableParagraph"/>
              <w:ind w:left="513"/>
              <w:rPr>
                <w:sz w:val="22"/>
              </w:rPr>
            </w:pPr>
            <w:r>
              <w:rPr>
                <w:sz w:val="22"/>
              </w:rPr>
              <w:t>4.4</w:t>
            </w:r>
            <w:r>
              <w:rPr>
                <w:b/>
                <w:sz w:val="22"/>
              </w:rPr>
              <w:t>±</w:t>
            </w:r>
            <w:r>
              <w:rPr>
                <w:sz w:val="22"/>
              </w:rPr>
              <w:t>1.0</w:t>
            </w:r>
          </w:p>
        </w:tc>
        <w:tc>
          <w:tcPr>
            <w:tcW w:w="2034" w:type="dxa"/>
            <w:tcBorders>
              <w:top w:val="nil"/>
              <w:left w:val="nil"/>
              <w:bottom w:val="nil"/>
              <w:right w:val="nil"/>
            </w:tcBorders>
          </w:tcPr>
          <w:p>
            <w:pPr>
              <w:pStyle w:val="TableParagraph"/>
              <w:spacing w:before="4"/>
              <w:rPr>
                <w:b/>
                <w:sz w:val="21"/>
              </w:rPr>
            </w:pPr>
          </w:p>
          <w:p>
            <w:pPr>
              <w:pStyle w:val="TableParagraph"/>
              <w:ind w:left="65" w:right="14"/>
              <w:jc w:val="center"/>
              <w:rPr>
                <w:sz w:val="22"/>
              </w:rPr>
            </w:pPr>
            <w:r>
              <w:rPr>
                <w:sz w:val="22"/>
              </w:rPr>
              <w:t>2.1</w:t>
            </w:r>
            <w:r>
              <w:rPr>
                <w:b/>
                <w:sz w:val="22"/>
              </w:rPr>
              <w:t>±</w:t>
            </w:r>
            <w:r>
              <w:rPr>
                <w:sz w:val="22"/>
              </w:rPr>
              <w:t>0.4</w:t>
            </w:r>
          </w:p>
        </w:tc>
        <w:tc>
          <w:tcPr>
            <w:tcW w:w="960" w:type="dxa"/>
            <w:tcBorders>
              <w:top w:val="nil"/>
              <w:left w:val="nil"/>
              <w:bottom w:val="nil"/>
              <w:right w:val="nil"/>
            </w:tcBorders>
          </w:tcPr>
          <w:p>
            <w:pPr>
              <w:pStyle w:val="TableParagraph"/>
              <w:spacing w:line="360" w:lineRule="auto" w:before="55"/>
              <w:ind w:left="177" w:right="156" w:firstLine="240"/>
              <w:rPr>
                <w:sz w:val="22"/>
              </w:rPr>
            </w:pPr>
            <w:r>
              <w:rPr>
                <w:sz w:val="22"/>
              </w:rPr>
              <w:t>&lt; </w:t>
            </w:r>
            <w:r>
              <w:rPr>
                <w:w w:val="100"/>
                <w:sz w:val="22"/>
              </w:rPr>
              <w:t>0.001⃰</w:t>
            </w:r>
            <w:r>
              <w:rPr>
                <w:sz w:val="22"/>
              </w:rPr>
              <w:t>  </w:t>
            </w:r>
            <w:r>
              <w:rPr>
                <w:w w:val="100"/>
                <w:sz w:val="22"/>
              </w:rPr>
              <w:t>⃰</w:t>
            </w:r>
          </w:p>
        </w:tc>
      </w:tr>
      <w:tr>
        <w:trPr>
          <w:trHeight w:val="758" w:hRule="exact"/>
        </w:trPr>
        <w:tc>
          <w:tcPr>
            <w:tcW w:w="3843" w:type="dxa"/>
            <w:tcBorders>
              <w:top w:val="nil"/>
              <w:left w:val="nil"/>
              <w:bottom w:val="nil"/>
              <w:right w:val="nil"/>
            </w:tcBorders>
          </w:tcPr>
          <w:p>
            <w:pPr>
              <w:pStyle w:val="TableParagraph"/>
              <w:spacing w:before="5"/>
              <w:rPr>
                <w:b/>
                <w:sz w:val="21"/>
              </w:rPr>
            </w:pPr>
          </w:p>
          <w:p>
            <w:pPr>
              <w:pStyle w:val="TableParagraph"/>
              <w:ind w:left="120"/>
              <w:rPr>
                <w:sz w:val="22"/>
              </w:rPr>
            </w:pPr>
            <w:r>
              <w:rPr>
                <w:sz w:val="22"/>
              </w:rPr>
              <w:t>Glucose, mg/dL</w:t>
            </w:r>
          </w:p>
        </w:tc>
        <w:tc>
          <w:tcPr>
            <w:tcW w:w="1702" w:type="dxa"/>
            <w:tcBorders>
              <w:top w:val="nil"/>
              <w:left w:val="nil"/>
              <w:bottom w:val="nil"/>
              <w:right w:val="nil"/>
            </w:tcBorders>
          </w:tcPr>
          <w:p>
            <w:pPr>
              <w:pStyle w:val="TableParagraph"/>
              <w:spacing w:before="5"/>
              <w:rPr>
                <w:b/>
                <w:sz w:val="21"/>
              </w:rPr>
            </w:pPr>
          </w:p>
          <w:p>
            <w:pPr>
              <w:pStyle w:val="TableParagraph"/>
              <w:ind w:left="108" w:right="108"/>
              <w:jc w:val="center"/>
              <w:rPr>
                <w:sz w:val="22"/>
              </w:rPr>
            </w:pPr>
            <w:r>
              <w:rPr>
                <w:sz w:val="22"/>
              </w:rPr>
              <w:t>178.6</w:t>
            </w:r>
            <w:r>
              <w:rPr>
                <w:b/>
                <w:sz w:val="22"/>
              </w:rPr>
              <w:t>±</w:t>
            </w:r>
            <w:r>
              <w:rPr>
                <w:sz w:val="22"/>
              </w:rPr>
              <w:t>74.6</w:t>
            </w:r>
          </w:p>
        </w:tc>
        <w:tc>
          <w:tcPr>
            <w:tcW w:w="1651" w:type="dxa"/>
            <w:tcBorders>
              <w:top w:val="nil"/>
              <w:left w:val="nil"/>
              <w:bottom w:val="nil"/>
              <w:right w:val="nil"/>
            </w:tcBorders>
          </w:tcPr>
          <w:p>
            <w:pPr>
              <w:pStyle w:val="TableParagraph"/>
              <w:spacing w:before="5"/>
              <w:rPr>
                <w:b/>
                <w:sz w:val="21"/>
              </w:rPr>
            </w:pPr>
          </w:p>
          <w:p>
            <w:pPr>
              <w:pStyle w:val="TableParagraph"/>
              <w:ind w:left="403"/>
              <w:rPr>
                <w:sz w:val="22"/>
              </w:rPr>
            </w:pPr>
            <w:r>
              <w:rPr>
                <w:sz w:val="22"/>
              </w:rPr>
              <w:t>95.5</w:t>
            </w:r>
            <w:r>
              <w:rPr>
                <w:b/>
                <w:sz w:val="22"/>
              </w:rPr>
              <w:t>±</w:t>
            </w:r>
            <w:r>
              <w:rPr>
                <w:sz w:val="22"/>
              </w:rPr>
              <w:t>13.1</w:t>
            </w:r>
          </w:p>
        </w:tc>
        <w:tc>
          <w:tcPr>
            <w:tcW w:w="2034" w:type="dxa"/>
            <w:tcBorders>
              <w:top w:val="nil"/>
              <w:left w:val="nil"/>
              <w:bottom w:val="nil"/>
              <w:right w:val="nil"/>
            </w:tcBorders>
          </w:tcPr>
          <w:p>
            <w:pPr>
              <w:pStyle w:val="TableParagraph"/>
              <w:spacing w:before="5"/>
              <w:rPr>
                <w:b/>
                <w:sz w:val="21"/>
              </w:rPr>
            </w:pPr>
          </w:p>
          <w:p>
            <w:pPr>
              <w:pStyle w:val="TableParagraph"/>
              <w:ind w:left="65" w:right="14"/>
              <w:jc w:val="center"/>
              <w:rPr>
                <w:sz w:val="22"/>
              </w:rPr>
            </w:pPr>
            <w:r>
              <w:rPr>
                <w:sz w:val="22"/>
              </w:rPr>
              <w:t>85.9</w:t>
            </w:r>
            <w:r>
              <w:rPr>
                <w:b/>
                <w:sz w:val="22"/>
              </w:rPr>
              <w:t>±</w:t>
            </w:r>
            <w:r>
              <w:rPr>
                <w:sz w:val="22"/>
              </w:rPr>
              <w:t>7.8</w:t>
            </w:r>
          </w:p>
        </w:tc>
        <w:tc>
          <w:tcPr>
            <w:tcW w:w="960" w:type="dxa"/>
            <w:tcBorders>
              <w:top w:val="nil"/>
              <w:left w:val="nil"/>
              <w:bottom w:val="nil"/>
              <w:right w:val="nil"/>
            </w:tcBorders>
          </w:tcPr>
          <w:p>
            <w:pPr>
              <w:pStyle w:val="TableParagraph"/>
              <w:spacing w:line="360" w:lineRule="auto" w:before="57"/>
              <w:ind w:left="177" w:right="156" w:firstLine="240"/>
              <w:rPr>
                <w:sz w:val="22"/>
              </w:rPr>
            </w:pPr>
            <w:r>
              <w:rPr>
                <w:sz w:val="22"/>
              </w:rPr>
              <w:t>&lt; </w:t>
            </w:r>
            <w:r>
              <w:rPr>
                <w:w w:val="100"/>
                <w:sz w:val="22"/>
              </w:rPr>
              <w:t>0.001⃰</w:t>
            </w:r>
            <w:r>
              <w:rPr>
                <w:sz w:val="22"/>
              </w:rPr>
              <w:t>  </w:t>
            </w:r>
            <w:r>
              <w:rPr>
                <w:w w:val="100"/>
                <w:sz w:val="22"/>
              </w:rPr>
              <w:t>⃰</w:t>
            </w:r>
          </w:p>
        </w:tc>
      </w:tr>
      <w:tr>
        <w:trPr>
          <w:trHeight w:val="442" w:hRule="exact"/>
        </w:trPr>
        <w:tc>
          <w:tcPr>
            <w:tcW w:w="3843" w:type="dxa"/>
            <w:tcBorders>
              <w:top w:val="nil"/>
              <w:left w:val="nil"/>
              <w:right w:val="nil"/>
            </w:tcBorders>
          </w:tcPr>
          <w:p>
            <w:pPr>
              <w:pStyle w:val="TableParagraph"/>
              <w:spacing w:before="57"/>
              <w:ind w:left="120"/>
              <w:rPr>
                <w:sz w:val="22"/>
              </w:rPr>
            </w:pPr>
            <w:r>
              <w:rPr>
                <w:sz w:val="22"/>
              </w:rPr>
              <w:t>IL6, pg/mL, (rank)</w:t>
            </w:r>
          </w:p>
        </w:tc>
        <w:tc>
          <w:tcPr>
            <w:tcW w:w="1702" w:type="dxa"/>
            <w:tcBorders>
              <w:top w:val="nil"/>
              <w:left w:val="nil"/>
              <w:right w:val="nil"/>
            </w:tcBorders>
          </w:tcPr>
          <w:p>
            <w:pPr>
              <w:pStyle w:val="TableParagraph"/>
              <w:spacing w:before="57"/>
              <w:ind w:left="108" w:right="112"/>
              <w:jc w:val="center"/>
              <w:rPr>
                <w:sz w:val="22"/>
              </w:rPr>
            </w:pPr>
            <w:r>
              <w:rPr>
                <w:sz w:val="22"/>
              </w:rPr>
              <w:t>1.7</w:t>
            </w:r>
            <w:r>
              <w:rPr>
                <w:b/>
                <w:sz w:val="22"/>
              </w:rPr>
              <w:t>±</w:t>
            </w:r>
            <w:r>
              <w:rPr>
                <w:sz w:val="22"/>
              </w:rPr>
              <w:t>4.5 (0-20.9)</w:t>
            </w:r>
          </w:p>
        </w:tc>
        <w:tc>
          <w:tcPr>
            <w:tcW w:w="1651" w:type="dxa"/>
            <w:tcBorders>
              <w:top w:val="nil"/>
              <w:left w:val="nil"/>
              <w:right w:val="nil"/>
            </w:tcBorders>
          </w:tcPr>
          <w:p>
            <w:pPr>
              <w:pStyle w:val="TableParagraph"/>
              <w:spacing w:before="57"/>
              <w:ind w:left="127"/>
              <w:rPr>
                <w:sz w:val="22"/>
              </w:rPr>
            </w:pPr>
            <w:r>
              <w:rPr>
                <w:sz w:val="22"/>
              </w:rPr>
              <w:t>0.6</w:t>
            </w:r>
            <w:r>
              <w:rPr>
                <w:b/>
                <w:sz w:val="22"/>
              </w:rPr>
              <w:t>±</w:t>
            </w:r>
            <w:r>
              <w:rPr>
                <w:sz w:val="22"/>
              </w:rPr>
              <w:t>2.1 (0-11.8)</w:t>
            </w:r>
          </w:p>
        </w:tc>
        <w:tc>
          <w:tcPr>
            <w:tcW w:w="2034" w:type="dxa"/>
            <w:tcBorders>
              <w:top w:val="nil"/>
              <w:left w:val="nil"/>
              <w:right w:val="nil"/>
            </w:tcBorders>
          </w:tcPr>
          <w:p>
            <w:pPr>
              <w:pStyle w:val="TableParagraph"/>
              <w:spacing w:before="57"/>
              <w:ind w:left="65" w:right="18"/>
              <w:jc w:val="center"/>
              <w:rPr>
                <w:sz w:val="22"/>
              </w:rPr>
            </w:pPr>
            <w:r>
              <w:rPr>
                <w:sz w:val="22"/>
              </w:rPr>
              <w:t>1.4</w:t>
            </w:r>
            <w:r>
              <w:rPr>
                <w:b/>
                <w:sz w:val="22"/>
              </w:rPr>
              <w:t>±</w:t>
            </w:r>
            <w:r>
              <w:rPr>
                <w:sz w:val="22"/>
              </w:rPr>
              <w:t>1.7 (0-4.2)</w:t>
            </w:r>
          </w:p>
        </w:tc>
        <w:tc>
          <w:tcPr>
            <w:tcW w:w="960" w:type="dxa"/>
            <w:tcBorders>
              <w:top w:val="nil"/>
              <w:left w:val="nil"/>
              <w:right w:val="nil"/>
            </w:tcBorders>
          </w:tcPr>
          <w:p>
            <w:pPr>
              <w:pStyle w:val="TableParagraph"/>
              <w:spacing w:before="57"/>
              <w:ind w:left="102" w:right="100"/>
              <w:jc w:val="center"/>
              <w:rPr>
                <w:sz w:val="22"/>
              </w:rPr>
            </w:pPr>
            <w:r>
              <w:rPr>
                <w:w w:val="100"/>
                <w:sz w:val="22"/>
              </w:rPr>
              <w:t>0.044⃰</w:t>
            </w:r>
            <w:r>
              <w:rPr>
                <w:sz w:val="22"/>
              </w:rPr>
              <w:t>  </w:t>
            </w:r>
            <w:r>
              <w:rPr>
                <w:w w:val="100"/>
                <w:sz w:val="22"/>
              </w:rPr>
              <w:t>⃰</w:t>
            </w:r>
            <w:r>
              <w:rPr>
                <w:sz w:val="22"/>
              </w:rPr>
              <w:t>  </w:t>
            </w:r>
            <w:r>
              <w:rPr>
                <w:w w:val="100"/>
                <w:sz w:val="22"/>
              </w:rPr>
              <w:t>⃰</w:t>
            </w:r>
          </w:p>
        </w:tc>
      </w:tr>
    </w:tbl>
    <w:p>
      <w:pPr>
        <w:spacing w:before="0"/>
        <w:ind w:left="235" w:right="0" w:firstLine="0"/>
        <w:jc w:val="left"/>
        <w:rPr>
          <w:sz w:val="22"/>
        </w:rPr>
      </w:pPr>
      <w:r>
        <w:rPr>
          <w:sz w:val="22"/>
        </w:rPr>
        <w:t>DM2 = Type 2 Diabetes Mellitus; PD = Periodontal Disease</w:t>
      </w:r>
    </w:p>
    <w:p>
      <w:pPr>
        <w:spacing w:line="255" w:lineRule="exact" w:before="1"/>
        <w:ind w:left="235" w:right="0" w:firstLine="0"/>
        <w:jc w:val="left"/>
        <w:rPr>
          <w:sz w:val="22"/>
        </w:rPr>
      </w:pPr>
      <w:r>
        <w:rPr>
          <w:b/>
          <w:w w:val="100"/>
          <w:sz w:val="22"/>
        </w:rPr>
        <w:t>⃰⃰⃰⃰⃰⃰⃰⃰⃰</w:t>
      </w:r>
      <w:r>
        <w:rPr>
          <w:b/>
          <w:sz w:val="22"/>
        </w:rPr>
        <w:t> </w:t>
      </w:r>
      <w:r>
        <w:rPr>
          <w:spacing w:val="-1"/>
          <w:w w:val="100"/>
          <w:sz w:val="22"/>
        </w:rPr>
        <w:t>C</w:t>
      </w:r>
      <w:r>
        <w:rPr>
          <w:w w:val="100"/>
          <w:sz w:val="22"/>
        </w:rPr>
        <w:t>h</w:t>
      </w:r>
      <w:r>
        <w:rPr>
          <w:spacing w:val="1"/>
          <w:w w:val="100"/>
          <w:sz w:val="22"/>
        </w:rPr>
        <w:t>i</w:t>
      </w:r>
      <w:r>
        <w:rPr>
          <w:w w:val="99"/>
          <w:position w:val="8"/>
          <w:sz w:val="14"/>
        </w:rPr>
        <w:t>2</w:t>
      </w:r>
      <w:r>
        <w:rPr>
          <w:spacing w:val="1"/>
          <w:position w:val="8"/>
          <w:sz w:val="14"/>
        </w:rPr>
        <w:t> </w:t>
      </w:r>
      <w:r>
        <w:rPr>
          <w:spacing w:val="-2"/>
          <w:w w:val="100"/>
          <w:sz w:val="22"/>
        </w:rPr>
        <w:t>t</w:t>
      </w:r>
      <w:r>
        <w:rPr>
          <w:w w:val="100"/>
          <w:sz w:val="22"/>
        </w:rPr>
        <w:t>e</w:t>
      </w:r>
      <w:r>
        <w:rPr>
          <w:spacing w:val="-2"/>
          <w:w w:val="100"/>
          <w:sz w:val="22"/>
        </w:rPr>
        <w:t>s</w:t>
      </w:r>
      <w:r>
        <w:rPr>
          <w:w w:val="100"/>
          <w:sz w:val="22"/>
        </w:rPr>
        <w:t>t</w:t>
      </w:r>
      <w:r>
        <w:rPr>
          <w:spacing w:val="1"/>
          <w:sz w:val="22"/>
        </w:rPr>
        <w:t> </w:t>
      </w:r>
      <w:r>
        <w:rPr>
          <w:w w:val="100"/>
          <w:sz w:val="22"/>
        </w:rPr>
        <w:t>or</w:t>
      </w:r>
      <w:r>
        <w:rPr>
          <w:sz w:val="22"/>
        </w:rPr>
        <w:t> </w:t>
      </w:r>
      <w:r>
        <w:rPr>
          <w:spacing w:val="-3"/>
          <w:w w:val="100"/>
          <w:sz w:val="22"/>
        </w:rPr>
        <w:t>F</w:t>
      </w:r>
      <w:r>
        <w:rPr>
          <w:w w:val="100"/>
          <w:sz w:val="22"/>
        </w:rPr>
        <w:t>i</w:t>
      </w:r>
      <w:r>
        <w:rPr>
          <w:w w:val="100"/>
          <w:sz w:val="22"/>
        </w:rPr>
        <w:t>s</w:t>
      </w:r>
      <w:r>
        <w:rPr>
          <w:spacing w:val="-2"/>
          <w:w w:val="100"/>
          <w:sz w:val="22"/>
        </w:rPr>
        <w:t>h</w:t>
      </w:r>
      <w:r>
        <w:rPr>
          <w:w w:val="100"/>
          <w:sz w:val="22"/>
        </w:rPr>
        <w:t>e</w:t>
      </w:r>
      <w:r>
        <w:rPr>
          <w:spacing w:val="1"/>
          <w:w w:val="100"/>
          <w:sz w:val="22"/>
        </w:rPr>
        <w:t>r</w:t>
      </w:r>
      <w:r>
        <w:rPr>
          <w:spacing w:val="-2"/>
          <w:w w:val="100"/>
          <w:sz w:val="22"/>
        </w:rPr>
        <w:t>`</w:t>
      </w:r>
      <w:r>
        <w:rPr>
          <w:w w:val="100"/>
          <w:sz w:val="22"/>
        </w:rPr>
        <w:t>s</w:t>
      </w:r>
      <w:r>
        <w:rPr>
          <w:sz w:val="22"/>
        </w:rPr>
        <w:t> </w:t>
      </w:r>
      <w:r>
        <w:rPr>
          <w:spacing w:val="-2"/>
          <w:w w:val="100"/>
          <w:sz w:val="22"/>
        </w:rPr>
        <w:t>e</w:t>
      </w:r>
      <w:r>
        <w:rPr>
          <w:w w:val="100"/>
          <w:sz w:val="22"/>
        </w:rPr>
        <w:t>xa</w:t>
      </w:r>
      <w:r>
        <w:rPr>
          <w:spacing w:val="-2"/>
          <w:w w:val="100"/>
          <w:sz w:val="22"/>
        </w:rPr>
        <w:t>c</w:t>
      </w:r>
      <w:r>
        <w:rPr>
          <w:w w:val="100"/>
          <w:sz w:val="22"/>
        </w:rPr>
        <w:t>t</w:t>
      </w:r>
      <w:r>
        <w:rPr>
          <w:spacing w:val="1"/>
          <w:sz w:val="22"/>
        </w:rPr>
        <w:t> </w:t>
      </w:r>
      <w:r>
        <w:rPr>
          <w:spacing w:val="-2"/>
          <w:w w:val="100"/>
          <w:sz w:val="22"/>
        </w:rPr>
        <w:t>t</w:t>
      </w:r>
      <w:r>
        <w:rPr>
          <w:w w:val="100"/>
          <w:sz w:val="22"/>
        </w:rPr>
        <w:t>es</w:t>
      </w:r>
      <w:r>
        <w:rPr>
          <w:w w:val="100"/>
          <w:sz w:val="22"/>
        </w:rPr>
        <w:t>t</w:t>
      </w:r>
      <w:r>
        <w:rPr>
          <w:spacing w:val="-2"/>
          <w:sz w:val="22"/>
        </w:rPr>
        <w:t> </w:t>
      </w:r>
      <w:r>
        <w:rPr>
          <w:w w:val="100"/>
          <w:sz w:val="22"/>
        </w:rPr>
        <w:t>as</w:t>
      </w:r>
      <w:r>
        <w:rPr>
          <w:sz w:val="22"/>
        </w:rPr>
        <w:t> </w:t>
      </w:r>
      <w:r>
        <w:rPr>
          <w:w w:val="100"/>
          <w:sz w:val="22"/>
        </w:rPr>
        <w:t>a</w:t>
      </w:r>
      <w:r>
        <w:rPr>
          <w:spacing w:val="-2"/>
          <w:w w:val="100"/>
          <w:sz w:val="22"/>
        </w:rPr>
        <w:t>p</w:t>
      </w:r>
      <w:r>
        <w:rPr>
          <w:w w:val="100"/>
          <w:sz w:val="22"/>
        </w:rPr>
        <w:t>pro</w:t>
      </w:r>
      <w:r>
        <w:rPr>
          <w:spacing w:val="-3"/>
          <w:w w:val="100"/>
          <w:sz w:val="22"/>
        </w:rPr>
        <w:t>p</w:t>
      </w:r>
      <w:r>
        <w:rPr>
          <w:w w:val="100"/>
          <w:sz w:val="22"/>
        </w:rPr>
        <w:t>r</w:t>
      </w:r>
      <w:r>
        <w:rPr>
          <w:spacing w:val="-2"/>
          <w:w w:val="100"/>
          <w:sz w:val="22"/>
        </w:rPr>
        <w:t>i</w:t>
      </w:r>
      <w:r>
        <w:rPr>
          <w:w w:val="100"/>
          <w:sz w:val="22"/>
        </w:rPr>
        <w:t>a</w:t>
      </w:r>
      <w:r>
        <w:rPr>
          <w:spacing w:val="-2"/>
          <w:w w:val="100"/>
          <w:sz w:val="22"/>
        </w:rPr>
        <w:t>t</w:t>
      </w:r>
      <w:r>
        <w:rPr>
          <w:w w:val="100"/>
          <w:sz w:val="22"/>
        </w:rPr>
        <w:t>e</w:t>
      </w:r>
    </w:p>
    <w:p>
      <w:pPr>
        <w:spacing w:line="250" w:lineRule="exact" w:before="0"/>
        <w:ind w:left="235" w:right="0" w:firstLine="0"/>
        <w:jc w:val="left"/>
        <w:rPr>
          <w:sz w:val="22"/>
        </w:rPr>
      </w:pPr>
      <w:r>
        <w:rPr>
          <w:w w:val="100"/>
          <w:sz w:val="22"/>
        </w:rPr>
        <w:t>⃰</w:t>
      </w:r>
      <w:r>
        <w:rPr>
          <w:sz w:val="22"/>
        </w:rPr>
        <w:t>  </w:t>
      </w:r>
      <w:r>
        <w:rPr>
          <w:w w:val="100"/>
          <w:sz w:val="22"/>
        </w:rPr>
        <w:t>⃰</w:t>
      </w:r>
      <w:r>
        <w:rPr>
          <w:sz w:val="22"/>
        </w:rPr>
        <w:t> </w:t>
      </w:r>
      <w:r>
        <w:rPr>
          <w:spacing w:val="-2"/>
          <w:w w:val="100"/>
          <w:sz w:val="22"/>
        </w:rPr>
        <w:t>O</w:t>
      </w:r>
      <w:r>
        <w:rPr>
          <w:w w:val="100"/>
          <w:sz w:val="22"/>
        </w:rPr>
        <w:t>ne</w:t>
      </w:r>
      <w:r>
        <w:rPr>
          <w:sz w:val="22"/>
        </w:rPr>
        <w:t> </w:t>
      </w:r>
      <w:r>
        <w:rPr>
          <w:w w:val="100"/>
          <w:sz w:val="22"/>
        </w:rPr>
        <w:t>Way</w:t>
      </w:r>
      <w:r>
        <w:rPr>
          <w:spacing w:val="-2"/>
          <w:sz w:val="22"/>
        </w:rPr>
        <w:t> </w:t>
      </w:r>
      <w:r>
        <w:rPr>
          <w:spacing w:val="-2"/>
          <w:w w:val="100"/>
          <w:sz w:val="22"/>
        </w:rPr>
        <w:t>A</w:t>
      </w:r>
      <w:r>
        <w:rPr>
          <w:w w:val="100"/>
          <w:sz w:val="22"/>
        </w:rPr>
        <w:t>no</w:t>
      </w:r>
      <w:r>
        <w:rPr>
          <w:spacing w:val="-3"/>
          <w:w w:val="100"/>
          <w:sz w:val="22"/>
        </w:rPr>
        <w:t>v</w:t>
      </w:r>
      <w:r>
        <w:rPr>
          <w:w w:val="100"/>
          <w:sz w:val="22"/>
        </w:rPr>
        <w:t>a</w:t>
      </w:r>
    </w:p>
    <w:p>
      <w:pPr>
        <w:spacing w:before="1"/>
        <w:ind w:left="235" w:right="0" w:firstLine="0"/>
        <w:jc w:val="left"/>
        <w:rPr>
          <w:sz w:val="22"/>
        </w:rPr>
      </w:pPr>
      <w:r>
        <w:rPr>
          <w:w w:val="100"/>
          <w:sz w:val="22"/>
        </w:rPr>
        <w:t>⃰</w:t>
      </w:r>
      <w:r>
        <w:rPr>
          <w:sz w:val="22"/>
        </w:rPr>
        <w:t>  </w:t>
      </w:r>
      <w:r>
        <w:rPr>
          <w:w w:val="100"/>
          <w:sz w:val="22"/>
        </w:rPr>
        <w:t>⃰</w:t>
      </w:r>
      <w:r>
        <w:rPr>
          <w:sz w:val="22"/>
        </w:rPr>
        <w:t>  </w:t>
      </w:r>
      <w:r>
        <w:rPr>
          <w:w w:val="100"/>
          <w:sz w:val="22"/>
        </w:rPr>
        <w:t>⃰</w:t>
      </w:r>
      <w:r>
        <w:rPr>
          <w:sz w:val="22"/>
        </w:rPr>
        <w:t> </w:t>
      </w:r>
      <w:r>
        <w:rPr>
          <w:spacing w:val="-2"/>
          <w:w w:val="100"/>
          <w:sz w:val="22"/>
        </w:rPr>
        <w:t>K</w:t>
      </w:r>
      <w:r>
        <w:rPr>
          <w:w w:val="100"/>
          <w:sz w:val="22"/>
        </w:rPr>
        <w:t>rus</w:t>
      </w:r>
      <w:r>
        <w:rPr>
          <w:spacing w:val="-2"/>
          <w:w w:val="100"/>
          <w:sz w:val="22"/>
        </w:rPr>
        <w:t>k</w:t>
      </w:r>
      <w:r>
        <w:rPr>
          <w:w w:val="100"/>
          <w:sz w:val="22"/>
        </w:rPr>
        <w:t>al</w:t>
      </w:r>
      <w:r>
        <w:rPr>
          <w:spacing w:val="-2"/>
          <w:sz w:val="22"/>
        </w:rPr>
        <w:t> </w:t>
      </w:r>
      <w:r>
        <w:rPr>
          <w:w w:val="100"/>
          <w:sz w:val="22"/>
        </w:rPr>
        <w:t>W</w:t>
      </w:r>
      <w:r>
        <w:rPr>
          <w:spacing w:val="-2"/>
          <w:w w:val="100"/>
          <w:sz w:val="22"/>
        </w:rPr>
        <w:t>a</w:t>
      </w:r>
      <w:r>
        <w:rPr>
          <w:w w:val="100"/>
          <w:sz w:val="22"/>
        </w:rPr>
        <w:t>l</w:t>
      </w:r>
      <w:r>
        <w:rPr>
          <w:spacing w:val="-2"/>
          <w:w w:val="100"/>
          <w:sz w:val="22"/>
        </w:rPr>
        <w:t>l</w:t>
      </w:r>
      <w:r>
        <w:rPr>
          <w:w w:val="100"/>
          <w:sz w:val="22"/>
        </w:rPr>
        <w:t>i</w:t>
      </w:r>
      <w:r>
        <w:rPr>
          <w:w w:val="100"/>
          <w:sz w:val="22"/>
        </w:rPr>
        <w:t>s</w:t>
      </w:r>
      <w:r>
        <w:rPr>
          <w:spacing w:val="-2"/>
          <w:sz w:val="22"/>
        </w:rPr>
        <w:t> </w:t>
      </w:r>
      <w:r>
        <w:rPr>
          <w:w w:val="100"/>
          <w:sz w:val="22"/>
        </w:rPr>
        <w:t>t</w:t>
      </w:r>
      <w:r>
        <w:rPr>
          <w:w w:val="100"/>
          <w:sz w:val="22"/>
        </w:rPr>
        <w:t>e</w:t>
      </w:r>
      <w:r>
        <w:rPr>
          <w:spacing w:val="-2"/>
          <w:w w:val="100"/>
          <w:sz w:val="22"/>
        </w:rPr>
        <w:t>s</w:t>
      </w:r>
      <w:r>
        <w:rPr>
          <w:w w:val="100"/>
          <w:sz w:val="22"/>
        </w:rPr>
        <w:t>t</w:t>
      </w:r>
    </w:p>
    <w:p>
      <w:pPr>
        <w:spacing w:after="0"/>
        <w:jc w:val="left"/>
        <w:rPr>
          <w:sz w:val="22"/>
        </w:rPr>
        <w:sectPr>
          <w:pgSz w:w="12240" w:h="15840"/>
          <w:pgMar w:header="731" w:footer="0" w:top="960" w:bottom="280" w:left="900" w:right="920"/>
        </w:sectPr>
      </w:pPr>
    </w:p>
    <w:p>
      <w:pPr>
        <w:pStyle w:val="BodyText"/>
        <w:rPr>
          <w:sz w:val="20"/>
        </w:rPr>
      </w:pPr>
    </w:p>
    <w:p>
      <w:pPr>
        <w:pStyle w:val="BodyText"/>
        <w:rPr>
          <w:sz w:val="20"/>
        </w:rPr>
      </w:pPr>
    </w:p>
    <w:p>
      <w:pPr>
        <w:pStyle w:val="BodyText"/>
        <w:spacing w:before="3"/>
        <w:rPr>
          <w:sz w:val="17"/>
        </w:rPr>
      </w:pPr>
    </w:p>
    <w:p>
      <w:pPr>
        <w:pStyle w:val="Heading3"/>
        <w:spacing w:before="69"/>
        <w:ind w:left="385" w:right="995"/>
        <w:jc w:val="left"/>
      </w:pPr>
      <w:r>
        <w:rPr/>
        <w:t>Table 3. Comparison of IL-6 concentrations between the DM-PD, PD and healthy groups according to clinical and anthropometric characteristics</w:t>
      </w:r>
    </w:p>
    <w:p>
      <w:pPr>
        <w:pStyle w:val="BodyText"/>
        <w:rPr>
          <w:b/>
          <w:sz w:val="20"/>
        </w:rPr>
      </w:pPr>
    </w:p>
    <w:p>
      <w:pPr>
        <w:pStyle w:val="BodyText"/>
        <w:rPr>
          <w:b/>
          <w:sz w:val="20"/>
        </w:rPr>
      </w:pPr>
    </w:p>
    <w:p>
      <w:pPr>
        <w:pStyle w:val="BodyText"/>
        <w:rPr>
          <w:b/>
          <w:sz w:val="20"/>
        </w:rPr>
      </w:pPr>
    </w:p>
    <w:p>
      <w:pPr>
        <w:pStyle w:val="BodyText"/>
        <w:spacing w:before="2" w:after="1"/>
        <w:rPr>
          <w:b/>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2091"/>
        <w:gridCol w:w="2033"/>
        <w:gridCol w:w="871"/>
        <w:gridCol w:w="2090"/>
        <w:gridCol w:w="855"/>
      </w:tblGrid>
      <w:tr>
        <w:trPr>
          <w:trHeight w:val="362" w:hRule="exact"/>
        </w:trPr>
        <w:tc>
          <w:tcPr>
            <w:tcW w:w="12868" w:type="dxa"/>
            <w:gridSpan w:val="6"/>
            <w:tcBorders>
              <w:left w:val="nil"/>
              <w:bottom w:val="nil"/>
              <w:right w:val="nil"/>
            </w:tcBorders>
          </w:tcPr>
          <w:p>
            <w:pPr>
              <w:pStyle w:val="TableParagraph"/>
              <w:spacing w:before="80"/>
              <w:ind w:left="7992"/>
              <w:rPr>
                <w:b/>
                <w:sz w:val="22"/>
              </w:rPr>
            </w:pPr>
            <w:r>
              <w:rPr>
                <w:b/>
                <w:sz w:val="22"/>
              </w:rPr>
              <w:t>IL-6 levels (pg/mL)</w:t>
            </w:r>
          </w:p>
        </w:tc>
      </w:tr>
      <w:tr>
        <w:trPr>
          <w:trHeight w:val="394" w:hRule="exact"/>
        </w:trPr>
        <w:tc>
          <w:tcPr>
            <w:tcW w:w="4928" w:type="dxa"/>
            <w:tcBorders>
              <w:top w:val="nil"/>
              <w:left w:val="nil"/>
              <w:bottom w:val="nil"/>
              <w:right w:val="nil"/>
            </w:tcBorders>
          </w:tcPr>
          <w:p>
            <w:pPr>
              <w:pStyle w:val="TableParagraph"/>
              <w:spacing w:before="82"/>
              <w:ind w:left="328"/>
              <w:rPr>
                <w:b/>
                <w:sz w:val="22"/>
              </w:rPr>
            </w:pPr>
            <w:r>
              <w:rPr>
                <w:b/>
                <w:sz w:val="22"/>
              </w:rPr>
              <w:t>Characteristics</w:t>
            </w:r>
          </w:p>
        </w:tc>
        <w:tc>
          <w:tcPr>
            <w:tcW w:w="2091" w:type="dxa"/>
            <w:tcBorders>
              <w:left w:val="nil"/>
              <w:bottom w:val="nil"/>
              <w:right w:val="nil"/>
            </w:tcBorders>
          </w:tcPr>
          <w:p>
            <w:pPr>
              <w:pStyle w:val="TableParagraph"/>
              <w:spacing w:before="78"/>
              <w:ind w:left="280"/>
              <w:rPr>
                <w:b/>
                <w:sz w:val="22"/>
              </w:rPr>
            </w:pPr>
            <w:r>
              <w:rPr>
                <w:b/>
                <w:sz w:val="22"/>
              </w:rPr>
              <w:t>DM2+PD (n=30)</w:t>
            </w:r>
          </w:p>
        </w:tc>
        <w:tc>
          <w:tcPr>
            <w:tcW w:w="2033" w:type="dxa"/>
            <w:tcBorders>
              <w:left w:val="nil"/>
              <w:bottom w:val="nil"/>
              <w:right w:val="nil"/>
            </w:tcBorders>
          </w:tcPr>
          <w:p>
            <w:pPr>
              <w:pStyle w:val="TableParagraph"/>
              <w:spacing w:before="78"/>
              <w:ind w:left="167" w:right="143"/>
              <w:jc w:val="center"/>
              <w:rPr>
                <w:b/>
                <w:sz w:val="22"/>
              </w:rPr>
            </w:pPr>
            <w:r>
              <w:rPr>
                <w:b/>
                <w:sz w:val="22"/>
              </w:rPr>
              <w:t>PD (n=30)</w:t>
            </w:r>
          </w:p>
        </w:tc>
        <w:tc>
          <w:tcPr>
            <w:tcW w:w="871" w:type="dxa"/>
            <w:tcBorders>
              <w:left w:val="nil"/>
              <w:bottom w:val="nil"/>
              <w:right w:val="nil"/>
            </w:tcBorders>
          </w:tcPr>
          <w:p>
            <w:pPr/>
          </w:p>
        </w:tc>
        <w:tc>
          <w:tcPr>
            <w:tcW w:w="2090" w:type="dxa"/>
            <w:tcBorders>
              <w:left w:val="nil"/>
              <w:bottom w:val="nil"/>
              <w:right w:val="nil"/>
            </w:tcBorders>
          </w:tcPr>
          <w:p>
            <w:pPr>
              <w:pStyle w:val="TableParagraph"/>
              <w:spacing w:before="78"/>
              <w:ind w:left="67" w:right="61"/>
              <w:jc w:val="center"/>
              <w:rPr>
                <w:b/>
                <w:sz w:val="22"/>
              </w:rPr>
            </w:pPr>
            <w:r>
              <w:rPr>
                <w:b/>
                <w:sz w:val="22"/>
              </w:rPr>
              <w:t>non DM2-PD (n=30)</w:t>
            </w:r>
          </w:p>
        </w:tc>
        <w:tc>
          <w:tcPr>
            <w:tcW w:w="855" w:type="dxa"/>
            <w:tcBorders>
              <w:left w:val="nil"/>
              <w:bottom w:val="nil"/>
              <w:right w:val="nil"/>
            </w:tcBorders>
          </w:tcPr>
          <w:p>
            <w:pPr/>
          </w:p>
        </w:tc>
      </w:tr>
      <w:tr>
        <w:trPr>
          <w:trHeight w:val="308" w:hRule="exact"/>
        </w:trPr>
        <w:tc>
          <w:tcPr>
            <w:tcW w:w="4928" w:type="dxa"/>
            <w:tcBorders>
              <w:top w:val="nil"/>
              <w:left w:val="nil"/>
              <w:right w:val="nil"/>
            </w:tcBorders>
          </w:tcPr>
          <w:p>
            <w:pPr/>
          </w:p>
        </w:tc>
        <w:tc>
          <w:tcPr>
            <w:tcW w:w="2091" w:type="dxa"/>
            <w:tcBorders>
              <w:top w:val="nil"/>
              <w:left w:val="nil"/>
              <w:right w:val="nil"/>
            </w:tcBorders>
          </w:tcPr>
          <w:p>
            <w:pPr>
              <w:pStyle w:val="TableParagraph"/>
              <w:spacing w:before="35"/>
              <w:ind w:left="223"/>
              <w:rPr>
                <w:b/>
                <w:sz w:val="22"/>
              </w:rPr>
            </w:pPr>
            <w:r>
              <w:rPr>
                <w:b/>
                <w:sz w:val="22"/>
              </w:rPr>
              <w:t>Mean±SD (range)</w:t>
            </w:r>
          </w:p>
        </w:tc>
        <w:tc>
          <w:tcPr>
            <w:tcW w:w="2033" w:type="dxa"/>
            <w:tcBorders>
              <w:top w:val="nil"/>
              <w:left w:val="nil"/>
              <w:right w:val="nil"/>
            </w:tcBorders>
          </w:tcPr>
          <w:p>
            <w:pPr>
              <w:pStyle w:val="TableParagraph"/>
              <w:spacing w:before="35"/>
              <w:ind w:left="167" w:right="146"/>
              <w:jc w:val="center"/>
              <w:rPr>
                <w:b/>
                <w:sz w:val="22"/>
              </w:rPr>
            </w:pPr>
            <w:r>
              <w:rPr>
                <w:b/>
                <w:sz w:val="22"/>
              </w:rPr>
              <w:t>Mean±SD (range)</w:t>
            </w:r>
          </w:p>
        </w:tc>
        <w:tc>
          <w:tcPr>
            <w:tcW w:w="871" w:type="dxa"/>
            <w:tcBorders>
              <w:top w:val="nil"/>
              <w:left w:val="nil"/>
              <w:right w:val="nil"/>
            </w:tcBorders>
          </w:tcPr>
          <w:p>
            <w:pPr>
              <w:pStyle w:val="TableParagraph"/>
              <w:spacing w:before="35"/>
              <w:ind w:left="145" w:right="188"/>
              <w:jc w:val="center"/>
              <w:rPr>
                <w:b/>
                <w:sz w:val="22"/>
              </w:rPr>
            </w:pPr>
            <w:r>
              <w:rPr>
                <w:b/>
                <w:w w:val="100"/>
                <w:sz w:val="22"/>
              </w:rPr>
              <w:t>ρ</w:t>
            </w:r>
            <w:r>
              <w:rPr>
                <w:b/>
                <w:sz w:val="22"/>
              </w:rPr>
              <w:t> </w:t>
            </w:r>
            <w:r>
              <w:rPr>
                <w:b/>
                <w:w w:val="100"/>
                <w:sz w:val="22"/>
              </w:rPr>
              <w:t>⃰⃰⃰</w:t>
            </w:r>
          </w:p>
        </w:tc>
        <w:tc>
          <w:tcPr>
            <w:tcW w:w="2090" w:type="dxa"/>
            <w:tcBorders>
              <w:top w:val="nil"/>
              <w:left w:val="nil"/>
              <w:right w:val="nil"/>
            </w:tcBorders>
          </w:tcPr>
          <w:p>
            <w:pPr>
              <w:pStyle w:val="TableParagraph"/>
              <w:spacing w:before="35"/>
              <w:ind w:left="67" w:right="58"/>
              <w:jc w:val="center"/>
              <w:rPr>
                <w:b/>
                <w:sz w:val="22"/>
              </w:rPr>
            </w:pPr>
            <w:r>
              <w:rPr>
                <w:b/>
                <w:sz w:val="22"/>
              </w:rPr>
              <w:t>Mean±SD (range)</w:t>
            </w:r>
          </w:p>
        </w:tc>
        <w:tc>
          <w:tcPr>
            <w:tcW w:w="855" w:type="dxa"/>
            <w:tcBorders>
              <w:top w:val="nil"/>
              <w:left w:val="nil"/>
              <w:right w:val="nil"/>
            </w:tcBorders>
          </w:tcPr>
          <w:p>
            <w:pPr>
              <w:pStyle w:val="TableParagraph"/>
              <w:spacing w:before="35"/>
              <w:ind w:left="178" w:right="139"/>
              <w:jc w:val="center"/>
              <w:rPr>
                <w:b/>
                <w:sz w:val="22"/>
              </w:rPr>
            </w:pPr>
            <w:r>
              <w:rPr>
                <w:b/>
                <w:w w:val="100"/>
                <w:sz w:val="22"/>
              </w:rPr>
              <w:t>ρ</w:t>
            </w:r>
            <w:r>
              <w:rPr>
                <w:b/>
                <w:sz w:val="22"/>
              </w:rPr>
              <w:t> </w:t>
            </w:r>
            <w:r>
              <w:rPr>
                <w:b/>
                <w:w w:val="100"/>
                <w:sz w:val="22"/>
              </w:rPr>
              <w:t>⃰⃰⃰</w:t>
            </w:r>
            <w:r>
              <w:rPr>
                <w:b/>
                <w:sz w:val="22"/>
              </w:rPr>
              <w:t>  </w:t>
            </w:r>
            <w:r>
              <w:rPr>
                <w:b/>
                <w:w w:val="100"/>
                <w:sz w:val="22"/>
              </w:rPr>
              <w:t>⃰⃰⃰</w:t>
            </w:r>
          </w:p>
        </w:tc>
      </w:tr>
      <w:tr>
        <w:trPr>
          <w:trHeight w:val="1135" w:hRule="exact"/>
        </w:trPr>
        <w:tc>
          <w:tcPr>
            <w:tcW w:w="4928" w:type="dxa"/>
            <w:tcBorders>
              <w:left w:val="nil"/>
              <w:bottom w:val="nil"/>
              <w:right w:val="nil"/>
            </w:tcBorders>
          </w:tcPr>
          <w:p>
            <w:pPr>
              <w:pStyle w:val="TableParagraph"/>
              <w:spacing w:line="340" w:lineRule="auto" w:before="92"/>
              <w:ind w:left="218" w:right="3785" w:hanging="111"/>
              <w:rPr>
                <w:sz w:val="22"/>
              </w:rPr>
            </w:pPr>
            <w:r>
              <w:rPr>
                <w:sz w:val="22"/>
              </w:rPr>
              <w:t>Age (years) 22-38</w:t>
            </w:r>
          </w:p>
          <w:p>
            <w:pPr>
              <w:pStyle w:val="TableParagraph"/>
              <w:spacing w:before="4"/>
              <w:ind w:left="218"/>
              <w:rPr>
                <w:sz w:val="22"/>
              </w:rPr>
            </w:pPr>
            <w:r>
              <w:rPr>
                <w:sz w:val="22"/>
              </w:rPr>
              <w:t>39-60</w:t>
            </w:r>
          </w:p>
        </w:tc>
        <w:tc>
          <w:tcPr>
            <w:tcW w:w="2091" w:type="dxa"/>
            <w:tcBorders>
              <w:left w:val="nil"/>
              <w:bottom w:val="nil"/>
              <w:right w:val="nil"/>
            </w:tcBorders>
          </w:tcPr>
          <w:p>
            <w:pPr>
              <w:pStyle w:val="TableParagraph"/>
              <w:rPr>
                <w:b/>
                <w:sz w:val="22"/>
              </w:rPr>
            </w:pPr>
          </w:p>
          <w:p>
            <w:pPr>
              <w:pStyle w:val="TableParagraph"/>
              <w:spacing w:before="3"/>
              <w:rPr>
                <w:b/>
                <w:sz w:val="17"/>
              </w:rPr>
            </w:pPr>
          </w:p>
          <w:p>
            <w:pPr>
              <w:pStyle w:val="TableParagraph"/>
              <w:ind w:left="321" w:right="287"/>
              <w:jc w:val="center"/>
              <w:rPr>
                <w:sz w:val="22"/>
              </w:rPr>
            </w:pPr>
            <w:r>
              <w:rPr>
                <w:sz w:val="22"/>
              </w:rPr>
              <w:t>0</w:t>
            </w:r>
            <w:r>
              <w:rPr>
                <w:b/>
                <w:sz w:val="22"/>
              </w:rPr>
              <w:t>±</w:t>
            </w:r>
            <w:r>
              <w:rPr>
                <w:sz w:val="22"/>
              </w:rPr>
              <w:t>0 (0-0)</w:t>
            </w:r>
          </w:p>
          <w:p>
            <w:pPr>
              <w:pStyle w:val="TableParagraph"/>
              <w:spacing w:before="107"/>
              <w:ind w:left="323" w:right="287"/>
              <w:jc w:val="center"/>
              <w:rPr>
                <w:sz w:val="22"/>
              </w:rPr>
            </w:pPr>
            <w:r>
              <w:rPr>
                <w:sz w:val="22"/>
              </w:rPr>
              <w:t>1.9</w:t>
            </w:r>
            <w:r>
              <w:rPr>
                <w:b/>
                <w:sz w:val="22"/>
              </w:rPr>
              <w:t>±</w:t>
            </w:r>
            <w:r>
              <w:rPr>
                <w:sz w:val="22"/>
              </w:rPr>
              <w:t>4.7 (0-20.9)</w:t>
            </w:r>
          </w:p>
        </w:tc>
        <w:tc>
          <w:tcPr>
            <w:tcW w:w="2033" w:type="dxa"/>
            <w:tcBorders>
              <w:left w:val="nil"/>
              <w:bottom w:val="nil"/>
              <w:right w:val="nil"/>
            </w:tcBorders>
          </w:tcPr>
          <w:p>
            <w:pPr>
              <w:pStyle w:val="TableParagraph"/>
              <w:rPr>
                <w:b/>
                <w:sz w:val="22"/>
              </w:rPr>
            </w:pPr>
          </w:p>
          <w:p>
            <w:pPr>
              <w:pStyle w:val="TableParagraph"/>
              <w:spacing w:before="3"/>
              <w:rPr>
                <w:b/>
                <w:sz w:val="17"/>
              </w:rPr>
            </w:pPr>
          </w:p>
          <w:p>
            <w:pPr>
              <w:pStyle w:val="TableParagraph"/>
              <w:ind w:left="306"/>
              <w:rPr>
                <w:sz w:val="22"/>
              </w:rPr>
            </w:pPr>
            <w:r>
              <w:rPr>
                <w:sz w:val="22"/>
              </w:rPr>
              <w:t>0.9</w:t>
            </w:r>
            <w:r>
              <w:rPr>
                <w:b/>
                <w:sz w:val="22"/>
              </w:rPr>
              <w:t>±</w:t>
            </w:r>
            <w:r>
              <w:rPr>
                <w:sz w:val="22"/>
              </w:rPr>
              <w:t>2.7 (0-11.8)</w:t>
            </w:r>
          </w:p>
          <w:p>
            <w:pPr>
              <w:pStyle w:val="TableParagraph"/>
              <w:spacing w:before="107"/>
              <w:ind w:left="362"/>
              <w:rPr>
                <w:sz w:val="22"/>
              </w:rPr>
            </w:pPr>
            <w:r>
              <w:rPr>
                <w:sz w:val="22"/>
              </w:rPr>
              <w:t>0.0</w:t>
            </w:r>
            <w:r>
              <w:rPr>
                <w:b/>
                <w:sz w:val="22"/>
              </w:rPr>
              <w:t>±</w:t>
            </w:r>
            <w:r>
              <w:rPr>
                <w:sz w:val="22"/>
              </w:rPr>
              <w:t>0.1 (0-0.5)</w:t>
            </w:r>
          </w:p>
        </w:tc>
        <w:tc>
          <w:tcPr>
            <w:tcW w:w="871" w:type="dxa"/>
            <w:tcBorders>
              <w:left w:val="nil"/>
              <w:bottom w:val="nil"/>
              <w:right w:val="nil"/>
            </w:tcBorders>
          </w:tcPr>
          <w:p>
            <w:pPr>
              <w:pStyle w:val="TableParagraph"/>
              <w:rPr>
                <w:b/>
                <w:sz w:val="22"/>
              </w:rPr>
            </w:pPr>
          </w:p>
          <w:p>
            <w:pPr>
              <w:pStyle w:val="TableParagraph"/>
              <w:spacing w:before="3"/>
              <w:rPr>
                <w:b/>
                <w:sz w:val="17"/>
              </w:rPr>
            </w:pPr>
          </w:p>
          <w:p>
            <w:pPr>
              <w:pStyle w:val="TableParagraph"/>
              <w:ind w:left="165"/>
              <w:rPr>
                <w:sz w:val="22"/>
              </w:rPr>
            </w:pPr>
            <w:r>
              <w:rPr>
                <w:sz w:val="22"/>
              </w:rPr>
              <w:t>0.313</w:t>
            </w:r>
          </w:p>
          <w:p>
            <w:pPr>
              <w:pStyle w:val="TableParagraph"/>
              <w:spacing w:before="107"/>
              <w:ind w:left="165"/>
              <w:rPr>
                <w:sz w:val="22"/>
              </w:rPr>
            </w:pPr>
            <w:r>
              <w:rPr>
                <w:sz w:val="22"/>
              </w:rPr>
              <w:t>0.246</w:t>
            </w:r>
          </w:p>
        </w:tc>
        <w:tc>
          <w:tcPr>
            <w:tcW w:w="2090" w:type="dxa"/>
            <w:tcBorders>
              <w:left w:val="nil"/>
              <w:bottom w:val="nil"/>
              <w:right w:val="nil"/>
            </w:tcBorders>
          </w:tcPr>
          <w:p>
            <w:pPr>
              <w:pStyle w:val="TableParagraph"/>
              <w:rPr>
                <w:b/>
                <w:sz w:val="22"/>
              </w:rPr>
            </w:pPr>
          </w:p>
          <w:p>
            <w:pPr>
              <w:pStyle w:val="TableParagraph"/>
              <w:spacing w:before="3"/>
              <w:rPr>
                <w:b/>
                <w:sz w:val="17"/>
              </w:rPr>
            </w:pPr>
          </w:p>
          <w:p>
            <w:pPr>
              <w:pStyle w:val="TableParagraph"/>
              <w:ind w:left="384"/>
              <w:rPr>
                <w:sz w:val="22"/>
              </w:rPr>
            </w:pPr>
            <w:r>
              <w:rPr>
                <w:sz w:val="22"/>
              </w:rPr>
              <w:t>1.5</w:t>
            </w:r>
            <w:r>
              <w:rPr>
                <w:b/>
                <w:sz w:val="22"/>
              </w:rPr>
              <w:t>±</w:t>
            </w:r>
            <w:r>
              <w:rPr>
                <w:sz w:val="22"/>
              </w:rPr>
              <w:t>1.7 (0-4.2)</w:t>
            </w:r>
          </w:p>
          <w:p>
            <w:pPr>
              <w:pStyle w:val="TableParagraph"/>
              <w:spacing w:before="107"/>
              <w:ind w:left="384"/>
              <w:rPr>
                <w:sz w:val="22"/>
              </w:rPr>
            </w:pPr>
            <w:r>
              <w:rPr>
                <w:sz w:val="22"/>
              </w:rPr>
              <w:t>0.9</w:t>
            </w:r>
            <w:r>
              <w:rPr>
                <w:b/>
                <w:sz w:val="22"/>
              </w:rPr>
              <w:t>±</w:t>
            </w:r>
            <w:r>
              <w:rPr>
                <w:sz w:val="22"/>
              </w:rPr>
              <w:t>1.8 (0-3.6)</w:t>
            </w:r>
          </w:p>
        </w:tc>
        <w:tc>
          <w:tcPr>
            <w:tcW w:w="855" w:type="dxa"/>
            <w:tcBorders>
              <w:left w:val="nil"/>
              <w:bottom w:val="nil"/>
              <w:right w:val="nil"/>
            </w:tcBorders>
          </w:tcPr>
          <w:p>
            <w:pPr>
              <w:pStyle w:val="TableParagraph"/>
              <w:rPr>
                <w:b/>
                <w:sz w:val="22"/>
              </w:rPr>
            </w:pPr>
          </w:p>
          <w:p>
            <w:pPr>
              <w:pStyle w:val="TableParagraph"/>
              <w:spacing w:before="3"/>
              <w:rPr>
                <w:b/>
                <w:sz w:val="17"/>
              </w:rPr>
            </w:pPr>
          </w:p>
          <w:p>
            <w:pPr>
              <w:pStyle w:val="TableParagraph"/>
              <w:ind w:left="199"/>
              <w:rPr>
                <w:sz w:val="22"/>
              </w:rPr>
            </w:pPr>
            <w:r>
              <w:rPr>
                <w:sz w:val="22"/>
              </w:rPr>
              <w:t>0.125</w:t>
            </w:r>
          </w:p>
          <w:p>
            <w:pPr>
              <w:pStyle w:val="TableParagraph"/>
              <w:spacing w:before="107"/>
              <w:ind w:left="199"/>
              <w:rPr>
                <w:sz w:val="22"/>
              </w:rPr>
            </w:pPr>
            <w:r>
              <w:rPr>
                <w:sz w:val="22"/>
              </w:rPr>
              <w:t>0.967</w:t>
            </w:r>
          </w:p>
        </w:tc>
      </w:tr>
      <w:tr>
        <w:trPr>
          <w:trHeight w:val="1080" w:hRule="exact"/>
        </w:trPr>
        <w:tc>
          <w:tcPr>
            <w:tcW w:w="4928" w:type="dxa"/>
            <w:tcBorders>
              <w:top w:val="nil"/>
              <w:left w:val="nil"/>
              <w:bottom w:val="nil"/>
              <w:right w:val="nil"/>
            </w:tcBorders>
          </w:tcPr>
          <w:p>
            <w:pPr>
              <w:pStyle w:val="TableParagraph"/>
              <w:spacing w:line="340" w:lineRule="auto" w:before="42"/>
              <w:ind w:left="218" w:right="4042" w:hanging="111"/>
              <w:rPr>
                <w:sz w:val="22"/>
              </w:rPr>
            </w:pPr>
            <w:r>
              <w:rPr>
                <w:sz w:val="22"/>
              </w:rPr>
              <w:t>Gender Female Male</w:t>
            </w:r>
          </w:p>
        </w:tc>
        <w:tc>
          <w:tcPr>
            <w:tcW w:w="2091" w:type="dxa"/>
            <w:tcBorders>
              <w:top w:val="nil"/>
              <w:left w:val="nil"/>
              <w:bottom w:val="nil"/>
              <w:right w:val="nil"/>
            </w:tcBorders>
          </w:tcPr>
          <w:p>
            <w:pPr>
              <w:pStyle w:val="TableParagraph"/>
              <w:rPr>
                <w:b/>
                <w:sz w:val="22"/>
              </w:rPr>
            </w:pPr>
          </w:p>
          <w:p>
            <w:pPr>
              <w:pStyle w:val="TableParagraph"/>
              <w:spacing w:before="149"/>
              <w:ind w:left="398"/>
              <w:rPr>
                <w:sz w:val="22"/>
              </w:rPr>
            </w:pPr>
            <w:r>
              <w:rPr>
                <w:sz w:val="22"/>
              </w:rPr>
              <w:t>0.8</w:t>
            </w:r>
            <w:r>
              <w:rPr>
                <w:b/>
                <w:sz w:val="22"/>
              </w:rPr>
              <w:t>±</w:t>
            </w:r>
            <w:r>
              <w:rPr>
                <w:sz w:val="22"/>
              </w:rPr>
              <w:t>2.2 (0-8.9)</w:t>
            </w:r>
          </w:p>
          <w:p>
            <w:pPr>
              <w:pStyle w:val="TableParagraph"/>
              <w:spacing w:before="107"/>
              <w:ind w:left="343"/>
              <w:rPr>
                <w:sz w:val="22"/>
              </w:rPr>
            </w:pPr>
            <w:r>
              <w:rPr>
                <w:sz w:val="22"/>
              </w:rPr>
              <w:t>5.3</w:t>
            </w:r>
            <w:r>
              <w:rPr>
                <w:b/>
                <w:sz w:val="22"/>
              </w:rPr>
              <w:t>±</w:t>
            </w:r>
            <w:r>
              <w:rPr>
                <w:sz w:val="22"/>
              </w:rPr>
              <w:t>8.8 (0-20.9)</w:t>
            </w:r>
          </w:p>
        </w:tc>
        <w:tc>
          <w:tcPr>
            <w:tcW w:w="2033" w:type="dxa"/>
            <w:tcBorders>
              <w:top w:val="nil"/>
              <w:left w:val="nil"/>
              <w:bottom w:val="nil"/>
              <w:right w:val="nil"/>
            </w:tcBorders>
          </w:tcPr>
          <w:p>
            <w:pPr>
              <w:pStyle w:val="TableParagraph"/>
              <w:rPr>
                <w:b/>
                <w:sz w:val="22"/>
              </w:rPr>
            </w:pPr>
          </w:p>
          <w:p>
            <w:pPr>
              <w:pStyle w:val="TableParagraph"/>
              <w:spacing w:before="149"/>
              <w:ind w:left="362"/>
              <w:rPr>
                <w:sz w:val="22"/>
              </w:rPr>
            </w:pPr>
            <w:r>
              <w:rPr>
                <w:sz w:val="22"/>
              </w:rPr>
              <w:t>0.3</w:t>
            </w:r>
            <w:r>
              <w:rPr>
                <w:b/>
                <w:sz w:val="22"/>
              </w:rPr>
              <w:t>±</w:t>
            </w:r>
            <w:r>
              <w:rPr>
                <w:sz w:val="22"/>
              </w:rPr>
              <w:t>0.7 (0-2.8)</w:t>
            </w:r>
          </w:p>
          <w:p>
            <w:pPr>
              <w:pStyle w:val="TableParagraph"/>
              <w:spacing w:before="107"/>
              <w:ind w:left="306"/>
              <w:rPr>
                <w:sz w:val="22"/>
              </w:rPr>
            </w:pPr>
            <w:r>
              <w:rPr>
                <w:sz w:val="22"/>
              </w:rPr>
              <w:t>0.8</w:t>
            </w:r>
            <w:r>
              <w:rPr>
                <w:b/>
                <w:sz w:val="22"/>
              </w:rPr>
              <w:t>±</w:t>
            </w:r>
            <w:r>
              <w:rPr>
                <w:sz w:val="22"/>
              </w:rPr>
              <w:t>3.1 (0-11.8)</w:t>
            </w:r>
          </w:p>
        </w:tc>
        <w:tc>
          <w:tcPr>
            <w:tcW w:w="871" w:type="dxa"/>
            <w:tcBorders>
              <w:top w:val="nil"/>
              <w:left w:val="nil"/>
              <w:bottom w:val="nil"/>
              <w:right w:val="nil"/>
            </w:tcBorders>
          </w:tcPr>
          <w:p>
            <w:pPr>
              <w:pStyle w:val="TableParagraph"/>
              <w:rPr>
                <w:b/>
                <w:sz w:val="22"/>
              </w:rPr>
            </w:pPr>
          </w:p>
          <w:p>
            <w:pPr>
              <w:pStyle w:val="TableParagraph"/>
              <w:spacing w:before="149"/>
              <w:ind w:left="165"/>
              <w:rPr>
                <w:sz w:val="22"/>
              </w:rPr>
            </w:pPr>
            <w:r>
              <w:rPr>
                <w:sz w:val="22"/>
              </w:rPr>
              <w:t>0.751</w:t>
            </w:r>
          </w:p>
          <w:p>
            <w:pPr>
              <w:pStyle w:val="TableParagraph"/>
              <w:spacing w:before="107"/>
              <w:ind w:left="165"/>
              <w:rPr>
                <w:sz w:val="22"/>
              </w:rPr>
            </w:pPr>
            <w:r>
              <w:rPr>
                <w:sz w:val="22"/>
              </w:rPr>
              <w:t>0.288</w:t>
            </w:r>
          </w:p>
        </w:tc>
        <w:tc>
          <w:tcPr>
            <w:tcW w:w="2090" w:type="dxa"/>
            <w:tcBorders>
              <w:top w:val="nil"/>
              <w:left w:val="nil"/>
              <w:bottom w:val="nil"/>
              <w:right w:val="nil"/>
            </w:tcBorders>
          </w:tcPr>
          <w:p>
            <w:pPr>
              <w:pStyle w:val="TableParagraph"/>
              <w:rPr>
                <w:b/>
                <w:sz w:val="22"/>
              </w:rPr>
            </w:pPr>
          </w:p>
          <w:p>
            <w:pPr>
              <w:pStyle w:val="TableParagraph"/>
              <w:spacing w:before="149"/>
              <w:ind w:left="384"/>
              <w:rPr>
                <w:sz w:val="22"/>
              </w:rPr>
            </w:pPr>
            <w:r>
              <w:rPr>
                <w:sz w:val="22"/>
              </w:rPr>
              <w:t>1.5</w:t>
            </w:r>
            <w:r>
              <w:rPr>
                <w:b/>
                <w:sz w:val="22"/>
              </w:rPr>
              <w:t>±</w:t>
            </w:r>
            <w:r>
              <w:rPr>
                <w:sz w:val="22"/>
              </w:rPr>
              <w:t>1.7 (0-4.2)</w:t>
            </w:r>
          </w:p>
          <w:p>
            <w:pPr>
              <w:pStyle w:val="TableParagraph"/>
              <w:spacing w:before="107"/>
              <w:ind w:left="384"/>
              <w:rPr>
                <w:sz w:val="22"/>
              </w:rPr>
            </w:pPr>
            <w:r>
              <w:rPr>
                <w:sz w:val="22"/>
              </w:rPr>
              <w:t>1.2</w:t>
            </w:r>
            <w:r>
              <w:rPr>
                <w:b/>
                <w:sz w:val="22"/>
              </w:rPr>
              <w:t>±</w:t>
            </w:r>
            <w:r>
              <w:rPr>
                <w:sz w:val="22"/>
              </w:rPr>
              <w:t>8.8 (0-4.1)</w:t>
            </w:r>
          </w:p>
        </w:tc>
        <w:tc>
          <w:tcPr>
            <w:tcW w:w="855" w:type="dxa"/>
            <w:tcBorders>
              <w:top w:val="nil"/>
              <w:left w:val="nil"/>
              <w:bottom w:val="nil"/>
              <w:right w:val="nil"/>
            </w:tcBorders>
          </w:tcPr>
          <w:p>
            <w:pPr>
              <w:pStyle w:val="TableParagraph"/>
              <w:rPr>
                <w:b/>
                <w:sz w:val="22"/>
              </w:rPr>
            </w:pPr>
          </w:p>
          <w:p>
            <w:pPr>
              <w:pStyle w:val="TableParagraph"/>
              <w:spacing w:before="149"/>
              <w:ind w:left="199"/>
              <w:rPr>
                <w:sz w:val="22"/>
              </w:rPr>
            </w:pPr>
            <w:r>
              <w:rPr>
                <w:sz w:val="22"/>
              </w:rPr>
              <w:t>0.054</w:t>
            </w:r>
          </w:p>
          <w:p>
            <w:pPr>
              <w:pStyle w:val="TableParagraph"/>
              <w:spacing w:before="107"/>
              <w:ind w:left="199"/>
              <w:rPr>
                <w:sz w:val="22"/>
              </w:rPr>
            </w:pPr>
            <w:r>
              <w:rPr>
                <w:sz w:val="22"/>
              </w:rPr>
              <w:t>0.763</w:t>
            </w:r>
          </w:p>
        </w:tc>
      </w:tr>
      <w:tr>
        <w:trPr>
          <w:trHeight w:val="1102" w:hRule="exact"/>
        </w:trPr>
        <w:tc>
          <w:tcPr>
            <w:tcW w:w="4928" w:type="dxa"/>
            <w:tcBorders>
              <w:top w:val="nil"/>
              <w:left w:val="nil"/>
              <w:bottom w:val="nil"/>
              <w:right w:val="nil"/>
            </w:tcBorders>
          </w:tcPr>
          <w:p>
            <w:pPr>
              <w:pStyle w:val="TableParagraph"/>
              <w:spacing w:line="340" w:lineRule="auto" w:before="42"/>
              <w:ind w:left="218" w:right="3450" w:hanging="111"/>
              <w:rPr>
                <w:sz w:val="22"/>
              </w:rPr>
            </w:pPr>
            <w:r>
              <w:rPr>
                <w:sz w:val="22"/>
              </w:rPr>
              <w:t>Smoking status Non smokers</w:t>
            </w:r>
          </w:p>
          <w:p>
            <w:pPr>
              <w:pStyle w:val="TableParagraph"/>
              <w:spacing w:before="4"/>
              <w:ind w:left="218"/>
              <w:rPr>
                <w:sz w:val="22"/>
              </w:rPr>
            </w:pPr>
            <w:r>
              <w:rPr>
                <w:sz w:val="22"/>
              </w:rPr>
              <w:t>Former and current smokers</w:t>
            </w:r>
          </w:p>
        </w:tc>
        <w:tc>
          <w:tcPr>
            <w:tcW w:w="2091" w:type="dxa"/>
            <w:tcBorders>
              <w:top w:val="nil"/>
              <w:left w:val="nil"/>
              <w:bottom w:val="nil"/>
              <w:right w:val="nil"/>
            </w:tcBorders>
          </w:tcPr>
          <w:p>
            <w:pPr>
              <w:pStyle w:val="TableParagraph"/>
              <w:rPr>
                <w:b/>
                <w:sz w:val="22"/>
              </w:rPr>
            </w:pPr>
          </w:p>
          <w:p>
            <w:pPr>
              <w:pStyle w:val="TableParagraph"/>
              <w:spacing w:before="149"/>
              <w:ind w:left="323" w:right="287"/>
              <w:jc w:val="center"/>
              <w:rPr>
                <w:sz w:val="22"/>
              </w:rPr>
            </w:pPr>
            <w:r>
              <w:rPr>
                <w:sz w:val="22"/>
              </w:rPr>
              <w:t>2.0</w:t>
            </w:r>
            <w:r>
              <w:rPr>
                <w:b/>
                <w:sz w:val="22"/>
              </w:rPr>
              <w:t>±</w:t>
            </w:r>
            <w:r>
              <w:rPr>
                <w:sz w:val="22"/>
              </w:rPr>
              <w:t>4.9 (0-20.9)</w:t>
            </w:r>
          </w:p>
          <w:p>
            <w:pPr>
              <w:pStyle w:val="TableParagraph"/>
              <w:spacing w:before="107"/>
              <w:ind w:left="321" w:right="287"/>
              <w:jc w:val="center"/>
              <w:rPr>
                <w:sz w:val="22"/>
              </w:rPr>
            </w:pPr>
            <w:r>
              <w:rPr>
                <w:sz w:val="22"/>
              </w:rPr>
              <w:t>0.6</w:t>
            </w:r>
            <w:r>
              <w:rPr>
                <w:b/>
                <w:sz w:val="22"/>
              </w:rPr>
              <w:t>±</w:t>
            </w:r>
            <w:r>
              <w:rPr>
                <w:sz w:val="22"/>
              </w:rPr>
              <w:t>1.3 (0-3)</w:t>
            </w:r>
          </w:p>
        </w:tc>
        <w:tc>
          <w:tcPr>
            <w:tcW w:w="2033" w:type="dxa"/>
            <w:tcBorders>
              <w:top w:val="nil"/>
              <w:left w:val="nil"/>
              <w:bottom w:val="nil"/>
              <w:right w:val="nil"/>
            </w:tcBorders>
          </w:tcPr>
          <w:p>
            <w:pPr>
              <w:pStyle w:val="TableParagraph"/>
              <w:rPr>
                <w:b/>
                <w:sz w:val="22"/>
              </w:rPr>
            </w:pPr>
          </w:p>
          <w:p>
            <w:pPr>
              <w:pStyle w:val="TableParagraph"/>
              <w:spacing w:before="149"/>
              <w:ind w:left="362"/>
              <w:rPr>
                <w:sz w:val="22"/>
              </w:rPr>
            </w:pPr>
            <w:r>
              <w:rPr>
                <w:sz w:val="22"/>
              </w:rPr>
              <w:t>0.3</w:t>
            </w:r>
            <w:r>
              <w:rPr>
                <w:b/>
                <w:sz w:val="22"/>
              </w:rPr>
              <w:t>±</w:t>
            </w:r>
            <w:r>
              <w:rPr>
                <w:sz w:val="22"/>
              </w:rPr>
              <w:t>0.8 (0-2.8)</w:t>
            </w:r>
          </w:p>
          <w:p>
            <w:pPr>
              <w:pStyle w:val="TableParagraph"/>
              <w:spacing w:before="107"/>
              <w:ind w:left="306"/>
              <w:rPr>
                <w:sz w:val="22"/>
              </w:rPr>
            </w:pPr>
            <w:r>
              <w:rPr>
                <w:sz w:val="22"/>
              </w:rPr>
              <w:t>0.8</w:t>
            </w:r>
            <w:r>
              <w:rPr>
                <w:b/>
                <w:sz w:val="22"/>
              </w:rPr>
              <w:t>±</w:t>
            </w:r>
            <w:r>
              <w:rPr>
                <w:sz w:val="22"/>
              </w:rPr>
              <w:t>2.7 (0-11.8)</w:t>
            </w:r>
          </w:p>
        </w:tc>
        <w:tc>
          <w:tcPr>
            <w:tcW w:w="871" w:type="dxa"/>
            <w:tcBorders>
              <w:top w:val="nil"/>
              <w:left w:val="nil"/>
              <w:bottom w:val="nil"/>
              <w:right w:val="nil"/>
            </w:tcBorders>
          </w:tcPr>
          <w:p>
            <w:pPr>
              <w:pStyle w:val="TableParagraph"/>
              <w:rPr>
                <w:b/>
                <w:sz w:val="22"/>
              </w:rPr>
            </w:pPr>
          </w:p>
          <w:p>
            <w:pPr>
              <w:pStyle w:val="TableParagraph"/>
              <w:spacing w:before="149"/>
              <w:ind w:left="165"/>
              <w:rPr>
                <w:sz w:val="22"/>
              </w:rPr>
            </w:pPr>
            <w:r>
              <w:rPr>
                <w:sz w:val="22"/>
              </w:rPr>
              <w:t>0.635</w:t>
            </w:r>
          </w:p>
          <w:p>
            <w:pPr>
              <w:pStyle w:val="TableParagraph"/>
              <w:spacing w:before="107"/>
              <w:ind w:left="165"/>
              <w:rPr>
                <w:sz w:val="22"/>
              </w:rPr>
            </w:pPr>
            <w:r>
              <w:rPr>
                <w:sz w:val="22"/>
              </w:rPr>
              <w:t>1.000</w:t>
            </w:r>
          </w:p>
        </w:tc>
        <w:tc>
          <w:tcPr>
            <w:tcW w:w="2090" w:type="dxa"/>
            <w:tcBorders>
              <w:top w:val="nil"/>
              <w:left w:val="nil"/>
              <w:bottom w:val="nil"/>
              <w:right w:val="nil"/>
            </w:tcBorders>
          </w:tcPr>
          <w:p>
            <w:pPr>
              <w:pStyle w:val="TableParagraph"/>
              <w:rPr>
                <w:b/>
                <w:sz w:val="22"/>
              </w:rPr>
            </w:pPr>
          </w:p>
          <w:p>
            <w:pPr>
              <w:pStyle w:val="TableParagraph"/>
              <w:spacing w:before="149"/>
              <w:ind w:left="465"/>
              <w:rPr>
                <w:sz w:val="22"/>
              </w:rPr>
            </w:pPr>
            <w:r>
              <w:rPr>
                <w:sz w:val="22"/>
              </w:rPr>
              <w:t>0.9</w:t>
            </w:r>
            <w:r>
              <w:rPr>
                <w:b/>
                <w:sz w:val="22"/>
              </w:rPr>
              <w:t>±</w:t>
            </w:r>
            <w:r>
              <w:rPr>
                <w:sz w:val="22"/>
              </w:rPr>
              <w:t>1.6 (0-4)</w:t>
            </w:r>
          </w:p>
          <w:p>
            <w:pPr>
              <w:pStyle w:val="TableParagraph"/>
              <w:spacing w:before="107"/>
              <w:ind w:left="384"/>
              <w:rPr>
                <w:sz w:val="22"/>
              </w:rPr>
            </w:pPr>
            <w:r>
              <w:rPr>
                <w:sz w:val="22"/>
              </w:rPr>
              <w:t>1.8</w:t>
            </w:r>
            <w:r>
              <w:rPr>
                <w:b/>
                <w:sz w:val="22"/>
              </w:rPr>
              <w:t>±</w:t>
            </w:r>
            <w:r>
              <w:rPr>
                <w:sz w:val="22"/>
              </w:rPr>
              <w:t>1.7 (0-4.2)</w:t>
            </w:r>
          </w:p>
        </w:tc>
        <w:tc>
          <w:tcPr>
            <w:tcW w:w="855" w:type="dxa"/>
            <w:tcBorders>
              <w:top w:val="nil"/>
              <w:left w:val="nil"/>
              <w:bottom w:val="nil"/>
              <w:right w:val="nil"/>
            </w:tcBorders>
          </w:tcPr>
          <w:p>
            <w:pPr>
              <w:pStyle w:val="TableParagraph"/>
              <w:rPr>
                <w:b/>
                <w:sz w:val="22"/>
              </w:rPr>
            </w:pPr>
          </w:p>
          <w:p>
            <w:pPr>
              <w:pStyle w:val="TableParagraph"/>
              <w:spacing w:before="149"/>
              <w:ind w:left="199"/>
              <w:rPr>
                <w:sz w:val="22"/>
              </w:rPr>
            </w:pPr>
            <w:r>
              <w:rPr>
                <w:sz w:val="22"/>
              </w:rPr>
              <w:t>1.000</w:t>
            </w:r>
          </w:p>
          <w:p>
            <w:pPr>
              <w:pStyle w:val="TableParagraph"/>
              <w:spacing w:before="107"/>
              <w:ind w:left="199"/>
              <w:rPr>
                <w:sz w:val="22"/>
              </w:rPr>
            </w:pPr>
            <w:r>
              <w:rPr>
                <w:sz w:val="22"/>
              </w:rPr>
              <w:t>0.123</w:t>
            </w:r>
          </w:p>
        </w:tc>
      </w:tr>
      <w:tr>
        <w:trPr>
          <w:trHeight w:val="1118" w:hRule="exact"/>
        </w:trPr>
        <w:tc>
          <w:tcPr>
            <w:tcW w:w="4928" w:type="dxa"/>
            <w:tcBorders>
              <w:top w:val="nil"/>
              <w:left w:val="nil"/>
              <w:bottom w:val="nil"/>
              <w:right w:val="nil"/>
            </w:tcBorders>
          </w:tcPr>
          <w:p>
            <w:pPr>
              <w:pStyle w:val="TableParagraph"/>
              <w:spacing w:line="340" w:lineRule="auto" w:before="63"/>
              <w:ind w:left="273" w:right="2741" w:hanging="166"/>
              <w:rPr>
                <w:sz w:val="22"/>
              </w:rPr>
            </w:pPr>
            <w:r>
              <w:rPr>
                <w:sz w:val="22"/>
              </w:rPr>
              <w:t>Alcoholic consumption Never</w:t>
            </w:r>
          </w:p>
          <w:p>
            <w:pPr>
              <w:pStyle w:val="TableParagraph"/>
              <w:spacing w:before="4"/>
              <w:ind w:left="288"/>
              <w:rPr>
                <w:sz w:val="22"/>
              </w:rPr>
            </w:pPr>
            <w:r>
              <w:rPr>
                <w:sz w:val="22"/>
              </w:rPr>
              <w:t>Current consumer</w:t>
            </w:r>
          </w:p>
        </w:tc>
        <w:tc>
          <w:tcPr>
            <w:tcW w:w="2091" w:type="dxa"/>
            <w:tcBorders>
              <w:top w:val="nil"/>
              <w:left w:val="nil"/>
              <w:bottom w:val="nil"/>
              <w:right w:val="nil"/>
            </w:tcBorders>
          </w:tcPr>
          <w:p>
            <w:pPr>
              <w:pStyle w:val="TableParagraph"/>
              <w:rPr>
                <w:b/>
                <w:sz w:val="22"/>
              </w:rPr>
            </w:pPr>
          </w:p>
          <w:p>
            <w:pPr>
              <w:pStyle w:val="TableParagraph"/>
              <w:spacing w:before="170"/>
              <w:ind w:left="343"/>
              <w:rPr>
                <w:sz w:val="22"/>
              </w:rPr>
            </w:pPr>
            <w:r>
              <w:rPr>
                <w:sz w:val="22"/>
              </w:rPr>
              <w:t>1.4</w:t>
            </w:r>
            <w:r>
              <w:rPr>
                <w:b/>
                <w:sz w:val="22"/>
              </w:rPr>
              <w:t>±</w:t>
            </w:r>
            <w:r>
              <w:rPr>
                <w:sz w:val="22"/>
              </w:rPr>
              <w:t>3.1 (0-11.4)</w:t>
            </w:r>
          </w:p>
          <w:p>
            <w:pPr>
              <w:pStyle w:val="TableParagraph"/>
              <w:spacing w:before="107"/>
              <w:ind w:left="343"/>
              <w:rPr>
                <w:sz w:val="22"/>
              </w:rPr>
            </w:pPr>
            <w:r>
              <w:rPr>
                <w:sz w:val="22"/>
              </w:rPr>
              <w:t>2.6</w:t>
            </w:r>
            <w:r>
              <w:rPr>
                <w:b/>
                <w:sz w:val="22"/>
              </w:rPr>
              <w:t>±</w:t>
            </w:r>
            <w:r>
              <w:rPr>
                <w:sz w:val="22"/>
              </w:rPr>
              <w:t>7.3 (0-20.9)</w:t>
            </w:r>
          </w:p>
        </w:tc>
        <w:tc>
          <w:tcPr>
            <w:tcW w:w="2033" w:type="dxa"/>
            <w:tcBorders>
              <w:top w:val="nil"/>
              <w:left w:val="nil"/>
              <w:bottom w:val="nil"/>
              <w:right w:val="nil"/>
            </w:tcBorders>
          </w:tcPr>
          <w:p>
            <w:pPr>
              <w:pStyle w:val="TableParagraph"/>
              <w:rPr>
                <w:b/>
                <w:sz w:val="22"/>
              </w:rPr>
            </w:pPr>
          </w:p>
          <w:p>
            <w:pPr>
              <w:pStyle w:val="TableParagraph"/>
              <w:spacing w:before="170"/>
              <w:ind w:left="362"/>
              <w:rPr>
                <w:sz w:val="22"/>
              </w:rPr>
            </w:pPr>
            <w:r>
              <w:rPr>
                <w:sz w:val="22"/>
              </w:rPr>
              <w:t>0.3</w:t>
            </w:r>
            <w:r>
              <w:rPr>
                <w:b/>
                <w:sz w:val="22"/>
              </w:rPr>
              <w:t>±</w:t>
            </w:r>
            <w:r>
              <w:rPr>
                <w:sz w:val="22"/>
              </w:rPr>
              <w:t>0.8 (0-2.8)</w:t>
            </w:r>
          </w:p>
          <w:p>
            <w:pPr>
              <w:pStyle w:val="TableParagraph"/>
              <w:spacing w:before="107"/>
              <w:ind w:left="306"/>
              <w:rPr>
                <w:sz w:val="22"/>
              </w:rPr>
            </w:pPr>
            <w:r>
              <w:rPr>
                <w:sz w:val="22"/>
              </w:rPr>
              <w:t>0.8</w:t>
            </w:r>
            <w:r>
              <w:rPr>
                <w:b/>
                <w:sz w:val="22"/>
              </w:rPr>
              <w:t>±</w:t>
            </w:r>
            <w:r>
              <w:rPr>
                <w:sz w:val="22"/>
              </w:rPr>
              <w:t>2.7 (0-11.8)</w:t>
            </w:r>
          </w:p>
        </w:tc>
        <w:tc>
          <w:tcPr>
            <w:tcW w:w="871" w:type="dxa"/>
            <w:tcBorders>
              <w:top w:val="nil"/>
              <w:left w:val="nil"/>
              <w:bottom w:val="nil"/>
              <w:right w:val="nil"/>
            </w:tcBorders>
          </w:tcPr>
          <w:p>
            <w:pPr>
              <w:pStyle w:val="TableParagraph"/>
              <w:rPr>
                <w:b/>
                <w:sz w:val="22"/>
              </w:rPr>
            </w:pPr>
          </w:p>
          <w:p>
            <w:pPr>
              <w:pStyle w:val="TableParagraph"/>
              <w:spacing w:before="170"/>
              <w:ind w:left="165"/>
              <w:rPr>
                <w:sz w:val="22"/>
              </w:rPr>
            </w:pPr>
            <w:r>
              <w:rPr>
                <w:sz w:val="22"/>
              </w:rPr>
              <w:t>0.507</w:t>
            </w:r>
          </w:p>
          <w:p>
            <w:pPr>
              <w:pStyle w:val="TableParagraph"/>
              <w:spacing w:before="107"/>
              <w:ind w:left="165"/>
              <w:rPr>
                <w:sz w:val="22"/>
              </w:rPr>
            </w:pPr>
            <w:r>
              <w:rPr>
                <w:sz w:val="22"/>
              </w:rPr>
              <w:t>0.686</w:t>
            </w:r>
          </w:p>
        </w:tc>
        <w:tc>
          <w:tcPr>
            <w:tcW w:w="2090" w:type="dxa"/>
            <w:tcBorders>
              <w:top w:val="nil"/>
              <w:left w:val="nil"/>
              <w:bottom w:val="nil"/>
              <w:right w:val="nil"/>
            </w:tcBorders>
          </w:tcPr>
          <w:p>
            <w:pPr>
              <w:pStyle w:val="TableParagraph"/>
              <w:rPr>
                <w:b/>
                <w:sz w:val="22"/>
              </w:rPr>
            </w:pPr>
          </w:p>
          <w:p>
            <w:pPr>
              <w:pStyle w:val="TableParagraph"/>
              <w:spacing w:before="170"/>
              <w:ind w:left="384"/>
              <w:rPr>
                <w:sz w:val="22"/>
              </w:rPr>
            </w:pPr>
            <w:r>
              <w:rPr>
                <w:sz w:val="22"/>
              </w:rPr>
              <w:t>0.6</w:t>
            </w:r>
            <w:r>
              <w:rPr>
                <w:b/>
                <w:sz w:val="22"/>
              </w:rPr>
              <w:t>±</w:t>
            </w:r>
            <w:r>
              <w:rPr>
                <w:sz w:val="22"/>
              </w:rPr>
              <w:t>1.5 (0-4.2)</w:t>
            </w:r>
          </w:p>
          <w:p>
            <w:pPr>
              <w:pStyle w:val="TableParagraph"/>
              <w:spacing w:before="107"/>
              <w:ind w:left="384"/>
              <w:rPr>
                <w:sz w:val="22"/>
              </w:rPr>
            </w:pPr>
            <w:r>
              <w:rPr>
                <w:sz w:val="22"/>
              </w:rPr>
              <w:t>1.6</w:t>
            </w:r>
            <w:r>
              <w:rPr>
                <w:b/>
                <w:sz w:val="22"/>
              </w:rPr>
              <w:t>±</w:t>
            </w:r>
            <w:r>
              <w:rPr>
                <w:sz w:val="22"/>
              </w:rPr>
              <w:t>1.7 (0-4.1)</w:t>
            </w:r>
          </w:p>
        </w:tc>
        <w:tc>
          <w:tcPr>
            <w:tcW w:w="855" w:type="dxa"/>
            <w:tcBorders>
              <w:top w:val="nil"/>
              <w:left w:val="nil"/>
              <w:bottom w:val="nil"/>
              <w:right w:val="nil"/>
            </w:tcBorders>
          </w:tcPr>
          <w:p>
            <w:pPr>
              <w:pStyle w:val="TableParagraph"/>
              <w:rPr>
                <w:b/>
                <w:sz w:val="22"/>
              </w:rPr>
            </w:pPr>
          </w:p>
          <w:p>
            <w:pPr>
              <w:pStyle w:val="TableParagraph"/>
              <w:spacing w:before="170"/>
              <w:ind w:left="199"/>
              <w:rPr>
                <w:sz w:val="22"/>
              </w:rPr>
            </w:pPr>
            <w:r>
              <w:rPr>
                <w:sz w:val="22"/>
              </w:rPr>
              <w:t>0.564</w:t>
            </w:r>
          </w:p>
          <w:p>
            <w:pPr>
              <w:pStyle w:val="TableParagraph"/>
              <w:spacing w:before="107"/>
              <w:ind w:left="199"/>
              <w:rPr>
                <w:sz w:val="22"/>
              </w:rPr>
            </w:pPr>
            <w:r>
              <w:rPr>
                <w:sz w:val="22"/>
              </w:rPr>
              <w:t>0.093</w:t>
            </w:r>
          </w:p>
        </w:tc>
      </w:tr>
      <w:tr>
        <w:trPr>
          <w:trHeight w:val="1470" w:hRule="exact"/>
        </w:trPr>
        <w:tc>
          <w:tcPr>
            <w:tcW w:w="4928" w:type="dxa"/>
            <w:tcBorders>
              <w:top w:val="nil"/>
              <w:left w:val="nil"/>
              <w:bottom w:val="nil"/>
              <w:right w:val="nil"/>
            </w:tcBorders>
          </w:tcPr>
          <w:p>
            <w:pPr>
              <w:pStyle w:val="TableParagraph"/>
              <w:spacing w:before="66"/>
              <w:ind w:left="108"/>
              <w:rPr>
                <w:sz w:val="14"/>
              </w:rPr>
            </w:pPr>
            <w:r>
              <w:rPr>
                <w:sz w:val="22"/>
              </w:rPr>
              <w:t>Body mass index, kg/m</w:t>
            </w:r>
            <w:r>
              <w:rPr>
                <w:position w:val="8"/>
                <w:sz w:val="14"/>
              </w:rPr>
              <w:t>2</w:t>
            </w:r>
          </w:p>
          <w:p>
            <w:pPr>
              <w:pStyle w:val="TableParagraph"/>
              <w:spacing w:line="340" w:lineRule="auto" w:before="107"/>
              <w:ind w:left="288" w:right="2760"/>
              <w:rPr>
                <w:sz w:val="22"/>
              </w:rPr>
            </w:pPr>
            <w:r>
              <w:rPr>
                <w:sz w:val="22"/>
              </w:rPr>
              <w:t>&lt; 25 (normal weight) 25-30 (overweight)</w:t>
            </w:r>
          </w:p>
          <w:p>
            <w:pPr>
              <w:pStyle w:val="TableParagraph"/>
              <w:spacing w:before="4"/>
              <w:ind w:left="288"/>
              <w:rPr>
                <w:sz w:val="22"/>
              </w:rPr>
            </w:pPr>
            <w:r>
              <w:rPr>
                <w:sz w:val="22"/>
              </w:rPr>
              <w:t>≥ 30 (obesity)</w:t>
            </w:r>
          </w:p>
        </w:tc>
        <w:tc>
          <w:tcPr>
            <w:tcW w:w="2091" w:type="dxa"/>
            <w:tcBorders>
              <w:top w:val="nil"/>
              <w:left w:val="nil"/>
              <w:bottom w:val="nil"/>
              <w:right w:val="nil"/>
            </w:tcBorders>
          </w:tcPr>
          <w:p>
            <w:pPr>
              <w:pStyle w:val="TableParagraph"/>
              <w:rPr>
                <w:b/>
                <w:sz w:val="22"/>
              </w:rPr>
            </w:pPr>
          </w:p>
          <w:p>
            <w:pPr>
              <w:pStyle w:val="TableParagraph"/>
              <w:spacing w:before="179"/>
              <w:ind w:left="343"/>
              <w:rPr>
                <w:sz w:val="22"/>
              </w:rPr>
            </w:pPr>
            <w:r>
              <w:rPr>
                <w:sz w:val="22"/>
              </w:rPr>
              <w:t>5.0±9.0 (0-20.9)</w:t>
            </w:r>
          </w:p>
          <w:p>
            <w:pPr>
              <w:pStyle w:val="TableParagraph"/>
              <w:spacing w:before="107"/>
              <w:ind w:left="398"/>
              <w:rPr>
                <w:sz w:val="22"/>
              </w:rPr>
            </w:pPr>
            <w:r>
              <w:rPr>
                <w:sz w:val="22"/>
              </w:rPr>
              <w:t>0.9±2.6 (0-8.9)</w:t>
            </w:r>
          </w:p>
          <w:p>
            <w:pPr>
              <w:pStyle w:val="TableParagraph"/>
              <w:spacing w:before="107"/>
              <w:ind w:left="343"/>
              <w:rPr>
                <w:sz w:val="22"/>
              </w:rPr>
            </w:pPr>
            <w:r>
              <w:rPr>
                <w:sz w:val="22"/>
              </w:rPr>
              <w:t>1.2±3.3 (0-11.4)</w:t>
            </w:r>
          </w:p>
        </w:tc>
        <w:tc>
          <w:tcPr>
            <w:tcW w:w="2033" w:type="dxa"/>
            <w:tcBorders>
              <w:top w:val="nil"/>
              <w:left w:val="nil"/>
              <w:bottom w:val="nil"/>
              <w:right w:val="nil"/>
            </w:tcBorders>
          </w:tcPr>
          <w:p>
            <w:pPr>
              <w:pStyle w:val="TableParagraph"/>
              <w:rPr>
                <w:b/>
                <w:sz w:val="22"/>
              </w:rPr>
            </w:pPr>
          </w:p>
          <w:p>
            <w:pPr>
              <w:pStyle w:val="TableParagraph"/>
              <w:spacing w:before="179"/>
              <w:ind w:left="306"/>
              <w:rPr>
                <w:sz w:val="22"/>
              </w:rPr>
            </w:pPr>
            <w:r>
              <w:rPr>
                <w:sz w:val="22"/>
              </w:rPr>
              <w:t>2.9±5.9 (0-11.8)</w:t>
            </w:r>
          </w:p>
          <w:p>
            <w:pPr>
              <w:pStyle w:val="TableParagraph"/>
              <w:spacing w:before="107"/>
              <w:ind w:left="362"/>
              <w:rPr>
                <w:sz w:val="22"/>
              </w:rPr>
            </w:pPr>
            <w:r>
              <w:rPr>
                <w:sz w:val="22"/>
              </w:rPr>
              <w:t>0.1±0.2 (0-0.9)</w:t>
            </w:r>
          </w:p>
          <w:p>
            <w:pPr>
              <w:pStyle w:val="TableParagraph"/>
              <w:spacing w:before="107"/>
              <w:ind w:left="362"/>
              <w:rPr>
                <w:sz w:val="22"/>
              </w:rPr>
            </w:pPr>
            <w:r>
              <w:rPr>
                <w:sz w:val="22"/>
              </w:rPr>
              <w:t>0.5±1.0 (0-2.8)</w:t>
            </w:r>
          </w:p>
        </w:tc>
        <w:tc>
          <w:tcPr>
            <w:tcW w:w="871" w:type="dxa"/>
            <w:tcBorders>
              <w:top w:val="nil"/>
              <w:left w:val="nil"/>
              <w:bottom w:val="nil"/>
              <w:right w:val="nil"/>
            </w:tcBorders>
          </w:tcPr>
          <w:p>
            <w:pPr>
              <w:pStyle w:val="TableParagraph"/>
              <w:rPr>
                <w:b/>
                <w:sz w:val="22"/>
              </w:rPr>
            </w:pPr>
          </w:p>
          <w:p>
            <w:pPr>
              <w:pStyle w:val="TableParagraph"/>
              <w:spacing w:before="179"/>
              <w:ind w:left="165"/>
              <w:rPr>
                <w:sz w:val="22"/>
              </w:rPr>
            </w:pPr>
            <w:r>
              <w:rPr>
                <w:sz w:val="22"/>
              </w:rPr>
              <w:t>0.662</w:t>
            </w:r>
          </w:p>
          <w:p>
            <w:pPr>
              <w:pStyle w:val="TableParagraph"/>
              <w:spacing w:before="107"/>
              <w:ind w:left="165"/>
              <w:rPr>
                <w:sz w:val="22"/>
              </w:rPr>
            </w:pPr>
            <w:r>
              <w:rPr>
                <w:sz w:val="22"/>
              </w:rPr>
              <w:t>0.844</w:t>
            </w:r>
          </w:p>
          <w:p>
            <w:pPr>
              <w:pStyle w:val="TableParagraph"/>
              <w:spacing w:before="107"/>
              <w:ind w:left="165"/>
              <w:rPr>
                <w:sz w:val="22"/>
              </w:rPr>
            </w:pPr>
            <w:r>
              <w:rPr>
                <w:sz w:val="22"/>
              </w:rPr>
              <w:t>0.751</w:t>
            </w:r>
          </w:p>
        </w:tc>
        <w:tc>
          <w:tcPr>
            <w:tcW w:w="2090" w:type="dxa"/>
            <w:tcBorders>
              <w:top w:val="nil"/>
              <w:left w:val="nil"/>
              <w:bottom w:val="nil"/>
              <w:right w:val="nil"/>
            </w:tcBorders>
          </w:tcPr>
          <w:p>
            <w:pPr>
              <w:pStyle w:val="TableParagraph"/>
              <w:rPr>
                <w:b/>
                <w:sz w:val="22"/>
              </w:rPr>
            </w:pPr>
          </w:p>
          <w:p>
            <w:pPr>
              <w:pStyle w:val="TableParagraph"/>
              <w:spacing w:before="179"/>
              <w:ind w:left="384"/>
              <w:rPr>
                <w:sz w:val="22"/>
              </w:rPr>
            </w:pPr>
            <w:r>
              <w:rPr>
                <w:sz w:val="22"/>
              </w:rPr>
              <w:t>1.2</w:t>
            </w:r>
            <w:r>
              <w:rPr>
                <w:b/>
                <w:sz w:val="22"/>
              </w:rPr>
              <w:t>±</w:t>
            </w:r>
            <w:r>
              <w:rPr>
                <w:sz w:val="22"/>
              </w:rPr>
              <w:t>1.6 (0-4.1)</w:t>
            </w:r>
          </w:p>
          <w:p>
            <w:pPr>
              <w:pStyle w:val="TableParagraph"/>
              <w:spacing w:before="107"/>
              <w:ind w:left="384"/>
              <w:rPr>
                <w:sz w:val="22"/>
              </w:rPr>
            </w:pPr>
            <w:r>
              <w:rPr>
                <w:sz w:val="22"/>
              </w:rPr>
              <w:t>1.3</w:t>
            </w:r>
            <w:r>
              <w:rPr>
                <w:b/>
                <w:sz w:val="22"/>
              </w:rPr>
              <w:t>±</w:t>
            </w:r>
            <w:r>
              <w:rPr>
                <w:sz w:val="22"/>
              </w:rPr>
              <w:t>1.8 (0-4.1)</w:t>
            </w:r>
          </w:p>
          <w:p>
            <w:pPr>
              <w:pStyle w:val="TableParagraph"/>
              <w:spacing w:before="107"/>
              <w:ind w:left="384"/>
              <w:rPr>
                <w:sz w:val="22"/>
              </w:rPr>
            </w:pPr>
            <w:r>
              <w:rPr>
                <w:sz w:val="22"/>
              </w:rPr>
              <w:t>3.3±0.9 (0-4.2)</w:t>
            </w:r>
          </w:p>
        </w:tc>
        <w:tc>
          <w:tcPr>
            <w:tcW w:w="855" w:type="dxa"/>
            <w:tcBorders>
              <w:top w:val="nil"/>
              <w:left w:val="nil"/>
              <w:bottom w:val="nil"/>
              <w:right w:val="nil"/>
            </w:tcBorders>
          </w:tcPr>
          <w:p>
            <w:pPr>
              <w:pStyle w:val="TableParagraph"/>
              <w:rPr>
                <w:b/>
                <w:sz w:val="22"/>
              </w:rPr>
            </w:pPr>
          </w:p>
          <w:p>
            <w:pPr>
              <w:pStyle w:val="TableParagraph"/>
              <w:spacing w:before="179"/>
              <w:ind w:left="199"/>
              <w:rPr>
                <w:sz w:val="22"/>
              </w:rPr>
            </w:pPr>
            <w:r>
              <w:rPr>
                <w:sz w:val="22"/>
              </w:rPr>
              <w:t>0.578</w:t>
            </w:r>
          </w:p>
          <w:p>
            <w:pPr>
              <w:pStyle w:val="TableParagraph"/>
              <w:spacing w:before="107"/>
              <w:ind w:left="199"/>
              <w:rPr>
                <w:sz w:val="22"/>
              </w:rPr>
            </w:pPr>
            <w:r>
              <w:rPr>
                <w:sz w:val="22"/>
              </w:rPr>
              <w:t>0.361</w:t>
            </w:r>
          </w:p>
          <w:p>
            <w:pPr>
              <w:pStyle w:val="TableParagraph"/>
              <w:spacing w:before="107"/>
              <w:ind w:left="199"/>
              <w:rPr>
                <w:sz w:val="22"/>
              </w:rPr>
            </w:pPr>
            <w:r>
              <w:rPr>
                <w:sz w:val="22"/>
              </w:rPr>
              <w:t>0.027</w:t>
            </w:r>
          </w:p>
        </w:tc>
      </w:tr>
      <w:tr>
        <w:trPr>
          <w:trHeight w:val="290" w:hRule="exact"/>
        </w:trPr>
        <w:tc>
          <w:tcPr>
            <w:tcW w:w="4928" w:type="dxa"/>
            <w:tcBorders>
              <w:top w:val="nil"/>
              <w:left w:val="nil"/>
              <w:bottom w:val="nil"/>
              <w:right w:val="nil"/>
            </w:tcBorders>
          </w:tcPr>
          <w:p>
            <w:pPr>
              <w:pStyle w:val="TableParagraph"/>
              <w:spacing w:before="42"/>
              <w:ind w:left="108"/>
              <w:rPr>
                <w:sz w:val="22"/>
              </w:rPr>
            </w:pPr>
            <w:r>
              <w:rPr>
                <w:sz w:val="22"/>
              </w:rPr>
              <w:t>High blood pressure (≥130/85 mmHg)</w:t>
            </w:r>
          </w:p>
        </w:tc>
        <w:tc>
          <w:tcPr>
            <w:tcW w:w="2091" w:type="dxa"/>
            <w:tcBorders>
              <w:top w:val="nil"/>
              <w:left w:val="nil"/>
              <w:bottom w:val="nil"/>
              <w:right w:val="nil"/>
            </w:tcBorders>
          </w:tcPr>
          <w:p>
            <w:pPr>
              <w:pStyle w:val="TableParagraph"/>
              <w:spacing w:before="42"/>
              <w:ind w:left="343"/>
              <w:rPr>
                <w:sz w:val="22"/>
              </w:rPr>
            </w:pPr>
            <w:r>
              <w:rPr>
                <w:sz w:val="22"/>
              </w:rPr>
              <w:t>1.8±4.1 (0-11.4)</w:t>
            </w:r>
          </w:p>
        </w:tc>
        <w:tc>
          <w:tcPr>
            <w:tcW w:w="2033" w:type="dxa"/>
            <w:tcBorders>
              <w:top w:val="nil"/>
              <w:left w:val="nil"/>
              <w:bottom w:val="nil"/>
              <w:right w:val="nil"/>
            </w:tcBorders>
          </w:tcPr>
          <w:p>
            <w:pPr>
              <w:pStyle w:val="TableParagraph"/>
              <w:spacing w:before="42"/>
              <w:ind w:left="167" w:right="145"/>
              <w:jc w:val="center"/>
              <w:rPr>
                <w:sz w:val="22"/>
              </w:rPr>
            </w:pPr>
            <w:r>
              <w:rPr>
                <w:sz w:val="22"/>
              </w:rPr>
              <w:t>1.2±3.7 (0-11.8)</w:t>
            </w:r>
          </w:p>
        </w:tc>
        <w:tc>
          <w:tcPr>
            <w:tcW w:w="871" w:type="dxa"/>
            <w:tcBorders>
              <w:top w:val="nil"/>
              <w:left w:val="nil"/>
              <w:bottom w:val="nil"/>
              <w:right w:val="nil"/>
            </w:tcBorders>
          </w:tcPr>
          <w:p>
            <w:pPr>
              <w:pStyle w:val="TableParagraph"/>
              <w:spacing w:before="42"/>
              <w:ind w:left="146" w:right="188"/>
              <w:jc w:val="center"/>
              <w:rPr>
                <w:sz w:val="22"/>
              </w:rPr>
            </w:pPr>
            <w:r>
              <w:rPr>
                <w:sz w:val="22"/>
              </w:rPr>
              <w:t>0.918</w:t>
            </w:r>
          </w:p>
        </w:tc>
        <w:tc>
          <w:tcPr>
            <w:tcW w:w="2090" w:type="dxa"/>
            <w:tcBorders>
              <w:top w:val="nil"/>
              <w:left w:val="nil"/>
              <w:bottom w:val="nil"/>
              <w:right w:val="nil"/>
            </w:tcBorders>
          </w:tcPr>
          <w:p>
            <w:pPr>
              <w:pStyle w:val="TableParagraph"/>
              <w:spacing w:before="42"/>
              <w:ind w:left="67" w:right="58"/>
              <w:jc w:val="center"/>
              <w:rPr>
                <w:sz w:val="22"/>
              </w:rPr>
            </w:pPr>
            <w:r>
              <w:rPr>
                <w:sz w:val="22"/>
              </w:rPr>
              <w:t>1.8±1.6 (0-4.1)</w:t>
            </w:r>
          </w:p>
        </w:tc>
        <w:tc>
          <w:tcPr>
            <w:tcW w:w="855" w:type="dxa"/>
            <w:tcBorders>
              <w:top w:val="nil"/>
              <w:left w:val="nil"/>
              <w:bottom w:val="nil"/>
              <w:right w:val="nil"/>
            </w:tcBorders>
          </w:tcPr>
          <w:p>
            <w:pPr>
              <w:pStyle w:val="TableParagraph"/>
              <w:spacing w:before="42"/>
              <w:ind w:left="180" w:right="139"/>
              <w:jc w:val="center"/>
              <w:rPr>
                <w:sz w:val="22"/>
              </w:rPr>
            </w:pPr>
            <w:r>
              <w:rPr>
                <w:sz w:val="22"/>
              </w:rPr>
              <w:t>0.102</w:t>
            </w:r>
          </w:p>
        </w:tc>
      </w:tr>
    </w:tbl>
    <w:p>
      <w:pPr>
        <w:spacing w:after="0"/>
        <w:jc w:val="center"/>
        <w:rPr>
          <w:sz w:val="22"/>
        </w:rPr>
        <w:sectPr>
          <w:headerReference w:type="default" r:id="rId21"/>
          <w:pgSz w:w="15840" w:h="12240" w:orient="landscape"/>
          <w:pgMar w:header="731" w:footer="0" w:top="960" w:bottom="280" w:left="1600" w:right="1160"/>
          <w:pgNumType w:start="66"/>
        </w:sectPr>
      </w:pPr>
    </w:p>
    <w:p>
      <w:pPr>
        <w:pStyle w:val="BodyText"/>
        <w:rPr>
          <w:b/>
          <w:sz w:val="20"/>
        </w:rPr>
      </w:pPr>
    </w:p>
    <w:p>
      <w:pPr>
        <w:pStyle w:val="BodyText"/>
        <w:rPr>
          <w:b/>
          <w:sz w:val="20"/>
        </w:rPr>
      </w:pPr>
    </w:p>
    <w:p>
      <w:pPr>
        <w:pStyle w:val="BodyText"/>
        <w:rPr>
          <w:b/>
          <w:sz w:val="20"/>
        </w:rPr>
      </w:pPr>
    </w:p>
    <w:p>
      <w:pPr>
        <w:pStyle w:val="BodyText"/>
        <w:rPr>
          <w:b/>
          <w:sz w:val="14"/>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15"/>
        <w:gridCol w:w="2018"/>
        <w:gridCol w:w="1973"/>
        <w:gridCol w:w="1018"/>
        <w:gridCol w:w="1915"/>
        <w:gridCol w:w="942"/>
      </w:tblGrid>
      <w:tr>
        <w:trPr>
          <w:trHeight w:val="290" w:hRule="exact"/>
        </w:trPr>
        <w:tc>
          <w:tcPr>
            <w:tcW w:w="5015" w:type="dxa"/>
          </w:tcPr>
          <w:p>
            <w:pPr>
              <w:pStyle w:val="TableParagraph"/>
              <w:spacing w:line="225" w:lineRule="exact"/>
              <w:ind w:left="122"/>
              <w:rPr>
                <w:sz w:val="22"/>
              </w:rPr>
            </w:pPr>
            <w:r>
              <w:rPr>
                <w:sz w:val="22"/>
              </w:rPr>
              <w:t>High triacylglycerides levels (&gt;150 mg/dL)</w:t>
            </w:r>
          </w:p>
        </w:tc>
        <w:tc>
          <w:tcPr>
            <w:tcW w:w="2018" w:type="dxa"/>
          </w:tcPr>
          <w:p>
            <w:pPr>
              <w:pStyle w:val="TableParagraph"/>
              <w:spacing w:line="225" w:lineRule="exact"/>
              <w:ind w:left="269"/>
              <w:rPr>
                <w:sz w:val="22"/>
              </w:rPr>
            </w:pPr>
            <w:r>
              <w:rPr>
                <w:sz w:val="22"/>
              </w:rPr>
              <w:t>2.6±6.1 (0-20.9)</w:t>
            </w:r>
          </w:p>
        </w:tc>
        <w:tc>
          <w:tcPr>
            <w:tcW w:w="1973" w:type="dxa"/>
          </w:tcPr>
          <w:p>
            <w:pPr>
              <w:pStyle w:val="TableParagraph"/>
              <w:spacing w:line="225" w:lineRule="exact"/>
              <w:ind w:left="284" w:right="205"/>
              <w:jc w:val="center"/>
              <w:rPr>
                <w:sz w:val="22"/>
              </w:rPr>
            </w:pPr>
            <w:r>
              <w:rPr>
                <w:sz w:val="22"/>
              </w:rPr>
              <w:t>0±0.2 (0-0.8)</w:t>
            </w:r>
          </w:p>
        </w:tc>
        <w:tc>
          <w:tcPr>
            <w:tcW w:w="1018" w:type="dxa"/>
          </w:tcPr>
          <w:p>
            <w:pPr>
              <w:pStyle w:val="TableParagraph"/>
              <w:spacing w:line="225" w:lineRule="exact"/>
              <w:ind w:left="224"/>
              <w:rPr>
                <w:sz w:val="22"/>
              </w:rPr>
            </w:pPr>
            <w:r>
              <w:rPr>
                <w:sz w:val="22"/>
              </w:rPr>
              <w:t>0.307</w:t>
            </w:r>
          </w:p>
        </w:tc>
        <w:tc>
          <w:tcPr>
            <w:tcW w:w="1915" w:type="dxa"/>
          </w:tcPr>
          <w:p>
            <w:pPr>
              <w:pStyle w:val="TableParagraph"/>
              <w:spacing w:line="225" w:lineRule="exact"/>
              <w:ind w:right="285"/>
              <w:jc w:val="right"/>
              <w:rPr>
                <w:sz w:val="22"/>
              </w:rPr>
            </w:pPr>
            <w:r>
              <w:rPr>
                <w:sz w:val="22"/>
              </w:rPr>
              <w:t>1.6±1.9 (0-4.2)</w:t>
            </w:r>
          </w:p>
        </w:tc>
        <w:tc>
          <w:tcPr>
            <w:tcW w:w="942" w:type="dxa"/>
          </w:tcPr>
          <w:p>
            <w:pPr>
              <w:pStyle w:val="TableParagraph"/>
              <w:spacing w:line="225" w:lineRule="exact"/>
              <w:ind w:right="156"/>
              <w:jc w:val="right"/>
              <w:rPr>
                <w:sz w:val="22"/>
              </w:rPr>
            </w:pPr>
            <w:r>
              <w:rPr>
                <w:sz w:val="22"/>
              </w:rPr>
              <w:t>0.467</w:t>
            </w:r>
          </w:p>
        </w:tc>
      </w:tr>
      <w:tr>
        <w:trPr>
          <w:trHeight w:val="360" w:hRule="exact"/>
        </w:trPr>
        <w:tc>
          <w:tcPr>
            <w:tcW w:w="5015" w:type="dxa"/>
          </w:tcPr>
          <w:p>
            <w:pPr>
              <w:pStyle w:val="TableParagraph"/>
              <w:spacing w:before="42"/>
              <w:ind w:left="122"/>
              <w:rPr>
                <w:sz w:val="22"/>
              </w:rPr>
            </w:pPr>
            <w:r>
              <w:rPr>
                <w:sz w:val="22"/>
              </w:rPr>
              <w:t>High total cholesterol level (&gt; 200 mg/dL)</w:t>
            </w:r>
          </w:p>
        </w:tc>
        <w:tc>
          <w:tcPr>
            <w:tcW w:w="2018" w:type="dxa"/>
          </w:tcPr>
          <w:p>
            <w:pPr>
              <w:pStyle w:val="TableParagraph"/>
              <w:spacing w:before="42"/>
              <w:ind w:left="269"/>
              <w:rPr>
                <w:sz w:val="22"/>
              </w:rPr>
            </w:pPr>
            <w:r>
              <w:rPr>
                <w:sz w:val="22"/>
              </w:rPr>
              <w:t>3.0±5.9 (0-20.9)</w:t>
            </w:r>
          </w:p>
        </w:tc>
        <w:tc>
          <w:tcPr>
            <w:tcW w:w="1973" w:type="dxa"/>
          </w:tcPr>
          <w:p>
            <w:pPr>
              <w:pStyle w:val="TableParagraph"/>
              <w:spacing w:before="42"/>
              <w:ind w:left="286" w:right="205"/>
              <w:jc w:val="center"/>
              <w:rPr>
                <w:sz w:val="22"/>
              </w:rPr>
            </w:pPr>
            <w:r>
              <w:rPr>
                <w:sz w:val="22"/>
              </w:rPr>
              <w:t>1.4±3.8 (0-11.8)</w:t>
            </w:r>
          </w:p>
        </w:tc>
        <w:tc>
          <w:tcPr>
            <w:tcW w:w="1018" w:type="dxa"/>
          </w:tcPr>
          <w:p>
            <w:pPr>
              <w:pStyle w:val="TableParagraph"/>
              <w:spacing w:before="42"/>
              <w:ind w:left="224"/>
              <w:rPr>
                <w:sz w:val="22"/>
              </w:rPr>
            </w:pPr>
            <w:r>
              <w:rPr>
                <w:sz w:val="22"/>
              </w:rPr>
              <w:t>0.891</w:t>
            </w:r>
          </w:p>
        </w:tc>
        <w:tc>
          <w:tcPr>
            <w:tcW w:w="1915" w:type="dxa"/>
          </w:tcPr>
          <w:p>
            <w:pPr>
              <w:pStyle w:val="TableParagraph"/>
              <w:spacing w:before="42"/>
              <w:ind w:right="285"/>
              <w:jc w:val="right"/>
              <w:rPr>
                <w:sz w:val="22"/>
              </w:rPr>
            </w:pPr>
            <w:r>
              <w:rPr>
                <w:sz w:val="22"/>
              </w:rPr>
              <w:t>2.0±1.8 (0-4.1)</w:t>
            </w:r>
          </w:p>
        </w:tc>
        <w:tc>
          <w:tcPr>
            <w:tcW w:w="942" w:type="dxa"/>
          </w:tcPr>
          <w:p>
            <w:pPr>
              <w:pStyle w:val="TableParagraph"/>
              <w:spacing w:before="42"/>
              <w:ind w:right="156"/>
              <w:jc w:val="right"/>
              <w:rPr>
                <w:sz w:val="22"/>
              </w:rPr>
            </w:pPr>
            <w:r>
              <w:rPr>
                <w:sz w:val="22"/>
              </w:rPr>
              <w:t>0.472</w:t>
            </w:r>
          </w:p>
        </w:tc>
      </w:tr>
      <w:tr>
        <w:trPr>
          <w:trHeight w:val="314" w:hRule="exact"/>
        </w:trPr>
        <w:tc>
          <w:tcPr>
            <w:tcW w:w="5015" w:type="dxa"/>
            <w:tcBorders>
              <w:bottom w:val="single" w:sz="4" w:space="0" w:color="000000"/>
            </w:tcBorders>
          </w:tcPr>
          <w:p>
            <w:pPr>
              <w:pStyle w:val="TableParagraph"/>
              <w:spacing w:before="42"/>
              <w:ind w:left="122"/>
              <w:rPr>
                <w:sz w:val="22"/>
              </w:rPr>
            </w:pPr>
            <w:r>
              <w:rPr>
                <w:sz w:val="22"/>
              </w:rPr>
              <w:t>Low HDL-chol level (&lt;45 men, &lt;50 women mg/dL)</w:t>
            </w:r>
          </w:p>
        </w:tc>
        <w:tc>
          <w:tcPr>
            <w:tcW w:w="2018" w:type="dxa"/>
            <w:tcBorders>
              <w:bottom w:val="single" w:sz="4" w:space="0" w:color="000000"/>
            </w:tcBorders>
          </w:tcPr>
          <w:p>
            <w:pPr>
              <w:pStyle w:val="TableParagraph"/>
              <w:spacing w:before="42"/>
              <w:ind w:left="269"/>
              <w:rPr>
                <w:sz w:val="22"/>
              </w:rPr>
            </w:pPr>
            <w:r>
              <w:rPr>
                <w:sz w:val="22"/>
              </w:rPr>
              <w:t>1.1±3.0 (0-11.4)</w:t>
            </w:r>
          </w:p>
        </w:tc>
        <w:tc>
          <w:tcPr>
            <w:tcW w:w="1973" w:type="dxa"/>
            <w:tcBorders>
              <w:bottom w:val="single" w:sz="4" w:space="0" w:color="000000"/>
            </w:tcBorders>
          </w:tcPr>
          <w:p>
            <w:pPr>
              <w:pStyle w:val="TableParagraph"/>
              <w:spacing w:before="42"/>
              <w:ind w:left="286" w:right="205"/>
              <w:jc w:val="center"/>
              <w:rPr>
                <w:sz w:val="22"/>
              </w:rPr>
            </w:pPr>
            <w:r>
              <w:rPr>
                <w:sz w:val="22"/>
              </w:rPr>
              <w:t>0.6±2.2 (0-11.8)</w:t>
            </w:r>
          </w:p>
        </w:tc>
        <w:tc>
          <w:tcPr>
            <w:tcW w:w="1018" w:type="dxa"/>
            <w:tcBorders>
              <w:bottom w:val="single" w:sz="4" w:space="0" w:color="000000"/>
            </w:tcBorders>
          </w:tcPr>
          <w:p>
            <w:pPr>
              <w:pStyle w:val="TableParagraph"/>
              <w:spacing w:before="42"/>
              <w:ind w:left="224"/>
              <w:rPr>
                <w:sz w:val="22"/>
              </w:rPr>
            </w:pPr>
            <w:r>
              <w:rPr>
                <w:sz w:val="22"/>
              </w:rPr>
              <w:t>0.599</w:t>
            </w:r>
          </w:p>
        </w:tc>
        <w:tc>
          <w:tcPr>
            <w:tcW w:w="1915" w:type="dxa"/>
            <w:tcBorders>
              <w:bottom w:val="single" w:sz="4" w:space="0" w:color="000000"/>
            </w:tcBorders>
          </w:tcPr>
          <w:p>
            <w:pPr>
              <w:pStyle w:val="TableParagraph"/>
              <w:spacing w:before="42"/>
              <w:ind w:right="285"/>
              <w:jc w:val="right"/>
              <w:rPr>
                <w:sz w:val="22"/>
              </w:rPr>
            </w:pPr>
            <w:r>
              <w:rPr>
                <w:sz w:val="22"/>
              </w:rPr>
              <w:t>1.5±1.9 (0-4.2)</w:t>
            </w:r>
          </w:p>
        </w:tc>
        <w:tc>
          <w:tcPr>
            <w:tcW w:w="942" w:type="dxa"/>
            <w:tcBorders>
              <w:bottom w:val="single" w:sz="4" w:space="0" w:color="000000"/>
            </w:tcBorders>
          </w:tcPr>
          <w:p>
            <w:pPr>
              <w:pStyle w:val="TableParagraph"/>
              <w:spacing w:before="42"/>
              <w:ind w:right="156"/>
              <w:jc w:val="right"/>
              <w:rPr>
                <w:sz w:val="22"/>
              </w:rPr>
            </w:pPr>
            <w:r>
              <w:rPr>
                <w:sz w:val="22"/>
              </w:rPr>
              <w:t>0.111</w:t>
            </w:r>
          </w:p>
        </w:tc>
      </w:tr>
    </w:tbl>
    <w:p>
      <w:pPr>
        <w:spacing w:line="240" w:lineRule="auto" w:before="0"/>
        <w:ind w:left="122" w:right="605" w:firstLine="0"/>
        <w:jc w:val="left"/>
        <w:rPr>
          <w:sz w:val="20"/>
        </w:rPr>
      </w:pPr>
      <w:r>
        <w:rPr>
          <w:w w:val="99"/>
          <w:sz w:val="20"/>
        </w:rPr>
        <w:t>⃰</w:t>
      </w:r>
      <w:r>
        <w:rPr>
          <w:sz w:val="20"/>
        </w:rPr>
        <w:t> </w:t>
      </w:r>
      <w:r>
        <w:rPr>
          <w:w w:val="99"/>
          <w:sz w:val="20"/>
        </w:rPr>
        <w:t>Compar</w:t>
      </w:r>
      <w:r>
        <w:rPr>
          <w:w w:val="99"/>
          <w:sz w:val="20"/>
        </w:rPr>
        <w:t>is</w:t>
      </w:r>
      <w:r>
        <w:rPr>
          <w:w w:val="99"/>
          <w:sz w:val="20"/>
        </w:rPr>
        <w:t>on</w:t>
      </w:r>
      <w:r>
        <w:rPr>
          <w:sz w:val="20"/>
        </w:rPr>
        <w:t> </w:t>
      </w:r>
      <w:r>
        <w:rPr>
          <w:w w:val="99"/>
          <w:sz w:val="20"/>
        </w:rPr>
        <w:t>bet</w:t>
      </w:r>
      <w:r>
        <w:rPr>
          <w:w w:val="99"/>
          <w:sz w:val="20"/>
        </w:rPr>
        <w:t>w</w:t>
      </w:r>
      <w:r>
        <w:rPr>
          <w:w w:val="99"/>
          <w:sz w:val="20"/>
        </w:rPr>
        <w:t>een</w:t>
      </w:r>
      <w:r>
        <w:rPr>
          <w:sz w:val="20"/>
        </w:rPr>
        <w:t> </w:t>
      </w:r>
      <w:r>
        <w:rPr>
          <w:w w:val="99"/>
          <w:sz w:val="20"/>
        </w:rPr>
        <w:t>diabetes</w:t>
      </w:r>
      <w:r>
        <w:rPr>
          <w:sz w:val="20"/>
        </w:rPr>
        <w:t> </w:t>
      </w:r>
      <w:r>
        <w:rPr>
          <w:w w:val="99"/>
          <w:sz w:val="20"/>
        </w:rPr>
        <w:t>mellitu</w:t>
      </w:r>
      <w:r>
        <w:rPr>
          <w:w w:val="99"/>
          <w:sz w:val="20"/>
        </w:rPr>
        <w:t>s</w:t>
      </w:r>
      <w:r>
        <w:rPr>
          <w:sz w:val="20"/>
        </w:rPr>
        <w:t> </w:t>
      </w:r>
      <w:r>
        <w:rPr>
          <w:w w:val="99"/>
          <w:sz w:val="20"/>
        </w:rPr>
        <w:t>periodontal</w:t>
      </w:r>
      <w:r>
        <w:rPr>
          <w:sz w:val="20"/>
        </w:rPr>
        <w:t> </w:t>
      </w:r>
      <w:r>
        <w:rPr>
          <w:w w:val="99"/>
          <w:sz w:val="20"/>
        </w:rPr>
        <w:t>d</w:t>
      </w:r>
      <w:r>
        <w:rPr>
          <w:w w:val="99"/>
          <w:sz w:val="20"/>
        </w:rPr>
        <w:t>is</w:t>
      </w:r>
      <w:r>
        <w:rPr>
          <w:w w:val="99"/>
          <w:sz w:val="20"/>
        </w:rPr>
        <w:t>ea</w:t>
      </w:r>
      <w:r>
        <w:rPr>
          <w:w w:val="99"/>
          <w:sz w:val="20"/>
        </w:rPr>
        <w:t>s</w:t>
      </w:r>
      <w:r>
        <w:rPr>
          <w:w w:val="99"/>
          <w:sz w:val="20"/>
        </w:rPr>
        <w:t>e</w:t>
      </w:r>
      <w:r>
        <w:rPr>
          <w:sz w:val="20"/>
        </w:rPr>
        <w:t> </w:t>
      </w:r>
      <w:r>
        <w:rPr>
          <w:w w:val="99"/>
          <w:sz w:val="20"/>
        </w:rPr>
        <w:t>(</w:t>
      </w:r>
      <w:r>
        <w:rPr>
          <w:w w:val="99"/>
          <w:sz w:val="20"/>
        </w:rPr>
        <w:t>DM</w:t>
      </w:r>
      <w:r>
        <w:rPr>
          <w:w w:val="99"/>
          <w:sz w:val="20"/>
        </w:rPr>
        <w:t>-</w:t>
      </w:r>
      <w:r>
        <w:rPr>
          <w:w w:val="99"/>
          <w:sz w:val="20"/>
        </w:rPr>
        <w:t>P</w:t>
      </w:r>
      <w:r>
        <w:rPr>
          <w:w w:val="99"/>
          <w:sz w:val="20"/>
        </w:rPr>
        <w:t>D)</w:t>
      </w:r>
      <w:r>
        <w:rPr>
          <w:sz w:val="20"/>
        </w:rPr>
        <w:t> </w:t>
      </w:r>
      <w:r>
        <w:rPr>
          <w:w w:val="99"/>
          <w:sz w:val="20"/>
        </w:rPr>
        <w:t>group</w:t>
      </w:r>
      <w:r>
        <w:rPr>
          <w:sz w:val="20"/>
        </w:rPr>
        <w:t> </w:t>
      </w:r>
      <w:r>
        <w:rPr>
          <w:w w:val="99"/>
          <w:sz w:val="20"/>
        </w:rPr>
        <w:t>and</w:t>
      </w:r>
      <w:r>
        <w:rPr>
          <w:sz w:val="20"/>
        </w:rPr>
        <w:t> </w:t>
      </w:r>
      <w:r>
        <w:rPr>
          <w:w w:val="99"/>
          <w:sz w:val="20"/>
        </w:rPr>
        <w:t>periodontal</w:t>
      </w:r>
      <w:r>
        <w:rPr>
          <w:sz w:val="20"/>
        </w:rPr>
        <w:t> </w:t>
      </w:r>
      <w:r>
        <w:rPr>
          <w:w w:val="99"/>
          <w:sz w:val="20"/>
        </w:rPr>
        <w:t>d</w:t>
      </w:r>
      <w:r>
        <w:rPr>
          <w:w w:val="99"/>
          <w:sz w:val="20"/>
        </w:rPr>
        <w:t>is</w:t>
      </w:r>
      <w:r>
        <w:rPr>
          <w:w w:val="99"/>
          <w:sz w:val="20"/>
        </w:rPr>
        <w:t>ea</w:t>
      </w:r>
      <w:r>
        <w:rPr>
          <w:w w:val="99"/>
          <w:sz w:val="20"/>
        </w:rPr>
        <w:t>s</w:t>
      </w:r>
      <w:r>
        <w:rPr>
          <w:w w:val="99"/>
          <w:sz w:val="20"/>
        </w:rPr>
        <w:t>e</w:t>
      </w:r>
      <w:r>
        <w:rPr>
          <w:sz w:val="20"/>
        </w:rPr>
        <w:t> </w:t>
      </w:r>
      <w:r>
        <w:rPr>
          <w:w w:val="99"/>
          <w:sz w:val="20"/>
        </w:rPr>
        <w:t>(</w:t>
      </w:r>
      <w:r>
        <w:rPr>
          <w:w w:val="99"/>
          <w:sz w:val="20"/>
        </w:rPr>
        <w:t>P</w:t>
      </w:r>
      <w:r>
        <w:rPr>
          <w:w w:val="99"/>
          <w:sz w:val="20"/>
        </w:rPr>
        <w:t>D)</w:t>
      </w:r>
      <w:r>
        <w:rPr>
          <w:sz w:val="20"/>
        </w:rPr>
        <w:t> </w:t>
      </w:r>
      <w:r>
        <w:rPr>
          <w:w w:val="99"/>
          <w:sz w:val="20"/>
        </w:rPr>
        <w:t>group</w:t>
      </w:r>
      <w:r>
        <w:rPr>
          <w:sz w:val="20"/>
        </w:rPr>
        <w:t> </w:t>
      </w:r>
      <w:r>
        <w:rPr>
          <w:w w:val="99"/>
          <w:sz w:val="20"/>
        </w:rPr>
        <w:t>was</w:t>
      </w:r>
      <w:r>
        <w:rPr>
          <w:sz w:val="20"/>
        </w:rPr>
        <w:t> </w:t>
      </w:r>
      <w:r>
        <w:rPr>
          <w:w w:val="99"/>
          <w:sz w:val="20"/>
        </w:rPr>
        <w:t>done</w:t>
      </w:r>
      <w:r>
        <w:rPr>
          <w:sz w:val="20"/>
        </w:rPr>
        <w:t> </w:t>
      </w:r>
      <w:r>
        <w:rPr>
          <w:w w:val="99"/>
          <w:sz w:val="20"/>
        </w:rPr>
        <w:t>w</w:t>
      </w:r>
      <w:r>
        <w:rPr>
          <w:w w:val="99"/>
          <w:sz w:val="20"/>
        </w:rPr>
        <w:t>ith</w:t>
      </w:r>
      <w:r>
        <w:rPr>
          <w:sz w:val="20"/>
        </w:rPr>
        <w:t> </w:t>
      </w:r>
      <w:r>
        <w:rPr>
          <w:w w:val="99"/>
          <w:sz w:val="20"/>
        </w:rPr>
        <w:t>Ma</w:t>
      </w:r>
      <w:r>
        <w:rPr>
          <w:w w:val="99"/>
          <w:sz w:val="20"/>
        </w:rPr>
        <w:t>nn-Whitney</w:t>
      </w:r>
      <w:r>
        <w:rPr>
          <w:sz w:val="20"/>
        </w:rPr>
        <w:t> </w:t>
      </w:r>
      <w:r>
        <w:rPr>
          <w:w w:val="99"/>
          <w:sz w:val="20"/>
        </w:rPr>
        <w:t>U</w:t>
      </w:r>
      <w:r>
        <w:rPr>
          <w:w w:val="99"/>
          <w:sz w:val="20"/>
        </w:rPr>
        <w:t>- </w:t>
      </w:r>
      <w:r>
        <w:rPr>
          <w:sz w:val="20"/>
        </w:rPr>
        <w:t>Wilcoxon rank-sum tests for independent samples.</w:t>
      </w:r>
    </w:p>
    <w:p>
      <w:pPr>
        <w:spacing w:before="0"/>
        <w:ind w:left="122" w:right="605" w:firstLine="50"/>
        <w:jc w:val="left"/>
        <w:rPr>
          <w:sz w:val="20"/>
        </w:rPr>
      </w:pPr>
      <w:r>
        <w:rPr>
          <w:w w:val="99"/>
          <w:sz w:val="20"/>
        </w:rPr>
        <w:t>⃰⃰</w:t>
      </w:r>
      <w:r>
        <w:rPr>
          <w:sz w:val="20"/>
        </w:rPr>
        <w:t>  </w:t>
      </w:r>
      <w:r>
        <w:rPr>
          <w:w w:val="99"/>
          <w:sz w:val="20"/>
        </w:rPr>
        <w:t>⃰</w:t>
      </w:r>
      <w:r>
        <w:rPr>
          <w:sz w:val="20"/>
        </w:rPr>
        <w:t> </w:t>
      </w:r>
      <w:r>
        <w:rPr>
          <w:w w:val="99"/>
          <w:sz w:val="20"/>
        </w:rPr>
        <w:t>Compar</w:t>
      </w:r>
      <w:r>
        <w:rPr>
          <w:w w:val="99"/>
          <w:sz w:val="20"/>
        </w:rPr>
        <w:t>is</w:t>
      </w:r>
      <w:r>
        <w:rPr>
          <w:w w:val="99"/>
          <w:sz w:val="20"/>
        </w:rPr>
        <w:t>on</w:t>
      </w:r>
      <w:r>
        <w:rPr>
          <w:sz w:val="20"/>
        </w:rPr>
        <w:t> </w:t>
      </w:r>
      <w:r>
        <w:rPr>
          <w:w w:val="99"/>
          <w:sz w:val="20"/>
        </w:rPr>
        <w:t>bet</w:t>
      </w:r>
      <w:r>
        <w:rPr>
          <w:w w:val="99"/>
          <w:sz w:val="20"/>
        </w:rPr>
        <w:t>w</w:t>
      </w:r>
      <w:r>
        <w:rPr>
          <w:w w:val="99"/>
          <w:sz w:val="20"/>
        </w:rPr>
        <w:t>een</w:t>
      </w:r>
      <w:r>
        <w:rPr>
          <w:sz w:val="20"/>
        </w:rPr>
        <w:t> </w:t>
      </w:r>
      <w:r>
        <w:rPr>
          <w:w w:val="99"/>
          <w:sz w:val="20"/>
        </w:rPr>
        <w:t>diabet</w:t>
      </w:r>
      <w:r>
        <w:rPr>
          <w:w w:val="99"/>
          <w:sz w:val="20"/>
        </w:rPr>
        <w:t>es</w:t>
      </w:r>
      <w:r>
        <w:rPr>
          <w:sz w:val="20"/>
        </w:rPr>
        <w:t> </w:t>
      </w:r>
      <w:r>
        <w:rPr>
          <w:w w:val="99"/>
          <w:sz w:val="20"/>
        </w:rPr>
        <w:t>mellitu</w:t>
      </w:r>
      <w:r>
        <w:rPr>
          <w:w w:val="99"/>
          <w:sz w:val="20"/>
        </w:rPr>
        <w:t>s</w:t>
      </w:r>
      <w:r>
        <w:rPr>
          <w:w w:val="99"/>
          <w:sz w:val="20"/>
        </w:rPr>
        <w:t>-</w:t>
      </w:r>
      <w:r>
        <w:rPr>
          <w:sz w:val="20"/>
        </w:rPr>
        <w:t> </w:t>
      </w:r>
      <w:r>
        <w:rPr>
          <w:w w:val="99"/>
          <w:sz w:val="20"/>
        </w:rPr>
        <w:t>periodontal</w:t>
      </w:r>
      <w:r>
        <w:rPr>
          <w:sz w:val="20"/>
        </w:rPr>
        <w:t> </w:t>
      </w:r>
      <w:r>
        <w:rPr>
          <w:w w:val="99"/>
          <w:sz w:val="20"/>
        </w:rPr>
        <w:t>d</w:t>
      </w:r>
      <w:r>
        <w:rPr>
          <w:w w:val="99"/>
          <w:sz w:val="20"/>
        </w:rPr>
        <w:t>is</w:t>
      </w:r>
      <w:r>
        <w:rPr>
          <w:w w:val="99"/>
          <w:sz w:val="20"/>
        </w:rPr>
        <w:t>ea</w:t>
      </w:r>
      <w:r>
        <w:rPr>
          <w:w w:val="99"/>
          <w:sz w:val="20"/>
        </w:rPr>
        <w:t>s</w:t>
      </w:r>
      <w:r>
        <w:rPr>
          <w:w w:val="99"/>
          <w:sz w:val="20"/>
        </w:rPr>
        <w:t>e</w:t>
      </w:r>
      <w:r>
        <w:rPr>
          <w:sz w:val="20"/>
        </w:rPr>
        <w:t> </w:t>
      </w:r>
      <w:r>
        <w:rPr>
          <w:w w:val="99"/>
          <w:sz w:val="20"/>
        </w:rPr>
        <w:t>(</w:t>
      </w:r>
      <w:r>
        <w:rPr>
          <w:w w:val="99"/>
          <w:sz w:val="20"/>
        </w:rPr>
        <w:t>DM</w:t>
      </w:r>
      <w:r>
        <w:rPr>
          <w:w w:val="99"/>
          <w:sz w:val="20"/>
        </w:rPr>
        <w:t>-</w:t>
      </w:r>
      <w:r>
        <w:rPr>
          <w:w w:val="99"/>
          <w:sz w:val="20"/>
        </w:rPr>
        <w:t>P</w:t>
      </w:r>
      <w:r>
        <w:rPr>
          <w:w w:val="99"/>
          <w:sz w:val="20"/>
        </w:rPr>
        <w:t>D)</w:t>
      </w:r>
      <w:r>
        <w:rPr>
          <w:sz w:val="20"/>
        </w:rPr>
        <w:t> </w:t>
      </w:r>
      <w:r>
        <w:rPr>
          <w:w w:val="99"/>
          <w:sz w:val="20"/>
        </w:rPr>
        <w:t>group</w:t>
      </w:r>
      <w:r>
        <w:rPr>
          <w:sz w:val="20"/>
        </w:rPr>
        <w:t> </w:t>
      </w:r>
      <w:r>
        <w:rPr>
          <w:w w:val="99"/>
          <w:sz w:val="20"/>
        </w:rPr>
        <w:t>and</w:t>
      </w:r>
      <w:r>
        <w:rPr>
          <w:sz w:val="20"/>
        </w:rPr>
        <w:t> </w:t>
      </w:r>
      <w:r>
        <w:rPr>
          <w:w w:val="99"/>
          <w:sz w:val="20"/>
        </w:rPr>
        <w:t>healthy</w:t>
      </w:r>
      <w:r>
        <w:rPr>
          <w:sz w:val="20"/>
        </w:rPr>
        <w:t> </w:t>
      </w:r>
      <w:r>
        <w:rPr>
          <w:w w:val="99"/>
          <w:sz w:val="20"/>
        </w:rPr>
        <w:t>was</w:t>
      </w:r>
      <w:r>
        <w:rPr>
          <w:sz w:val="20"/>
        </w:rPr>
        <w:t> </w:t>
      </w:r>
      <w:r>
        <w:rPr>
          <w:w w:val="99"/>
          <w:sz w:val="20"/>
        </w:rPr>
        <w:t>done</w:t>
      </w:r>
      <w:r>
        <w:rPr>
          <w:sz w:val="20"/>
        </w:rPr>
        <w:t> </w:t>
      </w:r>
      <w:r>
        <w:rPr>
          <w:w w:val="99"/>
          <w:sz w:val="20"/>
        </w:rPr>
        <w:t>w</w:t>
      </w:r>
      <w:r>
        <w:rPr>
          <w:w w:val="99"/>
          <w:sz w:val="20"/>
        </w:rPr>
        <w:t>ith</w:t>
      </w:r>
      <w:r>
        <w:rPr>
          <w:sz w:val="20"/>
        </w:rPr>
        <w:t> </w:t>
      </w:r>
      <w:r>
        <w:rPr>
          <w:w w:val="99"/>
          <w:sz w:val="20"/>
        </w:rPr>
        <w:t>Ma</w:t>
      </w:r>
      <w:r>
        <w:rPr>
          <w:w w:val="99"/>
          <w:sz w:val="20"/>
        </w:rPr>
        <w:t>nn-Whitney</w:t>
      </w:r>
      <w:r>
        <w:rPr>
          <w:sz w:val="20"/>
        </w:rPr>
        <w:t> </w:t>
      </w:r>
      <w:r>
        <w:rPr>
          <w:w w:val="99"/>
          <w:sz w:val="20"/>
        </w:rPr>
        <w:t>U</w:t>
      </w:r>
      <w:r>
        <w:rPr>
          <w:w w:val="99"/>
          <w:sz w:val="20"/>
        </w:rPr>
        <w:t>–Wilcoxon</w:t>
      </w:r>
      <w:r>
        <w:rPr>
          <w:sz w:val="20"/>
        </w:rPr>
        <w:t> </w:t>
      </w:r>
      <w:r>
        <w:rPr>
          <w:w w:val="99"/>
          <w:sz w:val="20"/>
        </w:rPr>
        <w:t>rank-</w:t>
      </w:r>
      <w:r>
        <w:rPr>
          <w:w w:val="99"/>
          <w:sz w:val="20"/>
        </w:rPr>
        <w:t>s</w:t>
      </w:r>
      <w:r>
        <w:rPr>
          <w:w w:val="99"/>
          <w:sz w:val="20"/>
        </w:rPr>
        <w:t>um</w:t>
      </w:r>
      <w:r>
        <w:rPr>
          <w:sz w:val="20"/>
        </w:rPr>
        <w:t> </w:t>
      </w:r>
      <w:r>
        <w:rPr>
          <w:w w:val="99"/>
          <w:sz w:val="20"/>
        </w:rPr>
        <w:t>test</w:t>
      </w:r>
      <w:r>
        <w:rPr>
          <w:w w:val="99"/>
          <w:sz w:val="20"/>
        </w:rPr>
        <w:t>s</w:t>
      </w:r>
      <w:r>
        <w:rPr>
          <w:sz w:val="20"/>
        </w:rPr>
        <w:t> </w:t>
      </w:r>
      <w:r>
        <w:rPr>
          <w:w w:val="99"/>
          <w:sz w:val="20"/>
        </w:rPr>
        <w:t>for </w:t>
      </w:r>
      <w:r>
        <w:rPr>
          <w:sz w:val="20"/>
        </w:rPr>
        <w:t>independent samples.</w:t>
      </w:r>
    </w:p>
    <w:p>
      <w:pPr>
        <w:spacing w:after="0"/>
        <w:jc w:val="left"/>
        <w:rPr>
          <w:sz w:val="20"/>
        </w:rPr>
        <w:sectPr>
          <w:pgSz w:w="15840" w:h="12240" w:orient="landscape"/>
          <w:pgMar w:header="731" w:footer="0" w:top="960" w:bottom="280" w:left="1580" w:right="1160"/>
        </w:sectPr>
      </w:pPr>
    </w:p>
    <w:p>
      <w:pPr>
        <w:pStyle w:val="BodyText"/>
        <w:rPr>
          <w:sz w:val="20"/>
        </w:rPr>
      </w:pPr>
    </w:p>
    <w:p>
      <w:pPr>
        <w:pStyle w:val="BodyText"/>
        <w:rPr>
          <w:sz w:val="20"/>
        </w:rPr>
      </w:pPr>
    </w:p>
    <w:p>
      <w:pPr>
        <w:pStyle w:val="BodyText"/>
        <w:spacing w:before="5"/>
        <w:rPr>
          <w:sz w:val="17"/>
        </w:rPr>
      </w:pPr>
    </w:p>
    <w:p>
      <w:pPr>
        <w:pStyle w:val="Heading3"/>
        <w:spacing w:before="70"/>
        <w:ind w:left="413" w:right="489"/>
        <w:jc w:val="left"/>
      </w:pPr>
      <w:r>
        <w:rPr/>
        <w:t>Table 4.  Linear regression analysis to evaluate IL-6 concentrations in DM2+PD contrasting groups, by age</w:t>
      </w:r>
    </w:p>
    <w:p>
      <w:pPr>
        <w:pStyle w:val="BodyText"/>
        <w:rPr>
          <w:b/>
          <w:sz w:val="20"/>
        </w:rPr>
      </w:pPr>
    </w:p>
    <w:p>
      <w:pPr>
        <w:pStyle w:val="BodyText"/>
        <w:spacing w:before="4"/>
        <w:rPr>
          <w:b/>
          <w:sz w:val="21"/>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2"/>
        <w:gridCol w:w="571"/>
        <w:gridCol w:w="1145"/>
        <w:gridCol w:w="802"/>
        <w:gridCol w:w="1765"/>
        <w:gridCol w:w="1219"/>
        <w:gridCol w:w="840"/>
        <w:gridCol w:w="1774"/>
        <w:gridCol w:w="1204"/>
        <w:gridCol w:w="880"/>
        <w:gridCol w:w="1841"/>
      </w:tblGrid>
      <w:tr>
        <w:trPr>
          <w:trHeight w:val="906" w:hRule="exact"/>
        </w:trPr>
        <w:tc>
          <w:tcPr>
            <w:tcW w:w="6685" w:type="dxa"/>
            <w:gridSpan w:val="5"/>
            <w:tcBorders>
              <w:left w:val="nil"/>
              <w:bottom w:val="nil"/>
              <w:right w:val="nil"/>
            </w:tcBorders>
          </w:tcPr>
          <w:p>
            <w:pPr>
              <w:pStyle w:val="TableParagraph"/>
              <w:rPr>
                <w:b/>
                <w:sz w:val="24"/>
              </w:rPr>
            </w:pPr>
          </w:p>
          <w:p>
            <w:pPr>
              <w:pStyle w:val="TableParagraph"/>
              <w:spacing w:before="8"/>
              <w:rPr>
                <w:b/>
                <w:sz w:val="23"/>
              </w:rPr>
            </w:pPr>
          </w:p>
          <w:p>
            <w:pPr>
              <w:pStyle w:val="TableParagraph"/>
              <w:tabs>
                <w:tab w:pos="4082" w:val="left" w:leader="none"/>
                <w:tab w:pos="6644" w:val="left" w:leader="none"/>
              </w:tabs>
              <w:ind w:left="2424"/>
              <w:rPr>
                <w:b/>
                <w:i/>
                <w:sz w:val="24"/>
              </w:rPr>
            </w:pPr>
            <w:r>
              <w:rPr>
                <w:b/>
                <w:i/>
                <w:sz w:val="24"/>
                <w:u w:val="single"/>
              </w:rPr>
              <w:t> </w:t>
              <w:tab/>
              <w:t>Crude</w:t>
            </w:r>
            <w:r>
              <w:rPr>
                <w:b/>
                <w:i/>
                <w:spacing w:val="-2"/>
                <w:sz w:val="24"/>
                <w:u w:val="single"/>
              </w:rPr>
              <w:t> </w:t>
            </w:r>
            <w:r>
              <w:rPr>
                <w:b/>
                <w:i/>
                <w:sz w:val="24"/>
                <w:u w:val="single"/>
              </w:rPr>
              <w:t>analysis</w:t>
              <w:tab/>
            </w:r>
          </w:p>
        </w:tc>
        <w:tc>
          <w:tcPr>
            <w:tcW w:w="3832" w:type="dxa"/>
            <w:gridSpan w:val="3"/>
            <w:tcBorders>
              <w:left w:val="nil"/>
              <w:bottom w:val="nil"/>
              <w:right w:val="nil"/>
            </w:tcBorders>
          </w:tcPr>
          <w:p>
            <w:pPr>
              <w:pStyle w:val="TableParagraph"/>
              <w:spacing w:before="8"/>
              <w:rPr>
                <w:b/>
                <w:sz w:val="23"/>
              </w:rPr>
            </w:pPr>
          </w:p>
          <w:p>
            <w:pPr>
              <w:pStyle w:val="TableParagraph"/>
              <w:ind w:left="195"/>
              <w:jc w:val="center"/>
              <w:rPr>
                <w:b/>
                <w:i/>
                <w:sz w:val="24"/>
              </w:rPr>
            </w:pPr>
            <w:r>
              <w:rPr>
                <w:b/>
                <w:i/>
                <w:sz w:val="24"/>
              </w:rPr>
              <w:t>Model I adjusted by</w:t>
            </w:r>
          </w:p>
          <w:p>
            <w:pPr>
              <w:pStyle w:val="TableParagraph"/>
              <w:tabs>
                <w:tab w:pos="996" w:val="left" w:leader="none"/>
                <w:tab w:pos="3742" w:val="left" w:leader="none"/>
              </w:tabs>
              <w:ind w:left="197"/>
              <w:jc w:val="center"/>
              <w:rPr>
                <w:b/>
                <w:i/>
                <w:sz w:val="24"/>
              </w:rPr>
            </w:pPr>
            <w:r>
              <w:rPr>
                <w:b/>
                <w:i/>
                <w:sz w:val="24"/>
                <w:u w:val="single"/>
              </w:rPr>
              <w:t> </w:t>
              <w:tab/>
              <w:t>Gender, IMC,</w:t>
            </w:r>
            <w:r>
              <w:rPr>
                <w:b/>
                <w:i/>
                <w:spacing w:val="-3"/>
                <w:sz w:val="24"/>
                <w:u w:val="single"/>
              </w:rPr>
              <w:t> </w:t>
            </w:r>
            <w:r>
              <w:rPr>
                <w:b/>
                <w:i/>
                <w:sz w:val="24"/>
                <w:u w:val="single"/>
              </w:rPr>
              <w:t>HDL</w:t>
              <w:tab/>
            </w:r>
          </w:p>
        </w:tc>
        <w:tc>
          <w:tcPr>
            <w:tcW w:w="3925" w:type="dxa"/>
            <w:gridSpan w:val="3"/>
            <w:tcBorders>
              <w:left w:val="nil"/>
              <w:bottom w:val="nil"/>
              <w:right w:val="nil"/>
            </w:tcBorders>
          </w:tcPr>
          <w:p>
            <w:pPr>
              <w:pStyle w:val="TableParagraph"/>
              <w:spacing w:line="273" w:lineRule="exact"/>
              <w:ind w:left="237"/>
              <w:jc w:val="center"/>
              <w:rPr>
                <w:b/>
                <w:i/>
                <w:sz w:val="24"/>
              </w:rPr>
            </w:pPr>
            <w:r>
              <w:rPr>
                <w:b/>
                <w:i/>
                <w:sz w:val="24"/>
              </w:rPr>
              <w:t>Model II adjusted by</w:t>
            </w:r>
          </w:p>
          <w:p>
            <w:pPr>
              <w:pStyle w:val="TableParagraph"/>
              <w:ind w:left="235"/>
              <w:jc w:val="center"/>
              <w:rPr>
                <w:b/>
                <w:i/>
                <w:sz w:val="24"/>
              </w:rPr>
            </w:pPr>
            <w:r>
              <w:rPr>
                <w:b/>
                <w:i/>
                <w:sz w:val="24"/>
              </w:rPr>
              <w:t>I plus age, smoking status,</w:t>
            </w:r>
          </w:p>
          <w:p>
            <w:pPr>
              <w:pStyle w:val="TableParagraph"/>
              <w:tabs>
                <w:tab w:pos="1244" w:val="left" w:leader="none"/>
                <w:tab w:pos="3925" w:val="left" w:leader="none"/>
              </w:tabs>
              <w:ind w:left="238"/>
              <w:jc w:val="center"/>
              <w:rPr>
                <w:b/>
                <w:i/>
                <w:sz w:val="24"/>
              </w:rPr>
            </w:pPr>
            <w:r>
              <w:rPr>
                <w:b/>
                <w:i/>
                <w:sz w:val="24"/>
                <w:u w:val="single"/>
              </w:rPr>
              <w:t> </w:t>
              <w:tab/>
              <w:t>alcohol</w:t>
            </w:r>
            <w:r>
              <w:rPr>
                <w:b/>
                <w:i/>
                <w:spacing w:val="-2"/>
                <w:sz w:val="24"/>
                <w:u w:val="single"/>
              </w:rPr>
              <w:t> </w:t>
            </w:r>
            <w:r>
              <w:rPr>
                <w:b/>
                <w:i/>
                <w:sz w:val="24"/>
                <w:u w:val="single"/>
              </w:rPr>
              <w:t>consume</w:t>
              <w:tab/>
            </w:r>
          </w:p>
        </w:tc>
      </w:tr>
      <w:tr>
        <w:trPr>
          <w:trHeight w:val="408" w:hRule="exact"/>
        </w:trPr>
        <w:tc>
          <w:tcPr>
            <w:tcW w:w="2402" w:type="dxa"/>
            <w:tcBorders>
              <w:top w:val="nil"/>
              <w:left w:val="nil"/>
              <w:bottom w:val="nil"/>
              <w:right w:val="nil"/>
            </w:tcBorders>
          </w:tcPr>
          <w:p>
            <w:pPr>
              <w:pStyle w:val="TableParagraph"/>
              <w:spacing w:before="50"/>
              <w:ind w:left="122"/>
              <w:rPr>
                <w:sz w:val="24"/>
              </w:rPr>
            </w:pPr>
            <w:r>
              <w:rPr>
                <w:sz w:val="24"/>
              </w:rPr>
              <w:t>Group</w:t>
            </w:r>
          </w:p>
        </w:tc>
        <w:tc>
          <w:tcPr>
            <w:tcW w:w="571" w:type="dxa"/>
            <w:tcBorders>
              <w:top w:val="nil"/>
              <w:left w:val="nil"/>
              <w:bottom w:val="nil"/>
              <w:right w:val="nil"/>
            </w:tcBorders>
          </w:tcPr>
          <w:p>
            <w:pPr>
              <w:pStyle w:val="TableParagraph"/>
              <w:spacing w:before="50"/>
              <w:ind w:left="221"/>
              <w:rPr>
                <w:sz w:val="24"/>
              </w:rPr>
            </w:pPr>
            <w:r>
              <w:rPr>
                <w:w w:val="99"/>
                <w:sz w:val="24"/>
              </w:rPr>
              <w:t>N</w:t>
            </w:r>
          </w:p>
        </w:tc>
        <w:tc>
          <w:tcPr>
            <w:tcW w:w="1145" w:type="dxa"/>
            <w:tcBorders>
              <w:top w:val="nil"/>
              <w:left w:val="nil"/>
              <w:bottom w:val="nil"/>
              <w:right w:val="nil"/>
            </w:tcBorders>
          </w:tcPr>
          <w:p>
            <w:pPr>
              <w:pStyle w:val="TableParagraph"/>
              <w:spacing w:before="50"/>
              <w:ind w:left="124" w:right="128"/>
              <w:jc w:val="center"/>
              <w:rPr>
                <w:sz w:val="24"/>
              </w:rPr>
            </w:pPr>
            <w:r>
              <w:rPr>
                <w:sz w:val="24"/>
              </w:rPr>
              <w:t>Constant</w:t>
            </w:r>
          </w:p>
        </w:tc>
        <w:tc>
          <w:tcPr>
            <w:tcW w:w="802" w:type="dxa"/>
            <w:tcBorders>
              <w:top w:val="nil"/>
              <w:left w:val="nil"/>
              <w:bottom w:val="nil"/>
              <w:right w:val="nil"/>
            </w:tcBorders>
          </w:tcPr>
          <w:p>
            <w:pPr>
              <w:pStyle w:val="TableParagraph"/>
              <w:spacing w:before="50"/>
              <w:ind w:right="1"/>
              <w:jc w:val="center"/>
              <w:rPr>
                <w:sz w:val="24"/>
              </w:rPr>
            </w:pPr>
            <w:r>
              <w:rPr>
                <w:w w:val="100"/>
                <w:sz w:val="24"/>
              </w:rPr>
              <w:t>β</w:t>
            </w:r>
          </w:p>
        </w:tc>
        <w:tc>
          <w:tcPr>
            <w:tcW w:w="1765" w:type="dxa"/>
            <w:tcBorders>
              <w:top w:val="nil"/>
              <w:left w:val="nil"/>
              <w:bottom w:val="nil"/>
              <w:right w:val="nil"/>
            </w:tcBorders>
          </w:tcPr>
          <w:p>
            <w:pPr>
              <w:pStyle w:val="TableParagraph"/>
              <w:spacing w:before="50"/>
              <w:ind w:left="134" w:right="148"/>
              <w:jc w:val="center"/>
              <w:rPr>
                <w:sz w:val="24"/>
              </w:rPr>
            </w:pPr>
            <w:r>
              <w:rPr>
                <w:sz w:val="24"/>
              </w:rPr>
              <w:t>(95% CI)</w:t>
            </w:r>
          </w:p>
        </w:tc>
        <w:tc>
          <w:tcPr>
            <w:tcW w:w="1219" w:type="dxa"/>
            <w:tcBorders>
              <w:top w:val="nil"/>
              <w:left w:val="nil"/>
              <w:bottom w:val="nil"/>
              <w:right w:val="nil"/>
            </w:tcBorders>
          </w:tcPr>
          <w:p>
            <w:pPr>
              <w:pStyle w:val="TableParagraph"/>
              <w:spacing w:before="50"/>
              <w:ind w:left="153" w:right="171"/>
              <w:jc w:val="center"/>
              <w:rPr>
                <w:sz w:val="24"/>
              </w:rPr>
            </w:pPr>
            <w:r>
              <w:rPr>
                <w:sz w:val="24"/>
              </w:rPr>
              <w:t>Constant</w:t>
            </w:r>
          </w:p>
        </w:tc>
        <w:tc>
          <w:tcPr>
            <w:tcW w:w="840" w:type="dxa"/>
            <w:tcBorders>
              <w:top w:val="nil"/>
              <w:left w:val="nil"/>
              <w:bottom w:val="nil"/>
              <w:right w:val="nil"/>
            </w:tcBorders>
          </w:tcPr>
          <w:p>
            <w:pPr>
              <w:pStyle w:val="TableParagraph"/>
              <w:spacing w:before="50"/>
              <w:ind w:left="42"/>
              <w:jc w:val="center"/>
              <w:rPr>
                <w:sz w:val="24"/>
              </w:rPr>
            </w:pPr>
            <w:r>
              <w:rPr>
                <w:w w:val="100"/>
                <w:sz w:val="24"/>
              </w:rPr>
              <w:t>β</w:t>
            </w:r>
          </w:p>
        </w:tc>
        <w:tc>
          <w:tcPr>
            <w:tcW w:w="1774" w:type="dxa"/>
            <w:tcBorders>
              <w:top w:val="nil"/>
              <w:left w:val="nil"/>
              <w:bottom w:val="nil"/>
              <w:right w:val="nil"/>
            </w:tcBorders>
          </w:tcPr>
          <w:p>
            <w:pPr>
              <w:pStyle w:val="TableParagraph"/>
              <w:spacing w:before="50"/>
              <w:ind w:left="127" w:right="144"/>
              <w:jc w:val="center"/>
              <w:rPr>
                <w:sz w:val="24"/>
              </w:rPr>
            </w:pPr>
            <w:r>
              <w:rPr>
                <w:sz w:val="24"/>
              </w:rPr>
              <w:t>(95% CI)</w:t>
            </w:r>
          </w:p>
        </w:tc>
        <w:tc>
          <w:tcPr>
            <w:tcW w:w="1204" w:type="dxa"/>
            <w:tcBorders>
              <w:top w:val="nil"/>
              <w:left w:val="nil"/>
              <w:bottom w:val="nil"/>
              <w:right w:val="nil"/>
            </w:tcBorders>
          </w:tcPr>
          <w:p>
            <w:pPr>
              <w:pStyle w:val="TableParagraph"/>
              <w:spacing w:before="50"/>
              <w:ind w:left="149" w:right="160"/>
              <w:jc w:val="center"/>
              <w:rPr>
                <w:sz w:val="24"/>
              </w:rPr>
            </w:pPr>
            <w:r>
              <w:rPr>
                <w:sz w:val="24"/>
              </w:rPr>
              <w:t>Constant</w:t>
            </w:r>
          </w:p>
        </w:tc>
        <w:tc>
          <w:tcPr>
            <w:tcW w:w="880" w:type="dxa"/>
            <w:tcBorders>
              <w:top w:val="nil"/>
              <w:left w:val="nil"/>
              <w:bottom w:val="nil"/>
              <w:right w:val="nil"/>
            </w:tcBorders>
          </w:tcPr>
          <w:p>
            <w:pPr>
              <w:pStyle w:val="TableParagraph"/>
              <w:spacing w:before="50"/>
              <w:ind w:left="23"/>
              <w:jc w:val="center"/>
              <w:rPr>
                <w:sz w:val="24"/>
              </w:rPr>
            </w:pPr>
            <w:r>
              <w:rPr>
                <w:w w:val="100"/>
                <w:sz w:val="24"/>
              </w:rPr>
              <w:t>β</w:t>
            </w:r>
          </w:p>
        </w:tc>
        <w:tc>
          <w:tcPr>
            <w:tcW w:w="1841" w:type="dxa"/>
            <w:tcBorders>
              <w:top w:val="nil"/>
              <w:left w:val="nil"/>
              <w:bottom w:val="nil"/>
              <w:right w:val="nil"/>
            </w:tcBorders>
          </w:tcPr>
          <w:p>
            <w:pPr>
              <w:pStyle w:val="TableParagraph"/>
              <w:spacing w:before="50"/>
              <w:ind w:left="138" w:right="142"/>
              <w:jc w:val="center"/>
              <w:rPr>
                <w:sz w:val="24"/>
              </w:rPr>
            </w:pPr>
            <w:r>
              <w:rPr>
                <w:sz w:val="24"/>
              </w:rPr>
              <w:t>(95% CI)</w:t>
            </w:r>
          </w:p>
        </w:tc>
      </w:tr>
      <w:tr>
        <w:trPr>
          <w:trHeight w:val="414" w:hRule="exact"/>
        </w:trPr>
        <w:tc>
          <w:tcPr>
            <w:tcW w:w="2402" w:type="dxa"/>
            <w:tcBorders>
              <w:top w:val="nil"/>
              <w:left w:val="nil"/>
              <w:bottom w:val="nil"/>
              <w:right w:val="nil"/>
            </w:tcBorders>
          </w:tcPr>
          <w:p>
            <w:pPr>
              <w:pStyle w:val="TableParagraph"/>
              <w:spacing w:before="55"/>
              <w:ind w:left="122"/>
              <w:rPr>
                <w:sz w:val="24"/>
              </w:rPr>
            </w:pPr>
            <w:r>
              <w:rPr>
                <w:sz w:val="24"/>
              </w:rPr>
              <w:t>All</w:t>
            </w:r>
          </w:p>
        </w:tc>
        <w:tc>
          <w:tcPr>
            <w:tcW w:w="571" w:type="dxa"/>
            <w:tcBorders>
              <w:top w:val="nil"/>
              <w:left w:val="nil"/>
              <w:bottom w:val="nil"/>
              <w:right w:val="nil"/>
            </w:tcBorders>
          </w:tcPr>
          <w:p>
            <w:pPr/>
          </w:p>
        </w:tc>
        <w:tc>
          <w:tcPr>
            <w:tcW w:w="1145" w:type="dxa"/>
            <w:tcBorders>
              <w:top w:val="nil"/>
              <w:left w:val="nil"/>
              <w:bottom w:val="nil"/>
              <w:right w:val="nil"/>
            </w:tcBorders>
          </w:tcPr>
          <w:p>
            <w:pPr/>
          </w:p>
        </w:tc>
        <w:tc>
          <w:tcPr>
            <w:tcW w:w="802" w:type="dxa"/>
            <w:tcBorders>
              <w:top w:val="nil"/>
              <w:left w:val="nil"/>
              <w:bottom w:val="nil"/>
              <w:right w:val="nil"/>
            </w:tcBorders>
          </w:tcPr>
          <w:p>
            <w:pPr/>
          </w:p>
        </w:tc>
        <w:tc>
          <w:tcPr>
            <w:tcW w:w="1765" w:type="dxa"/>
            <w:tcBorders>
              <w:top w:val="nil"/>
              <w:left w:val="nil"/>
              <w:bottom w:val="nil"/>
              <w:right w:val="nil"/>
            </w:tcBorders>
          </w:tcPr>
          <w:p>
            <w:pPr/>
          </w:p>
        </w:tc>
        <w:tc>
          <w:tcPr>
            <w:tcW w:w="1219" w:type="dxa"/>
            <w:tcBorders>
              <w:top w:val="nil"/>
              <w:left w:val="nil"/>
              <w:bottom w:val="nil"/>
              <w:right w:val="nil"/>
            </w:tcBorders>
          </w:tcPr>
          <w:p>
            <w:pPr/>
          </w:p>
        </w:tc>
        <w:tc>
          <w:tcPr>
            <w:tcW w:w="840" w:type="dxa"/>
            <w:tcBorders>
              <w:top w:val="nil"/>
              <w:left w:val="nil"/>
              <w:bottom w:val="nil"/>
              <w:right w:val="nil"/>
            </w:tcBorders>
          </w:tcPr>
          <w:p>
            <w:pPr/>
          </w:p>
        </w:tc>
        <w:tc>
          <w:tcPr>
            <w:tcW w:w="1774" w:type="dxa"/>
            <w:tcBorders>
              <w:top w:val="nil"/>
              <w:left w:val="nil"/>
              <w:bottom w:val="nil"/>
              <w:right w:val="nil"/>
            </w:tcBorders>
          </w:tcPr>
          <w:p>
            <w:pPr/>
          </w:p>
        </w:tc>
        <w:tc>
          <w:tcPr>
            <w:tcW w:w="1204" w:type="dxa"/>
            <w:tcBorders>
              <w:top w:val="nil"/>
              <w:left w:val="nil"/>
              <w:bottom w:val="nil"/>
              <w:right w:val="nil"/>
            </w:tcBorders>
          </w:tcPr>
          <w:p>
            <w:pPr/>
          </w:p>
        </w:tc>
        <w:tc>
          <w:tcPr>
            <w:tcW w:w="880" w:type="dxa"/>
            <w:tcBorders>
              <w:top w:val="nil"/>
              <w:left w:val="nil"/>
              <w:bottom w:val="nil"/>
              <w:right w:val="nil"/>
            </w:tcBorders>
          </w:tcPr>
          <w:p>
            <w:pPr/>
          </w:p>
        </w:tc>
        <w:tc>
          <w:tcPr>
            <w:tcW w:w="1841" w:type="dxa"/>
            <w:tcBorders>
              <w:top w:val="nil"/>
              <w:left w:val="nil"/>
              <w:bottom w:val="nil"/>
              <w:right w:val="nil"/>
            </w:tcBorders>
          </w:tcPr>
          <w:p>
            <w:pPr/>
          </w:p>
        </w:tc>
      </w:tr>
      <w:tr>
        <w:trPr>
          <w:trHeight w:val="463" w:hRule="exact"/>
        </w:trPr>
        <w:tc>
          <w:tcPr>
            <w:tcW w:w="2402" w:type="dxa"/>
            <w:tcBorders>
              <w:top w:val="nil"/>
              <w:left w:val="nil"/>
              <w:bottom w:val="nil"/>
              <w:right w:val="nil"/>
            </w:tcBorders>
          </w:tcPr>
          <w:p>
            <w:pPr>
              <w:pStyle w:val="TableParagraph"/>
              <w:spacing w:before="56"/>
              <w:ind w:left="242"/>
              <w:rPr>
                <w:sz w:val="24"/>
              </w:rPr>
            </w:pPr>
            <w:r>
              <w:rPr>
                <w:sz w:val="24"/>
              </w:rPr>
              <w:t>PD (ref.)</w:t>
            </w:r>
          </w:p>
        </w:tc>
        <w:tc>
          <w:tcPr>
            <w:tcW w:w="571" w:type="dxa"/>
            <w:tcBorders>
              <w:top w:val="nil"/>
              <w:left w:val="nil"/>
              <w:bottom w:val="nil"/>
              <w:right w:val="nil"/>
            </w:tcBorders>
          </w:tcPr>
          <w:p>
            <w:pPr>
              <w:pStyle w:val="TableParagraph"/>
              <w:spacing w:before="56"/>
              <w:ind w:left="187"/>
              <w:rPr>
                <w:sz w:val="24"/>
              </w:rPr>
            </w:pPr>
            <w:r>
              <w:rPr>
                <w:sz w:val="24"/>
              </w:rPr>
              <w:t>30</w:t>
            </w:r>
          </w:p>
        </w:tc>
        <w:tc>
          <w:tcPr>
            <w:tcW w:w="1145" w:type="dxa"/>
            <w:tcBorders>
              <w:top w:val="nil"/>
              <w:left w:val="nil"/>
              <w:bottom w:val="nil"/>
              <w:right w:val="nil"/>
            </w:tcBorders>
          </w:tcPr>
          <w:p>
            <w:pPr>
              <w:pStyle w:val="TableParagraph"/>
              <w:spacing w:before="56"/>
              <w:ind w:left="123" w:right="128"/>
              <w:jc w:val="center"/>
              <w:rPr>
                <w:sz w:val="24"/>
              </w:rPr>
            </w:pPr>
            <w:r>
              <w:rPr>
                <w:sz w:val="24"/>
              </w:rPr>
              <w:t>0.60</w:t>
            </w:r>
          </w:p>
        </w:tc>
        <w:tc>
          <w:tcPr>
            <w:tcW w:w="802" w:type="dxa"/>
            <w:tcBorders>
              <w:top w:val="nil"/>
              <w:left w:val="nil"/>
              <w:bottom w:val="nil"/>
              <w:right w:val="nil"/>
            </w:tcBorders>
          </w:tcPr>
          <w:p>
            <w:pPr>
              <w:pStyle w:val="TableParagraph"/>
              <w:spacing w:before="56"/>
              <w:ind w:left="130" w:right="130"/>
              <w:jc w:val="center"/>
              <w:rPr>
                <w:sz w:val="24"/>
              </w:rPr>
            </w:pPr>
            <w:r>
              <w:rPr>
                <w:sz w:val="24"/>
              </w:rPr>
              <w:t>1.18</w:t>
            </w:r>
          </w:p>
        </w:tc>
        <w:tc>
          <w:tcPr>
            <w:tcW w:w="1765" w:type="dxa"/>
            <w:tcBorders>
              <w:top w:val="nil"/>
              <w:left w:val="nil"/>
              <w:bottom w:val="nil"/>
              <w:right w:val="nil"/>
            </w:tcBorders>
          </w:tcPr>
          <w:p>
            <w:pPr>
              <w:pStyle w:val="TableParagraph"/>
              <w:spacing w:before="56"/>
              <w:ind w:left="134" w:right="150"/>
              <w:jc w:val="center"/>
              <w:rPr>
                <w:sz w:val="24"/>
              </w:rPr>
            </w:pPr>
            <w:r>
              <w:rPr>
                <w:sz w:val="24"/>
              </w:rPr>
              <w:t>(-0.670, 3.030)</w:t>
            </w:r>
          </w:p>
        </w:tc>
        <w:tc>
          <w:tcPr>
            <w:tcW w:w="1219" w:type="dxa"/>
            <w:tcBorders>
              <w:top w:val="nil"/>
              <w:left w:val="nil"/>
              <w:bottom w:val="nil"/>
              <w:right w:val="nil"/>
            </w:tcBorders>
          </w:tcPr>
          <w:p>
            <w:pPr>
              <w:pStyle w:val="TableParagraph"/>
              <w:spacing w:before="56"/>
              <w:ind w:left="152" w:right="171"/>
              <w:jc w:val="center"/>
              <w:rPr>
                <w:sz w:val="24"/>
              </w:rPr>
            </w:pPr>
            <w:r>
              <w:rPr>
                <w:sz w:val="24"/>
              </w:rPr>
              <w:t>2.87</w:t>
            </w:r>
          </w:p>
        </w:tc>
        <w:tc>
          <w:tcPr>
            <w:tcW w:w="840" w:type="dxa"/>
            <w:tcBorders>
              <w:top w:val="nil"/>
              <w:left w:val="nil"/>
              <w:bottom w:val="nil"/>
              <w:right w:val="nil"/>
            </w:tcBorders>
          </w:tcPr>
          <w:p>
            <w:pPr>
              <w:pStyle w:val="TableParagraph"/>
              <w:spacing w:before="56"/>
              <w:ind w:left="169" w:right="127"/>
              <w:jc w:val="center"/>
              <w:rPr>
                <w:sz w:val="24"/>
              </w:rPr>
            </w:pPr>
            <w:r>
              <w:rPr>
                <w:sz w:val="24"/>
              </w:rPr>
              <w:t>1.66</w:t>
            </w:r>
          </w:p>
        </w:tc>
        <w:tc>
          <w:tcPr>
            <w:tcW w:w="1774" w:type="dxa"/>
            <w:tcBorders>
              <w:top w:val="nil"/>
              <w:left w:val="nil"/>
              <w:bottom w:val="nil"/>
              <w:right w:val="nil"/>
            </w:tcBorders>
          </w:tcPr>
          <w:p>
            <w:pPr>
              <w:pStyle w:val="TableParagraph"/>
              <w:spacing w:before="56"/>
              <w:ind w:left="127" w:right="146"/>
              <w:jc w:val="center"/>
              <w:rPr>
                <w:sz w:val="24"/>
              </w:rPr>
            </w:pPr>
            <w:r>
              <w:rPr>
                <w:sz w:val="24"/>
              </w:rPr>
              <w:t>(-0.199, 3.534)</w:t>
            </w:r>
          </w:p>
        </w:tc>
        <w:tc>
          <w:tcPr>
            <w:tcW w:w="1204" w:type="dxa"/>
            <w:tcBorders>
              <w:top w:val="nil"/>
              <w:left w:val="nil"/>
              <w:bottom w:val="nil"/>
              <w:right w:val="nil"/>
            </w:tcBorders>
          </w:tcPr>
          <w:p>
            <w:pPr>
              <w:pStyle w:val="TableParagraph"/>
              <w:spacing w:before="56"/>
              <w:ind w:left="148" w:right="160"/>
              <w:jc w:val="center"/>
              <w:rPr>
                <w:sz w:val="24"/>
              </w:rPr>
            </w:pPr>
            <w:r>
              <w:rPr>
                <w:sz w:val="24"/>
              </w:rPr>
              <w:t>2.71</w:t>
            </w:r>
          </w:p>
        </w:tc>
        <w:tc>
          <w:tcPr>
            <w:tcW w:w="880" w:type="dxa"/>
            <w:tcBorders>
              <w:top w:val="nil"/>
              <w:left w:val="nil"/>
              <w:bottom w:val="nil"/>
              <w:right w:val="nil"/>
            </w:tcBorders>
          </w:tcPr>
          <w:p>
            <w:pPr>
              <w:pStyle w:val="TableParagraph"/>
              <w:spacing w:before="56"/>
              <w:ind w:left="161" w:right="138"/>
              <w:jc w:val="center"/>
              <w:rPr>
                <w:sz w:val="24"/>
              </w:rPr>
            </w:pPr>
            <w:r>
              <w:rPr>
                <w:sz w:val="24"/>
              </w:rPr>
              <w:t>0.978</w:t>
            </w:r>
          </w:p>
        </w:tc>
        <w:tc>
          <w:tcPr>
            <w:tcW w:w="1841" w:type="dxa"/>
            <w:tcBorders>
              <w:top w:val="nil"/>
              <w:left w:val="nil"/>
              <w:bottom w:val="nil"/>
              <w:right w:val="nil"/>
            </w:tcBorders>
          </w:tcPr>
          <w:p>
            <w:pPr>
              <w:pStyle w:val="TableParagraph"/>
              <w:spacing w:before="56"/>
              <w:ind w:left="138" w:right="140"/>
              <w:jc w:val="center"/>
              <w:rPr>
                <w:sz w:val="24"/>
              </w:rPr>
            </w:pPr>
            <w:r>
              <w:rPr>
                <w:sz w:val="24"/>
              </w:rPr>
              <w:t>(-1.416, 3.373)</w:t>
            </w:r>
          </w:p>
        </w:tc>
      </w:tr>
      <w:tr>
        <w:trPr>
          <w:trHeight w:val="511" w:hRule="exact"/>
        </w:trPr>
        <w:tc>
          <w:tcPr>
            <w:tcW w:w="2402" w:type="dxa"/>
            <w:tcBorders>
              <w:top w:val="nil"/>
              <w:left w:val="nil"/>
              <w:bottom w:val="nil"/>
              <w:right w:val="nil"/>
            </w:tcBorders>
          </w:tcPr>
          <w:p>
            <w:pPr>
              <w:pStyle w:val="TableParagraph"/>
              <w:spacing w:before="104"/>
              <w:ind w:left="242"/>
              <w:rPr>
                <w:sz w:val="24"/>
              </w:rPr>
            </w:pPr>
            <w:r>
              <w:rPr>
                <w:sz w:val="24"/>
              </w:rPr>
              <w:t>Non DM2-PD (ref.)</w:t>
            </w:r>
          </w:p>
        </w:tc>
        <w:tc>
          <w:tcPr>
            <w:tcW w:w="571" w:type="dxa"/>
            <w:tcBorders>
              <w:top w:val="nil"/>
              <w:left w:val="nil"/>
              <w:bottom w:val="nil"/>
              <w:right w:val="nil"/>
            </w:tcBorders>
          </w:tcPr>
          <w:p>
            <w:pPr>
              <w:pStyle w:val="TableParagraph"/>
              <w:spacing w:before="104"/>
              <w:ind w:left="187"/>
              <w:rPr>
                <w:sz w:val="24"/>
              </w:rPr>
            </w:pPr>
            <w:r>
              <w:rPr>
                <w:sz w:val="24"/>
              </w:rPr>
              <w:t>30</w:t>
            </w:r>
          </w:p>
        </w:tc>
        <w:tc>
          <w:tcPr>
            <w:tcW w:w="1145" w:type="dxa"/>
            <w:tcBorders>
              <w:top w:val="nil"/>
              <w:left w:val="nil"/>
              <w:bottom w:val="nil"/>
              <w:right w:val="nil"/>
            </w:tcBorders>
          </w:tcPr>
          <w:p>
            <w:pPr>
              <w:pStyle w:val="TableParagraph"/>
              <w:spacing w:before="104"/>
              <w:ind w:left="123" w:right="128"/>
              <w:jc w:val="center"/>
              <w:rPr>
                <w:sz w:val="24"/>
              </w:rPr>
            </w:pPr>
            <w:r>
              <w:rPr>
                <w:sz w:val="24"/>
              </w:rPr>
              <w:t>1.44</w:t>
            </w:r>
          </w:p>
        </w:tc>
        <w:tc>
          <w:tcPr>
            <w:tcW w:w="802" w:type="dxa"/>
            <w:tcBorders>
              <w:top w:val="nil"/>
              <w:left w:val="nil"/>
              <w:bottom w:val="nil"/>
              <w:right w:val="nil"/>
            </w:tcBorders>
          </w:tcPr>
          <w:p>
            <w:pPr>
              <w:pStyle w:val="TableParagraph"/>
              <w:spacing w:before="104"/>
              <w:ind w:left="130" w:right="130"/>
              <w:jc w:val="center"/>
              <w:rPr>
                <w:sz w:val="24"/>
              </w:rPr>
            </w:pPr>
            <w:r>
              <w:rPr>
                <w:sz w:val="24"/>
              </w:rPr>
              <w:t>0.34</w:t>
            </w:r>
          </w:p>
        </w:tc>
        <w:tc>
          <w:tcPr>
            <w:tcW w:w="1765" w:type="dxa"/>
            <w:tcBorders>
              <w:top w:val="nil"/>
              <w:left w:val="nil"/>
              <w:bottom w:val="nil"/>
              <w:right w:val="nil"/>
            </w:tcBorders>
          </w:tcPr>
          <w:p>
            <w:pPr>
              <w:pStyle w:val="TableParagraph"/>
              <w:spacing w:before="104"/>
              <w:ind w:left="134" w:right="150"/>
              <w:jc w:val="center"/>
              <w:rPr>
                <w:sz w:val="24"/>
              </w:rPr>
            </w:pPr>
            <w:r>
              <w:rPr>
                <w:sz w:val="24"/>
              </w:rPr>
              <w:t>(-1.434, 2.127)</w:t>
            </w:r>
          </w:p>
        </w:tc>
        <w:tc>
          <w:tcPr>
            <w:tcW w:w="1219" w:type="dxa"/>
            <w:tcBorders>
              <w:top w:val="nil"/>
              <w:left w:val="nil"/>
              <w:bottom w:val="nil"/>
              <w:right w:val="nil"/>
            </w:tcBorders>
          </w:tcPr>
          <w:p>
            <w:pPr>
              <w:pStyle w:val="TableParagraph"/>
              <w:spacing w:before="104"/>
              <w:ind w:left="152" w:right="171"/>
              <w:jc w:val="center"/>
              <w:rPr>
                <w:sz w:val="24"/>
              </w:rPr>
            </w:pPr>
            <w:r>
              <w:rPr>
                <w:sz w:val="24"/>
              </w:rPr>
              <w:t>1.50</w:t>
            </w:r>
          </w:p>
        </w:tc>
        <w:tc>
          <w:tcPr>
            <w:tcW w:w="840" w:type="dxa"/>
            <w:tcBorders>
              <w:top w:val="nil"/>
              <w:left w:val="nil"/>
              <w:bottom w:val="nil"/>
              <w:right w:val="nil"/>
            </w:tcBorders>
          </w:tcPr>
          <w:p>
            <w:pPr>
              <w:pStyle w:val="TableParagraph"/>
              <w:spacing w:before="104"/>
              <w:ind w:left="169" w:right="127"/>
              <w:jc w:val="center"/>
              <w:rPr>
                <w:sz w:val="24"/>
              </w:rPr>
            </w:pPr>
            <w:r>
              <w:rPr>
                <w:sz w:val="24"/>
              </w:rPr>
              <w:t>0.53</w:t>
            </w:r>
          </w:p>
        </w:tc>
        <w:tc>
          <w:tcPr>
            <w:tcW w:w="1774" w:type="dxa"/>
            <w:tcBorders>
              <w:top w:val="nil"/>
              <w:left w:val="nil"/>
              <w:bottom w:val="nil"/>
              <w:right w:val="nil"/>
            </w:tcBorders>
          </w:tcPr>
          <w:p>
            <w:pPr>
              <w:pStyle w:val="TableParagraph"/>
              <w:spacing w:before="104"/>
              <w:ind w:left="127" w:right="146"/>
              <w:jc w:val="center"/>
              <w:rPr>
                <w:sz w:val="24"/>
              </w:rPr>
            </w:pPr>
            <w:r>
              <w:rPr>
                <w:sz w:val="24"/>
              </w:rPr>
              <w:t>(-1.387, 2.467)</w:t>
            </w:r>
          </w:p>
        </w:tc>
        <w:tc>
          <w:tcPr>
            <w:tcW w:w="1204" w:type="dxa"/>
            <w:tcBorders>
              <w:top w:val="nil"/>
              <w:left w:val="nil"/>
              <w:bottom w:val="nil"/>
              <w:right w:val="nil"/>
            </w:tcBorders>
          </w:tcPr>
          <w:p>
            <w:pPr>
              <w:pStyle w:val="TableParagraph"/>
              <w:spacing w:before="104"/>
              <w:ind w:left="149" w:right="159"/>
              <w:jc w:val="center"/>
              <w:rPr>
                <w:sz w:val="24"/>
              </w:rPr>
            </w:pPr>
            <w:r>
              <w:rPr>
                <w:sz w:val="24"/>
              </w:rPr>
              <w:t>-4.92</w:t>
            </w:r>
          </w:p>
        </w:tc>
        <w:tc>
          <w:tcPr>
            <w:tcW w:w="880" w:type="dxa"/>
            <w:tcBorders>
              <w:top w:val="nil"/>
              <w:left w:val="nil"/>
              <w:bottom w:val="nil"/>
              <w:right w:val="nil"/>
            </w:tcBorders>
          </w:tcPr>
          <w:p>
            <w:pPr>
              <w:pStyle w:val="TableParagraph"/>
              <w:spacing w:before="104"/>
              <w:ind w:left="161" w:right="135"/>
              <w:jc w:val="center"/>
              <w:rPr>
                <w:sz w:val="24"/>
              </w:rPr>
            </w:pPr>
            <w:r>
              <w:rPr>
                <w:sz w:val="24"/>
              </w:rPr>
              <w:t>-2.06</w:t>
            </w:r>
          </w:p>
        </w:tc>
        <w:tc>
          <w:tcPr>
            <w:tcW w:w="1841" w:type="dxa"/>
            <w:tcBorders>
              <w:top w:val="nil"/>
              <w:left w:val="nil"/>
              <w:bottom w:val="nil"/>
              <w:right w:val="nil"/>
            </w:tcBorders>
          </w:tcPr>
          <w:p>
            <w:pPr>
              <w:pStyle w:val="TableParagraph"/>
              <w:spacing w:before="104"/>
              <w:ind w:left="138" w:right="140"/>
              <w:jc w:val="center"/>
              <w:rPr>
                <w:sz w:val="24"/>
              </w:rPr>
            </w:pPr>
            <w:r>
              <w:rPr>
                <w:sz w:val="24"/>
              </w:rPr>
              <w:t>(-5.220, 1.100)</w:t>
            </w:r>
          </w:p>
        </w:tc>
      </w:tr>
      <w:tr>
        <w:trPr>
          <w:trHeight w:val="668" w:hRule="exact"/>
        </w:trPr>
        <w:tc>
          <w:tcPr>
            <w:tcW w:w="2402" w:type="dxa"/>
            <w:tcBorders>
              <w:top w:val="nil"/>
              <w:left w:val="nil"/>
              <w:bottom w:val="nil"/>
              <w:right w:val="nil"/>
            </w:tcBorders>
          </w:tcPr>
          <w:p>
            <w:pPr>
              <w:pStyle w:val="TableParagraph"/>
              <w:spacing w:before="9"/>
              <w:rPr>
                <w:b/>
                <w:sz w:val="20"/>
              </w:rPr>
            </w:pPr>
          </w:p>
          <w:p>
            <w:pPr>
              <w:pStyle w:val="TableParagraph"/>
              <w:ind w:left="122"/>
              <w:rPr>
                <w:b/>
                <w:sz w:val="24"/>
              </w:rPr>
            </w:pPr>
            <w:r>
              <w:rPr>
                <w:sz w:val="24"/>
              </w:rPr>
              <w:t>Age (years</w:t>
            </w:r>
            <w:r>
              <w:rPr>
                <w:b/>
                <w:sz w:val="24"/>
              </w:rPr>
              <w:t>)</w:t>
            </w:r>
          </w:p>
        </w:tc>
        <w:tc>
          <w:tcPr>
            <w:tcW w:w="571" w:type="dxa"/>
            <w:tcBorders>
              <w:top w:val="nil"/>
              <w:left w:val="nil"/>
              <w:bottom w:val="nil"/>
              <w:right w:val="nil"/>
            </w:tcBorders>
          </w:tcPr>
          <w:p>
            <w:pPr/>
          </w:p>
        </w:tc>
        <w:tc>
          <w:tcPr>
            <w:tcW w:w="1145" w:type="dxa"/>
            <w:tcBorders>
              <w:top w:val="nil"/>
              <w:left w:val="nil"/>
              <w:bottom w:val="nil"/>
              <w:right w:val="nil"/>
            </w:tcBorders>
          </w:tcPr>
          <w:p>
            <w:pPr/>
          </w:p>
        </w:tc>
        <w:tc>
          <w:tcPr>
            <w:tcW w:w="802" w:type="dxa"/>
            <w:tcBorders>
              <w:top w:val="nil"/>
              <w:left w:val="nil"/>
              <w:bottom w:val="nil"/>
              <w:right w:val="nil"/>
            </w:tcBorders>
          </w:tcPr>
          <w:p>
            <w:pPr/>
          </w:p>
        </w:tc>
        <w:tc>
          <w:tcPr>
            <w:tcW w:w="1765" w:type="dxa"/>
            <w:tcBorders>
              <w:top w:val="nil"/>
              <w:left w:val="nil"/>
              <w:bottom w:val="nil"/>
              <w:right w:val="nil"/>
            </w:tcBorders>
          </w:tcPr>
          <w:p>
            <w:pPr/>
          </w:p>
        </w:tc>
        <w:tc>
          <w:tcPr>
            <w:tcW w:w="1219" w:type="dxa"/>
            <w:tcBorders>
              <w:top w:val="nil"/>
              <w:left w:val="nil"/>
              <w:bottom w:val="nil"/>
              <w:right w:val="nil"/>
            </w:tcBorders>
          </w:tcPr>
          <w:p>
            <w:pPr/>
          </w:p>
        </w:tc>
        <w:tc>
          <w:tcPr>
            <w:tcW w:w="840" w:type="dxa"/>
            <w:tcBorders>
              <w:top w:val="nil"/>
              <w:left w:val="nil"/>
              <w:bottom w:val="nil"/>
              <w:right w:val="nil"/>
            </w:tcBorders>
          </w:tcPr>
          <w:p>
            <w:pPr/>
          </w:p>
        </w:tc>
        <w:tc>
          <w:tcPr>
            <w:tcW w:w="1774" w:type="dxa"/>
            <w:tcBorders>
              <w:top w:val="nil"/>
              <w:left w:val="nil"/>
              <w:bottom w:val="nil"/>
              <w:right w:val="nil"/>
            </w:tcBorders>
          </w:tcPr>
          <w:p>
            <w:pPr/>
          </w:p>
        </w:tc>
        <w:tc>
          <w:tcPr>
            <w:tcW w:w="3925" w:type="dxa"/>
            <w:gridSpan w:val="3"/>
            <w:tcBorders>
              <w:top w:val="nil"/>
              <w:left w:val="nil"/>
              <w:bottom w:val="nil"/>
              <w:right w:val="nil"/>
            </w:tcBorders>
          </w:tcPr>
          <w:p>
            <w:pPr>
              <w:pStyle w:val="TableParagraph"/>
              <w:spacing w:before="104"/>
              <w:ind w:left="1105" w:right="90" w:hanging="1038"/>
              <w:rPr>
                <w:b/>
                <w:i/>
                <w:sz w:val="24"/>
              </w:rPr>
            </w:pPr>
            <w:r>
              <w:rPr>
                <w:b/>
                <w:i/>
                <w:sz w:val="24"/>
              </w:rPr>
              <w:t>Adjusted by I plus smoking status and </w:t>
            </w:r>
            <w:r>
              <w:rPr>
                <w:b/>
                <w:i/>
                <w:sz w:val="24"/>
              </w:rPr>
              <w:t>alcohol consume</w:t>
            </w:r>
          </w:p>
        </w:tc>
      </w:tr>
      <w:tr>
        <w:trPr>
          <w:trHeight w:val="344" w:hRule="exact"/>
        </w:trPr>
        <w:tc>
          <w:tcPr>
            <w:tcW w:w="2402" w:type="dxa"/>
            <w:tcBorders>
              <w:top w:val="nil"/>
              <w:left w:val="nil"/>
              <w:bottom w:val="nil"/>
              <w:right w:val="nil"/>
            </w:tcBorders>
          </w:tcPr>
          <w:p>
            <w:pPr>
              <w:pStyle w:val="TableParagraph"/>
              <w:spacing w:line="262" w:lineRule="exact"/>
              <w:ind w:left="122"/>
              <w:rPr>
                <w:sz w:val="24"/>
              </w:rPr>
            </w:pPr>
            <w:r>
              <w:rPr>
                <w:sz w:val="24"/>
              </w:rPr>
              <w:t>22 – 38</w:t>
            </w:r>
          </w:p>
        </w:tc>
        <w:tc>
          <w:tcPr>
            <w:tcW w:w="571" w:type="dxa"/>
            <w:tcBorders>
              <w:top w:val="nil"/>
              <w:left w:val="nil"/>
              <w:bottom w:val="nil"/>
              <w:right w:val="nil"/>
            </w:tcBorders>
          </w:tcPr>
          <w:p>
            <w:pPr/>
          </w:p>
        </w:tc>
        <w:tc>
          <w:tcPr>
            <w:tcW w:w="1145" w:type="dxa"/>
            <w:tcBorders>
              <w:top w:val="nil"/>
              <w:left w:val="nil"/>
              <w:bottom w:val="nil"/>
              <w:right w:val="nil"/>
            </w:tcBorders>
          </w:tcPr>
          <w:p>
            <w:pPr/>
          </w:p>
        </w:tc>
        <w:tc>
          <w:tcPr>
            <w:tcW w:w="802" w:type="dxa"/>
            <w:tcBorders>
              <w:top w:val="nil"/>
              <w:left w:val="nil"/>
              <w:bottom w:val="nil"/>
              <w:right w:val="nil"/>
            </w:tcBorders>
          </w:tcPr>
          <w:p>
            <w:pPr/>
          </w:p>
        </w:tc>
        <w:tc>
          <w:tcPr>
            <w:tcW w:w="1765" w:type="dxa"/>
            <w:tcBorders>
              <w:top w:val="nil"/>
              <w:left w:val="nil"/>
              <w:bottom w:val="nil"/>
              <w:right w:val="nil"/>
            </w:tcBorders>
          </w:tcPr>
          <w:p>
            <w:pPr/>
          </w:p>
        </w:tc>
        <w:tc>
          <w:tcPr>
            <w:tcW w:w="1219" w:type="dxa"/>
            <w:tcBorders>
              <w:top w:val="nil"/>
              <w:left w:val="nil"/>
              <w:bottom w:val="nil"/>
              <w:right w:val="nil"/>
            </w:tcBorders>
          </w:tcPr>
          <w:p>
            <w:pPr/>
          </w:p>
        </w:tc>
        <w:tc>
          <w:tcPr>
            <w:tcW w:w="840" w:type="dxa"/>
            <w:tcBorders>
              <w:top w:val="nil"/>
              <w:left w:val="nil"/>
              <w:bottom w:val="nil"/>
              <w:right w:val="nil"/>
            </w:tcBorders>
          </w:tcPr>
          <w:p>
            <w:pPr/>
          </w:p>
        </w:tc>
        <w:tc>
          <w:tcPr>
            <w:tcW w:w="1774" w:type="dxa"/>
            <w:tcBorders>
              <w:top w:val="nil"/>
              <w:left w:val="nil"/>
              <w:bottom w:val="nil"/>
              <w:right w:val="nil"/>
            </w:tcBorders>
          </w:tcPr>
          <w:p>
            <w:pPr/>
          </w:p>
        </w:tc>
        <w:tc>
          <w:tcPr>
            <w:tcW w:w="1204" w:type="dxa"/>
            <w:tcBorders>
              <w:top w:val="nil"/>
              <w:left w:val="nil"/>
              <w:bottom w:val="nil"/>
              <w:right w:val="nil"/>
            </w:tcBorders>
          </w:tcPr>
          <w:p>
            <w:pPr/>
          </w:p>
        </w:tc>
        <w:tc>
          <w:tcPr>
            <w:tcW w:w="880" w:type="dxa"/>
            <w:tcBorders>
              <w:top w:val="nil"/>
              <w:left w:val="nil"/>
              <w:bottom w:val="nil"/>
              <w:right w:val="nil"/>
            </w:tcBorders>
          </w:tcPr>
          <w:p>
            <w:pPr/>
          </w:p>
        </w:tc>
        <w:tc>
          <w:tcPr>
            <w:tcW w:w="1841" w:type="dxa"/>
            <w:tcBorders>
              <w:top w:val="nil"/>
              <w:left w:val="nil"/>
              <w:bottom w:val="nil"/>
              <w:right w:val="nil"/>
            </w:tcBorders>
          </w:tcPr>
          <w:p>
            <w:pPr/>
          </w:p>
        </w:tc>
      </w:tr>
      <w:tr>
        <w:trPr>
          <w:trHeight w:val="414" w:hRule="exact"/>
        </w:trPr>
        <w:tc>
          <w:tcPr>
            <w:tcW w:w="2402" w:type="dxa"/>
            <w:tcBorders>
              <w:top w:val="nil"/>
              <w:left w:val="nil"/>
              <w:bottom w:val="nil"/>
              <w:right w:val="nil"/>
            </w:tcBorders>
          </w:tcPr>
          <w:p>
            <w:pPr>
              <w:pStyle w:val="TableParagraph"/>
              <w:spacing w:before="56"/>
              <w:ind w:left="242"/>
              <w:rPr>
                <w:sz w:val="24"/>
              </w:rPr>
            </w:pPr>
            <w:r>
              <w:rPr>
                <w:sz w:val="24"/>
              </w:rPr>
              <w:t>PD (ref.)</w:t>
            </w:r>
          </w:p>
        </w:tc>
        <w:tc>
          <w:tcPr>
            <w:tcW w:w="571" w:type="dxa"/>
            <w:tcBorders>
              <w:top w:val="nil"/>
              <w:left w:val="nil"/>
              <w:bottom w:val="nil"/>
              <w:right w:val="nil"/>
            </w:tcBorders>
          </w:tcPr>
          <w:p>
            <w:pPr>
              <w:pStyle w:val="TableParagraph"/>
              <w:spacing w:before="56"/>
              <w:ind w:left="187"/>
              <w:rPr>
                <w:sz w:val="24"/>
              </w:rPr>
            </w:pPr>
            <w:r>
              <w:rPr>
                <w:sz w:val="24"/>
              </w:rPr>
              <w:t>18</w:t>
            </w:r>
          </w:p>
        </w:tc>
        <w:tc>
          <w:tcPr>
            <w:tcW w:w="1145" w:type="dxa"/>
            <w:tcBorders>
              <w:top w:val="nil"/>
              <w:left w:val="nil"/>
              <w:bottom w:val="nil"/>
              <w:right w:val="nil"/>
            </w:tcBorders>
          </w:tcPr>
          <w:p>
            <w:pPr>
              <w:pStyle w:val="TableParagraph"/>
              <w:spacing w:before="56"/>
              <w:ind w:left="123" w:right="128"/>
              <w:jc w:val="center"/>
              <w:rPr>
                <w:sz w:val="24"/>
              </w:rPr>
            </w:pPr>
            <w:r>
              <w:rPr>
                <w:sz w:val="24"/>
              </w:rPr>
              <w:t>0.98</w:t>
            </w:r>
          </w:p>
        </w:tc>
        <w:tc>
          <w:tcPr>
            <w:tcW w:w="802" w:type="dxa"/>
            <w:tcBorders>
              <w:top w:val="nil"/>
              <w:left w:val="nil"/>
              <w:bottom w:val="nil"/>
              <w:right w:val="nil"/>
            </w:tcBorders>
          </w:tcPr>
          <w:p>
            <w:pPr>
              <w:pStyle w:val="TableParagraph"/>
              <w:spacing w:before="56"/>
              <w:ind w:left="130" w:right="132"/>
              <w:jc w:val="center"/>
              <w:rPr>
                <w:sz w:val="24"/>
              </w:rPr>
            </w:pPr>
            <w:r>
              <w:rPr>
                <w:sz w:val="24"/>
              </w:rPr>
              <w:t>-0.98</w:t>
            </w:r>
          </w:p>
        </w:tc>
        <w:tc>
          <w:tcPr>
            <w:tcW w:w="1765" w:type="dxa"/>
            <w:tcBorders>
              <w:top w:val="nil"/>
              <w:left w:val="nil"/>
              <w:bottom w:val="nil"/>
              <w:right w:val="nil"/>
            </w:tcBorders>
          </w:tcPr>
          <w:p>
            <w:pPr>
              <w:pStyle w:val="TableParagraph"/>
              <w:spacing w:before="56"/>
              <w:ind w:left="134" w:right="150"/>
              <w:jc w:val="center"/>
              <w:rPr>
                <w:sz w:val="24"/>
              </w:rPr>
            </w:pPr>
            <w:r>
              <w:rPr>
                <w:sz w:val="24"/>
              </w:rPr>
              <w:t>(-4.437, 2.471)</w:t>
            </w:r>
          </w:p>
        </w:tc>
        <w:tc>
          <w:tcPr>
            <w:tcW w:w="1219" w:type="dxa"/>
            <w:tcBorders>
              <w:top w:val="nil"/>
              <w:left w:val="nil"/>
              <w:bottom w:val="nil"/>
              <w:right w:val="nil"/>
            </w:tcBorders>
          </w:tcPr>
          <w:p>
            <w:pPr>
              <w:pStyle w:val="TableParagraph"/>
              <w:spacing w:before="56"/>
              <w:ind w:left="152" w:right="171"/>
              <w:jc w:val="center"/>
              <w:rPr>
                <w:sz w:val="24"/>
              </w:rPr>
            </w:pPr>
            <w:r>
              <w:rPr>
                <w:sz w:val="24"/>
              </w:rPr>
              <w:t>1.80</w:t>
            </w:r>
          </w:p>
        </w:tc>
        <w:tc>
          <w:tcPr>
            <w:tcW w:w="840" w:type="dxa"/>
            <w:tcBorders>
              <w:top w:val="nil"/>
              <w:left w:val="nil"/>
              <w:bottom w:val="nil"/>
              <w:right w:val="nil"/>
            </w:tcBorders>
          </w:tcPr>
          <w:p>
            <w:pPr>
              <w:pStyle w:val="TableParagraph"/>
              <w:spacing w:before="56"/>
              <w:ind w:left="172" w:right="127"/>
              <w:jc w:val="center"/>
              <w:rPr>
                <w:sz w:val="24"/>
              </w:rPr>
            </w:pPr>
            <w:r>
              <w:rPr>
                <w:sz w:val="24"/>
              </w:rPr>
              <w:t>-0.63</w:t>
            </w:r>
          </w:p>
        </w:tc>
        <w:tc>
          <w:tcPr>
            <w:tcW w:w="1774" w:type="dxa"/>
            <w:tcBorders>
              <w:top w:val="nil"/>
              <w:left w:val="nil"/>
              <w:bottom w:val="nil"/>
              <w:right w:val="nil"/>
            </w:tcBorders>
          </w:tcPr>
          <w:p>
            <w:pPr>
              <w:pStyle w:val="TableParagraph"/>
              <w:spacing w:before="56"/>
              <w:ind w:left="127" w:right="146"/>
              <w:jc w:val="center"/>
              <w:rPr>
                <w:sz w:val="24"/>
              </w:rPr>
            </w:pPr>
            <w:r>
              <w:rPr>
                <w:sz w:val="24"/>
              </w:rPr>
              <w:t>(-4.107, 2.829)</w:t>
            </w:r>
          </w:p>
        </w:tc>
        <w:tc>
          <w:tcPr>
            <w:tcW w:w="1204" w:type="dxa"/>
            <w:tcBorders>
              <w:top w:val="nil"/>
              <w:left w:val="nil"/>
              <w:bottom w:val="nil"/>
              <w:right w:val="nil"/>
            </w:tcBorders>
          </w:tcPr>
          <w:p>
            <w:pPr>
              <w:pStyle w:val="TableParagraph"/>
              <w:spacing w:before="56"/>
              <w:ind w:left="149" w:right="159"/>
              <w:jc w:val="center"/>
              <w:rPr>
                <w:sz w:val="24"/>
              </w:rPr>
            </w:pPr>
            <w:r>
              <w:rPr>
                <w:sz w:val="24"/>
              </w:rPr>
              <w:t>-0.06</w:t>
            </w:r>
          </w:p>
        </w:tc>
        <w:tc>
          <w:tcPr>
            <w:tcW w:w="880" w:type="dxa"/>
            <w:tcBorders>
              <w:top w:val="nil"/>
              <w:left w:val="nil"/>
              <w:bottom w:val="nil"/>
              <w:right w:val="nil"/>
            </w:tcBorders>
          </w:tcPr>
          <w:p>
            <w:pPr>
              <w:pStyle w:val="TableParagraph"/>
              <w:spacing w:before="56"/>
              <w:ind w:left="161" w:right="135"/>
              <w:jc w:val="center"/>
              <w:rPr>
                <w:sz w:val="24"/>
              </w:rPr>
            </w:pPr>
            <w:r>
              <w:rPr>
                <w:sz w:val="24"/>
              </w:rPr>
              <w:t>-0.45</w:t>
            </w:r>
          </w:p>
        </w:tc>
        <w:tc>
          <w:tcPr>
            <w:tcW w:w="1841" w:type="dxa"/>
            <w:tcBorders>
              <w:top w:val="nil"/>
              <w:left w:val="nil"/>
              <w:bottom w:val="nil"/>
              <w:right w:val="nil"/>
            </w:tcBorders>
          </w:tcPr>
          <w:p>
            <w:pPr>
              <w:pStyle w:val="TableParagraph"/>
              <w:spacing w:before="56"/>
              <w:ind w:left="138" w:right="140"/>
              <w:jc w:val="center"/>
              <w:rPr>
                <w:sz w:val="24"/>
              </w:rPr>
            </w:pPr>
            <w:r>
              <w:rPr>
                <w:sz w:val="24"/>
              </w:rPr>
              <w:t>(-4.246, 3.336)</w:t>
            </w:r>
          </w:p>
        </w:tc>
      </w:tr>
      <w:tr>
        <w:trPr>
          <w:trHeight w:val="414" w:hRule="exact"/>
        </w:trPr>
        <w:tc>
          <w:tcPr>
            <w:tcW w:w="2402" w:type="dxa"/>
            <w:tcBorders>
              <w:top w:val="nil"/>
              <w:left w:val="nil"/>
              <w:bottom w:val="nil"/>
              <w:right w:val="nil"/>
            </w:tcBorders>
          </w:tcPr>
          <w:p>
            <w:pPr>
              <w:pStyle w:val="TableParagraph"/>
              <w:spacing w:before="55"/>
              <w:ind w:left="242"/>
              <w:rPr>
                <w:sz w:val="24"/>
              </w:rPr>
            </w:pPr>
            <w:r>
              <w:rPr>
                <w:sz w:val="24"/>
              </w:rPr>
              <w:t>Non DM2-PD</w:t>
            </w:r>
            <w:r>
              <w:rPr>
                <w:spacing w:val="55"/>
                <w:sz w:val="24"/>
              </w:rPr>
              <w:t> </w:t>
            </w:r>
            <w:r>
              <w:rPr>
                <w:sz w:val="24"/>
              </w:rPr>
              <w:t>(ref.)</w:t>
            </w:r>
          </w:p>
        </w:tc>
        <w:tc>
          <w:tcPr>
            <w:tcW w:w="571" w:type="dxa"/>
            <w:tcBorders>
              <w:top w:val="nil"/>
              <w:left w:val="nil"/>
              <w:bottom w:val="nil"/>
              <w:right w:val="nil"/>
            </w:tcBorders>
          </w:tcPr>
          <w:p>
            <w:pPr>
              <w:pStyle w:val="TableParagraph"/>
              <w:spacing w:before="55"/>
              <w:ind w:left="187"/>
              <w:rPr>
                <w:sz w:val="24"/>
              </w:rPr>
            </w:pPr>
            <w:r>
              <w:rPr>
                <w:sz w:val="24"/>
              </w:rPr>
              <w:t>26</w:t>
            </w:r>
          </w:p>
        </w:tc>
        <w:tc>
          <w:tcPr>
            <w:tcW w:w="1145" w:type="dxa"/>
            <w:tcBorders>
              <w:top w:val="nil"/>
              <w:left w:val="nil"/>
              <w:bottom w:val="nil"/>
              <w:right w:val="nil"/>
            </w:tcBorders>
          </w:tcPr>
          <w:p>
            <w:pPr>
              <w:pStyle w:val="TableParagraph"/>
              <w:spacing w:before="55"/>
              <w:ind w:left="123" w:right="128"/>
              <w:jc w:val="center"/>
              <w:rPr>
                <w:sz w:val="24"/>
              </w:rPr>
            </w:pPr>
            <w:r>
              <w:rPr>
                <w:sz w:val="24"/>
              </w:rPr>
              <w:t>1.52</w:t>
            </w:r>
          </w:p>
        </w:tc>
        <w:tc>
          <w:tcPr>
            <w:tcW w:w="802" w:type="dxa"/>
            <w:tcBorders>
              <w:top w:val="nil"/>
              <w:left w:val="nil"/>
              <w:bottom w:val="nil"/>
              <w:right w:val="nil"/>
            </w:tcBorders>
          </w:tcPr>
          <w:p>
            <w:pPr>
              <w:pStyle w:val="TableParagraph"/>
              <w:spacing w:before="55"/>
              <w:ind w:left="130" w:right="132"/>
              <w:jc w:val="center"/>
              <w:rPr>
                <w:sz w:val="24"/>
              </w:rPr>
            </w:pPr>
            <w:r>
              <w:rPr>
                <w:sz w:val="24"/>
              </w:rPr>
              <w:t>-1.52</w:t>
            </w:r>
          </w:p>
        </w:tc>
        <w:tc>
          <w:tcPr>
            <w:tcW w:w="1765" w:type="dxa"/>
            <w:tcBorders>
              <w:top w:val="nil"/>
              <w:left w:val="nil"/>
              <w:bottom w:val="nil"/>
              <w:right w:val="nil"/>
            </w:tcBorders>
          </w:tcPr>
          <w:p>
            <w:pPr>
              <w:pStyle w:val="TableParagraph"/>
              <w:spacing w:before="55"/>
              <w:ind w:left="134" w:right="150"/>
              <w:jc w:val="center"/>
              <w:rPr>
                <w:sz w:val="24"/>
              </w:rPr>
            </w:pPr>
            <w:r>
              <w:rPr>
                <w:sz w:val="24"/>
              </w:rPr>
              <w:t>(-3.597, 0.551)</w:t>
            </w:r>
          </w:p>
        </w:tc>
        <w:tc>
          <w:tcPr>
            <w:tcW w:w="1219" w:type="dxa"/>
            <w:tcBorders>
              <w:top w:val="nil"/>
              <w:left w:val="nil"/>
              <w:bottom w:val="nil"/>
              <w:right w:val="nil"/>
            </w:tcBorders>
          </w:tcPr>
          <w:p>
            <w:pPr>
              <w:pStyle w:val="TableParagraph"/>
              <w:spacing w:before="55"/>
              <w:ind w:left="153" w:right="170"/>
              <w:jc w:val="center"/>
              <w:rPr>
                <w:sz w:val="24"/>
              </w:rPr>
            </w:pPr>
            <w:r>
              <w:rPr>
                <w:sz w:val="24"/>
              </w:rPr>
              <w:t>-2.38</w:t>
            </w:r>
          </w:p>
        </w:tc>
        <w:tc>
          <w:tcPr>
            <w:tcW w:w="840" w:type="dxa"/>
            <w:tcBorders>
              <w:top w:val="nil"/>
              <w:left w:val="nil"/>
              <w:bottom w:val="nil"/>
              <w:right w:val="nil"/>
            </w:tcBorders>
          </w:tcPr>
          <w:p>
            <w:pPr>
              <w:pStyle w:val="TableParagraph"/>
              <w:spacing w:before="55"/>
              <w:ind w:left="172" w:right="127"/>
              <w:jc w:val="center"/>
              <w:rPr>
                <w:sz w:val="24"/>
              </w:rPr>
            </w:pPr>
            <w:r>
              <w:rPr>
                <w:sz w:val="24"/>
              </w:rPr>
              <w:t>-2.71</w:t>
            </w:r>
          </w:p>
        </w:tc>
        <w:tc>
          <w:tcPr>
            <w:tcW w:w="1774" w:type="dxa"/>
            <w:tcBorders>
              <w:top w:val="nil"/>
              <w:left w:val="nil"/>
              <w:bottom w:val="nil"/>
              <w:right w:val="nil"/>
            </w:tcBorders>
          </w:tcPr>
          <w:p>
            <w:pPr>
              <w:pStyle w:val="TableParagraph"/>
              <w:spacing w:before="55"/>
              <w:ind w:left="127" w:right="146"/>
              <w:jc w:val="center"/>
              <w:rPr>
                <w:sz w:val="24"/>
              </w:rPr>
            </w:pPr>
            <w:r>
              <w:rPr>
                <w:sz w:val="24"/>
              </w:rPr>
              <w:t>(-4.716,-0.722)</w:t>
            </w:r>
          </w:p>
        </w:tc>
        <w:tc>
          <w:tcPr>
            <w:tcW w:w="1204" w:type="dxa"/>
            <w:tcBorders>
              <w:top w:val="nil"/>
              <w:left w:val="nil"/>
              <w:bottom w:val="nil"/>
              <w:right w:val="nil"/>
            </w:tcBorders>
          </w:tcPr>
          <w:p>
            <w:pPr>
              <w:pStyle w:val="TableParagraph"/>
              <w:spacing w:before="55"/>
              <w:ind w:left="149" w:right="159"/>
              <w:jc w:val="center"/>
              <w:rPr>
                <w:sz w:val="24"/>
              </w:rPr>
            </w:pPr>
            <w:r>
              <w:rPr>
                <w:sz w:val="24"/>
              </w:rPr>
              <w:t>-6.41</w:t>
            </w:r>
          </w:p>
        </w:tc>
        <w:tc>
          <w:tcPr>
            <w:tcW w:w="880" w:type="dxa"/>
            <w:tcBorders>
              <w:top w:val="nil"/>
              <w:left w:val="nil"/>
              <w:bottom w:val="nil"/>
              <w:right w:val="nil"/>
            </w:tcBorders>
          </w:tcPr>
          <w:p>
            <w:pPr>
              <w:pStyle w:val="TableParagraph"/>
              <w:spacing w:before="55"/>
              <w:ind w:left="161" w:right="135"/>
              <w:jc w:val="center"/>
              <w:rPr>
                <w:sz w:val="24"/>
              </w:rPr>
            </w:pPr>
            <w:r>
              <w:rPr>
                <w:sz w:val="24"/>
              </w:rPr>
              <w:t>-2.16</w:t>
            </w:r>
          </w:p>
        </w:tc>
        <w:tc>
          <w:tcPr>
            <w:tcW w:w="1841" w:type="dxa"/>
            <w:tcBorders>
              <w:top w:val="nil"/>
              <w:left w:val="nil"/>
              <w:bottom w:val="nil"/>
              <w:right w:val="nil"/>
            </w:tcBorders>
          </w:tcPr>
          <w:p>
            <w:pPr>
              <w:pStyle w:val="TableParagraph"/>
              <w:spacing w:before="55"/>
              <w:ind w:left="138" w:right="142"/>
              <w:jc w:val="center"/>
              <w:rPr>
                <w:sz w:val="24"/>
              </w:rPr>
            </w:pPr>
            <w:r>
              <w:rPr>
                <w:sz w:val="24"/>
              </w:rPr>
              <w:t>(-3.974, -0.346)</w:t>
            </w:r>
          </w:p>
        </w:tc>
      </w:tr>
      <w:tr>
        <w:trPr>
          <w:trHeight w:val="414" w:hRule="exact"/>
        </w:trPr>
        <w:tc>
          <w:tcPr>
            <w:tcW w:w="2402" w:type="dxa"/>
            <w:tcBorders>
              <w:top w:val="nil"/>
              <w:left w:val="nil"/>
              <w:bottom w:val="nil"/>
              <w:right w:val="nil"/>
            </w:tcBorders>
          </w:tcPr>
          <w:p>
            <w:pPr>
              <w:pStyle w:val="TableParagraph"/>
              <w:spacing w:before="56"/>
              <w:ind w:left="122"/>
              <w:rPr>
                <w:sz w:val="24"/>
              </w:rPr>
            </w:pPr>
            <w:r>
              <w:rPr>
                <w:sz w:val="24"/>
              </w:rPr>
              <w:t>39 – 60</w:t>
            </w:r>
          </w:p>
        </w:tc>
        <w:tc>
          <w:tcPr>
            <w:tcW w:w="571" w:type="dxa"/>
            <w:tcBorders>
              <w:top w:val="nil"/>
              <w:left w:val="nil"/>
              <w:bottom w:val="nil"/>
              <w:right w:val="nil"/>
            </w:tcBorders>
          </w:tcPr>
          <w:p>
            <w:pPr/>
          </w:p>
        </w:tc>
        <w:tc>
          <w:tcPr>
            <w:tcW w:w="1145" w:type="dxa"/>
            <w:tcBorders>
              <w:top w:val="nil"/>
              <w:left w:val="nil"/>
              <w:bottom w:val="nil"/>
              <w:right w:val="nil"/>
            </w:tcBorders>
          </w:tcPr>
          <w:p>
            <w:pPr/>
          </w:p>
        </w:tc>
        <w:tc>
          <w:tcPr>
            <w:tcW w:w="802" w:type="dxa"/>
            <w:tcBorders>
              <w:top w:val="nil"/>
              <w:left w:val="nil"/>
              <w:bottom w:val="nil"/>
              <w:right w:val="nil"/>
            </w:tcBorders>
          </w:tcPr>
          <w:p>
            <w:pPr/>
          </w:p>
        </w:tc>
        <w:tc>
          <w:tcPr>
            <w:tcW w:w="1765" w:type="dxa"/>
            <w:tcBorders>
              <w:top w:val="nil"/>
              <w:left w:val="nil"/>
              <w:bottom w:val="nil"/>
              <w:right w:val="nil"/>
            </w:tcBorders>
          </w:tcPr>
          <w:p>
            <w:pPr/>
          </w:p>
        </w:tc>
        <w:tc>
          <w:tcPr>
            <w:tcW w:w="1219" w:type="dxa"/>
            <w:tcBorders>
              <w:top w:val="nil"/>
              <w:left w:val="nil"/>
              <w:bottom w:val="nil"/>
              <w:right w:val="nil"/>
            </w:tcBorders>
          </w:tcPr>
          <w:p>
            <w:pPr/>
          </w:p>
        </w:tc>
        <w:tc>
          <w:tcPr>
            <w:tcW w:w="840" w:type="dxa"/>
            <w:tcBorders>
              <w:top w:val="nil"/>
              <w:left w:val="nil"/>
              <w:bottom w:val="nil"/>
              <w:right w:val="nil"/>
            </w:tcBorders>
          </w:tcPr>
          <w:p>
            <w:pPr/>
          </w:p>
        </w:tc>
        <w:tc>
          <w:tcPr>
            <w:tcW w:w="1774" w:type="dxa"/>
            <w:tcBorders>
              <w:top w:val="nil"/>
              <w:left w:val="nil"/>
              <w:bottom w:val="nil"/>
              <w:right w:val="nil"/>
            </w:tcBorders>
          </w:tcPr>
          <w:p>
            <w:pPr/>
          </w:p>
        </w:tc>
        <w:tc>
          <w:tcPr>
            <w:tcW w:w="1204" w:type="dxa"/>
            <w:tcBorders>
              <w:top w:val="nil"/>
              <w:left w:val="nil"/>
              <w:bottom w:val="nil"/>
              <w:right w:val="nil"/>
            </w:tcBorders>
          </w:tcPr>
          <w:p>
            <w:pPr/>
          </w:p>
        </w:tc>
        <w:tc>
          <w:tcPr>
            <w:tcW w:w="880" w:type="dxa"/>
            <w:tcBorders>
              <w:top w:val="nil"/>
              <w:left w:val="nil"/>
              <w:bottom w:val="nil"/>
              <w:right w:val="nil"/>
            </w:tcBorders>
          </w:tcPr>
          <w:p>
            <w:pPr/>
          </w:p>
        </w:tc>
        <w:tc>
          <w:tcPr>
            <w:tcW w:w="1841" w:type="dxa"/>
            <w:tcBorders>
              <w:top w:val="nil"/>
              <w:left w:val="nil"/>
              <w:bottom w:val="nil"/>
              <w:right w:val="nil"/>
            </w:tcBorders>
          </w:tcPr>
          <w:p>
            <w:pPr/>
          </w:p>
        </w:tc>
      </w:tr>
      <w:tr>
        <w:trPr>
          <w:trHeight w:val="414" w:hRule="exact"/>
        </w:trPr>
        <w:tc>
          <w:tcPr>
            <w:tcW w:w="2402" w:type="dxa"/>
            <w:tcBorders>
              <w:top w:val="nil"/>
              <w:left w:val="nil"/>
              <w:bottom w:val="nil"/>
              <w:right w:val="nil"/>
            </w:tcBorders>
          </w:tcPr>
          <w:p>
            <w:pPr>
              <w:pStyle w:val="TableParagraph"/>
              <w:spacing w:before="55"/>
              <w:ind w:left="242"/>
              <w:rPr>
                <w:sz w:val="24"/>
              </w:rPr>
            </w:pPr>
            <w:r>
              <w:rPr>
                <w:sz w:val="24"/>
              </w:rPr>
              <w:t>PD (ref.)</w:t>
            </w:r>
          </w:p>
        </w:tc>
        <w:tc>
          <w:tcPr>
            <w:tcW w:w="571" w:type="dxa"/>
            <w:tcBorders>
              <w:top w:val="nil"/>
              <w:left w:val="nil"/>
              <w:bottom w:val="nil"/>
              <w:right w:val="nil"/>
            </w:tcBorders>
          </w:tcPr>
          <w:p>
            <w:pPr>
              <w:pStyle w:val="TableParagraph"/>
              <w:spacing w:before="55"/>
              <w:ind w:left="187"/>
              <w:rPr>
                <w:sz w:val="24"/>
              </w:rPr>
            </w:pPr>
            <w:r>
              <w:rPr>
                <w:sz w:val="24"/>
              </w:rPr>
              <w:t>12</w:t>
            </w:r>
          </w:p>
        </w:tc>
        <w:tc>
          <w:tcPr>
            <w:tcW w:w="1145" w:type="dxa"/>
            <w:tcBorders>
              <w:top w:val="nil"/>
              <w:left w:val="nil"/>
              <w:bottom w:val="nil"/>
              <w:right w:val="nil"/>
            </w:tcBorders>
          </w:tcPr>
          <w:p>
            <w:pPr>
              <w:pStyle w:val="TableParagraph"/>
              <w:spacing w:before="55"/>
              <w:ind w:left="123" w:right="128"/>
              <w:jc w:val="center"/>
              <w:rPr>
                <w:sz w:val="24"/>
              </w:rPr>
            </w:pPr>
            <w:r>
              <w:rPr>
                <w:sz w:val="24"/>
              </w:rPr>
              <w:t>0.04</w:t>
            </w:r>
          </w:p>
        </w:tc>
        <w:tc>
          <w:tcPr>
            <w:tcW w:w="802" w:type="dxa"/>
            <w:tcBorders>
              <w:top w:val="nil"/>
              <w:left w:val="nil"/>
              <w:bottom w:val="nil"/>
              <w:right w:val="nil"/>
            </w:tcBorders>
          </w:tcPr>
          <w:p>
            <w:pPr>
              <w:pStyle w:val="TableParagraph"/>
              <w:spacing w:before="55"/>
              <w:ind w:left="130" w:right="130"/>
              <w:jc w:val="center"/>
              <w:rPr>
                <w:sz w:val="24"/>
              </w:rPr>
            </w:pPr>
            <w:r>
              <w:rPr>
                <w:sz w:val="24"/>
              </w:rPr>
              <w:t>1.94</w:t>
            </w:r>
          </w:p>
        </w:tc>
        <w:tc>
          <w:tcPr>
            <w:tcW w:w="1765" w:type="dxa"/>
            <w:tcBorders>
              <w:top w:val="nil"/>
              <w:left w:val="nil"/>
              <w:bottom w:val="nil"/>
              <w:right w:val="nil"/>
            </w:tcBorders>
          </w:tcPr>
          <w:p>
            <w:pPr>
              <w:pStyle w:val="TableParagraph"/>
              <w:spacing w:before="55"/>
              <w:ind w:left="134" w:right="150"/>
              <w:jc w:val="center"/>
              <w:rPr>
                <w:sz w:val="24"/>
              </w:rPr>
            </w:pPr>
            <w:r>
              <w:rPr>
                <w:sz w:val="24"/>
              </w:rPr>
              <w:t>(-0.870, 4.757)</w:t>
            </w:r>
          </w:p>
        </w:tc>
        <w:tc>
          <w:tcPr>
            <w:tcW w:w="1219" w:type="dxa"/>
            <w:tcBorders>
              <w:top w:val="nil"/>
              <w:left w:val="nil"/>
              <w:bottom w:val="nil"/>
              <w:right w:val="nil"/>
            </w:tcBorders>
          </w:tcPr>
          <w:p>
            <w:pPr>
              <w:pStyle w:val="TableParagraph"/>
              <w:spacing w:before="55"/>
              <w:ind w:left="152" w:right="171"/>
              <w:jc w:val="center"/>
              <w:rPr>
                <w:sz w:val="24"/>
              </w:rPr>
            </w:pPr>
            <w:r>
              <w:rPr>
                <w:sz w:val="24"/>
              </w:rPr>
              <w:t>2.65</w:t>
            </w:r>
          </w:p>
        </w:tc>
        <w:tc>
          <w:tcPr>
            <w:tcW w:w="840" w:type="dxa"/>
            <w:tcBorders>
              <w:top w:val="nil"/>
              <w:left w:val="nil"/>
              <w:bottom w:val="nil"/>
              <w:right w:val="nil"/>
            </w:tcBorders>
          </w:tcPr>
          <w:p>
            <w:pPr>
              <w:pStyle w:val="TableParagraph"/>
              <w:spacing w:before="55"/>
              <w:ind w:left="169" w:right="127"/>
              <w:jc w:val="center"/>
              <w:rPr>
                <w:sz w:val="24"/>
              </w:rPr>
            </w:pPr>
            <w:r>
              <w:rPr>
                <w:sz w:val="24"/>
              </w:rPr>
              <w:t>3.03</w:t>
            </w:r>
          </w:p>
        </w:tc>
        <w:tc>
          <w:tcPr>
            <w:tcW w:w="1774" w:type="dxa"/>
            <w:tcBorders>
              <w:top w:val="nil"/>
              <w:left w:val="nil"/>
              <w:bottom w:val="nil"/>
              <w:right w:val="nil"/>
            </w:tcBorders>
          </w:tcPr>
          <w:p>
            <w:pPr>
              <w:pStyle w:val="TableParagraph"/>
              <w:spacing w:before="55"/>
              <w:ind w:left="127" w:right="143"/>
              <w:jc w:val="center"/>
              <w:rPr>
                <w:sz w:val="24"/>
              </w:rPr>
            </w:pPr>
            <w:r>
              <w:rPr>
                <w:sz w:val="24"/>
              </w:rPr>
              <w:t>(0.172, 5.899)</w:t>
            </w:r>
          </w:p>
        </w:tc>
        <w:tc>
          <w:tcPr>
            <w:tcW w:w="1204" w:type="dxa"/>
            <w:tcBorders>
              <w:top w:val="nil"/>
              <w:left w:val="nil"/>
              <w:bottom w:val="nil"/>
              <w:right w:val="nil"/>
            </w:tcBorders>
          </w:tcPr>
          <w:p>
            <w:pPr>
              <w:pStyle w:val="TableParagraph"/>
              <w:spacing w:before="55"/>
              <w:ind w:left="148" w:right="160"/>
              <w:jc w:val="center"/>
              <w:rPr>
                <w:sz w:val="24"/>
              </w:rPr>
            </w:pPr>
            <w:r>
              <w:rPr>
                <w:sz w:val="24"/>
              </w:rPr>
              <w:t>4.46</w:t>
            </w:r>
          </w:p>
        </w:tc>
        <w:tc>
          <w:tcPr>
            <w:tcW w:w="880" w:type="dxa"/>
            <w:tcBorders>
              <w:top w:val="nil"/>
              <w:left w:val="nil"/>
              <w:bottom w:val="nil"/>
              <w:right w:val="nil"/>
            </w:tcBorders>
          </w:tcPr>
          <w:p>
            <w:pPr>
              <w:pStyle w:val="TableParagraph"/>
              <w:spacing w:before="55"/>
              <w:ind w:left="161" w:right="138"/>
              <w:jc w:val="center"/>
              <w:rPr>
                <w:sz w:val="24"/>
              </w:rPr>
            </w:pPr>
            <w:r>
              <w:rPr>
                <w:sz w:val="24"/>
              </w:rPr>
              <w:t>2.32</w:t>
            </w:r>
          </w:p>
        </w:tc>
        <w:tc>
          <w:tcPr>
            <w:tcW w:w="1841" w:type="dxa"/>
            <w:tcBorders>
              <w:top w:val="nil"/>
              <w:left w:val="nil"/>
              <w:bottom w:val="nil"/>
              <w:right w:val="nil"/>
            </w:tcBorders>
          </w:tcPr>
          <w:p>
            <w:pPr>
              <w:pStyle w:val="TableParagraph"/>
              <w:spacing w:before="55"/>
              <w:ind w:left="138" w:right="140"/>
              <w:jc w:val="center"/>
              <w:rPr>
                <w:sz w:val="24"/>
              </w:rPr>
            </w:pPr>
            <w:r>
              <w:rPr>
                <w:sz w:val="24"/>
              </w:rPr>
              <w:t>(-0.833, 5.491)</w:t>
            </w:r>
          </w:p>
        </w:tc>
      </w:tr>
      <w:tr>
        <w:trPr>
          <w:trHeight w:val="480" w:hRule="exact"/>
        </w:trPr>
        <w:tc>
          <w:tcPr>
            <w:tcW w:w="2402" w:type="dxa"/>
            <w:tcBorders>
              <w:top w:val="nil"/>
              <w:left w:val="nil"/>
              <w:right w:val="nil"/>
            </w:tcBorders>
          </w:tcPr>
          <w:p>
            <w:pPr>
              <w:pStyle w:val="TableParagraph"/>
              <w:spacing w:before="56"/>
              <w:ind w:left="242"/>
              <w:rPr>
                <w:sz w:val="24"/>
              </w:rPr>
            </w:pPr>
            <w:r>
              <w:rPr>
                <w:sz w:val="24"/>
              </w:rPr>
              <w:t>Non DM2-PD (ref.)</w:t>
            </w:r>
          </w:p>
        </w:tc>
        <w:tc>
          <w:tcPr>
            <w:tcW w:w="571" w:type="dxa"/>
            <w:tcBorders>
              <w:top w:val="nil"/>
              <w:left w:val="nil"/>
              <w:right w:val="nil"/>
            </w:tcBorders>
          </w:tcPr>
          <w:p>
            <w:pPr>
              <w:pStyle w:val="TableParagraph"/>
              <w:spacing w:before="56"/>
              <w:ind w:left="247"/>
              <w:rPr>
                <w:sz w:val="24"/>
              </w:rPr>
            </w:pPr>
            <w:r>
              <w:rPr>
                <w:sz w:val="24"/>
              </w:rPr>
              <w:t>4</w:t>
            </w:r>
          </w:p>
        </w:tc>
        <w:tc>
          <w:tcPr>
            <w:tcW w:w="1145" w:type="dxa"/>
            <w:tcBorders>
              <w:top w:val="nil"/>
              <w:left w:val="nil"/>
              <w:right w:val="nil"/>
            </w:tcBorders>
          </w:tcPr>
          <w:p>
            <w:pPr>
              <w:pStyle w:val="TableParagraph"/>
              <w:spacing w:before="56"/>
              <w:ind w:left="123" w:right="128"/>
              <w:jc w:val="center"/>
              <w:rPr>
                <w:sz w:val="24"/>
              </w:rPr>
            </w:pPr>
            <w:r>
              <w:rPr>
                <w:sz w:val="24"/>
              </w:rPr>
              <w:t>0.90</w:t>
            </w:r>
          </w:p>
        </w:tc>
        <w:tc>
          <w:tcPr>
            <w:tcW w:w="802" w:type="dxa"/>
            <w:tcBorders>
              <w:top w:val="nil"/>
              <w:left w:val="nil"/>
              <w:right w:val="nil"/>
            </w:tcBorders>
          </w:tcPr>
          <w:p>
            <w:pPr>
              <w:pStyle w:val="TableParagraph"/>
              <w:spacing w:before="56"/>
              <w:ind w:left="130" w:right="130"/>
              <w:jc w:val="center"/>
              <w:rPr>
                <w:sz w:val="24"/>
              </w:rPr>
            </w:pPr>
            <w:r>
              <w:rPr>
                <w:sz w:val="24"/>
              </w:rPr>
              <w:t>1.08</w:t>
            </w:r>
          </w:p>
        </w:tc>
        <w:tc>
          <w:tcPr>
            <w:tcW w:w="1765" w:type="dxa"/>
            <w:tcBorders>
              <w:top w:val="nil"/>
              <w:left w:val="nil"/>
              <w:right w:val="nil"/>
            </w:tcBorders>
          </w:tcPr>
          <w:p>
            <w:pPr>
              <w:pStyle w:val="TableParagraph"/>
              <w:spacing w:before="56"/>
              <w:ind w:left="134" w:right="150"/>
              <w:jc w:val="center"/>
              <w:rPr>
                <w:sz w:val="24"/>
              </w:rPr>
            </w:pPr>
            <w:r>
              <w:rPr>
                <w:sz w:val="24"/>
              </w:rPr>
              <w:t>(-3.909, 6.079)</w:t>
            </w:r>
          </w:p>
        </w:tc>
        <w:tc>
          <w:tcPr>
            <w:tcW w:w="1219" w:type="dxa"/>
            <w:tcBorders>
              <w:top w:val="nil"/>
              <w:left w:val="nil"/>
              <w:right w:val="nil"/>
            </w:tcBorders>
          </w:tcPr>
          <w:p>
            <w:pPr>
              <w:pStyle w:val="TableParagraph"/>
              <w:spacing w:before="56"/>
              <w:ind w:left="152" w:right="171"/>
              <w:jc w:val="center"/>
              <w:rPr>
                <w:sz w:val="24"/>
              </w:rPr>
            </w:pPr>
            <w:r>
              <w:rPr>
                <w:sz w:val="24"/>
              </w:rPr>
              <w:t>5.70</w:t>
            </w:r>
          </w:p>
        </w:tc>
        <w:tc>
          <w:tcPr>
            <w:tcW w:w="840" w:type="dxa"/>
            <w:tcBorders>
              <w:top w:val="nil"/>
              <w:left w:val="nil"/>
              <w:right w:val="nil"/>
            </w:tcBorders>
          </w:tcPr>
          <w:p>
            <w:pPr>
              <w:pStyle w:val="TableParagraph"/>
              <w:spacing w:before="56"/>
              <w:ind w:left="169" w:right="127"/>
              <w:jc w:val="center"/>
              <w:rPr>
                <w:sz w:val="24"/>
              </w:rPr>
            </w:pPr>
            <w:r>
              <w:rPr>
                <w:sz w:val="24"/>
              </w:rPr>
              <w:t>1.80</w:t>
            </w:r>
          </w:p>
        </w:tc>
        <w:tc>
          <w:tcPr>
            <w:tcW w:w="1774" w:type="dxa"/>
            <w:tcBorders>
              <w:top w:val="nil"/>
              <w:left w:val="nil"/>
              <w:right w:val="nil"/>
            </w:tcBorders>
          </w:tcPr>
          <w:p>
            <w:pPr>
              <w:pStyle w:val="TableParagraph"/>
              <w:spacing w:before="56"/>
              <w:ind w:left="127" w:right="146"/>
              <w:jc w:val="center"/>
              <w:rPr>
                <w:sz w:val="24"/>
              </w:rPr>
            </w:pPr>
            <w:r>
              <w:rPr>
                <w:sz w:val="24"/>
              </w:rPr>
              <w:t>(-3.075, 6.681)</w:t>
            </w:r>
          </w:p>
        </w:tc>
        <w:tc>
          <w:tcPr>
            <w:tcW w:w="1204" w:type="dxa"/>
            <w:tcBorders>
              <w:top w:val="nil"/>
              <w:left w:val="nil"/>
              <w:right w:val="nil"/>
            </w:tcBorders>
          </w:tcPr>
          <w:p>
            <w:pPr>
              <w:pStyle w:val="TableParagraph"/>
              <w:spacing w:before="56"/>
              <w:ind w:left="148" w:right="160"/>
              <w:jc w:val="center"/>
              <w:rPr>
                <w:sz w:val="24"/>
              </w:rPr>
            </w:pPr>
            <w:r>
              <w:rPr>
                <w:sz w:val="24"/>
              </w:rPr>
              <w:t>6.41</w:t>
            </w:r>
          </w:p>
        </w:tc>
        <w:tc>
          <w:tcPr>
            <w:tcW w:w="880" w:type="dxa"/>
            <w:tcBorders>
              <w:top w:val="nil"/>
              <w:left w:val="nil"/>
              <w:right w:val="nil"/>
            </w:tcBorders>
          </w:tcPr>
          <w:p>
            <w:pPr>
              <w:pStyle w:val="TableParagraph"/>
              <w:spacing w:before="56"/>
              <w:ind w:left="161" w:right="138"/>
              <w:jc w:val="center"/>
              <w:rPr>
                <w:sz w:val="24"/>
              </w:rPr>
            </w:pPr>
            <w:r>
              <w:rPr>
                <w:sz w:val="24"/>
              </w:rPr>
              <w:t>0.66</w:t>
            </w:r>
          </w:p>
        </w:tc>
        <w:tc>
          <w:tcPr>
            <w:tcW w:w="1841" w:type="dxa"/>
            <w:tcBorders>
              <w:top w:val="nil"/>
              <w:left w:val="nil"/>
              <w:right w:val="nil"/>
            </w:tcBorders>
          </w:tcPr>
          <w:p>
            <w:pPr>
              <w:pStyle w:val="TableParagraph"/>
              <w:spacing w:before="56"/>
              <w:ind w:left="138" w:right="140"/>
              <w:jc w:val="center"/>
              <w:rPr>
                <w:sz w:val="24"/>
              </w:rPr>
            </w:pPr>
            <w:r>
              <w:rPr>
                <w:sz w:val="24"/>
              </w:rPr>
              <w:t>(-4.410, 5.740)</w:t>
            </w:r>
          </w:p>
        </w:tc>
      </w:tr>
    </w:tbl>
    <w:p>
      <w:pPr>
        <w:pStyle w:val="BodyText"/>
        <w:rPr>
          <w:b/>
        </w:rPr>
      </w:pPr>
    </w:p>
    <w:p>
      <w:pPr>
        <w:pStyle w:val="BodyText"/>
        <w:rPr>
          <w:b/>
        </w:rPr>
      </w:pPr>
    </w:p>
    <w:p>
      <w:pPr>
        <w:pStyle w:val="BodyText"/>
        <w:spacing w:before="5"/>
        <w:rPr>
          <w:b/>
          <w:sz w:val="23"/>
        </w:rPr>
      </w:pPr>
    </w:p>
    <w:p>
      <w:pPr>
        <w:spacing w:before="0"/>
        <w:ind w:left="555" w:right="489" w:firstLine="0"/>
        <w:jc w:val="left"/>
        <w:rPr>
          <w:sz w:val="20"/>
        </w:rPr>
      </w:pPr>
      <w:r>
        <w:rPr>
          <w:sz w:val="20"/>
        </w:rPr>
        <w:t>Contrasting groups:</w:t>
      </w:r>
    </w:p>
    <w:p>
      <w:pPr>
        <w:spacing w:before="0"/>
        <w:ind w:left="555" w:right="8981" w:firstLine="0"/>
        <w:jc w:val="left"/>
        <w:rPr>
          <w:sz w:val="20"/>
        </w:rPr>
      </w:pPr>
      <w:r>
        <w:rPr>
          <w:sz w:val="20"/>
        </w:rPr>
        <w:t>DM2+PD= diabetes mellitus type 2 and periodontal disease PD= periodontal disease</w:t>
      </w:r>
    </w:p>
    <w:p>
      <w:pPr>
        <w:spacing w:before="0"/>
        <w:ind w:left="555" w:right="489" w:firstLine="0"/>
        <w:jc w:val="left"/>
        <w:rPr>
          <w:sz w:val="20"/>
        </w:rPr>
      </w:pPr>
      <w:r>
        <w:rPr>
          <w:sz w:val="20"/>
        </w:rPr>
        <w:t>No DM-PD= without diabetes mellitus type 2 and periodontal disease</w:t>
      </w:r>
    </w:p>
    <w:p>
      <w:pPr>
        <w:spacing w:before="0"/>
        <w:ind w:left="555" w:right="489" w:firstLine="0"/>
        <w:jc w:val="left"/>
        <w:rPr>
          <w:sz w:val="20"/>
        </w:rPr>
      </w:pPr>
      <w:r>
        <w:rPr>
          <w:sz w:val="20"/>
        </w:rPr>
        <w:t>Adjusted by BMI (continuous), gender, HDL (continuous), smoking status (non-smokers, former and current smokers) and alcohol consumption (never, current consumer)</w:t>
      </w:r>
    </w:p>
    <w:p>
      <w:pPr>
        <w:spacing w:after="0"/>
        <w:jc w:val="left"/>
        <w:rPr>
          <w:sz w:val="20"/>
        </w:rPr>
        <w:sectPr>
          <w:pgSz w:w="15840" w:h="12240" w:orient="landscape"/>
          <w:pgMar w:header="731" w:footer="0" w:top="960" w:bottom="280" w:left="580" w:right="600"/>
        </w:sectPr>
      </w:pPr>
    </w:p>
    <w:p>
      <w:pPr>
        <w:pStyle w:val="BodyText"/>
        <w:rPr>
          <w:sz w:val="20"/>
        </w:rPr>
      </w:pPr>
    </w:p>
    <w:p>
      <w:pPr>
        <w:pStyle w:val="BodyText"/>
        <w:rPr>
          <w:sz w:val="20"/>
        </w:rPr>
      </w:pPr>
    </w:p>
    <w:p>
      <w:pPr>
        <w:pStyle w:val="BodyText"/>
        <w:rPr>
          <w:sz w:val="20"/>
        </w:rPr>
      </w:pPr>
    </w:p>
    <w:p>
      <w:pPr>
        <w:pStyle w:val="BodyText"/>
        <w:rPr>
          <w:sz w:val="23"/>
        </w:rPr>
      </w:pPr>
    </w:p>
    <w:p>
      <w:pPr>
        <w:spacing w:before="66"/>
        <w:ind w:left="478" w:right="0" w:firstLine="0"/>
        <w:jc w:val="left"/>
        <w:rPr>
          <w:b/>
          <w:sz w:val="26"/>
        </w:rPr>
      </w:pPr>
      <w:r>
        <w:rPr>
          <w:b/>
          <w:sz w:val="26"/>
        </w:rPr>
        <w:t>7.2 Resultados adicionales</w:t>
      </w:r>
    </w:p>
    <w:p>
      <w:pPr>
        <w:pStyle w:val="BodyText"/>
        <w:spacing w:before="6"/>
        <w:rPr>
          <w:b/>
          <w:sz w:val="35"/>
        </w:rPr>
      </w:pPr>
    </w:p>
    <w:p>
      <w:pPr>
        <w:pStyle w:val="BodyText"/>
        <w:spacing w:line="360" w:lineRule="auto"/>
        <w:ind w:left="118" w:right="109"/>
        <w:jc w:val="both"/>
      </w:pPr>
      <w:r>
        <w:rPr/>
        <w:t>En la tabla 1, correspondiente a los sextantes de la arcada superior en el sextante de molar superior derecho, se presentó mayor prevalencia de la categoría sano en el grupo no DM2-EP, profundidad al sondeo de 3-5.5mm en el grupo EP, y profundidad de 6 o + mm de profundidad en</w:t>
      </w:r>
      <w:r>
        <w:rPr>
          <w:spacing w:val="-17"/>
        </w:rPr>
        <w:t> </w:t>
      </w:r>
      <w:r>
        <w:rPr/>
        <w:t>el</w:t>
      </w:r>
      <w:r>
        <w:rPr>
          <w:spacing w:val="-12"/>
        </w:rPr>
        <w:t> </w:t>
      </w:r>
      <w:r>
        <w:rPr/>
        <w:t>grupo</w:t>
      </w:r>
      <w:r>
        <w:rPr>
          <w:spacing w:val="-14"/>
        </w:rPr>
        <w:t> </w:t>
      </w:r>
      <w:r>
        <w:rPr/>
        <w:t>DM2+EP.</w:t>
      </w:r>
      <w:r>
        <w:rPr>
          <w:spacing w:val="-16"/>
        </w:rPr>
        <w:t> </w:t>
      </w:r>
      <w:r>
        <w:rPr/>
        <w:t>En</w:t>
      </w:r>
      <w:r>
        <w:rPr>
          <w:spacing w:val="-13"/>
        </w:rPr>
        <w:t> </w:t>
      </w:r>
      <w:r>
        <w:rPr/>
        <w:t>el</w:t>
      </w:r>
      <w:r>
        <w:rPr>
          <w:spacing w:val="-16"/>
        </w:rPr>
        <w:t> </w:t>
      </w:r>
      <w:r>
        <w:rPr/>
        <w:t>sextante</w:t>
      </w:r>
      <w:r>
        <w:rPr>
          <w:spacing w:val="-18"/>
        </w:rPr>
        <w:t> </w:t>
      </w:r>
      <w:r>
        <w:rPr/>
        <w:t>correspondiente</w:t>
      </w:r>
      <w:r>
        <w:rPr>
          <w:spacing w:val="-16"/>
        </w:rPr>
        <w:t> </w:t>
      </w:r>
      <w:r>
        <w:rPr/>
        <w:t>al</w:t>
      </w:r>
      <w:r>
        <w:rPr>
          <w:spacing w:val="-16"/>
        </w:rPr>
        <w:t> </w:t>
      </w:r>
      <w:r>
        <w:rPr/>
        <w:t>órgano</w:t>
      </w:r>
      <w:r>
        <w:rPr>
          <w:spacing w:val="-15"/>
        </w:rPr>
        <w:t> </w:t>
      </w:r>
      <w:r>
        <w:rPr/>
        <w:t>dentario</w:t>
      </w:r>
      <w:r>
        <w:rPr>
          <w:spacing w:val="-14"/>
        </w:rPr>
        <w:t> </w:t>
      </w:r>
      <w:r>
        <w:rPr/>
        <w:t>central</w:t>
      </w:r>
      <w:r>
        <w:rPr>
          <w:spacing w:val="-16"/>
        </w:rPr>
        <w:t> </w:t>
      </w:r>
      <w:r>
        <w:rPr/>
        <w:t>superior,</w:t>
      </w:r>
      <w:r>
        <w:rPr>
          <w:spacing w:val="-15"/>
        </w:rPr>
        <w:t> </w:t>
      </w:r>
      <w:r>
        <w:rPr/>
        <w:t>el</w:t>
      </w:r>
      <w:r>
        <w:rPr>
          <w:spacing w:val="-14"/>
        </w:rPr>
        <w:t> </w:t>
      </w:r>
      <w:r>
        <w:rPr/>
        <w:t>grupo no DM2-EP presentó mayor porcentaje en la categoría de sano, en el grupo con EP en profundidad al sondeo de 3-5.5 mm y el grupo DM2+EP presentó sangrado. En el sextante correspondiente</w:t>
      </w:r>
      <w:r>
        <w:rPr>
          <w:spacing w:val="-10"/>
        </w:rPr>
        <w:t> </w:t>
      </w:r>
      <w:r>
        <w:rPr/>
        <w:t>al</w:t>
      </w:r>
      <w:r>
        <w:rPr>
          <w:spacing w:val="-8"/>
        </w:rPr>
        <w:t> </w:t>
      </w:r>
      <w:r>
        <w:rPr/>
        <w:t>molar</w:t>
      </w:r>
      <w:r>
        <w:rPr>
          <w:spacing w:val="-7"/>
        </w:rPr>
        <w:t> </w:t>
      </w:r>
      <w:r>
        <w:rPr/>
        <w:t>superior</w:t>
      </w:r>
      <w:r>
        <w:rPr>
          <w:spacing w:val="-10"/>
        </w:rPr>
        <w:t> </w:t>
      </w:r>
      <w:r>
        <w:rPr/>
        <w:t>izquierdo</w:t>
      </w:r>
      <w:r>
        <w:rPr>
          <w:spacing w:val="-9"/>
        </w:rPr>
        <w:t> </w:t>
      </w:r>
      <w:r>
        <w:rPr/>
        <w:t>el</w:t>
      </w:r>
      <w:r>
        <w:rPr>
          <w:spacing w:val="-6"/>
        </w:rPr>
        <w:t> </w:t>
      </w:r>
      <w:r>
        <w:rPr/>
        <w:t>grupo</w:t>
      </w:r>
      <w:r>
        <w:rPr>
          <w:spacing w:val="-9"/>
        </w:rPr>
        <w:t> </w:t>
      </w:r>
      <w:r>
        <w:rPr/>
        <w:t>con</w:t>
      </w:r>
      <w:r>
        <w:rPr>
          <w:spacing w:val="-9"/>
        </w:rPr>
        <w:t> </w:t>
      </w:r>
      <w:r>
        <w:rPr/>
        <w:t>DM2+EP</w:t>
      </w:r>
      <w:r>
        <w:rPr>
          <w:spacing w:val="-8"/>
        </w:rPr>
        <w:t> </w:t>
      </w:r>
      <w:r>
        <w:rPr/>
        <w:t>mostró</w:t>
      </w:r>
      <w:r>
        <w:rPr>
          <w:spacing w:val="-5"/>
        </w:rPr>
        <w:t> </w:t>
      </w:r>
      <w:r>
        <w:rPr/>
        <w:t>mayor</w:t>
      </w:r>
      <w:r>
        <w:rPr>
          <w:spacing w:val="-7"/>
        </w:rPr>
        <w:t> </w:t>
      </w:r>
      <w:r>
        <w:rPr/>
        <w:t>prevalencia</w:t>
      </w:r>
      <w:r>
        <w:rPr>
          <w:spacing w:val="-10"/>
        </w:rPr>
        <w:t> </w:t>
      </w:r>
      <w:r>
        <w:rPr/>
        <w:t>en la categoría de sondeo de 3-5.5mm, de igual forma el grupo EP, observando lo contrario en el grupo no</w:t>
      </w:r>
      <w:r>
        <w:rPr>
          <w:spacing w:val="-6"/>
        </w:rPr>
        <w:t> </w:t>
      </w:r>
      <w:r>
        <w:rPr/>
        <w:t>DM2-EP.</w:t>
      </w:r>
    </w:p>
    <w:p>
      <w:pPr>
        <w:pStyle w:val="BodyText"/>
        <w:spacing w:before="8"/>
      </w:pPr>
    </w:p>
    <w:p>
      <w:pPr>
        <w:pStyle w:val="Heading3"/>
        <w:ind w:left="118"/>
      </w:pPr>
      <w:r>
        <w:rPr/>
        <w:t>Tabla1. IPC arcada superior por grupos de estudio.</w:t>
      </w:r>
    </w:p>
    <w:p>
      <w:pPr>
        <w:pStyle w:val="BodyText"/>
        <w:spacing w:before="3"/>
        <w:rPr>
          <w:b/>
        </w:rPr>
      </w:pPr>
    </w:p>
    <w:tbl>
      <w:tblPr>
        <w:tblW w:w="0" w:type="auto"/>
        <w:jc w:val="left"/>
        <w:tblInd w:w="11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3281"/>
        <w:gridCol w:w="1534"/>
        <w:gridCol w:w="1537"/>
        <w:gridCol w:w="1572"/>
        <w:gridCol w:w="1270"/>
      </w:tblGrid>
      <w:tr>
        <w:trPr>
          <w:trHeight w:val="526" w:hRule="exact"/>
        </w:trPr>
        <w:tc>
          <w:tcPr>
            <w:tcW w:w="3281" w:type="dxa"/>
            <w:tcBorders>
              <w:bottom w:val="single" w:sz="12" w:space="0" w:color="666666"/>
            </w:tcBorders>
          </w:tcPr>
          <w:p>
            <w:pPr/>
          </w:p>
        </w:tc>
        <w:tc>
          <w:tcPr>
            <w:tcW w:w="1534" w:type="dxa"/>
            <w:tcBorders>
              <w:bottom w:val="single" w:sz="12" w:space="0" w:color="666666"/>
            </w:tcBorders>
          </w:tcPr>
          <w:p>
            <w:pPr>
              <w:pStyle w:val="TableParagraph"/>
              <w:spacing w:before="20"/>
              <w:ind w:left="260" w:right="260"/>
              <w:jc w:val="center"/>
              <w:rPr>
                <w:b/>
                <w:sz w:val="24"/>
              </w:rPr>
            </w:pPr>
            <w:r>
              <w:rPr>
                <w:b/>
                <w:sz w:val="24"/>
              </w:rPr>
              <w:t>DM2+EP</w:t>
            </w:r>
          </w:p>
        </w:tc>
        <w:tc>
          <w:tcPr>
            <w:tcW w:w="1537" w:type="dxa"/>
            <w:tcBorders>
              <w:bottom w:val="single" w:sz="12" w:space="0" w:color="666666"/>
            </w:tcBorders>
          </w:tcPr>
          <w:p>
            <w:pPr>
              <w:pStyle w:val="TableParagraph"/>
              <w:spacing w:before="20"/>
              <w:ind w:left="533" w:right="533"/>
              <w:jc w:val="center"/>
              <w:rPr>
                <w:b/>
                <w:sz w:val="24"/>
              </w:rPr>
            </w:pPr>
            <w:r>
              <w:rPr>
                <w:b/>
                <w:sz w:val="24"/>
              </w:rPr>
              <w:t>EP</w:t>
            </w:r>
          </w:p>
        </w:tc>
        <w:tc>
          <w:tcPr>
            <w:tcW w:w="1572" w:type="dxa"/>
            <w:tcBorders>
              <w:bottom w:val="single" w:sz="12" w:space="0" w:color="666666"/>
            </w:tcBorders>
          </w:tcPr>
          <w:p>
            <w:pPr>
              <w:pStyle w:val="TableParagraph"/>
              <w:spacing w:before="20"/>
              <w:ind w:left="150" w:right="151"/>
              <w:jc w:val="center"/>
              <w:rPr>
                <w:b/>
                <w:sz w:val="24"/>
              </w:rPr>
            </w:pPr>
            <w:r>
              <w:rPr>
                <w:b/>
                <w:sz w:val="24"/>
              </w:rPr>
              <w:t>no DM2-EP</w:t>
            </w:r>
          </w:p>
        </w:tc>
        <w:tc>
          <w:tcPr>
            <w:tcW w:w="1270" w:type="dxa"/>
            <w:tcBorders>
              <w:bottom w:val="single" w:sz="12" w:space="0" w:color="666666"/>
            </w:tcBorders>
          </w:tcPr>
          <w:p>
            <w:pPr>
              <w:pStyle w:val="TableParagraph"/>
              <w:spacing w:before="20"/>
              <w:ind w:left="205" w:right="205"/>
              <w:jc w:val="center"/>
              <w:rPr>
                <w:b/>
                <w:sz w:val="24"/>
              </w:rPr>
            </w:pPr>
            <w:r>
              <w:rPr>
                <w:b/>
                <w:sz w:val="24"/>
              </w:rPr>
              <w:t>p ˂ 0.05</w:t>
            </w:r>
          </w:p>
        </w:tc>
      </w:tr>
      <w:tr>
        <w:trPr>
          <w:trHeight w:val="778" w:hRule="exact"/>
        </w:trPr>
        <w:tc>
          <w:tcPr>
            <w:tcW w:w="3281" w:type="dxa"/>
            <w:tcBorders>
              <w:top w:val="single" w:sz="12" w:space="0" w:color="666666"/>
            </w:tcBorders>
          </w:tcPr>
          <w:p>
            <w:pPr>
              <w:pStyle w:val="TableParagraph"/>
              <w:spacing w:line="256" w:lineRule="auto" w:before="1"/>
              <w:ind w:left="103"/>
              <w:rPr>
                <w:b/>
                <w:sz w:val="24"/>
              </w:rPr>
            </w:pPr>
            <w:r>
              <w:rPr>
                <w:b/>
                <w:sz w:val="24"/>
              </w:rPr>
              <w:t>MOLAR SUPERIOR DERECHO</w:t>
            </w:r>
          </w:p>
        </w:tc>
        <w:tc>
          <w:tcPr>
            <w:tcW w:w="1534" w:type="dxa"/>
            <w:tcBorders>
              <w:top w:val="single" w:sz="12" w:space="0" w:color="666666"/>
            </w:tcBorders>
          </w:tcPr>
          <w:p>
            <w:pPr>
              <w:pStyle w:val="TableParagraph"/>
              <w:spacing w:before="143"/>
              <w:ind w:left="260" w:right="260"/>
              <w:jc w:val="center"/>
              <w:rPr>
                <w:sz w:val="24"/>
              </w:rPr>
            </w:pPr>
            <w:r>
              <w:rPr>
                <w:sz w:val="24"/>
              </w:rPr>
              <w:t>(%)</w:t>
            </w:r>
          </w:p>
        </w:tc>
        <w:tc>
          <w:tcPr>
            <w:tcW w:w="1537" w:type="dxa"/>
            <w:tcBorders>
              <w:top w:val="single" w:sz="12" w:space="0" w:color="666666"/>
            </w:tcBorders>
          </w:tcPr>
          <w:p>
            <w:pPr>
              <w:pStyle w:val="TableParagraph"/>
              <w:spacing w:before="143"/>
              <w:ind w:left="533" w:right="534"/>
              <w:jc w:val="center"/>
              <w:rPr>
                <w:sz w:val="24"/>
              </w:rPr>
            </w:pPr>
            <w:r>
              <w:rPr>
                <w:sz w:val="24"/>
              </w:rPr>
              <w:t>(%)</w:t>
            </w:r>
          </w:p>
        </w:tc>
        <w:tc>
          <w:tcPr>
            <w:tcW w:w="1572" w:type="dxa"/>
            <w:tcBorders>
              <w:top w:val="single" w:sz="12" w:space="0" w:color="666666"/>
            </w:tcBorders>
          </w:tcPr>
          <w:p>
            <w:pPr>
              <w:pStyle w:val="TableParagraph"/>
              <w:spacing w:before="143"/>
              <w:ind w:left="149" w:right="151"/>
              <w:jc w:val="center"/>
              <w:rPr>
                <w:sz w:val="24"/>
              </w:rPr>
            </w:pPr>
            <w:r>
              <w:rPr>
                <w:sz w:val="24"/>
              </w:rPr>
              <w:t>(%)</w:t>
            </w:r>
          </w:p>
        </w:tc>
        <w:tc>
          <w:tcPr>
            <w:tcW w:w="1270" w:type="dxa"/>
            <w:tcBorders>
              <w:top w:val="single" w:sz="12" w:space="0" w:color="666666"/>
            </w:tcBorders>
          </w:tcPr>
          <w:p>
            <w:pPr/>
          </w:p>
        </w:tc>
      </w:tr>
      <w:tr>
        <w:trPr>
          <w:trHeight w:val="466" w:hRule="exact"/>
        </w:trPr>
        <w:tc>
          <w:tcPr>
            <w:tcW w:w="3281" w:type="dxa"/>
          </w:tcPr>
          <w:p>
            <w:pPr>
              <w:pStyle w:val="TableParagraph"/>
              <w:spacing w:line="273" w:lineRule="exact"/>
              <w:ind w:left="103"/>
              <w:rPr>
                <w:b/>
                <w:sz w:val="24"/>
              </w:rPr>
            </w:pPr>
            <w:r>
              <w:rPr>
                <w:b/>
                <w:sz w:val="24"/>
              </w:rPr>
              <w:t>Sano</w:t>
            </w:r>
          </w:p>
        </w:tc>
        <w:tc>
          <w:tcPr>
            <w:tcW w:w="1534" w:type="dxa"/>
          </w:tcPr>
          <w:p>
            <w:pPr>
              <w:pStyle w:val="TableParagraph"/>
              <w:spacing w:line="268" w:lineRule="exact"/>
              <w:ind w:left="260" w:right="260"/>
              <w:jc w:val="center"/>
              <w:rPr>
                <w:sz w:val="24"/>
              </w:rPr>
            </w:pPr>
            <w:r>
              <w:rPr>
                <w:sz w:val="24"/>
              </w:rPr>
              <w:t>0.0</w:t>
            </w:r>
          </w:p>
        </w:tc>
        <w:tc>
          <w:tcPr>
            <w:tcW w:w="1537" w:type="dxa"/>
          </w:tcPr>
          <w:p>
            <w:pPr>
              <w:pStyle w:val="TableParagraph"/>
              <w:spacing w:line="268" w:lineRule="exact"/>
              <w:ind w:left="533" w:right="534"/>
              <w:jc w:val="center"/>
              <w:rPr>
                <w:sz w:val="24"/>
              </w:rPr>
            </w:pPr>
            <w:r>
              <w:rPr>
                <w:sz w:val="24"/>
              </w:rPr>
              <w:t>0.0</w:t>
            </w:r>
          </w:p>
        </w:tc>
        <w:tc>
          <w:tcPr>
            <w:tcW w:w="1572" w:type="dxa"/>
          </w:tcPr>
          <w:p>
            <w:pPr>
              <w:pStyle w:val="TableParagraph"/>
              <w:spacing w:line="268" w:lineRule="exact"/>
              <w:ind w:left="150" w:right="150"/>
              <w:jc w:val="center"/>
              <w:rPr>
                <w:sz w:val="24"/>
              </w:rPr>
            </w:pPr>
            <w:r>
              <w:rPr>
                <w:sz w:val="24"/>
              </w:rPr>
              <w:t>53.3</w:t>
            </w:r>
          </w:p>
        </w:tc>
        <w:tc>
          <w:tcPr>
            <w:tcW w:w="1270" w:type="dxa"/>
          </w:tcPr>
          <w:p>
            <w:pPr>
              <w:pStyle w:val="TableParagraph"/>
              <w:spacing w:line="268" w:lineRule="exact"/>
              <w:ind w:left="202" w:right="205"/>
              <w:jc w:val="center"/>
              <w:rPr>
                <w:sz w:val="24"/>
              </w:rPr>
            </w:pPr>
            <w:r>
              <w:rPr>
                <w:sz w:val="24"/>
              </w:rPr>
              <w:t>˂0.001</w:t>
            </w:r>
          </w:p>
        </w:tc>
      </w:tr>
      <w:tr>
        <w:trPr>
          <w:trHeight w:val="468" w:hRule="exact"/>
        </w:trPr>
        <w:tc>
          <w:tcPr>
            <w:tcW w:w="3281" w:type="dxa"/>
          </w:tcPr>
          <w:p>
            <w:pPr>
              <w:pStyle w:val="TableParagraph"/>
              <w:spacing w:line="275" w:lineRule="exact"/>
              <w:ind w:left="103"/>
              <w:rPr>
                <w:b/>
                <w:sz w:val="24"/>
              </w:rPr>
            </w:pPr>
            <w:r>
              <w:rPr>
                <w:b/>
                <w:sz w:val="24"/>
              </w:rPr>
              <w:t>Sangrado</w:t>
            </w:r>
          </w:p>
        </w:tc>
        <w:tc>
          <w:tcPr>
            <w:tcW w:w="1534" w:type="dxa"/>
          </w:tcPr>
          <w:p>
            <w:pPr>
              <w:pStyle w:val="TableParagraph"/>
              <w:spacing w:line="270" w:lineRule="exact"/>
              <w:ind w:left="260" w:right="260"/>
              <w:jc w:val="center"/>
              <w:rPr>
                <w:sz w:val="24"/>
              </w:rPr>
            </w:pPr>
            <w:r>
              <w:rPr>
                <w:sz w:val="24"/>
              </w:rPr>
              <w:t>0.0</w:t>
            </w:r>
          </w:p>
        </w:tc>
        <w:tc>
          <w:tcPr>
            <w:tcW w:w="1537" w:type="dxa"/>
          </w:tcPr>
          <w:p>
            <w:pPr>
              <w:pStyle w:val="TableParagraph"/>
              <w:spacing w:line="270" w:lineRule="exact"/>
              <w:ind w:left="533" w:right="534"/>
              <w:jc w:val="center"/>
              <w:rPr>
                <w:sz w:val="24"/>
              </w:rPr>
            </w:pPr>
            <w:r>
              <w:rPr>
                <w:sz w:val="24"/>
              </w:rPr>
              <w:t>3.3</w:t>
            </w:r>
          </w:p>
        </w:tc>
        <w:tc>
          <w:tcPr>
            <w:tcW w:w="1572" w:type="dxa"/>
          </w:tcPr>
          <w:p>
            <w:pPr>
              <w:pStyle w:val="TableParagraph"/>
              <w:spacing w:line="270" w:lineRule="exact"/>
              <w:ind w:left="150" w:right="150"/>
              <w:jc w:val="center"/>
              <w:rPr>
                <w:sz w:val="24"/>
              </w:rPr>
            </w:pPr>
            <w:r>
              <w:rPr>
                <w:sz w:val="24"/>
              </w:rPr>
              <w:t>23.3</w:t>
            </w:r>
          </w:p>
        </w:tc>
        <w:tc>
          <w:tcPr>
            <w:tcW w:w="1270" w:type="dxa"/>
          </w:tcPr>
          <w:p>
            <w:pPr>
              <w:pStyle w:val="TableParagraph"/>
              <w:spacing w:line="270" w:lineRule="exact"/>
              <w:ind w:left="202" w:right="205"/>
              <w:jc w:val="center"/>
              <w:rPr>
                <w:sz w:val="24"/>
              </w:rPr>
            </w:pPr>
            <w:r>
              <w:rPr>
                <w:sz w:val="24"/>
              </w:rPr>
              <w:t>0.007</w:t>
            </w:r>
          </w:p>
        </w:tc>
      </w:tr>
      <w:tr>
        <w:trPr>
          <w:trHeight w:val="468" w:hRule="exact"/>
        </w:trPr>
        <w:tc>
          <w:tcPr>
            <w:tcW w:w="3281" w:type="dxa"/>
          </w:tcPr>
          <w:p>
            <w:pPr>
              <w:pStyle w:val="TableParagraph"/>
              <w:spacing w:line="275" w:lineRule="exact"/>
              <w:ind w:left="103"/>
              <w:rPr>
                <w:b/>
                <w:sz w:val="24"/>
              </w:rPr>
            </w:pPr>
            <w:r>
              <w:rPr>
                <w:b/>
                <w:sz w:val="24"/>
              </w:rPr>
              <w:t>Cálculo</w:t>
            </w:r>
          </w:p>
        </w:tc>
        <w:tc>
          <w:tcPr>
            <w:tcW w:w="1534" w:type="dxa"/>
          </w:tcPr>
          <w:p>
            <w:pPr>
              <w:pStyle w:val="TableParagraph"/>
              <w:spacing w:line="270" w:lineRule="exact"/>
              <w:ind w:left="260" w:right="260"/>
              <w:jc w:val="center"/>
              <w:rPr>
                <w:sz w:val="24"/>
              </w:rPr>
            </w:pPr>
            <w:r>
              <w:rPr>
                <w:sz w:val="24"/>
              </w:rPr>
              <w:t>26.7</w:t>
            </w:r>
          </w:p>
        </w:tc>
        <w:tc>
          <w:tcPr>
            <w:tcW w:w="1537" w:type="dxa"/>
          </w:tcPr>
          <w:p>
            <w:pPr>
              <w:pStyle w:val="TableParagraph"/>
              <w:spacing w:line="270" w:lineRule="exact"/>
              <w:ind w:left="533" w:right="534"/>
              <w:jc w:val="center"/>
              <w:rPr>
                <w:sz w:val="24"/>
              </w:rPr>
            </w:pPr>
            <w:r>
              <w:rPr>
                <w:sz w:val="24"/>
              </w:rPr>
              <w:t>13.3</w:t>
            </w:r>
          </w:p>
        </w:tc>
        <w:tc>
          <w:tcPr>
            <w:tcW w:w="1572" w:type="dxa"/>
          </w:tcPr>
          <w:p>
            <w:pPr>
              <w:pStyle w:val="TableParagraph"/>
              <w:spacing w:line="270" w:lineRule="exact"/>
              <w:ind w:left="150" w:right="150"/>
              <w:jc w:val="center"/>
              <w:rPr>
                <w:sz w:val="24"/>
              </w:rPr>
            </w:pPr>
            <w:r>
              <w:rPr>
                <w:sz w:val="24"/>
              </w:rPr>
              <w:t>16.7</w:t>
            </w:r>
          </w:p>
        </w:tc>
        <w:tc>
          <w:tcPr>
            <w:tcW w:w="1270" w:type="dxa"/>
          </w:tcPr>
          <w:p>
            <w:pPr>
              <w:pStyle w:val="TableParagraph"/>
              <w:spacing w:line="270" w:lineRule="exact"/>
              <w:ind w:left="202" w:right="205"/>
              <w:jc w:val="center"/>
              <w:rPr>
                <w:sz w:val="24"/>
              </w:rPr>
            </w:pPr>
            <w:r>
              <w:rPr>
                <w:sz w:val="24"/>
              </w:rPr>
              <w:t>0.631</w:t>
            </w:r>
          </w:p>
        </w:tc>
      </w:tr>
      <w:tr>
        <w:trPr>
          <w:trHeight w:val="468" w:hRule="exact"/>
        </w:trPr>
        <w:tc>
          <w:tcPr>
            <w:tcW w:w="3281" w:type="dxa"/>
          </w:tcPr>
          <w:p>
            <w:pPr>
              <w:pStyle w:val="TableParagraph"/>
              <w:spacing w:line="275" w:lineRule="exact"/>
              <w:ind w:left="103"/>
              <w:rPr>
                <w:b/>
                <w:sz w:val="24"/>
              </w:rPr>
            </w:pPr>
            <w:r>
              <w:rPr>
                <w:b/>
                <w:sz w:val="24"/>
              </w:rPr>
              <w:t>3-5.5mm</w:t>
            </w:r>
          </w:p>
        </w:tc>
        <w:tc>
          <w:tcPr>
            <w:tcW w:w="1534" w:type="dxa"/>
          </w:tcPr>
          <w:p>
            <w:pPr>
              <w:pStyle w:val="TableParagraph"/>
              <w:spacing w:line="270" w:lineRule="exact"/>
              <w:ind w:left="260" w:right="260"/>
              <w:jc w:val="center"/>
              <w:rPr>
                <w:sz w:val="24"/>
              </w:rPr>
            </w:pPr>
            <w:r>
              <w:rPr>
                <w:sz w:val="24"/>
              </w:rPr>
              <w:t>43.3</w:t>
            </w:r>
          </w:p>
        </w:tc>
        <w:tc>
          <w:tcPr>
            <w:tcW w:w="1537" w:type="dxa"/>
          </w:tcPr>
          <w:p>
            <w:pPr>
              <w:pStyle w:val="TableParagraph"/>
              <w:spacing w:line="270" w:lineRule="exact"/>
              <w:ind w:left="533" w:right="534"/>
              <w:jc w:val="center"/>
              <w:rPr>
                <w:sz w:val="24"/>
              </w:rPr>
            </w:pPr>
            <w:r>
              <w:rPr>
                <w:sz w:val="24"/>
              </w:rPr>
              <w:t>60.0</w:t>
            </w:r>
          </w:p>
        </w:tc>
        <w:tc>
          <w:tcPr>
            <w:tcW w:w="1572" w:type="dxa"/>
          </w:tcPr>
          <w:p>
            <w:pPr>
              <w:pStyle w:val="TableParagraph"/>
              <w:spacing w:line="270" w:lineRule="exact"/>
              <w:ind w:left="150" w:right="150"/>
              <w:jc w:val="center"/>
              <w:rPr>
                <w:sz w:val="24"/>
              </w:rPr>
            </w:pPr>
            <w:r>
              <w:rPr>
                <w:sz w:val="24"/>
              </w:rPr>
              <w:t>3.3</w:t>
            </w:r>
          </w:p>
        </w:tc>
        <w:tc>
          <w:tcPr>
            <w:tcW w:w="1270" w:type="dxa"/>
          </w:tcPr>
          <w:p>
            <w:pPr>
              <w:pStyle w:val="TableParagraph"/>
              <w:spacing w:line="270" w:lineRule="exact"/>
              <w:ind w:left="202" w:right="205"/>
              <w:jc w:val="center"/>
              <w:rPr>
                <w:sz w:val="24"/>
              </w:rPr>
            </w:pPr>
            <w:r>
              <w:rPr>
                <w:sz w:val="24"/>
              </w:rPr>
              <w:t>˂0.001</w:t>
            </w:r>
          </w:p>
        </w:tc>
      </w:tr>
      <w:tr>
        <w:trPr>
          <w:trHeight w:val="468" w:hRule="exact"/>
        </w:trPr>
        <w:tc>
          <w:tcPr>
            <w:tcW w:w="3281" w:type="dxa"/>
          </w:tcPr>
          <w:p>
            <w:pPr>
              <w:pStyle w:val="TableParagraph"/>
              <w:spacing w:line="273" w:lineRule="exact"/>
              <w:ind w:left="103"/>
              <w:rPr>
                <w:b/>
                <w:sz w:val="24"/>
              </w:rPr>
            </w:pPr>
            <w:r>
              <w:rPr>
                <w:b/>
                <w:sz w:val="24"/>
              </w:rPr>
              <w:t>6 o + mm</w:t>
            </w:r>
          </w:p>
        </w:tc>
        <w:tc>
          <w:tcPr>
            <w:tcW w:w="1534" w:type="dxa"/>
          </w:tcPr>
          <w:p>
            <w:pPr>
              <w:pStyle w:val="TableParagraph"/>
              <w:spacing w:line="268" w:lineRule="exact"/>
              <w:ind w:left="260" w:right="260"/>
              <w:jc w:val="center"/>
              <w:rPr>
                <w:sz w:val="24"/>
              </w:rPr>
            </w:pPr>
            <w:r>
              <w:rPr>
                <w:sz w:val="24"/>
              </w:rPr>
              <w:t>30.0</w:t>
            </w:r>
          </w:p>
        </w:tc>
        <w:tc>
          <w:tcPr>
            <w:tcW w:w="1537" w:type="dxa"/>
          </w:tcPr>
          <w:p>
            <w:pPr>
              <w:pStyle w:val="TableParagraph"/>
              <w:spacing w:line="268" w:lineRule="exact"/>
              <w:ind w:left="533" w:right="534"/>
              <w:jc w:val="center"/>
              <w:rPr>
                <w:sz w:val="24"/>
              </w:rPr>
            </w:pPr>
            <w:r>
              <w:rPr>
                <w:sz w:val="24"/>
              </w:rPr>
              <w:t>23.3</w:t>
            </w:r>
          </w:p>
        </w:tc>
        <w:tc>
          <w:tcPr>
            <w:tcW w:w="1572" w:type="dxa"/>
          </w:tcPr>
          <w:p>
            <w:pPr>
              <w:pStyle w:val="TableParagraph"/>
              <w:spacing w:line="268" w:lineRule="exact"/>
              <w:ind w:left="150" w:right="150"/>
              <w:jc w:val="center"/>
              <w:rPr>
                <w:sz w:val="24"/>
              </w:rPr>
            </w:pPr>
            <w:r>
              <w:rPr>
                <w:sz w:val="24"/>
              </w:rPr>
              <w:t>0.0</w:t>
            </w:r>
          </w:p>
        </w:tc>
        <w:tc>
          <w:tcPr>
            <w:tcW w:w="1270" w:type="dxa"/>
          </w:tcPr>
          <w:p>
            <w:pPr>
              <w:pStyle w:val="TableParagraph"/>
              <w:spacing w:line="268" w:lineRule="exact"/>
              <w:ind w:left="202" w:right="205"/>
              <w:jc w:val="center"/>
              <w:rPr>
                <w:sz w:val="24"/>
              </w:rPr>
            </w:pPr>
            <w:r>
              <w:rPr>
                <w:sz w:val="24"/>
              </w:rPr>
              <w:t>0.001</w:t>
            </w:r>
          </w:p>
        </w:tc>
      </w:tr>
      <w:tr>
        <w:trPr>
          <w:trHeight w:val="468" w:hRule="exact"/>
        </w:trPr>
        <w:tc>
          <w:tcPr>
            <w:tcW w:w="3281" w:type="dxa"/>
          </w:tcPr>
          <w:p>
            <w:pPr>
              <w:pStyle w:val="TableParagraph"/>
              <w:spacing w:line="273" w:lineRule="exact"/>
              <w:ind w:left="103"/>
              <w:rPr>
                <w:b/>
                <w:sz w:val="24"/>
              </w:rPr>
            </w:pPr>
            <w:r>
              <w:rPr>
                <w:b/>
                <w:sz w:val="24"/>
              </w:rPr>
              <w:t>Excluido</w:t>
            </w:r>
          </w:p>
        </w:tc>
        <w:tc>
          <w:tcPr>
            <w:tcW w:w="1534" w:type="dxa"/>
          </w:tcPr>
          <w:p>
            <w:pPr>
              <w:pStyle w:val="TableParagraph"/>
              <w:spacing w:line="268" w:lineRule="exact"/>
              <w:ind w:left="260" w:right="260"/>
              <w:jc w:val="center"/>
              <w:rPr>
                <w:sz w:val="24"/>
              </w:rPr>
            </w:pPr>
            <w:r>
              <w:rPr>
                <w:sz w:val="24"/>
              </w:rPr>
              <w:t>0.0</w:t>
            </w:r>
          </w:p>
        </w:tc>
        <w:tc>
          <w:tcPr>
            <w:tcW w:w="1537" w:type="dxa"/>
          </w:tcPr>
          <w:p>
            <w:pPr>
              <w:pStyle w:val="TableParagraph"/>
              <w:spacing w:line="268" w:lineRule="exact"/>
              <w:ind w:left="533" w:right="534"/>
              <w:jc w:val="center"/>
              <w:rPr>
                <w:sz w:val="24"/>
              </w:rPr>
            </w:pPr>
            <w:r>
              <w:rPr>
                <w:sz w:val="24"/>
              </w:rPr>
              <w:t>0.0</w:t>
            </w:r>
          </w:p>
        </w:tc>
        <w:tc>
          <w:tcPr>
            <w:tcW w:w="1572" w:type="dxa"/>
          </w:tcPr>
          <w:p>
            <w:pPr>
              <w:pStyle w:val="TableParagraph"/>
              <w:spacing w:line="268" w:lineRule="exact"/>
              <w:ind w:left="150" w:right="150"/>
              <w:jc w:val="center"/>
              <w:rPr>
                <w:sz w:val="24"/>
              </w:rPr>
            </w:pPr>
            <w:r>
              <w:rPr>
                <w:sz w:val="24"/>
              </w:rPr>
              <w:t>3.3</w:t>
            </w:r>
          </w:p>
        </w:tc>
        <w:tc>
          <w:tcPr>
            <w:tcW w:w="1270" w:type="dxa"/>
          </w:tcPr>
          <w:p>
            <w:pPr>
              <w:pStyle w:val="TableParagraph"/>
              <w:spacing w:line="268" w:lineRule="exact"/>
              <w:ind w:left="202" w:right="205"/>
              <w:jc w:val="center"/>
              <w:rPr>
                <w:sz w:val="24"/>
              </w:rPr>
            </w:pPr>
            <w:r>
              <w:rPr>
                <w:sz w:val="24"/>
              </w:rPr>
              <w:t>0.430</w:t>
            </w:r>
          </w:p>
        </w:tc>
      </w:tr>
      <w:tr>
        <w:trPr>
          <w:trHeight w:val="468" w:hRule="exact"/>
        </w:trPr>
        <w:tc>
          <w:tcPr>
            <w:tcW w:w="3281" w:type="dxa"/>
            <w:tcBorders>
              <w:bottom w:val="single" w:sz="4" w:space="0" w:color="000000"/>
            </w:tcBorders>
          </w:tcPr>
          <w:p>
            <w:pPr>
              <w:pStyle w:val="TableParagraph"/>
              <w:spacing w:before="8"/>
              <w:ind w:left="103"/>
              <w:rPr>
                <w:b/>
                <w:sz w:val="24"/>
              </w:rPr>
            </w:pPr>
            <w:r>
              <w:rPr>
                <w:b/>
                <w:sz w:val="24"/>
              </w:rPr>
              <w:t>CENTRAL SUPERIOR</w:t>
            </w:r>
          </w:p>
        </w:tc>
        <w:tc>
          <w:tcPr>
            <w:tcW w:w="1534" w:type="dxa"/>
            <w:tcBorders>
              <w:bottom w:val="single" w:sz="4" w:space="0" w:color="000000"/>
            </w:tcBorders>
          </w:tcPr>
          <w:p>
            <w:pPr/>
          </w:p>
        </w:tc>
        <w:tc>
          <w:tcPr>
            <w:tcW w:w="1537" w:type="dxa"/>
            <w:tcBorders>
              <w:bottom w:val="single" w:sz="4" w:space="0" w:color="000000"/>
            </w:tcBorders>
          </w:tcPr>
          <w:p>
            <w:pPr/>
          </w:p>
        </w:tc>
        <w:tc>
          <w:tcPr>
            <w:tcW w:w="1572" w:type="dxa"/>
            <w:tcBorders>
              <w:bottom w:val="single" w:sz="4" w:space="0" w:color="000000"/>
            </w:tcBorders>
          </w:tcPr>
          <w:p>
            <w:pPr/>
          </w:p>
        </w:tc>
        <w:tc>
          <w:tcPr>
            <w:tcW w:w="1270" w:type="dxa"/>
            <w:tcBorders>
              <w:bottom w:val="single" w:sz="4" w:space="0" w:color="000000"/>
            </w:tcBorders>
          </w:tcPr>
          <w:p>
            <w:pPr/>
          </w:p>
        </w:tc>
      </w:tr>
      <w:tr>
        <w:trPr>
          <w:trHeight w:val="469" w:hRule="exact"/>
        </w:trPr>
        <w:tc>
          <w:tcPr>
            <w:tcW w:w="3281" w:type="dxa"/>
            <w:tcBorders>
              <w:top w:val="single" w:sz="4" w:space="0" w:color="000000"/>
            </w:tcBorders>
          </w:tcPr>
          <w:p>
            <w:pPr>
              <w:pStyle w:val="TableParagraph"/>
              <w:spacing w:line="273" w:lineRule="exact"/>
              <w:ind w:left="103"/>
              <w:rPr>
                <w:b/>
                <w:sz w:val="24"/>
              </w:rPr>
            </w:pPr>
            <w:r>
              <w:rPr>
                <w:b/>
                <w:sz w:val="24"/>
              </w:rPr>
              <w:t>Sano</w:t>
            </w:r>
          </w:p>
        </w:tc>
        <w:tc>
          <w:tcPr>
            <w:tcW w:w="1534" w:type="dxa"/>
            <w:tcBorders>
              <w:top w:val="single" w:sz="4" w:space="0" w:color="000000"/>
            </w:tcBorders>
          </w:tcPr>
          <w:p>
            <w:pPr>
              <w:pStyle w:val="TableParagraph"/>
              <w:spacing w:line="268" w:lineRule="exact"/>
              <w:ind w:left="260" w:right="260"/>
              <w:jc w:val="center"/>
              <w:rPr>
                <w:sz w:val="24"/>
              </w:rPr>
            </w:pPr>
            <w:r>
              <w:rPr>
                <w:sz w:val="24"/>
              </w:rPr>
              <w:t>6.7</w:t>
            </w:r>
          </w:p>
        </w:tc>
        <w:tc>
          <w:tcPr>
            <w:tcW w:w="1537" w:type="dxa"/>
            <w:tcBorders>
              <w:top w:val="single" w:sz="4" w:space="0" w:color="000000"/>
            </w:tcBorders>
          </w:tcPr>
          <w:p>
            <w:pPr>
              <w:pStyle w:val="TableParagraph"/>
              <w:spacing w:line="268" w:lineRule="exact"/>
              <w:ind w:left="533" w:right="534"/>
              <w:jc w:val="center"/>
              <w:rPr>
                <w:sz w:val="24"/>
              </w:rPr>
            </w:pPr>
            <w:r>
              <w:rPr>
                <w:sz w:val="24"/>
              </w:rPr>
              <w:t>10.0</w:t>
            </w:r>
          </w:p>
        </w:tc>
        <w:tc>
          <w:tcPr>
            <w:tcW w:w="1572" w:type="dxa"/>
            <w:tcBorders>
              <w:top w:val="single" w:sz="4" w:space="0" w:color="000000"/>
            </w:tcBorders>
          </w:tcPr>
          <w:p>
            <w:pPr>
              <w:pStyle w:val="TableParagraph"/>
              <w:spacing w:line="268" w:lineRule="exact"/>
              <w:ind w:left="150" w:right="150"/>
              <w:jc w:val="center"/>
              <w:rPr>
                <w:sz w:val="24"/>
              </w:rPr>
            </w:pPr>
            <w:r>
              <w:rPr>
                <w:sz w:val="24"/>
              </w:rPr>
              <w:t>76.7</w:t>
            </w:r>
          </w:p>
        </w:tc>
        <w:tc>
          <w:tcPr>
            <w:tcW w:w="1270" w:type="dxa"/>
            <w:tcBorders>
              <w:top w:val="single" w:sz="4" w:space="0" w:color="000000"/>
            </w:tcBorders>
          </w:tcPr>
          <w:p>
            <w:pPr>
              <w:pStyle w:val="TableParagraph"/>
              <w:spacing w:line="268" w:lineRule="exact"/>
              <w:ind w:left="202" w:right="205"/>
              <w:jc w:val="center"/>
              <w:rPr>
                <w:sz w:val="24"/>
              </w:rPr>
            </w:pPr>
            <w:r>
              <w:rPr>
                <w:sz w:val="24"/>
              </w:rPr>
              <w:t>˂0.001</w:t>
            </w:r>
          </w:p>
        </w:tc>
      </w:tr>
      <w:tr>
        <w:trPr>
          <w:trHeight w:val="468" w:hRule="exact"/>
        </w:trPr>
        <w:tc>
          <w:tcPr>
            <w:tcW w:w="3281" w:type="dxa"/>
          </w:tcPr>
          <w:p>
            <w:pPr>
              <w:pStyle w:val="TableParagraph"/>
              <w:spacing w:line="273" w:lineRule="exact"/>
              <w:ind w:left="103"/>
              <w:rPr>
                <w:b/>
                <w:sz w:val="24"/>
              </w:rPr>
            </w:pPr>
            <w:r>
              <w:rPr>
                <w:b/>
                <w:sz w:val="24"/>
              </w:rPr>
              <w:t>Sangrado</w:t>
            </w:r>
          </w:p>
        </w:tc>
        <w:tc>
          <w:tcPr>
            <w:tcW w:w="1534" w:type="dxa"/>
          </w:tcPr>
          <w:p>
            <w:pPr>
              <w:pStyle w:val="TableParagraph"/>
              <w:spacing w:line="268" w:lineRule="exact"/>
              <w:ind w:left="260" w:right="260"/>
              <w:jc w:val="center"/>
              <w:rPr>
                <w:sz w:val="24"/>
              </w:rPr>
            </w:pPr>
            <w:r>
              <w:rPr>
                <w:sz w:val="24"/>
              </w:rPr>
              <w:t>53.3</w:t>
            </w:r>
          </w:p>
        </w:tc>
        <w:tc>
          <w:tcPr>
            <w:tcW w:w="1537" w:type="dxa"/>
          </w:tcPr>
          <w:p>
            <w:pPr>
              <w:pStyle w:val="TableParagraph"/>
              <w:spacing w:line="268" w:lineRule="exact"/>
              <w:ind w:left="533" w:right="534"/>
              <w:jc w:val="center"/>
              <w:rPr>
                <w:sz w:val="24"/>
              </w:rPr>
            </w:pPr>
            <w:r>
              <w:rPr>
                <w:sz w:val="24"/>
              </w:rPr>
              <w:t>33.3</w:t>
            </w:r>
          </w:p>
        </w:tc>
        <w:tc>
          <w:tcPr>
            <w:tcW w:w="1572" w:type="dxa"/>
          </w:tcPr>
          <w:p>
            <w:pPr>
              <w:pStyle w:val="TableParagraph"/>
              <w:spacing w:line="268" w:lineRule="exact"/>
              <w:ind w:left="150" w:right="150"/>
              <w:jc w:val="center"/>
              <w:rPr>
                <w:sz w:val="24"/>
              </w:rPr>
            </w:pPr>
            <w:r>
              <w:rPr>
                <w:sz w:val="24"/>
              </w:rPr>
              <w:t>20.0</w:t>
            </w:r>
          </w:p>
        </w:tc>
        <w:tc>
          <w:tcPr>
            <w:tcW w:w="1270" w:type="dxa"/>
          </w:tcPr>
          <w:p>
            <w:pPr>
              <w:pStyle w:val="TableParagraph"/>
              <w:spacing w:line="268" w:lineRule="exact"/>
              <w:ind w:left="202" w:right="205"/>
              <w:jc w:val="center"/>
              <w:rPr>
                <w:sz w:val="24"/>
              </w:rPr>
            </w:pPr>
            <w:r>
              <w:rPr>
                <w:sz w:val="24"/>
              </w:rPr>
              <w:t>0.024</w:t>
            </w:r>
          </w:p>
        </w:tc>
      </w:tr>
      <w:tr>
        <w:trPr>
          <w:trHeight w:val="468" w:hRule="exact"/>
        </w:trPr>
        <w:tc>
          <w:tcPr>
            <w:tcW w:w="3281" w:type="dxa"/>
          </w:tcPr>
          <w:p>
            <w:pPr>
              <w:pStyle w:val="TableParagraph"/>
              <w:spacing w:line="273" w:lineRule="exact"/>
              <w:ind w:left="103"/>
              <w:rPr>
                <w:b/>
                <w:sz w:val="24"/>
              </w:rPr>
            </w:pPr>
            <w:r>
              <w:rPr>
                <w:b/>
                <w:sz w:val="24"/>
              </w:rPr>
              <w:t>Cálculo</w:t>
            </w:r>
          </w:p>
        </w:tc>
        <w:tc>
          <w:tcPr>
            <w:tcW w:w="1534" w:type="dxa"/>
          </w:tcPr>
          <w:p>
            <w:pPr>
              <w:pStyle w:val="TableParagraph"/>
              <w:spacing w:line="268" w:lineRule="exact"/>
              <w:ind w:left="260" w:right="260"/>
              <w:jc w:val="center"/>
              <w:rPr>
                <w:sz w:val="24"/>
              </w:rPr>
            </w:pPr>
            <w:r>
              <w:rPr>
                <w:sz w:val="24"/>
              </w:rPr>
              <w:t>3.3</w:t>
            </w:r>
          </w:p>
        </w:tc>
        <w:tc>
          <w:tcPr>
            <w:tcW w:w="1537" w:type="dxa"/>
          </w:tcPr>
          <w:p>
            <w:pPr>
              <w:pStyle w:val="TableParagraph"/>
              <w:spacing w:line="268" w:lineRule="exact"/>
              <w:ind w:left="533" w:right="534"/>
              <w:jc w:val="center"/>
              <w:rPr>
                <w:sz w:val="24"/>
              </w:rPr>
            </w:pPr>
            <w:r>
              <w:rPr>
                <w:sz w:val="24"/>
              </w:rPr>
              <w:t>3.3</w:t>
            </w:r>
          </w:p>
        </w:tc>
        <w:tc>
          <w:tcPr>
            <w:tcW w:w="1572" w:type="dxa"/>
          </w:tcPr>
          <w:p>
            <w:pPr>
              <w:pStyle w:val="TableParagraph"/>
              <w:spacing w:line="268" w:lineRule="exact"/>
              <w:ind w:left="150" w:right="150"/>
              <w:jc w:val="center"/>
              <w:rPr>
                <w:sz w:val="24"/>
              </w:rPr>
            </w:pPr>
            <w:r>
              <w:rPr>
                <w:sz w:val="24"/>
              </w:rPr>
              <w:t>3.3</w:t>
            </w:r>
          </w:p>
        </w:tc>
        <w:tc>
          <w:tcPr>
            <w:tcW w:w="1270" w:type="dxa"/>
          </w:tcPr>
          <w:p>
            <w:pPr>
              <w:pStyle w:val="TableParagraph"/>
              <w:spacing w:line="268" w:lineRule="exact"/>
              <w:ind w:left="202" w:right="205"/>
              <w:jc w:val="center"/>
              <w:rPr>
                <w:sz w:val="24"/>
              </w:rPr>
            </w:pPr>
            <w:r>
              <w:rPr>
                <w:sz w:val="24"/>
              </w:rPr>
              <w:t>0.944</w:t>
            </w:r>
          </w:p>
        </w:tc>
      </w:tr>
      <w:tr>
        <w:trPr>
          <w:trHeight w:val="468" w:hRule="exact"/>
        </w:trPr>
        <w:tc>
          <w:tcPr>
            <w:tcW w:w="3281" w:type="dxa"/>
          </w:tcPr>
          <w:p>
            <w:pPr>
              <w:pStyle w:val="TableParagraph"/>
              <w:spacing w:line="273" w:lineRule="exact"/>
              <w:ind w:left="103"/>
              <w:rPr>
                <w:b/>
                <w:sz w:val="24"/>
              </w:rPr>
            </w:pPr>
            <w:r>
              <w:rPr>
                <w:b/>
                <w:sz w:val="24"/>
              </w:rPr>
              <w:t>3-5.5mm</w:t>
            </w:r>
          </w:p>
        </w:tc>
        <w:tc>
          <w:tcPr>
            <w:tcW w:w="1534" w:type="dxa"/>
          </w:tcPr>
          <w:p>
            <w:pPr>
              <w:pStyle w:val="TableParagraph"/>
              <w:spacing w:line="268" w:lineRule="exact"/>
              <w:ind w:left="260" w:right="260"/>
              <w:jc w:val="center"/>
              <w:rPr>
                <w:sz w:val="24"/>
              </w:rPr>
            </w:pPr>
            <w:r>
              <w:rPr>
                <w:sz w:val="24"/>
              </w:rPr>
              <w:t>16.7</w:t>
            </w:r>
          </w:p>
        </w:tc>
        <w:tc>
          <w:tcPr>
            <w:tcW w:w="1537" w:type="dxa"/>
          </w:tcPr>
          <w:p>
            <w:pPr>
              <w:pStyle w:val="TableParagraph"/>
              <w:spacing w:line="268" w:lineRule="exact"/>
              <w:ind w:left="533" w:right="534"/>
              <w:jc w:val="center"/>
              <w:rPr>
                <w:sz w:val="24"/>
              </w:rPr>
            </w:pPr>
            <w:r>
              <w:rPr>
                <w:sz w:val="24"/>
              </w:rPr>
              <w:t>40.0</w:t>
            </w:r>
          </w:p>
        </w:tc>
        <w:tc>
          <w:tcPr>
            <w:tcW w:w="1572" w:type="dxa"/>
          </w:tcPr>
          <w:p>
            <w:pPr>
              <w:pStyle w:val="TableParagraph"/>
              <w:spacing w:line="268" w:lineRule="exact"/>
              <w:ind w:left="150" w:right="150"/>
              <w:jc w:val="center"/>
              <w:rPr>
                <w:sz w:val="24"/>
              </w:rPr>
            </w:pPr>
            <w:r>
              <w:rPr>
                <w:sz w:val="24"/>
              </w:rPr>
              <w:t>0.0</w:t>
            </w:r>
          </w:p>
        </w:tc>
        <w:tc>
          <w:tcPr>
            <w:tcW w:w="1270" w:type="dxa"/>
          </w:tcPr>
          <w:p>
            <w:pPr>
              <w:pStyle w:val="TableParagraph"/>
              <w:spacing w:line="268" w:lineRule="exact"/>
              <w:ind w:left="202" w:right="205"/>
              <w:jc w:val="center"/>
              <w:rPr>
                <w:sz w:val="24"/>
              </w:rPr>
            </w:pPr>
            <w:r>
              <w:rPr>
                <w:sz w:val="24"/>
              </w:rPr>
              <w:t>0.009</w:t>
            </w:r>
          </w:p>
        </w:tc>
      </w:tr>
      <w:tr>
        <w:trPr>
          <w:trHeight w:val="468" w:hRule="exact"/>
        </w:trPr>
        <w:tc>
          <w:tcPr>
            <w:tcW w:w="3281" w:type="dxa"/>
          </w:tcPr>
          <w:p>
            <w:pPr>
              <w:pStyle w:val="TableParagraph"/>
              <w:spacing w:line="273" w:lineRule="exact"/>
              <w:ind w:left="103"/>
              <w:rPr>
                <w:b/>
                <w:sz w:val="24"/>
              </w:rPr>
            </w:pPr>
            <w:r>
              <w:rPr>
                <w:b/>
                <w:sz w:val="24"/>
              </w:rPr>
              <w:t>6 o + mm</w:t>
            </w:r>
          </w:p>
        </w:tc>
        <w:tc>
          <w:tcPr>
            <w:tcW w:w="1534" w:type="dxa"/>
          </w:tcPr>
          <w:p>
            <w:pPr>
              <w:pStyle w:val="TableParagraph"/>
              <w:spacing w:line="268" w:lineRule="exact"/>
              <w:ind w:left="260" w:right="260"/>
              <w:jc w:val="center"/>
              <w:rPr>
                <w:sz w:val="24"/>
              </w:rPr>
            </w:pPr>
            <w:r>
              <w:rPr>
                <w:sz w:val="24"/>
              </w:rPr>
              <w:t>10.0</w:t>
            </w:r>
          </w:p>
        </w:tc>
        <w:tc>
          <w:tcPr>
            <w:tcW w:w="1537" w:type="dxa"/>
          </w:tcPr>
          <w:p>
            <w:pPr>
              <w:pStyle w:val="TableParagraph"/>
              <w:spacing w:line="268" w:lineRule="exact"/>
              <w:ind w:left="533" w:right="534"/>
              <w:jc w:val="center"/>
              <w:rPr>
                <w:sz w:val="24"/>
              </w:rPr>
            </w:pPr>
            <w:r>
              <w:rPr>
                <w:sz w:val="24"/>
              </w:rPr>
              <w:t>10.0</w:t>
            </w:r>
          </w:p>
        </w:tc>
        <w:tc>
          <w:tcPr>
            <w:tcW w:w="1572" w:type="dxa"/>
          </w:tcPr>
          <w:p>
            <w:pPr>
              <w:pStyle w:val="TableParagraph"/>
              <w:spacing w:line="268" w:lineRule="exact"/>
              <w:ind w:left="150" w:right="150"/>
              <w:jc w:val="center"/>
              <w:rPr>
                <w:sz w:val="24"/>
              </w:rPr>
            </w:pPr>
            <w:r>
              <w:rPr>
                <w:sz w:val="24"/>
              </w:rPr>
              <w:t>0.0</w:t>
            </w:r>
          </w:p>
        </w:tc>
        <w:tc>
          <w:tcPr>
            <w:tcW w:w="1270" w:type="dxa"/>
          </w:tcPr>
          <w:p>
            <w:pPr>
              <w:pStyle w:val="TableParagraph"/>
              <w:spacing w:line="268" w:lineRule="exact"/>
              <w:ind w:left="202" w:right="205"/>
              <w:jc w:val="center"/>
              <w:rPr>
                <w:sz w:val="24"/>
              </w:rPr>
            </w:pPr>
            <w:r>
              <w:rPr>
                <w:sz w:val="24"/>
              </w:rPr>
              <w:t>0.074</w:t>
            </w:r>
          </w:p>
        </w:tc>
      </w:tr>
      <w:tr>
        <w:trPr>
          <w:trHeight w:val="468" w:hRule="exact"/>
        </w:trPr>
        <w:tc>
          <w:tcPr>
            <w:tcW w:w="3281" w:type="dxa"/>
          </w:tcPr>
          <w:p>
            <w:pPr>
              <w:pStyle w:val="TableParagraph"/>
              <w:spacing w:line="273" w:lineRule="exact"/>
              <w:ind w:left="103"/>
              <w:rPr>
                <w:b/>
                <w:sz w:val="24"/>
              </w:rPr>
            </w:pPr>
            <w:r>
              <w:rPr>
                <w:b/>
                <w:sz w:val="24"/>
              </w:rPr>
              <w:t>Excluido</w:t>
            </w:r>
          </w:p>
        </w:tc>
        <w:tc>
          <w:tcPr>
            <w:tcW w:w="1534" w:type="dxa"/>
          </w:tcPr>
          <w:p>
            <w:pPr>
              <w:pStyle w:val="TableParagraph"/>
              <w:spacing w:line="268" w:lineRule="exact"/>
              <w:ind w:left="260" w:right="260"/>
              <w:jc w:val="center"/>
              <w:rPr>
                <w:sz w:val="24"/>
              </w:rPr>
            </w:pPr>
            <w:r>
              <w:rPr>
                <w:sz w:val="24"/>
              </w:rPr>
              <w:t>10.0</w:t>
            </w:r>
          </w:p>
        </w:tc>
        <w:tc>
          <w:tcPr>
            <w:tcW w:w="1537" w:type="dxa"/>
          </w:tcPr>
          <w:p>
            <w:pPr>
              <w:pStyle w:val="TableParagraph"/>
              <w:spacing w:line="268" w:lineRule="exact"/>
              <w:ind w:left="533" w:right="534"/>
              <w:jc w:val="center"/>
              <w:rPr>
                <w:sz w:val="24"/>
              </w:rPr>
            </w:pPr>
            <w:r>
              <w:rPr>
                <w:sz w:val="24"/>
              </w:rPr>
              <w:t>3.3</w:t>
            </w:r>
          </w:p>
        </w:tc>
        <w:tc>
          <w:tcPr>
            <w:tcW w:w="1572" w:type="dxa"/>
          </w:tcPr>
          <w:p>
            <w:pPr>
              <w:pStyle w:val="TableParagraph"/>
              <w:spacing w:line="268" w:lineRule="exact"/>
              <w:ind w:left="150" w:right="150"/>
              <w:jc w:val="center"/>
              <w:rPr>
                <w:sz w:val="24"/>
              </w:rPr>
            </w:pPr>
            <w:r>
              <w:rPr>
                <w:sz w:val="24"/>
              </w:rPr>
              <w:t>0.0</w:t>
            </w:r>
          </w:p>
        </w:tc>
        <w:tc>
          <w:tcPr>
            <w:tcW w:w="1270" w:type="dxa"/>
          </w:tcPr>
          <w:p>
            <w:pPr>
              <w:pStyle w:val="TableParagraph"/>
              <w:spacing w:line="268" w:lineRule="exact"/>
              <w:ind w:left="202" w:right="205"/>
              <w:jc w:val="center"/>
              <w:rPr>
                <w:sz w:val="24"/>
              </w:rPr>
            </w:pPr>
            <w:r>
              <w:rPr>
                <w:sz w:val="24"/>
              </w:rPr>
              <w:t>0.206</w:t>
            </w:r>
          </w:p>
        </w:tc>
      </w:tr>
      <w:tr>
        <w:trPr>
          <w:trHeight w:val="468" w:hRule="exact"/>
        </w:trPr>
        <w:tc>
          <w:tcPr>
            <w:tcW w:w="3281" w:type="dxa"/>
            <w:tcBorders>
              <w:bottom w:val="single" w:sz="4" w:space="0" w:color="000000"/>
            </w:tcBorders>
          </w:tcPr>
          <w:p>
            <w:pPr/>
          </w:p>
        </w:tc>
        <w:tc>
          <w:tcPr>
            <w:tcW w:w="1534" w:type="dxa"/>
            <w:tcBorders>
              <w:bottom w:val="single" w:sz="4" w:space="0" w:color="000000"/>
            </w:tcBorders>
          </w:tcPr>
          <w:p>
            <w:pPr/>
          </w:p>
        </w:tc>
        <w:tc>
          <w:tcPr>
            <w:tcW w:w="1537" w:type="dxa"/>
            <w:tcBorders>
              <w:bottom w:val="single" w:sz="4" w:space="0" w:color="000000"/>
            </w:tcBorders>
          </w:tcPr>
          <w:p>
            <w:pPr/>
          </w:p>
        </w:tc>
        <w:tc>
          <w:tcPr>
            <w:tcW w:w="1572" w:type="dxa"/>
            <w:tcBorders>
              <w:bottom w:val="single" w:sz="4" w:space="0" w:color="000000"/>
            </w:tcBorders>
          </w:tcPr>
          <w:p>
            <w:pPr/>
          </w:p>
        </w:tc>
        <w:tc>
          <w:tcPr>
            <w:tcW w:w="1270" w:type="dxa"/>
            <w:tcBorders>
              <w:bottom w:val="single" w:sz="4" w:space="0" w:color="000000"/>
            </w:tcBorders>
          </w:tcPr>
          <w:p>
            <w:pPr/>
          </w:p>
        </w:tc>
      </w:tr>
    </w:tbl>
    <w:p>
      <w:pPr>
        <w:spacing w:after="0"/>
        <w:sectPr>
          <w:headerReference w:type="default" r:id="rId22"/>
          <w:pgSz w:w="11910" w:h="16840"/>
          <w:pgMar w:header="731" w:footer="0" w:top="960" w:bottom="280" w:left="1300" w:right="1160"/>
          <w:pgNumType w:start="69"/>
        </w:sectPr>
      </w:pPr>
    </w:p>
    <w:p>
      <w:pPr>
        <w:pStyle w:val="BodyText"/>
        <w:rPr>
          <w:b/>
          <w:sz w:val="20"/>
        </w:rPr>
      </w:pPr>
    </w:p>
    <w:p>
      <w:pPr>
        <w:pStyle w:val="BodyText"/>
        <w:spacing w:before="10"/>
        <w:rPr>
          <w:b/>
          <w:sz w:val="18"/>
        </w:rPr>
      </w:pPr>
    </w:p>
    <w:tbl>
      <w:tblPr>
        <w:tblW w:w="0" w:type="auto"/>
        <w:jc w:val="left"/>
        <w:tblInd w:w="11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3281"/>
        <w:gridCol w:w="1534"/>
        <w:gridCol w:w="1537"/>
        <w:gridCol w:w="1572"/>
        <w:gridCol w:w="1270"/>
      </w:tblGrid>
      <w:tr>
        <w:trPr>
          <w:trHeight w:val="766" w:hRule="exact"/>
        </w:trPr>
        <w:tc>
          <w:tcPr>
            <w:tcW w:w="3281" w:type="dxa"/>
            <w:tcBorders>
              <w:bottom w:val="single" w:sz="4" w:space="0" w:color="000000"/>
            </w:tcBorders>
          </w:tcPr>
          <w:p>
            <w:pPr>
              <w:pStyle w:val="TableParagraph"/>
              <w:spacing w:line="256" w:lineRule="auto"/>
              <w:ind w:left="103"/>
              <w:rPr>
                <w:b/>
                <w:sz w:val="24"/>
              </w:rPr>
            </w:pPr>
            <w:r>
              <w:rPr>
                <w:b/>
                <w:sz w:val="24"/>
              </w:rPr>
              <w:t>MOLAR SUPERIOR IZQUIERDO</w:t>
            </w:r>
          </w:p>
        </w:tc>
        <w:tc>
          <w:tcPr>
            <w:tcW w:w="1534" w:type="dxa"/>
            <w:tcBorders>
              <w:bottom w:val="single" w:sz="4" w:space="0" w:color="000000"/>
            </w:tcBorders>
          </w:tcPr>
          <w:p>
            <w:pPr/>
          </w:p>
        </w:tc>
        <w:tc>
          <w:tcPr>
            <w:tcW w:w="1537" w:type="dxa"/>
            <w:tcBorders>
              <w:bottom w:val="single" w:sz="4" w:space="0" w:color="000000"/>
            </w:tcBorders>
          </w:tcPr>
          <w:p>
            <w:pPr/>
          </w:p>
        </w:tc>
        <w:tc>
          <w:tcPr>
            <w:tcW w:w="1572" w:type="dxa"/>
            <w:tcBorders>
              <w:bottom w:val="single" w:sz="4" w:space="0" w:color="000000"/>
            </w:tcBorders>
          </w:tcPr>
          <w:p>
            <w:pPr/>
          </w:p>
        </w:tc>
        <w:tc>
          <w:tcPr>
            <w:tcW w:w="1270" w:type="dxa"/>
            <w:tcBorders>
              <w:bottom w:val="single" w:sz="4" w:space="0" w:color="000000"/>
            </w:tcBorders>
          </w:tcPr>
          <w:p>
            <w:pPr/>
          </w:p>
        </w:tc>
      </w:tr>
      <w:tr>
        <w:trPr>
          <w:trHeight w:val="468" w:hRule="exact"/>
        </w:trPr>
        <w:tc>
          <w:tcPr>
            <w:tcW w:w="3281" w:type="dxa"/>
            <w:tcBorders>
              <w:top w:val="single" w:sz="4" w:space="0" w:color="000000"/>
            </w:tcBorders>
          </w:tcPr>
          <w:p>
            <w:pPr>
              <w:pStyle w:val="TableParagraph"/>
              <w:spacing w:line="273" w:lineRule="exact"/>
              <w:ind w:left="103"/>
              <w:rPr>
                <w:b/>
                <w:sz w:val="24"/>
              </w:rPr>
            </w:pPr>
            <w:r>
              <w:rPr>
                <w:b/>
                <w:sz w:val="24"/>
              </w:rPr>
              <w:t>Sano</w:t>
            </w:r>
          </w:p>
        </w:tc>
        <w:tc>
          <w:tcPr>
            <w:tcW w:w="1534" w:type="dxa"/>
            <w:tcBorders>
              <w:top w:val="single" w:sz="4" w:space="0" w:color="000000"/>
            </w:tcBorders>
          </w:tcPr>
          <w:p>
            <w:pPr>
              <w:pStyle w:val="TableParagraph"/>
              <w:spacing w:line="268" w:lineRule="exact"/>
              <w:ind w:left="260" w:right="260"/>
              <w:jc w:val="center"/>
              <w:rPr>
                <w:sz w:val="24"/>
              </w:rPr>
            </w:pPr>
            <w:r>
              <w:rPr>
                <w:sz w:val="24"/>
              </w:rPr>
              <w:t>0.0</w:t>
            </w:r>
          </w:p>
        </w:tc>
        <w:tc>
          <w:tcPr>
            <w:tcW w:w="1537" w:type="dxa"/>
            <w:tcBorders>
              <w:top w:val="single" w:sz="4" w:space="0" w:color="000000"/>
            </w:tcBorders>
          </w:tcPr>
          <w:p>
            <w:pPr>
              <w:pStyle w:val="TableParagraph"/>
              <w:spacing w:line="268" w:lineRule="exact"/>
              <w:ind w:left="533" w:right="534"/>
              <w:jc w:val="center"/>
              <w:rPr>
                <w:sz w:val="24"/>
              </w:rPr>
            </w:pPr>
            <w:r>
              <w:rPr>
                <w:sz w:val="24"/>
              </w:rPr>
              <w:t>0.0</w:t>
            </w:r>
          </w:p>
        </w:tc>
        <w:tc>
          <w:tcPr>
            <w:tcW w:w="1572" w:type="dxa"/>
            <w:tcBorders>
              <w:top w:val="single" w:sz="4" w:space="0" w:color="000000"/>
            </w:tcBorders>
          </w:tcPr>
          <w:p>
            <w:pPr>
              <w:pStyle w:val="TableParagraph"/>
              <w:spacing w:line="268" w:lineRule="exact"/>
              <w:ind w:left="150" w:right="150"/>
              <w:jc w:val="center"/>
              <w:rPr>
                <w:sz w:val="24"/>
              </w:rPr>
            </w:pPr>
            <w:r>
              <w:rPr>
                <w:sz w:val="24"/>
              </w:rPr>
              <w:t>50.0</w:t>
            </w:r>
          </w:p>
        </w:tc>
        <w:tc>
          <w:tcPr>
            <w:tcW w:w="1270" w:type="dxa"/>
            <w:tcBorders>
              <w:top w:val="single" w:sz="4" w:space="0" w:color="000000"/>
            </w:tcBorders>
          </w:tcPr>
          <w:p>
            <w:pPr>
              <w:pStyle w:val="TableParagraph"/>
              <w:spacing w:line="268" w:lineRule="exact"/>
              <w:ind w:left="290"/>
              <w:rPr>
                <w:sz w:val="24"/>
              </w:rPr>
            </w:pPr>
            <w:r>
              <w:rPr>
                <w:sz w:val="24"/>
              </w:rPr>
              <w:t>˂0.001</w:t>
            </w:r>
          </w:p>
        </w:tc>
      </w:tr>
      <w:tr>
        <w:trPr>
          <w:trHeight w:val="468" w:hRule="exact"/>
        </w:trPr>
        <w:tc>
          <w:tcPr>
            <w:tcW w:w="3281" w:type="dxa"/>
          </w:tcPr>
          <w:p>
            <w:pPr>
              <w:pStyle w:val="TableParagraph"/>
              <w:spacing w:line="273" w:lineRule="exact"/>
              <w:ind w:left="103"/>
              <w:rPr>
                <w:b/>
                <w:sz w:val="24"/>
              </w:rPr>
            </w:pPr>
            <w:r>
              <w:rPr>
                <w:b/>
                <w:sz w:val="24"/>
              </w:rPr>
              <w:t>Sangrado</w:t>
            </w:r>
          </w:p>
        </w:tc>
        <w:tc>
          <w:tcPr>
            <w:tcW w:w="1534" w:type="dxa"/>
          </w:tcPr>
          <w:p>
            <w:pPr>
              <w:pStyle w:val="TableParagraph"/>
              <w:spacing w:line="268" w:lineRule="exact"/>
              <w:ind w:left="260" w:right="260"/>
              <w:jc w:val="center"/>
              <w:rPr>
                <w:sz w:val="24"/>
              </w:rPr>
            </w:pPr>
            <w:r>
              <w:rPr>
                <w:sz w:val="24"/>
              </w:rPr>
              <w:t>0.0</w:t>
            </w:r>
          </w:p>
        </w:tc>
        <w:tc>
          <w:tcPr>
            <w:tcW w:w="1537" w:type="dxa"/>
          </w:tcPr>
          <w:p>
            <w:pPr>
              <w:pStyle w:val="TableParagraph"/>
              <w:spacing w:line="268" w:lineRule="exact"/>
              <w:ind w:left="533" w:right="534"/>
              <w:jc w:val="center"/>
              <w:rPr>
                <w:sz w:val="24"/>
              </w:rPr>
            </w:pPr>
            <w:r>
              <w:rPr>
                <w:sz w:val="24"/>
              </w:rPr>
              <w:t>3.3</w:t>
            </w:r>
          </w:p>
        </w:tc>
        <w:tc>
          <w:tcPr>
            <w:tcW w:w="1572" w:type="dxa"/>
          </w:tcPr>
          <w:p>
            <w:pPr>
              <w:pStyle w:val="TableParagraph"/>
              <w:spacing w:line="268" w:lineRule="exact"/>
              <w:ind w:left="150" w:right="150"/>
              <w:jc w:val="center"/>
              <w:rPr>
                <w:sz w:val="24"/>
              </w:rPr>
            </w:pPr>
            <w:r>
              <w:rPr>
                <w:sz w:val="24"/>
              </w:rPr>
              <w:t>26.7</w:t>
            </w:r>
          </w:p>
        </w:tc>
        <w:tc>
          <w:tcPr>
            <w:tcW w:w="1270" w:type="dxa"/>
          </w:tcPr>
          <w:p>
            <w:pPr>
              <w:pStyle w:val="TableParagraph"/>
              <w:spacing w:line="268" w:lineRule="exact"/>
              <w:ind w:left="357"/>
              <w:rPr>
                <w:sz w:val="24"/>
              </w:rPr>
            </w:pPr>
            <w:r>
              <w:rPr>
                <w:sz w:val="24"/>
              </w:rPr>
              <w:t>0.003</w:t>
            </w:r>
          </w:p>
        </w:tc>
      </w:tr>
      <w:tr>
        <w:trPr>
          <w:trHeight w:val="468" w:hRule="exact"/>
        </w:trPr>
        <w:tc>
          <w:tcPr>
            <w:tcW w:w="3281" w:type="dxa"/>
          </w:tcPr>
          <w:p>
            <w:pPr>
              <w:pStyle w:val="TableParagraph"/>
              <w:spacing w:line="273" w:lineRule="exact"/>
              <w:ind w:left="103"/>
              <w:rPr>
                <w:b/>
                <w:sz w:val="24"/>
              </w:rPr>
            </w:pPr>
            <w:r>
              <w:rPr>
                <w:b/>
                <w:sz w:val="24"/>
              </w:rPr>
              <w:t>Cálculo</w:t>
            </w:r>
          </w:p>
        </w:tc>
        <w:tc>
          <w:tcPr>
            <w:tcW w:w="1534" w:type="dxa"/>
          </w:tcPr>
          <w:p>
            <w:pPr>
              <w:pStyle w:val="TableParagraph"/>
              <w:spacing w:line="268" w:lineRule="exact"/>
              <w:ind w:left="260" w:right="260"/>
              <w:jc w:val="center"/>
              <w:rPr>
                <w:sz w:val="24"/>
              </w:rPr>
            </w:pPr>
            <w:r>
              <w:rPr>
                <w:sz w:val="24"/>
              </w:rPr>
              <w:t>20.0</w:t>
            </w:r>
          </w:p>
        </w:tc>
        <w:tc>
          <w:tcPr>
            <w:tcW w:w="1537" w:type="dxa"/>
          </w:tcPr>
          <w:p>
            <w:pPr>
              <w:pStyle w:val="TableParagraph"/>
              <w:spacing w:line="268" w:lineRule="exact"/>
              <w:ind w:left="533" w:right="534"/>
              <w:jc w:val="center"/>
              <w:rPr>
                <w:sz w:val="24"/>
              </w:rPr>
            </w:pPr>
            <w:r>
              <w:rPr>
                <w:sz w:val="24"/>
              </w:rPr>
              <w:t>13.3</w:t>
            </w:r>
          </w:p>
        </w:tc>
        <w:tc>
          <w:tcPr>
            <w:tcW w:w="1572" w:type="dxa"/>
          </w:tcPr>
          <w:p>
            <w:pPr>
              <w:pStyle w:val="TableParagraph"/>
              <w:spacing w:line="268" w:lineRule="exact"/>
              <w:ind w:left="150" w:right="150"/>
              <w:jc w:val="center"/>
              <w:rPr>
                <w:sz w:val="24"/>
              </w:rPr>
            </w:pPr>
            <w:r>
              <w:rPr>
                <w:sz w:val="24"/>
              </w:rPr>
              <w:t>23.3</w:t>
            </w:r>
          </w:p>
        </w:tc>
        <w:tc>
          <w:tcPr>
            <w:tcW w:w="1270" w:type="dxa"/>
          </w:tcPr>
          <w:p>
            <w:pPr>
              <w:pStyle w:val="TableParagraph"/>
              <w:spacing w:line="268" w:lineRule="exact"/>
              <w:ind w:left="357"/>
              <w:rPr>
                <w:sz w:val="24"/>
              </w:rPr>
            </w:pPr>
            <w:r>
              <w:rPr>
                <w:sz w:val="24"/>
              </w:rPr>
              <w:t>0.940</w:t>
            </w:r>
          </w:p>
        </w:tc>
      </w:tr>
      <w:tr>
        <w:trPr>
          <w:trHeight w:val="468" w:hRule="exact"/>
        </w:trPr>
        <w:tc>
          <w:tcPr>
            <w:tcW w:w="3281" w:type="dxa"/>
          </w:tcPr>
          <w:p>
            <w:pPr>
              <w:pStyle w:val="TableParagraph"/>
              <w:spacing w:line="273" w:lineRule="exact"/>
              <w:ind w:left="103"/>
              <w:rPr>
                <w:b/>
                <w:sz w:val="24"/>
              </w:rPr>
            </w:pPr>
            <w:r>
              <w:rPr>
                <w:b/>
                <w:sz w:val="24"/>
              </w:rPr>
              <w:t>3-5.5mm</w:t>
            </w:r>
          </w:p>
        </w:tc>
        <w:tc>
          <w:tcPr>
            <w:tcW w:w="1534" w:type="dxa"/>
          </w:tcPr>
          <w:p>
            <w:pPr>
              <w:pStyle w:val="TableParagraph"/>
              <w:spacing w:line="268" w:lineRule="exact"/>
              <w:ind w:left="260" w:right="260"/>
              <w:jc w:val="center"/>
              <w:rPr>
                <w:sz w:val="24"/>
              </w:rPr>
            </w:pPr>
            <w:r>
              <w:rPr>
                <w:sz w:val="24"/>
              </w:rPr>
              <w:t>43.3</w:t>
            </w:r>
          </w:p>
        </w:tc>
        <w:tc>
          <w:tcPr>
            <w:tcW w:w="1537" w:type="dxa"/>
          </w:tcPr>
          <w:p>
            <w:pPr>
              <w:pStyle w:val="TableParagraph"/>
              <w:spacing w:line="268" w:lineRule="exact"/>
              <w:ind w:left="533" w:right="534"/>
              <w:jc w:val="center"/>
              <w:rPr>
                <w:sz w:val="24"/>
              </w:rPr>
            </w:pPr>
            <w:r>
              <w:rPr>
                <w:sz w:val="24"/>
              </w:rPr>
              <w:t>66.7</w:t>
            </w:r>
          </w:p>
        </w:tc>
        <w:tc>
          <w:tcPr>
            <w:tcW w:w="1572" w:type="dxa"/>
          </w:tcPr>
          <w:p>
            <w:pPr>
              <w:pStyle w:val="TableParagraph"/>
              <w:spacing w:line="268" w:lineRule="exact"/>
              <w:ind w:left="150" w:right="150"/>
              <w:jc w:val="center"/>
              <w:rPr>
                <w:sz w:val="24"/>
              </w:rPr>
            </w:pPr>
            <w:r>
              <w:rPr>
                <w:sz w:val="24"/>
              </w:rPr>
              <w:t>0.0</w:t>
            </w:r>
          </w:p>
        </w:tc>
        <w:tc>
          <w:tcPr>
            <w:tcW w:w="1270" w:type="dxa"/>
          </w:tcPr>
          <w:p>
            <w:pPr>
              <w:pStyle w:val="TableParagraph"/>
              <w:spacing w:line="268" w:lineRule="exact"/>
              <w:ind w:left="290"/>
              <w:rPr>
                <w:sz w:val="24"/>
              </w:rPr>
            </w:pPr>
            <w:r>
              <w:rPr>
                <w:sz w:val="24"/>
              </w:rPr>
              <w:t>˂0.001</w:t>
            </w:r>
          </w:p>
        </w:tc>
      </w:tr>
      <w:tr>
        <w:trPr>
          <w:trHeight w:val="466" w:hRule="exact"/>
        </w:trPr>
        <w:tc>
          <w:tcPr>
            <w:tcW w:w="3281" w:type="dxa"/>
          </w:tcPr>
          <w:p>
            <w:pPr>
              <w:pStyle w:val="TableParagraph"/>
              <w:spacing w:line="273" w:lineRule="exact"/>
              <w:ind w:left="103"/>
              <w:rPr>
                <w:b/>
                <w:sz w:val="24"/>
              </w:rPr>
            </w:pPr>
            <w:r>
              <w:rPr>
                <w:b/>
                <w:sz w:val="24"/>
              </w:rPr>
              <w:t>6 o + mm</w:t>
            </w:r>
          </w:p>
        </w:tc>
        <w:tc>
          <w:tcPr>
            <w:tcW w:w="1534" w:type="dxa"/>
          </w:tcPr>
          <w:p>
            <w:pPr>
              <w:pStyle w:val="TableParagraph"/>
              <w:spacing w:line="268" w:lineRule="exact"/>
              <w:ind w:left="260" w:right="260"/>
              <w:jc w:val="center"/>
              <w:rPr>
                <w:sz w:val="24"/>
              </w:rPr>
            </w:pPr>
            <w:r>
              <w:rPr>
                <w:sz w:val="24"/>
              </w:rPr>
              <w:t>30.0</w:t>
            </w:r>
          </w:p>
        </w:tc>
        <w:tc>
          <w:tcPr>
            <w:tcW w:w="1537" w:type="dxa"/>
          </w:tcPr>
          <w:p>
            <w:pPr>
              <w:pStyle w:val="TableParagraph"/>
              <w:spacing w:line="268" w:lineRule="exact"/>
              <w:ind w:left="533" w:right="534"/>
              <w:jc w:val="center"/>
              <w:rPr>
                <w:sz w:val="24"/>
              </w:rPr>
            </w:pPr>
            <w:r>
              <w:rPr>
                <w:sz w:val="24"/>
              </w:rPr>
              <w:t>16.7</w:t>
            </w:r>
          </w:p>
        </w:tc>
        <w:tc>
          <w:tcPr>
            <w:tcW w:w="1572" w:type="dxa"/>
          </w:tcPr>
          <w:p>
            <w:pPr>
              <w:pStyle w:val="TableParagraph"/>
              <w:spacing w:line="268" w:lineRule="exact"/>
              <w:ind w:left="150" w:right="150"/>
              <w:jc w:val="center"/>
              <w:rPr>
                <w:sz w:val="24"/>
              </w:rPr>
            </w:pPr>
            <w:r>
              <w:rPr>
                <w:sz w:val="24"/>
              </w:rPr>
              <w:t>0.0</w:t>
            </w:r>
          </w:p>
        </w:tc>
        <w:tc>
          <w:tcPr>
            <w:tcW w:w="1270" w:type="dxa"/>
          </w:tcPr>
          <w:p>
            <w:pPr>
              <w:pStyle w:val="TableParagraph"/>
              <w:spacing w:line="268" w:lineRule="exact"/>
              <w:ind w:left="357"/>
              <w:rPr>
                <w:sz w:val="24"/>
              </w:rPr>
            </w:pPr>
            <w:r>
              <w:rPr>
                <w:sz w:val="24"/>
              </w:rPr>
              <w:t>0.003</w:t>
            </w:r>
          </w:p>
        </w:tc>
      </w:tr>
      <w:tr>
        <w:trPr>
          <w:trHeight w:val="470" w:hRule="exact"/>
        </w:trPr>
        <w:tc>
          <w:tcPr>
            <w:tcW w:w="3281" w:type="dxa"/>
          </w:tcPr>
          <w:p>
            <w:pPr>
              <w:pStyle w:val="TableParagraph"/>
              <w:spacing w:line="275" w:lineRule="exact"/>
              <w:ind w:left="103"/>
              <w:rPr>
                <w:b/>
                <w:sz w:val="24"/>
              </w:rPr>
            </w:pPr>
            <w:r>
              <w:rPr>
                <w:b/>
                <w:sz w:val="24"/>
              </w:rPr>
              <w:t>Excluido</w:t>
            </w:r>
          </w:p>
        </w:tc>
        <w:tc>
          <w:tcPr>
            <w:tcW w:w="1534" w:type="dxa"/>
          </w:tcPr>
          <w:p>
            <w:pPr>
              <w:pStyle w:val="TableParagraph"/>
              <w:spacing w:line="270" w:lineRule="exact"/>
              <w:ind w:left="260" w:right="260"/>
              <w:jc w:val="center"/>
              <w:rPr>
                <w:sz w:val="24"/>
              </w:rPr>
            </w:pPr>
            <w:r>
              <w:rPr>
                <w:sz w:val="24"/>
              </w:rPr>
              <w:t>6.7</w:t>
            </w:r>
          </w:p>
        </w:tc>
        <w:tc>
          <w:tcPr>
            <w:tcW w:w="1537" w:type="dxa"/>
          </w:tcPr>
          <w:p>
            <w:pPr>
              <w:pStyle w:val="TableParagraph"/>
              <w:spacing w:line="270" w:lineRule="exact"/>
              <w:ind w:left="533" w:right="534"/>
              <w:jc w:val="center"/>
              <w:rPr>
                <w:sz w:val="24"/>
              </w:rPr>
            </w:pPr>
            <w:r>
              <w:rPr>
                <w:sz w:val="24"/>
              </w:rPr>
              <w:t>0.0</w:t>
            </w:r>
          </w:p>
        </w:tc>
        <w:tc>
          <w:tcPr>
            <w:tcW w:w="1572" w:type="dxa"/>
          </w:tcPr>
          <w:p>
            <w:pPr>
              <w:pStyle w:val="TableParagraph"/>
              <w:spacing w:line="270" w:lineRule="exact"/>
              <w:ind w:left="150" w:right="150"/>
              <w:jc w:val="center"/>
              <w:rPr>
                <w:sz w:val="24"/>
              </w:rPr>
            </w:pPr>
            <w:r>
              <w:rPr>
                <w:sz w:val="24"/>
              </w:rPr>
              <w:t>0.0</w:t>
            </w:r>
          </w:p>
        </w:tc>
        <w:tc>
          <w:tcPr>
            <w:tcW w:w="1270" w:type="dxa"/>
          </w:tcPr>
          <w:p>
            <w:pPr>
              <w:pStyle w:val="TableParagraph"/>
              <w:spacing w:line="270" w:lineRule="exact"/>
              <w:ind w:left="357"/>
              <w:rPr>
                <w:sz w:val="24"/>
              </w:rPr>
            </w:pPr>
            <w:r>
              <w:rPr>
                <w:sz w:val="24"/>
              </w:rPr>
              <w:t>0.181</w:t>
            </w:r>
          </w:p>
        </w:tc>
      </w:tr>
    </w:tbl>
    <w:p>
      <w:pPr>
        <w:pStyle w:val="BodyText"/>
        <w:rPr>
          <w:b/>
          <w:sz w:val="20"/>
        </w:rPr>
      </w:pPr>
    </w:p>
    <w:p>
      <w:pPr>
        <w:pStyle w:val="BodyText"/>
        <w:rPr>
          <w:b/>
          <w:sz w:val="20"/>
        </w:rPr>
      </w:pPr>
    </w:p>
    <w:p>
      <w:pPr>
        <w:pStyle w:val="BodyText"/>
        <w:rPr>
          <w:b/>
          <w:sz w:val="20"/>
        </w:rPr>
      </w:pPr>
    </w:p>
    <w:p>
      <w:pPr>
        <w:pStyle w:val="BodyText"/>
        <w:spacing w:before="5"/>
        <w:rPr>
          <w:b/>
          <w:sz w:val="17"/>
        </w:rPr>
      </w:pPr>
    </w:p>
    <w:p>
      <w:pPr>
        <w:pStyle w:val="BodyText"/>
        <w:spacing w:line="360" w:lineRule="auto" w:before="69"/>
        <w:ind w:left="118" w:right="112"/>
        <w:jc w:val="both"/>
      </w:pPr>
      <w:r>
        <w:rPr/>
        <w:t>En la Tabla 2. Correspondiente a los sextantes de la arcada inferior, correspondiente al sextante de molar inferior izquierdo el grupo DM2+EP presentó mayor prevalencia en la categoría de profundidad al sondeo de 3-5.5 mm, de igual forma el grupo EP, por lo contrario en el grupo no DM2-EP</w:t>
      </w:r>
      <w:r>
        <w:rPr>
          <w:spacing w:val="-5"/>
        </w:rPr>
        <w:t> </w:t>
      </w:r>
      <w:r>
        <w:rPr/>
        <w:t>tiene</w:t>
      </w:r>
      <w:r>
        <w:rPr>
          <w:spacing w:val="-7"/>
        </w:rPr>
        <w:t> </w:t>
      </w:r>
      <w:r>
        <w:rPr/>
        <w:t>una</w:t>
      </w:r>
      <w:r>
        <w:rPr>
          <w:spacing w:val="-7"/>
        </w:rPr>
        <w:t> </w:t>
      </w:r>
      <w:r>
        <w:rPr/>
        <w:t>mayor</w:t>
      </w:r>
      <w:r>
        <w:rPr>
          <w:spacing w:val="-7"/>
        </w:rPr>
        <w:t> </w:t>
      </w:r>
      <w:r>
        <w:rPr/>
        <w:t>prevalencia</w:t>
      </w:r>
      <w:r>
        <w:rPr>
          <w:spacing w:val="-4"/>
        </w:rPr>
        <w:t> </w:t>
      </w:r>
      <w:r>
        <w:rPr/>
        <w:t>en</w:t>
      </w:r>
      <w:r>
        <w:rPr>
          <w:spacing w:val="-6"/>
        </w:rPr>
        <w:t> </w:t>
      </w:r>
      <w:r>
        <w:rPr/>
        <w:t>la</w:t>
      </w:r>
      <w:r>
        <w:rPr>
          <w:spacing w:val="-7"/>
        </w:rPr>
        <w:t> </w:t>
      </w:r>
      <w:r>
        <w:rPr/>
        <w:t>categoría</w:t>
      </w:r>
      <w:r>
        <w:rPr>
          <w:spacing w:val="-7"/>
        </w:rPr>
        <w:t> </w:t>
      </w:r>
      <w:r>
        <w:rPr/>
        <w:t>de</w:t>
      </w:r>
      <w:r>
        <w:rPr>
          <w:spacing w:val="-7"/>
        </w:rPr>
        <w:t> </w:t>
      </w:r>
      <w:r>
        <w:rPr/>
        <w:t>cálculo.</w:t>
      </w:r>
      <w:r>
        <w:rPr>
          <w:spacing w:val="-6"/>
        </w:rPr>
        <w:t> </w:t>
      </w:r>
      <w:r>
        <w:rPr/>
        <w:t>Correspondiente</w:t>
      </w:r>
      <w:r>
        <w:rPr>
          <w:spacing w:val="-7"/>
        </w:rPr>
        <w:t> </w:t>
      </w:r>
      <w:r>
        <w:rPr/>
        <w:t>al</w:t>
      </w:r>
      <w:r>
        <w:rPr>
          <w:spacing w:val="-6"/>
        </w:rPr>
        <w:t> </w:t>
      </w:r>
      <w:r>
        <w:rPr/>
        <w:t>sextante</w:t>
      </w:r>
      <w:r>
        <w:rPr>
          <w:spacing w:val="-7"/>
        </w:rPr>
        <w:t> </w:t>
      </w:r>
      <w:r>
        <w:rPr/>
        <w:t>del diente central inferior el grupo DM2+EP presentó mayor prevalencia en la categoría de profundidad al sondeo de 3-5.5mm, y los grupo EP y No DM2-EP pr mayor prevalencia en la categoría del cálculo. En el sextante inferior derecho el grupo DM2+EP mostró mayor prevalencia</w:t>
      </w:r>
      <w:r>
        <w:rPr>
          <w:spacing w:val="-7"/>
        </w:rPr>
        <w:t> </w:t>
      </w:r>
      <w:r>
        <w:rPr/>
        <w:t>en</w:t>
      </w:r>
      <w:r>
        <w:rPr>
          <w:spacing w:val="-4"/>
        </w:rPr>
        <w:t> </w:t>
      </w:r>
      <w:r>
        <w:rPr/>
        <w:t>la</w:t>
      </w:r>
      <w:r>
        <w:rPr>
          <w:spacing w:val="-7"/>
        </w:rPr>
        <w:t> </w:t>
      </w:r>
      <w:r>
        <w:rPr/>
        <w:t>categoría</w:t>
      </w:r>
      <w:r>
        <w:rPr>
          <w:spacing w:val="-7"/>
        </w:rPr>
        <w:t> </w:t>
      </w:r>
      <w:r>
        <w:rPr/>
        <w:t>de</w:t>
      </w:r>
      <w:r>
        <w:rPr>
          <w:spacing w:val="-7"/>
        </w:rPr>
        <w:t> </w:t>
      </w:r>
      <w:r>
        <w:rPr/>
        <w:t>profundidad</w:t>
      </w:r>
      <w:r>
        <w:rPr>
          <w:spacing w:val="-4"/>
        </w:rPr>
        <w:t> </w:t>
      </w:r>
      <w:r>
        <w:rPr/>
        <w:t>al</w:t>
      </w:r>
      <w:r>
        <w:rPr>
          <w:spacing w:val="-6"/>
        </w:rPr>
        <w:t> </w:t>
      </w:r>
      <w:r>
        <w:rPr/>
        <w:t>sondeo</w:t>
      </w:r>
      <w:r>
        <w:rPr>
          <w:spacing w:val="-6"/>
        </w:rPr>
        <w:t> </w:t>
      </w:r>
      <w:r>
        <w:rPr/>
        <w:t>de</w:t>
      </w:r>
      <w:r>
        <w:rPr>
          <w:spacing w:val="-7"/>
        </w:rPr>
        <w:t> </w:t>
      </w:r>
      <w:r>
        <w:rPr/>
        <w:t>3-5.5mm,</w:t>
      </w:r>
      <w:r>
        <w:rPr>
          <w:spacing w:val="-6"/>
        </w:rPr>
        <w:t> </w:t>
      </w:r>
      <w:r>
        <w:rPr/>
        <w:t>de</w:t>
      </w:r>
      <w:r>
        <w:rPr>
          <w:spacing w:val="-7"/>
        </w:rPr>
        <w:t> </w:t>
      </w:r>
      <w:r>
        <w:rPr/>
        <w:t>igual</w:t>
      </w:r>
      <w:r>
        <w:rPr>
          <w:spacing w:val="-6"/>
        </w:rPr>
        <w:t> </w:t>
      </w:r>
      <w:r>
        <w:rPr/>
        <w:t>forma</w:t>
      </w:r>
      <w:r>
        <w:rPr>
          <w:spacing w:val="-7"/>
        </w:rPr>
        <w:t> </w:t>
      </w:r>
      <w:r>
        <w:rPr/>
        <w:t>el</w:t>
      </w:r>
      <w:r>
        <w:rPr>
          <w:spacing w:val="-3"/>
        </w:rPr>
        <w:t> </w:t>
      </w:r>
      <w:r>
        <w:rPr/>
        <w:t>grupo</w:t>
      </w:r>
      <w:r>
        <w:rPr>
          <w:spacing w:val="-5"/>
        </w:rPr>
        <w:t> </w:t>
      </w:r>
      <w:r>
        <w:rPr/>
        <w:t>EP,</w:t>
      </w:r>
      <w:r>
        <w:rPr>
          <w:spacing w:val="-6"/>
        </w:rPr>
        <w:t> </w:t>
      </w:r>
      <w:r>
        <w:rPr/>
        <w:t>el grupo No DM2-EP demostró mayor prevalencia en la categoría de</w:t>
      </w:r>
      <w:r>
        <w:rPr>
          <w:spacing w:val="-14"/>
        </w:rPr>
        <w:t> </w:t>
      </w:r>
      <w:r>
        <w:rPr/>
        <w:t>cálculo.</w:t>
      </w:r>
    </w:p>
    <w:p>
      <w:pPr>
        <w:pStyle w:val="BodyText"/>
      </w:pPr>
    </w:p>
    <w:p>
      <w:pPr>
        <w:pStyle w:val="BodyText"/>
        <w:spacing w:before="6"/>
      </w:pPr>
    </w:p>
    <w:p>
      <w:pPr>
        <w:pStyle w:val="Heading3"/>
        <w:ind w:left="118"/>
      </w:pPr>
      <w:r>
        <w:rPr/>
        <w:t>Tabla 2. IPC arcada superior por grupos de estudio.</w:t>
      </w:r>
    </w:p>
    <w:p>
      <w:pPr>
        <w:pStyle w:val="BodyText"/>
        <w:spacing w:before="3"/>
        <w:rPr>
          <w:b/>
        </w:rPr>
      </w:pPr>
    </w:p>
    <w:tbl>
      <w:tblPr>
        <w:tblW w:w="0" w:type="auto"/>
        <w:jc w:val="left"/>
        <w:tblInd w:w="11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3248"/>
        <w:gridCol w:w="1582"/>
        <w:gridCol w:w="1262"/>
        <w:gridCol w:w="1544"/>
        <w:gridCol w:w="1320"/>
      </w:tblGrid>
      <w:tr>
        <w:trPr>
          <w:trHeight w:val="773" w:hRule="exact"/>
        </w:trPr>
        <w:tc>
          <w:tcPr>
            <w:tcW w:w="3248" w:type="dxa"/>
            <w:tcBorders>
              <w:bottom w:val="single" w:sz="12" w:space="0" w:color="666666"/>
            </w:tcBorders>
          </w:tcPr>
          <w:p>
            <w:pPr/>
          </w:p>
        </w:tc>
        <w:tc>
          <w:tcPr>
            <w:tcW w:w="1582" w:type="dxa"/>
            <w:tcBorders>
              <w:bottom w:val="single" w:sz="12" w:space="0" w:color="666666"/>
            </w:tcBorders>
          </w:tcPr>
          <w:p>
            <w:pPr>
              <w:pStyle w:val="TableParagraph"/>
              <w:spacing w:before="145"/>
              <w:ind w:left="284" w:right="285"/>
              <w:jc w:val="center"/>
              <w:rPr>
                <w:b/>
                <w:sz w:val="24"/>
              </w:rPr>
            </w:pPr>
            <w:r>
              <w:rPr>
                <w:b/>
                <w:sz w:val="24"/>
              </w:rPr>
              <w:t>DM2+EP</w:t>
            </w:r>
          </w:p>
        </w:tc>
        <w:tc>
          <w:tcPr>
            <w:tcW w:w="1262" w:type="dxa"/>
            <w:tcBorders>
              <w:bottom w:val="single" w:sz="12" w:space="0" w:color="666666"/>
            </w:tcBorders>
          </w:tcPr>
          <w:p>
            <w:pPr>
              <w:pStyle w:val="TableParagraph"/>
              <w:spacing w:before="145"/>
              <w:ind w:right="469"/>
              <w:jc w:val="right"/>
              <w:rPr>
                <w:b/>
                <w:sz w:val="24"/>
              </w:rPr>
            </w:pPr>
            <w:r>
              <w:rPr>
                <w:b/>
                <w:sz w:val="24"/>
              </w:rPr>
              <w:t>EP</w:t>
            </w:r>
          </w:p>
        </w:tc>
        <w:tc>
          <w:tcPr>
            <w:tcW w:w="1544" w:type="dxa"/>
            <w:tcBorders>
              <w:bottom w:val="single" w:sz="12" w:space="0" w:color="666666"/>
            </w:tcBorders>
          </w:tcPr>
          <w:p>
            <w:pPr>
              <w:pStyle w:val="TableParagraph"/>
              <w:spacing w:before="145"/>
              <w:ind w:left="136" w:right="137"/>
              <w:jc w:val="center"/>
              <w:rPr>
                <w:b/>
                <w:sz w:val="24"/>
              </w:rPr>
            </w:pPr>
            <w:r>
              <w:rPr>
                <w:b/>
                <w:sz w:val="24"/>
              </w:rPr>
              <w:t>no DM2-EP</w:t>
            </w:r>
          </w:p>
        </w:tc>
        <w:tc>
          <w:tcPr>
            <w:tcW w:w="1320" w:type="dxa"/>
            <w:tcBorders>
              <w:bottom w:val="single" w:sz="12" w:space="0" w:color="666666"/>
            </w:tcBorders>
          </w:tcPr>
          <w:p>
            <w:pPr>
              <w:pStyle w:val="TableParagraph"/>
              <w:spacing w:before="145"/>
              <w:ind w:left="228" w:right="231"/>
              <w:jc w:val="center"/>
              <w:rPr>
                <w:b/>
                <w:sz w:val="24"/>
              </w:rPr>
            </w:pPr>
            <w:r>
              <w:rPr>
                <w:b/>
                <w:sz w:val="24"/>
              </w:rPr>
              <w:t>p ˂ 0.05</w:t>
            </w:r>
          </w:p>
        </w:tc>
      </w:tr>
      <w:tr>
        <w:trPr>
          <w:trHeight w:val="778" w:hRule="exact"/>
        </w:trPr>
        <w:tc>
          <w:tcPr>
            <w:tcW w:w="3248" w:type="dxa"/>
            <w:tcBorders>
              <w:top w:val="single" w:sz="12" w:space="0" w:color="666666"/>
            </w:tcBorders>
          </w:tcPr>
          <w:p>
            <w:pPr>
              <w:pStyle w:val="TableParagraph"/>
              <w:spacing w:line="256" w:lineRule="auto" w:before="1"/>
              <w:ind w:left="103" w:right="935"/>
              <w:rPr>
                <w:b/>
                <w:sz w:val="24"/>
              </w:rPr>
            </w:pPr>
            <w:r>
              <w:rPr>
                <w:b/>
                <w:sz w:val="24"/>
              </w:rPr>
              <w:t>MOLAR INFERIOR IZQUIERDO</w:t>
            </w:r>
          </w:p>
        </w:tc>
        <w:tc>
          <w:tcPr>
            <w:tcW w:w="1582" w:type="dxa"/>
            <w:tcBorders>
              <w:top w:val="single" w:sz="12" w:space="0" w:color="666666"/>
            </w:tcBorders>
          </w:tcPr>
          <w:p>
            <w:pPr>
              <w:pStyle w:val="TableParagraph"/>
              <w:spacing w:before="143"/>
              <w:ind w:left="282" w:right="285"/>
              <w:jc w:val="center"/>
              <w:rPr>
                <w:sz w:val="24"/>
              </w:rPr>
            </w:pPr>
            <w:r>
              <w:rPr>
                <w:sz w:val="24"/>
              </w:rPr>
              <w:t>(%)</w:t>
            </w:r>
          </w:p>
        </w:tc>
        <w:tc>
          <w:tcPr>
            <w:tcW w:w="1262" w:type="dxa"/>
            <w:tcBorders>
              <w:top w:val="single" w:sz="12" w:space="0" w:color="666666"/>
            </w:tcBorders>
          </w:tcPr>
          <w:p>
            <w:pPr>
              <w:pStyle w:val="TableParagraph"/>
              <w:spacing w:before="143"/>
              <w:ind w:right="446"/>
              <w:jc w:val="right"/>
              <w:rPr>
                <w:sz w:val="24"/>
              </w:rPr>
            </w:pPr>
            <w:r>
              <w:rPr>
                <w:sz w:val="24"/>
              </w:rPr>
              <w:t>(%)</w:t>
            </w:r>
          </w:p>
        </w:tc>
        <w:tc>
          <w:tcPr>
            <w:tcW w:w="1544" w:type="dxa"/>
            <w:tcBorders>
              <w:top w:val="single" w:sz="12" w:space="0" w:color="666666"/>
            </w:tcBorders>
          </w:tcPr>
          <w:p>
            <w:pPr>
              <w:pStyle w:val="TableParagraph"/>
              <w:spacing w:before="143"/>
              <w:ind w:left="135" w:right="137"/>
              <w:jc w:val="center"/>
              <w:rPr>
                <w:sz w:val="24"/>
              </w:rPr>
            </w:pPr>
            <w:r>
              <w:rPr>
                <w:sz w:val="24"/>
              </w:rPr>
              <w:t>(%)</w:t>
            </w:r>
          </w:p>
        </w:tc>
        <w:tc>
          <w:tcPr>
            <w:tcW w:w="1320" w:type="dxa"/>
            <w:tcBorders>
              <w:top w:val="single" w:sz="12" w:space="0" w:color="666666"/>
            </w:tcBorders>
          </w:tcPr>
          <w:p>
            <w:pPr/>
          </w:p>
        </w:tc>
      </w:tr>
      <w:tr>
        <w:trPr>
          <w:trHeight w:val="502" w:hRule="exact"/>
        </w:trPr>
        <w:tc>
          <w:tcPr>
            <w:tcW w:w="3248" w:type="dxa"/>
          </w:tcPr>
          <w:p>
            <w:pPr>
              <w:pStyle w:val="TableParagraph"/>
              <w:spacing w:before="13"/>
              <w:ind w:left="103" w:right="935"/>
              <w:rPr>
                <w:b/>
                <w:sz w:val="24"/>
              </w:rPr>
            </w:pPr>
            <w:r>
              <w:rPr>
                <w:b/>
                <w:sz w:val="24"/>
              </w:rPr>
              <w:t>Sano</w:t>
            </w:r>
          </w:p>
        </w:tc>
        <w:tc>
          <w:tcPr>
            <w:tcW w:w="1582" w:type="dxa"/>
          </w:tcPr>
          <w:p>
            <w:pPr>
              <w:pStyle w:val="TableParagraph"/>
              <w:spacing w:before="8"/>
              <w:ind w:left="282" w:right="285"/>
              <w:jc w:val="center"/>
              <w:rPr>
                <w:sz w:val="24"/>
              </w:rPr>
            </w:pPr>
            <w:r>
              <w:rPr>
                <w:sz w:val="24"/>
              </w:rPr>
              <w:t>0.0</w:t>
            </w:r>
          </w:p>
        </w:tc>
        <w:tc>
          <w:tcPr>
            <w:tcW w:w="1262" w:type="dxa"/>
          </w:tcPr>
          <w:p>
            <w:pPr>
              <w:pStyle w:val="TableParagraph"/>
              <w:spacing w:before="8"/>
              <w:ind w:right="475"/>
              <w:jc w:val="right"/>
              <w:rPr>
                <w:sz w:val="24"/>
              </w:rPr>
            </w:pPr>
            <w:r>
              <w:rPr>
                <w:sz w:val="24"/>
              </w:rPr>
              <w:t>0.0</w:t>
            </w:r>
          </w:p>
        </w:tc>
        <w:tc>
          <w:tcPr>
            <w:tcW w:w="1544" w:type="dxa"/>
          </w:tcPr>
          <w:p>
            <w:pPr>
              <w:pStyle w:val="TableParagraph"/>
              <w:spacing w:before="8"/>
              <w:ind w:left="136" w:right="136"/>
              <w:jc w:val="center"/>
              <w:rPr>
                <w:sz w:val="24"/>
              </w:rPr>
            </w:pPr>
            <w:r>
              <w:rPr>
                <w:sz w:val="24"/>
              </w:rPr>
              <w:t>30.0</w:t>
            </w:r>
          </w:p>
        </w:tc>
        <w:tc>
          <w:tcPr>
            <w:tcW w:w="1320" w:type="dxa"/>
          </w:tcPr>
          <w:p>
            <w:pPr>
              <w:pStyle w:val="TableParagraph"/>
              <w:spacing w:before="8"/>
              <w:ind w:left="228" w:right="228"/>
              <w:jc w:val="center"/>
              <w:rPr>
                <w:sz w:val="24"/>
              </w:rPr>
            </w:pPr>
            <w:r>
              <w:rPr>
                <w:sz w:val="24"/>
              </w:rPr>
              <w:t>0.001</w:t>
            </w:r>
          </w:p>
        </w:tc>
      </w:tr>
      <w:tr>
        <w:trPr>
          <w:trHeight w:val="468" w:hRule="exact"/>
        </w:trPr>
        <w:tc>
          <w:tcPr>
            <w:tcW w:w="3248" w:type="dxa"/>
          </w:tcPr>
          <w:p>
            <w:pPr>
              <w:pStyle w:val="TableParagraph"/>
              <w:spacing w:line="273" w:lineRule="exact"/>
              <w:ind w:left="103" w:right="935"/>
              <w:rPr>
                <w:b/>
                <w:sz w:val="24"/>
              </w:rPr>
            </w:pPr>
            <w:r>
              <w:rPr>
                <w:b/>
                <w:sz w:val="24"/>
              </w:rPr>
              <w:t>Sangrado</w:t>
            </w:r>
          </w:p>
        </w:tc>
        <w:tc>
          <w:tcPr>
            <w:tcW w:w="1582" w:type="dxa"/>
          </w:tcPr>
          <w:p>
            <w:pPr>
              <w:pStyle w:val="TableParagraph"/>
              <w:spacing w:line="268" w:lineRule="exact"/>
              <w:ind w:left="282" w:right="285"/>
              <w:jc w:val="center"/>
              <w:rPr>
                <w:sz w:val="24"/>
              </w:rPr>
            </w:pPr>
            <w:r>
              <w:rPr>
                <w:sz w:val="24"/>
              </w:rPr>
              <w:t>0.0</w:t>
            </w:r>
          </w:p>
        </w:tc>
        <w:tc>
          <w:tcPr>
            <w:tcW w:w="1262" w:type="dxa"/>
          </w:tcPr>
          <w:p>
            <w:pPr>
              <w:pStyle w:val="TableParagraph"/>
              <w:spacing w:line="268" w:lineRule="exact"/>
              <w:ind w:right="475"/>
              <w:jc w:val="right"/>
              <w:rPr>
                <w:sz w:val="24"/>
              </w:rPr>
            </w:pPr>
            <w:r>
              <w:rPr>
                <w:sz w:val="24"/>
              </w:rPr>
              <w:t>0.0</w:t>
            </w:r>
          </w:p>
        </w:tc>
        <w:tc>
          <w:tcPr>
            <w:tcW w:w="1544" w:type="dxa"/>
          </w:tcPr>
          <w:p>
            <w:pPr>
              <w:pStyle w:val="TableParagraph"/>
              <w:spacing w:line="268" w:lineRule="exact"/>
              <w:ind w:left="136" w:right="136"/>
              <w:jc w:val="center"/>
              <w:rPr>
                <w:sz w:val="24"/>
              </w:rPr>
            </w:pPr>
            <w:r>
              <w:rPr>
                <w:sz w:val="24"/>
              </w:rPr>
              <w:t>16.7</w:t>
            </w:r>
          </w:p>
        </w:tc>
        <w:tc>
          <w:tcPr>
            <w:tcW w:w="1320" w:type="dxa"/>
          </w:tcPr>
          <w:p>
            <w:pPr>
              <w:pStyle w:val="TableParagraph"/>
              <w:spacing w:line="268" w:lineRule="exact"/>
              <w:ind w:left="228" w:right="228"/>
              <w:jc w:val="center"/>
              <w:rPr>
                <w:sz w:val="24"/>
              </w:rPr>
            </w:pPr>
            <w:r>
              <w:rPr>
                <w:sz w:val="24"/>
              </w:rPr>
              <w:t>0.012</w:t>
            </w:r>
          </w:p>
        </w:tc>
      </w:tr>
      <w:tr>
        <w:trPr>
          <w:trHeight w:val="468" w:hRule="exact"/>
        </w:trPr>
        <w:tc>
          <w:tcPr>
            <w:tcW w:w="3248" w:type="dxa"/>
          </w:tcPr>
          <w:p>
            <w:pPr>
              <w:pStyle w:val="TableParagraph"/>
              <w:spacing w:line="273" w:lineRule="exact"/>
              <w:ind w:left="103" w:right="935"/>
              <w:rPr>
                <w:b/>
                <w:sz w:val="24"/>
              </w:rPr>
            </w:pPr>
            <w:r>
              <w:rPr>
                <w:b/>
                <w:sz w:val="24"/>
              </w:rPr>
              <w:t>Cálculo</w:t>
            </w:r>
          </w:p>
        </w:tc>
        <w:tc>
          <w:tcPr>
            <w:tcW w:w="1582" w:type="dxa"/>
          </w:tcPr>
          <w:p>
            <w:pPr>
              <w:pStyle w:val="TableParagraph"/>
              <w:spacing w:line="268" w:lineRule="exact"/>
              <w:ind w:left="282" w:right="285"/>
              <w:jc w:val="center"/>
              <w:rPr>
                <w:sz w:val="24"/>
              </w:rPr>
            </w:pPr>
            <w:r>
              <w:rPr>
                <w:sz w:val="24"/>
              </w:rPr>
              <w:t>30.0</w:t>
            </w:r>
          </w:p>
        </w:tc>
        <w:tc>
          <w:tcPr>
            <w:tcW w:w="1262" w:type="dxa"/>
          </w:tcPr>
          <w:p>
            <w:pPr>
              <w:pStyle w:val="TableParagraph"/>
              <w:spacing w:line="268" w:lineRule="exact"/>
              <w:ind w:right="415"/>
              <w:jc w:val="right"/>
              <w:rPr>
                <w:sz w:val="24"/>
              </w:rPr>
            </w:pPr>
            <w:r>
              <w:rPr>
                <w:sz w:val="24"/>
              </w:rPr>
              <w:t>30.0</w:t>
            </w:r>
          </w:p>
        </w:tc>
        <w:tc>
          <w:tcPr>
            <w:tcW w:w="1544" w:type="dxa"/>
          </w:tcPr>
          <w:p>
            <w:pPr>
              <w:pStyle w:val="TableParagraph"/>
              <w:spacing w:line="268" w:lineRule="exact"/>
              <w:ind w:left="136" w:right="136"/>
              <w:jc w:val="center"/>
              <w:rPr>
                <w:sz w:val="24"/>
              </w:rPr>
            </w:pPr>
            <w:r>
              <w:rPr>
                <w:sz w:val="24"/>
              </w:rPr>
              <w:t>50.0</w:t>
            </w:r>
          </w:p>
        </w:tc>
        <w:tc>
          <w:tcPr>
            <w:tcW w:w="1320" w:type="dxa"/>
          </w:tcPr>
          <w:p>
            <w:pPr>
              <w:pStyle w:val="TableParagraph"/>
              <w:spacing w:line="268" w:lineRule="exact"/>
              <w:ind w:left="228" w:right="228"/>
              <w:jc w:val="center"/>
              <w:rPr>
                <w:sz w:val="24"/>
              </w:rPr>
            </w:pPr>
            <w:r>
              <w:rPr>
                <w:sz w:val="24"/>
              </w:rPr>
              <w:t>0.268</w:t>
            </w:r>
          </w:p>
        </w:tc>
      </w:tr>
      <w:tr>
        <w:trPr>
          <w:trHeight w:val="468" w:hRule="exact"/>
        </w:trPr>
        <w:tc>
          <w:tcPr>
            <w:tcW w:w="3248" w:type="dxa"/>
          </w:tcPr>
          <w:p>
            <w:pPr>
              <w:pStyle w:val="TableParagraph"/>
              <w:spacing w:line="273" w:lineRule="exact"/>
              <w:ind w:left="103" w:right="935"/>
              <w:rPr>
                <w:b/>
                <w:sz w:val="24"/>
              </w:rPr>
            </w:pPr>
            <w:r>
              <w:rPr>
                <w:b/>
                <w:sz w:val="24"/>
              </w:rPr>
              <w:t>3-5.5mm</w:t>
            </w:r>
          </w:p>
        </w:tc>
        <w:tc>
          <w:tcPr>
            <w:tcW w:w="1582" w:type="dxa"/>
          </w:tcPr>
          <w:p>
            <w:pPr>
              <w:pStyle w:val="TableParagraph"/>
              <w:spacing w:line="268" w:lineRule="exact"/>
              <w:ind w:left="282" w:right="285"/>
              <w:jc w:val="center"/>
              <w:rPr>
                <w:sz w:val="24"/>
              </w:rPr>
            </w:pPr>
            <w:r>
              <w:rPr>
                <w:sz w:val="24"/>
              </w:rPr>
              <w:t>46.7</w:t>
            </w:r>
          </w:p>
        </w:tc>
        <w:tc>
          <w:tcPr>
            <w:tcW w:w="1262" w:type="dxa"/>
          </w:tcPr>
          <w:p>
            <w:pPr>
              <w:pStyle w:val="TableParagraph"/>
              <w:spacing w:line="268" w:lineRule="exact"/>
              <w:ind w:right="415"/>
              <w:jc w:val="right"/>
              <w:rPr>
                <w:sz w:val="24"/>
              </w:rPr>
            </w:pPr>
            <w:r>
              <w:rPr>
                <w:sz w:val="24"/>
              </w:rPr>
              <w:t>50.0</w:t>
            </w:r>
          </w:p>
        </w:tc>
        <w:tc>
          <w:tcPr>
            <w:tcW w:w="1544" w:type="dxa"/>
          </w:tcPr>
          <w:p>
            <w:pPr>
              <w:pStyle w:val="TableParagraph"/>
              <w:spacing w:line="268" w:lineRule="exact"/>
              <w:ind w:left="136" w:right="136"/>
              <w:jc w:val="center"/>
              <w:rPr>
                <w:sz w:val="24"/>
              </w:rPr>
            </w:pPr>
            <w:r>
              <w:rPr>
                <w:sz w:val="24"/>
              </w:rPr>
              <w:t>3.3</w:t>
            </w:r>
          </w:p>
        </w:tc>
        <w:tc>
          <w:tcPr>
            <w:tcW w:w="1320" w:type="dxa"/>
          </w:tcPr>
          <w:p>
            <w:pPr>
              <w:pStyle w:val="TableParagraph"/>
              <w:spacing w:line="268" w:lineRule="exact"/>
              <w:ind w:left="228" w:right="228"/>
              <w:jc w:val="center"/>
              <w:rPr>
                <w:sz w:val="24"/>
              </w:rPr>
            </w:pPr>
            <w:r>
              <w:rPr>
                <w:sz w:val="24"/>
              </w:rPr>
              <w:t>˂0.001</w:t>
            </w:r>
          </w:p>
        </w:tc>
      </w:tr>
      <w:tr>
        <w:trPr>
          <w:trHeight w:val="468" w:hRule="exact"/>
        </w:trPr>
        <w:tc>
          <w:tcPr>
            <w:tcW w:w="3248" w:type="dxa"/>
          </w:tcPr>
          <w:p>
            <w:pPr>
              <w:pStyle w:val="TableParagraph"/>
              <w:spacing w:line="273" w:lineRule="exact"/>
              <w:ind w:left="103" w:right="935"/>
              <w:rPr>
                <w:b/>
                <w:sz w:val="24"/>
              </w:rPr>
            </w:pPr>
            <w:r>
              <w:rPr>
                <w:b/>
                <w:sz w:val="24"/>
              </w:rPr>
              <w:t>6 o + mm</w:t>
            </w:r>
          </w:p>
        </w:tc>
        <w:tc>
          <w:tcPr>
            <w:tcW w:w="1582" w:type="dxa"/>
          </w:tcPr>
          <w:p>
            <w:pPr>
              <w:pStyle w:val="TableParagraph"/>
              <w:spacing w:line="268" w:lineRule="exact"/>
              <w:ind w:left="282" w:right="285"/>
              <w:jc w:val="center"/>
              <w:rPr>
                <w:sz w:val="24"/>
              </w:rPr>
            </w:pPr>
            <w:r>
              <w:rPr>
                <w:sz w:val="24"/>
              </w:rPr>
              <w:t>20.0</w:t>
            </w:r>
          </w:p>
        </w:tc>
        <w:tc>
          <w:tcPr>
            <w:tcW w:w="1262" w:type="dxa"/>
          </w:tcPr>
          <w:p>
            <w:pPr>
              <w:pStyle w:val="TableParagraph"/>
              <w:spacing w:line="268" w:lineRule="exact"/>
              <w:ind w:right="415"/>
              <w:jc w:val="right"/>
              <w:rPr>
                <w:sz w:val="24"/>
              </w:rPr>
            </w:pPr>
            <w:r>
              <w:rPr>
                <w:sz w:val="24"/>
              </w:rPr>
              <w:t>20.0</w:t>
            </w:r>
          </w:p>
        </w:tc>
        <w:tc>
          <w:tcPr>
            <w:tcW w:w="1544" w:type="dxa"/>
          </w:tcPr>
          <w:p>
            <w:pPr>
              <w:pStyle w:val="TableParagraph"/>
              <w:spacing w:line="268" w:lineRule="exact"/>
              <w:ind w:left="136" w:right="136"/>
              <w:jc w:val="center"/>
              <w:rPr>
                <w:sz w:val="24"/>
              </w:rPr>
            </w:pPr>
            <w:r>
              <w:rPr>
                <w:sz w:val="24"/>
              </w:rPr>
              <w:t>0.0</w:t>
            </w:r>
          </w:p>
        </w:tc>
        <w:tc>
          <w:tcPr>
            <w:tcW w:w="1320" w:type="dxa"/>
          </w:tcPr>
          <w:p>
            <w:pPr>
              <w:pStyle w:val="TableParagraph"/>
              <w:spacing w:line="268" w:lineRule="exact"/>
              <w:ind w:left="228" w:right="228"/>
              <w:jc w:val="center"/>
              <w:rPr>
                <w:sz w:val="24"/>
              </w:rPr>
            </w:pPr>
            <w:r>
              <w:rPr>
                <w:sz w:val="24"/>
              </w:rPr>
              <w:t>0.004</w:t>
            </w:r>
          </w:p>
        </w:tc>
      </w:tr>
      <w:tr>
        <w:trPr>
          <w:trHeight w:val="468" w:hRule="exact"/>
        </w:trPr>
        <w:tc>
          <w:tcPr>
            <w:tcW w:w="3248" w:type="dxa"/>
          </w:tcPr>
          <w:p>
            <w:pPr>
              <w:pStyle w:val="TableParagraph"/>
              <w:spacing w:line="273" w:lineRule="exact"/>
              <w:ind w:left="103" w:right="935"/>
              <w:rPr>
                <w:b/>
                <w:sz w:val="24"/>
              </w:rPr>
            </w:pPr>
            <w:r>
              <w:rPr>
                <w:b/>
                <w:sz w:val="24"/>
              </w:rPr>
              <w:t>Excluido</w:t>
            </w:r>
          </w:p>
        </w:tc>
        <w:tc>
          <w:tcPr>
            <w:tcW w:w="1582" w:type="dxa"/>
          </w:tcPr>
          <w:p>
            <w:pPr>
              <w:pStyle w:val="TableParagraph"/>
              <w:spacing w:line="268" w:lineRule="exact"/>
              <w:ind w:left="282" w:right="285"/>
              <w:jc w:val="center"/>
              <w:rPr>
                <w:sz w:val="24"/>
              </w:rPr>
            </w:pPr>
            <w:r>
              <w:rPr>
                <w:sz w:val="24"/>
              </w:rPr>
              <w:t>3.3</w:t>
            </w:r>
          </w:p>
        </w:tc>
        <w:tc>
          <w:tcPr>
            <w:tcW w:w="1262" w:type="dxa"/>
          </w:tcPr>
          <w:p>
            <w:pPr>
              <w:pStyle w:val="TableParagraph"/>
              <w:spacing w:line="268" w:lineRule="exact"/>
              <w:ind w:right="475"/>
              <w:jc w:val="right"/>
              <w:rPr>
                <w:sz w:val="24"/>
              </w:rPr>
            </w:pPr>
            <w:r>
              <w:rPr>
                <w:sz w:val="24"/>
              </w:rPr>
              <w:t>0.0</w:t>
            </w:r>
          </w:p>
        </w:tc>
        <w:tc>
          <w:tcPr>
            <w:tcW w:w="1544" w:type="dxa"/>
          </w:tcPr>
          <w:p>
            <w:pPr>
              <w:pStyle w:val="TableParagraph"/>
              <w:spacing w:line="268" w:lineRule="exact"/>
              <w:ind w:left="136" w:right="136"/>
              <w:jc w:val="center"/>
              <w:rPr>
                <w:sz w:val="24"/>
              </w:rPr>
            </w:pPr>
            <w:r>
              <w:rPr>
                <w:sz w:val="24"/>
              </w:rPr>
              <w:t>0.0</w:t>
            </w:r>
          </w:p>
        </w:tc>
        <w:tc>
          <w:tcPr>
            <w:tcW w:w="1320" w:type="dxa"/>
          </w:tcPr>
          <w:p>
            <w:pPr>
              <w:pStyle w:val="TableParagraph"/>
              <w:spacing w:line="268" w:lineRule="exact"/>
              <w:ind w:left="228" w:right="228"/>
              <w:jc w:val="center"/>
              <w:rPr>
                <w:sz w:val="24"/>
              </w:rPr>
            </w:pPr>
            <w:r>
              <w:rPr>
                <w:sz w:val="24"/>
              </w:rPr>
              <w:t>0.430</w:t>
            </w:r>
          </w:p>
        </w:tc>
      </w:tr>
    </w:tbl>
    <w:p>
      <w:pPr>
        <w:spacing w:after="0" w:line="268" w:lineRule="exact"/>
        <w:jc w:val="center"/>
        <w:rPr>
          <w:sz w:val="24"/>
        </w:rPr>
        <w:sectPr>
          <w:pgSz w:w="11910" w:h="16840"/>
          <w:pgMar w:header="731" w:footer="0" w:top="960" w:bottom="280" w:left="1300" w:right="1160"/>
        </w:sectPr>
      </w:pPr>
    </w:p>
    <w:p>
      <w:pPr>
        <w:pStyle w:val="BodyText"/>
        <w:rPr>
          <w:b/>
          <w:sz w:val="20"/>
        </w:rPr>
      </w:pPr>
    </w:p>
    <w:p>
      <w:pPr>
        <w:pStyle w:val="BodyText"/>
        <w:spacing w:before="10"/>
        <w:rPr>
          <w:b/>
          <w:sz w:val="18"/>
        </w:rPr>
      </w:pPr>
    </w:p>
    <w:tbl>
      <w:tblPr>
        <w:tblW w:w="0" w:type="auto"/>
        <w:jc w:val="left"/>
        <w:tblInd w:w="11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3248"/>
        <w:gridCol w:w="1582"/>
        <w:gridCol w:w="1262"/>
        <w:gridCol w:w="1544"/>
        <w:gridCol w:w="1320"/>
      </w:tblGrid>
      <w:tr>
        <w:trPr>
          <w:trHeight w:val="468" w:hRule="exact"/>
        </w:trPr>
        <w:tc>
          <w:tcPr>
            <w:tcW w:w="3248" w:type="dxa"/>
            <w:tcBorders>
              <w:bottom w:val="single" w:sz="4" w:space="0" w:color="000000"/>
            </w:tcBorders>
          </w:tcPr>
          <w:p>
            <w:pPr>
              <w:pStyle w:val="TableParagraph"/>
              <w:spacing w:line="273" w:lineRule="exact"/>
              <w:ind w:left="103"/>
              <w:rPr>
                <w:b/>
                <w:sz w:val="24"/>
              </w:rPr>
            </w:pPr>
            <w:r>
              <w:rPr>
                <w:b/>
                <w:sz w:val="24"/>
              </w:rPr>
              <w:t>CENTRAL</w:t>
            </w:r>
            <w:r>
              <w:rPr>
                <w:b/>
                <w:spacing w:val="58"/>
                <w:sz w:val="24"/>
              </w:rPr>
              <w:t> </w:t>
            </w:r>
            <w:r>
              <w:rPr>
                <w:b/>
                <w:sz w:val="24"/>
              </w:rPr>
              <w:t>INFERIOR</w:t>
            </w:r>
          </w:p>
        </w:tc>
        <w:tc>
          <w:tcPr>
            <w:tcW w:w="1582" w:type="dxa"/>
            <w:tcBorders>
              <w:bottom w:val="single" w:sz="4" w:space="0" w:color="000000"/>
            </w:tcBorders>
          </w:tcPr>
          <w:p>
            <w:pPr/>
          </w:p>
        </w:tc>
        <w:tc>
          <w:tcPr>
            <w:tcW w:w="1262" w:type="dxa"/>
            <w:tcBorders>
              <w:bottom w:val="single" w:sz="4" w:space="0" w:color="000000"/>
            </w:tcBorders>
          </w:tcPr>
          <w:p>
            <w:pPr/>
          </w:p>
        </w:tc>
        <w:tc>
          <w:tcPr>
            <w:tcW w:w="1544" w:type="dxa"/>
            <w:tcBorders>
              <w:bottom w:val="single" w:sz="4" w:space="0" w:color="000000"/>
            </w:tcBorders>
          </w:tcPr>
          <w:p>
            <w:pPr/>
          </w:p>
        </w:tc>
        <w:tc>
          <w:tcPr>
            <w:tcW w:w="1320" w:type="dxa"/>
            <w:tcBorders>
              <w:bottom w:val="single" w:sz="4" w:space="0" w:color="000000"/>
            </w:tcBorders>
          </w:tcPr>
          <w:p>
            <w:pPr/>
          </w:p>
        </w:tc>
      </w:tr>
      <w:tr>
        <w:trPr>
          <w:trHeight w:val="468" w:hRule="exact"/>
        </w:trPr>
        <w:tc>
          <w:tcPr>
            <w:tcW w:w="3248" w:type="dxa"/>
            <w:tcBorders>
              <w:top w:val="single" w:sz="4" w:space="0" w:color="000000"/>
            </w:tcBorders>
          </w:tcPr>
          <w:p>
            <w:pPr>
              <w:pStyle w:val="TableParagraph"/>
              <w:spacing w:line="273" w:lineRule="exact"/>
              <w:ind w:left="103" w:right="935"/>
              <w:rPr>
                <w:b/>
                <w:sz w:val="24"/>
              </w:rPr>
            </w:pPr>
            <w:r>
              <w:rPr>
                <w:b/>
                <w:sz w:val="24"/>
              </w:rPr>
              <w:t>Sano</w:t>
            </w:r>
          </w:p>
        </w:tc>
        <w:tc>
          <w:tcPr>
            <w:tcW w:w="1582" w:type="dxa"/>
            <w:tcBorders>
              <w:top w:val="single" w:sz="4" w:space="0" w:color="000000"/>
            </w:tcBorders>
          </w:tcPr>
          <w:p>
            <w:pPr>
              <w:pStyle w:val="TableParagraph"/>
              <w:spacing w:line="268" w:lineRule="exact"/>
              <w:ind w:left="282" w:right="285"/>
              <w:jc w:val="center"/>
              <w:rPr>
                <w:sz w:val="24"/>
              </w:rPr>
            </w:pPr>
            <w:r>
              <w:rPr>
                <w:sz w:val="24"/>
              </w:rPr>
              <w:t>3.3</w:t>
            </w:r>
          </w:p>
        </w:tc>
        <w:tc>
          <w:tcPr>
            <w:tcW w:w="1262" w:type="dxa"/>
            <w:tcBorders>
              <w:top w:val="single" w:sz="4" w:space="0" w:color="000000"/>
            </w:tcBorders>
          </w:tcPr>
          <w:p>
            <w:pPr>
              <w:pStyle w:val="TableParagraph"/>
              <w:spacing w:line="268" w:lineRule="exact"/>
              <w:ind w:left="396" w:right="396"/>
              <w:jc w:val="center"/>
              <w:rPr>
                <w:sz w:val="24"/>
              </w:rPr>
            </w:pPr>
            <w:r>
              <w:rPr>
                <w:sz w:val="24"/>
              </w:rPr>
              <w:t>0.0</w:t>
            </w:r>
          </w:p>
        </w:tc>
        <w:tc>
          <w:tcPr>
            <w:tcW w:w="1544" w:type="dxa"/>
            <w:tcBorders>
              <w:top w:val="single" w:sz="4" w:space="0" w:color="000000"/>
            </w:tcBorders>
          </w:tcPr>
          <w:p>
            <w:pPr>
              <w:pStyle w:val="TableParagraph"/>
              <w:spacing w:line="268" w:lineRule="exact"/>
              <w:ind w:left="136" w:right="136"/>
              <w:jc w:val="center"/>
              <w:rPr>
                <w:sz w:val="24"/>
              </w:rPr>
            </w:pPr>
            <w:r>
              <w:rPr>
                <w:sz w:val="24"/>
              </w:rPr>
              <w:t>40.0</w:t>
            </w:r>
          </w:p>
        </w:tc>
        <w:tc>
          <w:tcPr>
            <w:tcW w:w="1320" w:type="dxa"/>
            <w:tcBorders>
              <w:top w:val="single" w:sz="4" w:space="0" w:color="000000"/>
            </w:tcBorders>
          </w:tcPr>
          <w:p>
            <w:pPr>
              <w:pStyle w:val="TableParagraph"/>
              <w:spacing w:line="268" w:lineRule="exact"/>
              <w:ind w:right="317"/>
              <w:jc w:val="right"/>
              <w:rPr>
                <w:sz w:val="24"/>
              </w:rPr>
            </w:pPr>
            <w:r>
              <w:rPr>
                <w:sz w:val="24"/>
              </w:rPr>
              <w:t>˂0.001</w:t>
            </w:r>
          </w:p>
        </w:tc>
      </w:tr>
      <w:tr>
        <w:trPr>
          <w:trHeight w:val="468" w:hRule="exact"/>
        </w:trPr>
        <w:tc>
          <w:tcPr>
            <w:tcW w:w="3248" w:type="dxa"/>
          </w:tcPr>
          <w:p>
            <w:pPr>
              <w:pStyle w:val="TableParagraph"/>
              <w:spacing w:line="273" w:lineRule="exact"/>
              <w:ind w:left="103" w:right="935"/>
              <w:rPr>
                <w:b/>
                <w:sz w:val="24"/>
              </w:rPr>
            </w:pPr>
            <w:r>
              <w:rPr>
                <w:b/>
                <w:sz w:val="24"/>
              </w:rPr>
              <w:t>Sangrado</w:t>
            </w:r>
          </w:p>
        </w:tc>
        <w:tc>
          <w:tcPr>
            <w:tcW w:w="1582" w:type="dxa"/>
          </w:tcPr>
          <w:p>
            <w:pPr>
              <w:pStyle w:val="TableParagraph"/>
              <w:spacing w:line="268" w:lineRule="exact"/>
              <w:ind w:left="282" w:right="285"/>
              <w:jc w:val="center"/>
              <w:rPr>
                <w:sz w:val="24"/>
              </w:rPr>
            </w:pPr>
            <w:r>
              <w:rPr>
                <w:sz w:val="24"/>
              </w:rPr>
              <w:t>3.3</w:t>
            </w:r>
          </w:p>
        </w:tc>
        <w:tc>
          <w:tcPr>
            <w:tcW w:w="1262" w:type="dxa"/>
          </w:tcPr>
          <w:p>
            <w:pPr>
              <w:pStyle w:val="TableParagraph"/>
              <w:spacing w:line="268" w:lineRule="exact"/>
              <w:ind w:left="396" w:right="396"/>
              <w:jc w:val="center"/>
              <w:rPr>
                <w:sz w:val="24"/>
              </w:rPr>
            </w:pPr>
            <w:r>
              <w:rPr>
                <w:sz w:val="24"/>
              </w:rPr>
              <w:t>3.3</w:t>
            </w:r>
          </w:p>
        </w:tc>
        <w:tc>
          <w:tcPr>
            <w:tcW w:w="1544" w:type="dxa"/>
          </w:tcPr>
          <w:p>
            <w:pPr>
              <w:pStyle w:val="TableParagraph"/>
              <w:spacing w:line="268" w:lineRule="exact"/>
              <w:ind w:left="136" w:right="136"/>
              <w:jc w:val="center"/>
              <w:rPr>
                <w:sz w:val="24"/>
              </w:rPr>
            </w:pPr>
            <w:r>
              <w:rPr>
                <w:sz w:val="24"/>
              </w:rPr>
              <w:t>6.7</w:t>
            </w:r>
          </w:p>
        </w:tc>
        <w:tc>
          <w:tcPr>
            <w:tcW w:w="1320" w:type="dxa"/>
          </w:tcPr>
          <w:p>
            <w:pPr>
              <w:pStyle w:val="TableParagraph"/>
              <w:spacing w:line="268" w:lineRule="exact"/>
              <w:ind w:right="384"/>
              <w:jc w:val="right"/>
              <w:rPr>
                <w:sz w:val="24"/>
              </w:rPr>
            </w:pPr>
            <w:r>
              <w:rPr>
                <w:sz w:val="24"/>
              </w:rPr>
              <w:t>0.839</w:t>
            </w:r>
          </w:p>
        </w:tc>
      </w:tr>
      <w:tr>
        <w:trPr>
          <w:trHeight w:val="468" w:hRule="exact"/>
        </w:trPr>
        <w:tc>
          <w:tcPr>
            <w:tcW w:w="3248" w:type="dxa"/>
          </w:tcPr>
          <w:p>
            <w:pPr>
              <w:pStyle w:val="TableParagraph"/>
              <w:spacing w:line="273" w:lineRule="exact"/>
              <w:ind w:left="103" w:right="935"/>
              <w:rPr>
                <w:b/>
                <w:sz w:val="24"/>
              </w:rPr>
            </w:pPr>
            <w:r>
              <w:rPr>
                <w:b/>
                <w:sz w:val="24"/>
              </w:rPr>
              <w:t>Cálculo</w:t>
            </w:r>
          </w:p>
        </w:tc>
        <w:tc>
          <w:tcPr>
            <w:tcW w:w="1582" w:type="dxa"/>
          </w:tcPr>
          <w:p>
            <w:pPr>
              <w:pStyle w:val="TableParagraph"/>
              <w:spacing w:line="268" w:lineRule="exact"/>
              <w:ind w:left="282" w:right="285"/>
              <w:jc w:val="center"/>
              <w:rPr>
                <w:sz w:val="24"/>
              </w:rPr>
            </w:pPr>
            <w:r>
              <w:rPr>
                <w:sz w:val="24"/>
              </w:rPr>
              <w:t>33.3</w:t>
            </w:r>
          </w:p>
        </w:tc>
        <w:tc>
          <w:tcPr>
            <w:tcW w:w="1262" w:type="dxa"/>
          </w:tcPr>
          <w:p>
            <w:pPr>
              <w:pStyle w:val="TableParagraph"/>
              <w:spacing w:line="268" w:lineRule="exact"/>
              <w:ind w:left="396" w:right="396"/>
              <w:jc w:val="center"/>
              <w:rPr>
                <w:sz w:val="24"/>
              </w:rPr>
            </w:pPr>
            <w:r>
              <w:rPr>
                <w:sz w:val="24"/>
              </w:rPr>
              <w:t>46.7</w:t>
            </w:r>
          </w:p>
        </w:tc>
        <w:tc>
          <w:tcPr>
            <w:tcW w:w="1544" w:type="dxa"/>
          </w:tcPr>
          <w:p>
            <w:pPr>
              <w:pStyle w:val="TableParagraph"/>
              <w:spacing w:line="268" w:lineRule="exact"/>
              <w:ind w:left="136" w:right="136"/>
              <w:jc w:val="center"/>
              <w:rPr>
                <w:sz w:val="24"/>
              </w:rPr>
            </w:pPr>
            <w:r>
              <w:rPr>
                <w:sz w:val="24"/>
              </w:rPr>
              <w:t>53.3</w:t>
            </w:r>
          </w:p>
        </w:tc>
        <w:tc>
          <w:tcPr>
            <w:tcW w:w="1320" w:type="dxa"/>
          </w:tcPr>
          <w:p>
            <w:pPr>
              <w:pStyle w:val="TableParagraph"/>
              <w:spacing w:line="268" w:lineRule="exact"/>
              <w:ind w:right="384"/>
              <w:jc w:val="right"/>
              <w:rPr>
                <w:sz w:val="24"/>
              </w:rPr>
            </w:pPr>
            <w:r>
              <w:rPr>
                <w:sz w:val="24"/>
              </w:rPr>
              <w:t>0.131</w:t>
            </w:r>
          </w:p>
        </w:tc>
      </w:tr>
      <w:tr>
        <w:trPr>
          <w:trHeight w:val="466" w:hRule="exact"/>
        </w:trPr>
        <w:tc>
          <w:tcPr>
            <w:tcW w:w="3248" w:type="dxa"/>
          </w:tcPr>
          <w:p>
            <w:pPr>
              <w:pStyle w:val="TableParagraph"/>
              <w:spacing w:line="273" w:lineRule="exact"/>
              <w:ind w:left="103" w:right="935"/>
              <w:rPr>
                <w:b/>
                <w:sz w:val="24"/>
              </w:rPr>
            </w:pPr>
            <w:r>
              <w:rPr>
                <w:b/>
                <w:sz w:val="24"/>
              </w:rPr>
              <w:t>3-5.5mm</w:t>
            </w:r>
          </w:p>
        </w:tc>
        <w:tc>
          <w:tcPr>
            <w:tcW w:w="1582" w:type="dxa"/>
          </w:tcPr>
          <w:p>
            <w:pPr>
              <w:pStyle w:val="TableParagraph"/>
              <w:spacing w:line="268" w:lineRule="exact"/>
              <w:ind w:left="282" w:right="285"/>
              <w:jc w:val="center"/>
              <w:rPr>
                <w:sz w:val="24"/>
              </w:rPr>
            </w:pPr>
            <w:r>
              <w:rPr>
                <w:sz w:val="24"/>
              </w:rPr>
              <w:t>46.7</w:t>
            </w:r>
          </w:p>
        </w:tc>
        <w:tc>
          <w:tcPr>
            <w:tcW w:w="1262" w:type="dxa"/>
          </w:tcPr>
          <w:p>
            <w:pPr>
              <w:pStyle w:val="TableParagraph"/>
              <w:spacing w:line="268" w:lineRule="exact"/>
              <w:ind w:left="396" w:right="396"/>
              <w:jc w:val="center"/>
              <w:rPr>
                <w:sz w:val="24"/>
              </w:rPr>
            </w:pPr>
            <w:r>
              <w:rPr>
                <w:sz w:val="24"/>
              </w:rPr>
              <w:t>33.3</w:t>
            </w:r>
          </w:p>
        </w:tc>
        <w:tc>
          <w:tcPr>
            <w:tcW w:w="1544" w:type="dxa"/>
          </w:tcPr>
          <w:p>
            <w:pPr>
              <w:pStyle w:val="TableParagraph"/>
              <w:spacing w:line="268" w:lineRule="exact"/>
              <w:ind w:left="136" w:right="136"/>
              <w:jc w:val="center"/>
              <w:rPr>
                <w:sz w:val="24"/>
              </w:rPr>
            </w:pPr>
            <w:r>
              <w:rPr>
                <w:sz w:val="24"/>
              </w:rPr>
              <w:t>0.0</w:t>
            </w:r>
          </w:p>
        </w:tc>
        <w:tc>
          <w:tcPr>
            <w:tcW w:w="1320" w:type="dxa"/>
          </w:tcPr>
          <w:p>
            <w:pPr>
              <w:pStyle w:val="TableParagraph"/>
              <w:spacing w:line="268" w:lineRule="exact"/>
              <w:ind w:right="317"/>
              <w:jc w:val="right"/>
              <w:rPr>
                <w:sz w:val="24"/>
              </w:rPr>
            </w:pPr>
            <w:r>
              <w:rPr>
                <w:sz w:val="24"/>
              </w:rPr>
              <w:t>˂0.001</w:t>
            </w:r>
          </w:p>
        </w:tc>
      </w:tr>
      <w:tr>
        <w:trPr>
          <w:trHeight w:val="468" w:hRule="exact"/>
        </w:trPr>
        <w:tc>
          <w:tcPr>
            <w:tcW w:w="3248" w:type="dxa"/>
          </w:tcPr>
          <w:p>
            <w:pPr>
              <w:pStyle w:val="TableParagraph"/>
              <w:spacing w:line="275" w:lineRule="exact"/>
              <w:ind w:left="103" w:right="935"/>
              <w:rPr>
                <w:b/>
                <w:sz w:val="24"/>
              </w:rPr>
            </w:pPr>
            <w:r>
              <w:rPr>
                <w:b/>
                <w:sz w:val="24"/>
              </w:rPr>
              <w:t>6 o + mm</w:t>
            </w:r>
          </w:p>
        </w:tc>
        <w:tc>
          <w:tcPr>
            <w:tcW w:w="1582" w:type="dxa"/>
          </w:tcPr>
          <w:p>
            <w:pPr>
              <w:pStyle w:val="TableParagraph"/>
              <w:spacing w:line="270" w:lineRule="exact"/>
              <w:ind w:left="282" w:right="285"/>
              <w:jc w:val="center"/>
              <w:rPr>
                <w:sz w:val="24"/>
              </w:rPr>
            </w:pPr>
            <w:r>
              <w:rPr>
                <w:sz w:val="24"/>
              </w:rPr>
              <w:t>6.7</w:t>
            </w:r>
          </w:p>
        </w:tc>
        <w:tc>
          <w:tcPr>
            <w:tcW w:w="1262" w:type="dxa"/>
          </w:tcPr>
          <w:p>
            <w:pPr>
              <w:pStyle w:val="TableParagraph"/>
              <w:spacing w:line="270" w:lineRule="exact"/>
              <w:ind w:left="396" w:right="396"/>
              <w:jc w:val="center"/>
              <w:rPr>
                <w:sz w:val="24"/>
              </w:rPr>
            </w:pPr>
            <w:r>
              <w:rPr>
                <w:sz w:val="24"/>
              </w:rPr>
              <w:t>16.7</w:t>
            </w:r>
          </w:p>
        </w:tc>
        <w:tc>
          <w:tcPr>
            <w:tcW w:w="1544" w:type="dxa"/>
          </w:tcPr>
          <w:p>
            <w:pPr>
              <w:pStyle w:val="TableParagraph"/>
              <w:spacing w:line="270" w:lineRule="exact"/>
              <w:ind w:left="136" w:right="136"/>
              <w:jc w:val="center"/>
              <w:rPr>
                <w:sz w:val="24"/>
              </w:rPr>
            </w:pPr>
            <w:r>
              <w:rPr>
                <w:sz w:val="24"/>
              </w:rPr>
              <w:t>0.0</w:t>
            </w:r>
          </w:p>
        </w:tc>
        <w:tc>
          <w:tcPr>
            <w:tcW w:w="1320" w:type="dxa"/>
          </w:tcPr>
          <w:p>
            <w:pPr>
              <w:pStyle w:val="TableParagraph"/>
              <w:spacing w:line="270" w:lineRule="exact"/>
              <w:ind w:right="384"/>
              <w:jc w:val="right"/>
              <w:rPr>
                <w:sz w:val="24"/>
              </w:rPr>
            </w:pPr>
            <w:r>
              <w:rPr>
                <w:sz w:val="24"/>
              </w:rPr>
              <w:t>0.181</w:t>
            </w:r>
          </w:p>
        </w:tc>
      </w:tr>
      <w:tr>
        <w:trPr>
          <w:trHeight w:val="468" w:hRule="exact"/>
        </w:trPr>
        <w:tc>
          <w:tcPr>
            <w:tcW w:w="3248" w:type="dxa"/>
          </w:tcPr>
          <w:p>
            <w:pPr>
              <w:pStyle w:val="TableParagraph"/>
              <w:spacing w:line="275" w:lineRule="exact"/>
              <w:ind w:left="103" w:right="935"/>
              <w:rPr>
                <w:b/>
                <w:sz w:val="24"/>
              </w:rPr>
            </w:pPr>
            <w:r>
              <w:rPr>
                <w:b/>
                <w:sz w:val="24"/>
              </w:rPr>
              <w:t>Excluido</w:t>
            </w:r>
          </w:p>
        </w:tc>
        <w:tc>
          <w:tcPr>
            <w:tcW w:w="1582" w:type="dxa"/>
          </w:tcPr>
          <w:p>
            <w:pPr>
              <w:pStyle w:val="TableParagraph"/>
              <w:spacing w:line="270" w:lineRule="exact"/>
              <w:ind w:left="282" w:right="285"/>
              <w:jc w:val="center"/>
              <w:rPr>
                <w:sz w:val="24"/>
              </w:rPr>
            </w:pPr>
            <w:r>
              <w:rPr>
                <w:sz w:val="24"/>
              </w:rPr>
              <w:t>6.7</w:t>
            </w:r>
          </w:p>
        </w:tc>
        <w:tc>
          <w:tcPr>
            <w:tcW w:w="1262" w:type="dxa"/>
          </w:tcPr>
          <w:p>
            <w:pPr>
              <w:pStyle w:val="TableParagraph"/>
              <w:spacing w:line="270" w:lineRule="exact"/>
              <w:ind w:left="396" w:right="396"/>
              <w:jc w:val="center"/>
              <w:rPr>
                <w:sz w:val="24"/>
              </w:rPr>
            </w:pPr>
            <w:r>
              <w:rPr>
                <w:sz w:val="24"/>
              </w:rPr>
              <w:t>0.0</w:t>
            </w:r>
          </w:p>
        </w:tc>
        <w:tc>
          <w:tcPr>
            <w:tcW w:w="1544" w:type="dxa"/>
          </w:tcPr>
          <w:p>
            <w:pPr>
              <w:pStyle w:val="TableParagraph"/>
              <w:spacing w:line="270" w:lineRule="exact"/>
              <w:ind w:left="136" w:right="136"/>
              <w:jc w:val="center"/>
              <w:rPr>
                <w:sz w:val="24"/>
              </w:rPr>
            </w:pPr>
            <w:r>
              <w:rPr>
                <w:sz w:val="24"/>
              </w:rPr>
              <w:t>0.0</w:t>
            </w:r>
          </w:p>
        </w:tc>
        <w:tc>
          <w:tcPr>
            <w:tcW w:w="1320" w:type="dxa"/>
          </w:tcPr>
          <w:p>
            <w:pPr>
              <w:pStyle w:val="TableParagraph"/>
              <w:spacing w:line="270" w:lineRule="exact"/>
              <w:ind w:right="384"/>
              <w:jc w:val="right"/>
              <w:rPr>
                <w:sz w:val="24"/>
              </w:rPr>
            </w:pPr>
            <w:r>
              <w:rPr>
                <w:sz w:val="24"/>
              </w:rPr>
              <w:t>0.181</w:t>
            </w:r>
          </w:p>
        </w:tc>
      </w:tr>
      <w:tr>
        <w:trPr>
          <w:trHeight w:val="766" w:hRule="exact"/>
        </w:trPr>
        <w:tc>
          <w:tcPr>
            <w:tcW w:w="3248" w:type="dxa"/>
            <w:tcBorders>
              <w:bottom w:val="single" w:sz="4" w:space="0" w:color="000000"/>
            </w:tcBorders>
          </w:tcPr>
          <w:p>
            <w:pPr>
              <w:pStyle w:val="TableParagraph"/>
              <w:spacing w:line="259" w:lineRule="auto"/>
              <w:ind w:left="103" w:right="1108"/>
              <w:rPr>
                <w:b/>
                <w:sz w:val="24"/>
              </w:rPr>
            </w:pPr>
            <w:r>
              <w:rPr>
                <w:b/>
                <w:sz w:val="24"/>
              </w:rPr>
              <w:t>MOLAR INFERIO DERECHO</w:t>
            </w:r>
          </w:p>
        </w:tc>
        <w:tc>
          <w:tcPr>
            <w:tcW w:w="1582" w:type="dxa"/>
            <w:tcBorders>
              <w:bottom w:val="single" w:sz="4" w:space="0" w:color="000000"/>
            </w:tcBorders>
          </w:tcPr>
          <w:p>
            <w:pPr/>
          </w:p>
        </w:tc>
        <w:tc>
          <w:tcPr>
            <w:tcW w:w="1262" w:type="dxa"/>
            <w:tcBorders>
              <w:bottom w:val="single" w:sz="4" w:space="0" w:color="000000"/>
            </w:tcBorders>
          </w:tcPr>
          <w:p>
            <w:pPr/>
          </w:p>
        </w:tc>
        <w:tc>
          <w:tcPr>
            <w:tcW w:w="1544" w:type="dxa"/>
            <w:tcBorders>
              <w:bottom w:val="single" w:sz="4" w:space="0" w:color="000000"/>
            </w:tcBorders>
          </w:tcPr>
          <w:p>
            <w:pPr/>
          </w:p>
        </w:tc>
        <w:tc>
          <w:tcPr>
            <w:tcW w:w="1320" w:type="dxa"/>
            <w:tcBorders>
              <w:bottom w:val="single" w:sz="4" w:space="0" w:color="000000"/>
            </w:tcBorders>
          </w:tcPr>
          <w:p>
            <w:pPr/>
          </w:p>
        </w:tc>
      </w:tr>
      <w:tr>
        <w:trPr>
          <w:trHeight w:val="468" w:hRule="exact"/>
        </w:trPr>
        <w:tc>
          <w:tcPr>
            <w:tcW w:w="3248" w:type="dxa"/>
            <w:tcBorders>
              <w:top w:val="single" w:sz="4" w:space="0" w:color="000000"/>
            </w:tcBorders>
          </w:tcPr>
          <w:p>
            <w:pPr>
              <w:pStyle w:val="TableParagraph"/>
              <w:spacing w:line="275" w:lineRule="exact"/>
              <w:ind w:left="103" w:right="935"/>
              <w:rPr>
                <w:b/>
                <w:sz w:val="24"/>
              </w:rPr>
            </w:pPr>
            <w:r>
              <w:rPr>
                <w:b/>
                <w:sz w:val="24"/>
              </w:rPr>
              <w:t>Sano</w:t>
            </w:r>
          </w:p>
        </w:tc>
        <w:tc>
          <w:tcPr>
            <w:tcW w:w="1582" w:type="dxa"/>
            <w:tcBorders>
              <w:top w:val="single" w:sz="4" w:space="0" w:color="000000"/>
            </w:tcBorders>
          </w:tcPr>
          <w:p>
            <w:pPr>
              <w:pStyle w:val="TableParagraph"/>
              <w:spacing w:line="270" w:lineRule="exact"/>
              <w:ind w:left="282" w:right="285"/>
              <w:jc w:val="center"/>
              <w:rPr>
                <w:sz w:val="24"/>
              </w:rPr>
            </w:pPr>
            <w:r>
              <w:rPr>
                <w:sz w:val="24"/>
              </w:rPr>
              <w:t>0.0</w:t>
            </w:r>
          </w:p>
        </w:tc>
        <w:tc>
          <w:tcPr>
            <w:tcW w:w="1262" w:type="dxa"/>
            <w:tcBorders>
              <w:top w:val="single" w:sz="4" w:space="0" w:color="000000"/>
            </w:tcBorders>
          </w:tcPr>
          <w:p>
            <w:pPr>
              <w:pStyle w:val="TableParagraph"/>
              <w:spacing w:line="270" w:lineRule="exact"/>
              <w:ind w:left="396" w:right="396"/>
              <w:jc w:val="center"/>
              <w:rPr>
                <w:sz w:val="24"/>
              </w:rPr>
            </w:pPr>
            <w:r>
              <w:rPr>
                <w:sz w:val="24"/>
              </w:rPr>
              <w:t>0.0</w:t>
            </w:r>
          </w:p>
        </w:tc>
        <w:tc>
          <w:tcPr>
            <w:tcW w:w="1544" w:type="dxa"/>
            <w:tcBorders>
              <w:top w:val="single" w:sz="4" w:space="0" w:color="000000"/>
            </w:tcBorders>
          </w:tcPr>
          <w:p>
            <w:pPr>
              <w:pStyle w:val="TableParagraph"/>
              <w:spacing w:line="270" w:lineRule="exact"/>
              <w:ind w:left="136" w:right="136"/>
              <w:jc w:val="center"/>
              <w:rPr>
                <w:sz w:val="24"/>
              </w:rPr>
            </w:pPr>
            <w:r>
              <w:rPr>
                <w:sz w:val="24"/>
              </w:rPr>
              <w:t>30.0</w:t>
            </w:r>
          </w:p>
        </w:tc>
        <w:tc>
          <w:tcPr>
            <w:tcW w:w="1320" w:type="dxa"/>
            <w:tcBorders>
              <w:top w:val="single" w:sz="4" w:space="0" w:color="000000"/>
            </w:tcBorders>
          </w:tcPr>
          <w:p>
            <w:pPr>
              <w:pStyle w:val="TableParagraph"/>
              <w:spacing w:line="270" w:lineRule="exact"/>
              <w:ind w:right="317"/>
              <w:jc w:val="right"/>
              <w:rPr>
                <w:sz w:val="24"/>
              </w:rPr>
            </w:pPr>
            <w:r>
              <w:rPr>
                <w:sz w:val="24"/>
              </w:rPr>
              <w:t>˂0.001</w:t>
            </w:r>
          </w:p>
        </w:tc>
      </w:tr>
      <w:tr>
        <w:trPr>
          <w:trHeight w:val="468" w:hRule="exact"/>
        </w:trPr>
        <w:tc>
          <w:tcPr>
            <w:tcW w:w="3248" w:type="dxa"/>
          </w:tcPr>
          <w:p>
            <w:pPr>
              <w:pStyle w:val="TableParagraph"/>
              <w:spacing w:line="273" w:lineRule="exact"/>
              <w:ind w:left="103" w:right="935"/>
              <w:rPr>
                <w:b/>
                <w:sz w:val="24"/>
              </w:rPr>
            </w:pPr>
            <w:r>
              <w:rPr>
                <w:b/>
                <w:sz w:val="24"/>
              </w:rPr>
              <w:t>Sangrado</w:t>
            </w:r>
          </w:p>
        </w:tc>
        <w:tc>
          <w:tcPr>
            <w:tcW w:w="1582" w:type="dxa"/>
          </w:tcPr>
          <w:p>
            <w:pPr>
              <w:pStyle w:val="TableParagraph"/>
              <w:spacing w:line="268" w:lineRule="exact"/>
              <w:ind w:left="282" w:right="285"/>
              <w:jc w:val="center"/>
              <w:rPr>
                <w:sz w:val="24"/>
              </w:rPr>
            </w:pPr>
            <w:r>
              <w:rPr>
                <w:sz w:val="24"/>
              </w:rPr>
              <w:t>0.0</w:t>
            </w:r>
          </w:p>
        </w:tc>
        <w:tc>
          <w:tcPr>
            <w:tcW w:w="1262" w:type="dxa"/>
          </w:tcPr>
          <w:p>
            <w:pPr>
              <w:pStyle w:val="TableParagraph"/>
              <w:spacing w:line="268" w:lineRule="exact"/>
              <w:ind w:left="396" w:right="396"/>
              <w:jc w:val="center"/>
              <w:rPr>
                <w:sz w:val="24"/>
              </w:rPr>
            </w:pPr>
            <w:r>
              <w:rPr>
                <w:sz w:val="24"/>
              </w:rPr>
              <w:t>0.0</w:t>
            </w:r>
          </w:p>
        </w:tc>
        <w:tc>
          <w:tcPr>
            <w:tcW w:w="1544" w:type="dxa"/>
          </w:tcPr>
          <w:p>
            <w:pPr>
              <w:pStyle w:val="TableParagraph"/>
              <w:spacing w:line="268" w:lineRule="exact"/>
              <w:ind w:left="136" w:right="136"/>
              <w:jc w:val="center"/>
              <w:rPr>
                <w:sz w:val="24"/>
              </w:rPr>
            </w:pPr>
            <w:r>
              <w:rPr>
                <w:sz w:val="24"/>
              </w:rPr>
              <w:t>20.0</w:t>
            </w:r>
          </w:p>
        </w:tc>
        <w:tc>
          <w:tcPr>
            <w:tcW w:w="1320" w:type="dxa"/>
          </w:tcPr>
          <w:p>
            <w:pPr>
              <w:pStyle w:val="TableParagraph"/>
              <w:spacing w:line="268" w:lineRule="exact"/>
              <w:ind w:right="384"/>
              <w:jc w:val="right"/>
              <w:rPr>
                <w:sz w:val="24"/>
              </w:rPr>
            </w:pPr>
            <w:r>
              <w:rPr>
                <w:sz w:val="24"/>
              </w:rPr>
              <w:t>0.004</w:t>
            </w:r>
          </w:p>
        </w:tc>
      </w:tr>
      <w:tr>
        <w:trPr>
          <w:trHeight w:val="468" w:hRule="exact"/>
        </w:trPr>
        <w:tc>
          <w:tcPr>
            <w:tcW w:w="3248" w:type="dxa"/>
          </w:tcPr>
          <w:p>
            <w:pPr>
              <w:pStyle w:val="TableParagraph"/>
              <w:spacing w:line="273" w:lineRule="exact"/>
              <w:ind w:left="103" w:right="935"/>
              <w:rPr>
                <w:b/>
                <w:sz w:val="24"/>
              </w:rPr>
            </w:pPr>
            <w:r>
              <w:rPr>
                <w:b/>
                <w:sz w:val="24"/>
              </w:rPr>
              <w:t>Cálculo</w:t>
            </w:r>
          </w:p>
        </w:tc>
        <w:tc>
          <w:tcPr>
            <w:tcW w:w="1582" w:type="dxa"/>
          </w:tcPr>
          <w:p>
            <w:pPr>
              <w:pStyle w:val="TableParagraph"/>
              <w:spacing w:line="268" w:lineRule="exact"/>
              <w:ind w:left="282" w:right="285"/>
              <w:jc w:val="center"/>
              <w:rPr>
                <w:sz w:val="24"/>
              </w:rPr>
            </w:pPr>
            <w:r>
              <w:rPr>
                <w:sz w:val="24"/>
              </w:rPr>
              <w:t>20.0</w:t>
            </w:r>
          </w:p>
        </w:tc>
        <w:tc>
          <w:tcPr>
            <w:tcW w:w="1262" w:type="dxa"/>
          </w:tcPr>
          <w:p>
            <w:pPr>
              <w:pStyle w:val="TableParagraph"/>
              <w:spacing w:line="268" w:lineRule="exact"/>
              <w:ind w:left="396" w:right="396"/>
              <w:jc w:val="center"/>
              <w:rPr>
                <w:sz w:val="24"/>
              </w:rPr>
            </w:pPr>
            <w:r>
              <w:rPr>
                <w:sz w:val="24"/>
              </w:rPr>
              <w:t>36.7</w:t>
            </w:r>
          </w:p>
        </w:tc>
        <w:tc>
          <w:tcPr>
            <w:tcW w:w="1544" w:type="dxa"/>
          </w:tcPr>
          <w:p>
            <w:pPr>
              <w:pStyle w:val="TableParagraph"/>
              <w:spacing w:line="268" w:lineRule="exact"/>
              <w:ind w:left="136" w:right="136"/>
              <w:jc w:val="center"/>
              <w:rPr>
                <w:sz w:val="24"/>
              </w:rPr>
            </w:pPr>
            <w:r>
              <w:rPr>
                <w:sz w:val="24"/>
              </w:rPr>
              <w:t>50.0</w:t>
            </w:r>
          </w:p>
        </w:tc>
        <w:tc>
          <w:tcPr>
            <w:tcW w:w="1320" w:type="dxa"/>
          </w:tcPr>
          <w:p>
            <w:pPr>
              <w:pStyle w:val="TableParagraph"/>
              <w:spacing w:line="268" w:lineRule="exact"/>
              <w:ind w:right="357"/>
              <w:jc w:val="right"/>
              <w:rPr>
                <w:sz w:val="24"/>
              </w:rPr>
            </w:pPr>
            <w:r>
              <w:rPr>
                <w:sz w:val="24"/>
              </w:rPr>
              <w:t>.0.041</w:t>
            </w:r>
          </w:p>
        </w:tc>
      </w:tr>
      <w:tr>
        <w:trPr>
          <w:trHeight w:val="468" w:hRule="exact"/>
        </w:trPr>
        <w:tc>
          <w:tcPr>
            <w:tcW w:w="3248" w:type="dxa"/>
          </w:tcPr>
          <w:p>
            <w:pPr>
              <w:pStyle w:val="TableParagraph"/>
              <w:spacing w:line="273" w:lineRule="exact"/>
              <w:ind w:left="103" w:right="935"/>
              <w:rPr>
                <w:b/>
                <w:sz w:val="24"/>
              </w:rPr>
            </w:pPr>
            <w:r>
              <w:rPr>
                <w:b/>
                <w:sz w:val="24"/>
              </w:rPr>
              <w:t>3-5.5mm</w:t>
            </w:r>
          </w:p>
        </w:tc>
        <w:tc>
          <w:tcPr>
            <w:tcW w:w="1582" w:type="dxa"/>
          </w:tcPr>
          <w:p>
            <w:pPr>
              <w:pStyle w:val="TableParagraph"/>
              <w:spacing w:line="268" w:lineRule="exact"/>
              <w:ind w:left="282" w:right="285"/>
              <w:jc w:val="center"/>
              <w:rPr>
                <w:sz w:val="24"/>
              </w:rPr>
            </w:pPr>
            <w:r>
              <w:rPr>
                <w:sz w:val="24"/>
              </w:rPr>
              <w:t>46.7</w:t>
            </w:r>
          </w:p>
        </w:tc>
        <w:tc>
          <w:tcPr>
            <w:tcW w:w="1262" w:type="dxa"/>
          </w:tcPr>
          <w:p>
            <w:pPr>
              <w:pStyle w:val="TableParagraph"/>
              <w:spacing w:line="268" w:lineRule="exact"/>
              <w:ind w:left="396" w:right="396"/>
              <w:jc w:val="center"/>
              <w:rPr>
                <w:sz w:val="24"/>
              </w:rPr>
            </w:pPr>
            <w:r>
              <w:rPr>
                <w:sz w:val="24"/>
              </w:rPr>
              <w:t>40.0</w:t>
            </w:r>
          </w:p>
        </w:tc>
        <w:tc>
          <w:tcPr>
            <w:tcW w:w="1544" w:type="dxa"/>
          </w:tcPr>
          <w:p>
            <w:pPr>
              <w:pStyle w:val="TableParagraph"/>
              <w:spacing w:line="268" w:lineRule="exact"/>
              <w:ind w:left="136" w:right="136"/>
              <w:jc w:val="center"/>
              <w:rPr>
                <w:sz w:val="24"/>
              </w:rPr>
            </w:pPr>
            <w:r>
              <w:rPr>
                <w:sz w:val="24"/>
              </w:rPr>
              <w:t>0.0</w:t>
            </w:r>
          </w:p>
        </w:tc>
        <w:tc>
          <w:tcPr>
            <w:tcW w:w="1320" w:type="dxa"/>
          </w:tcPr>
          <w:p>
            <w:pPr>
              <w:pStyle w:val="TableParagraph"/>
              <w:spacing w:line="268" w:lineRule="exact"/>
              <w:ind w:right="317"/>
              <w:jc w:val="right"/>
              <w:rPr>
                <w:sz w:val="24"/>
              </w:rPr>
            </w:pPr>
            <w:r>
              <w:rPr>
                <w:sz w:val="24"/>
              </w:rPr>
              <w:t>˂0.001</w:t>
            </w:r>
          </w:p>
        </w:tc>
      </w:tr>
      <w:tr>
        <w:trPr>
          <w:trHeight w:val="468" w:hRule="exact"/>
        </w:trPr>
        <w:tc>
          <w:tcPr>
            <w:tcW w:w="3248" w:type="dxa"/>
          </w:tcPr>
          <w:p>
            <w:pPr>
              <w:pStyle w:val="TableParagraph"/>
              <w:spacing w:line="273" w:lineRule="exact"/>
              <w:ind w:left="103" w:right="935"/>
              <w:rPr>
                <w:b/>
                <w:sz w:val="24"/>
              </w:rPr>
            </w:pPr>
            <w:r>
              <w:rPr>
                <w:b/>
                <w:sz w:val="24"/>
              </w:rPr>
              <w:t>6 o + mm</w:t>
            </w:r>
          </w:p>
        </w:tc>
        <w:tc>
          <w:tcPr>
            <w:tcW w:w="1582" w:type="dxa"/>
          </w:tcPr>
          <w:p>
            <w:pPr>
              <w:pStyle w:val="TableParagraph"/>
              <w:spacing w:line="268" w:lineRule="exact"/>
              <w:ind w:left="282" w:right="285"/>
              <w:jc w:val="center"/>
              <w:rPr>
                <w:sz w:val="24"/>
              </w:rPr>
            </w:pPr>
            <w:r>
              <w:rPr>
                <w:sz w:val="24"/>
              </w:rPr>
              <w:t>23.3</w:t>
            </w:r>
          </w:p>
        </w:tc>
        <w:tc>
          <w:tcPr>
            <w:tcW w:w="1262" w:type="dxa"/>
          </w:tcPr>
          <w:p>
            <w:pPr>
              <w:pStyle w:val="TableParagraph"/>
              <w:spacing w:line="268" w:lineRule="exact"/>
              <w:ind w:left="396" w:right="396"/>
              <w:jc w:val="center"/>
              <w:rPr>
                <w:sz w:val="24"/>
              </w:rPr>
            </w:pPr>
            <w:r>
              <w:rPr>
                <w:sz w:val="24"/>
              </w:rPr>
              <w:t>20.0</w:t>
            </w:r>
          </w:p>
        </w:tc>
        <w:tc>
          <w:tcPr>
            <w:tcW w:w="1544" w:type="dxa"/>
          </w:tcPr>
          <w:p>
            <w:pPr>
              <w:pStyle w:val="TableParagraph"/>
              <w:spacing w:line="268" w:lineRule="exact"/>
              <w:ind w:left="136" w:right="136"/>
              <w:jc w:val="center"/>
              <w:rPr>
                <w:sz w:val="24"/>
              </w:rPr>
            </w:pPr>
            <w:r>
              <w:rPr>
                <w:sz w:val="24"/>
              </w:rPr>
              <w:t>0.0</w:t>
            </w:r>
          </w:p>
        </w:tc>
        <w:tc>
          <w:tcPr>
            <w:tcW w:w="1320" w:type="dxa"/>
          </w:tcPr>
          <w:p>
            <w:pPr>
              <w:pStyle w:val="TableParagraph"/>
              <w:spacing w:line="268" w:lineRule="exact"/>
              <w:ind w:right="384"/>
              <w:jc w:val="right"/>
              <w:rPr>
                <w:sz w:val="24"/>
              </w:rPr>
            </w:pPr>
            <w:r>
              <w:rPr>
                <w:sz w:val="24"/>
              </w:rPr>
              <w:t>0.016</w:t>
            </w:r>
          </w:p>
        </w:tc>
      </w:tr>
      <w:tr>
        <w:trPr>
          <w:trHeight w:val="468" w:hRule="exact"/>
        </w:trPr>
        <w:tc>
          <w:tcPr>
            <w:tcW w:w="3248" w:type="dxa"/>
          </w:tcPr>
          <w:p>
            <w:pPr>
              <w:pStyle w:val="TableParagraph"/>
              <w:spacing w:line="273" w:lineRule="exact"/>
              <w:ind w:left="103" w:right="935"/>
              <w:rPr>
                <w:b/>
                <w:sz w:val="24"/>
              </w:rPr>
            </w:pPr>
            <w:r>
              <w:rPr>
                <w:b/>
                <w:sz w:val="24"/>
              </w:rPr>
              <w:t>Excluido</w:t>
            </w:r>
          </w:p>
        </w:tc>
        <w:tc>
          <w:tcPr>
            <w:tcW w:w="1582" w:type="dxa"/>
          </w:tcPr>
          <w:p>
            <w:pPr>
              <w:pStyle w:val="TableParagraph"/>
              <w:spacing w:line="268" w:lineRule="exact"/>
              <w:ind w:left="282" w:right="285"/>
              <w:jc w:val="center"/>
              <w:rPr>
                <w:sz w:val="24"/>
              </w:rPr>
            </w:pPr>
            <w:r>
              <w:rPr>
                <w:sz w:val="24"/>
              </w:rPr>
              <w:t>10.0</w:t>
            </w:r>
          </w:p>
        </w:tc>
        <w:tc>
          <w:tcPr>
            <w:tcW w:w="1262" w:type="dxa"/>
          </w:tcPr>
          <w:p>
            <w:pPr>
              <w:pStyle w:val="TableParagraph"/>
              <w:spacing w:line="268" w:lineRule="exact"/>
              <w:ind w:left="396" w:right="396"/>
              <w:jc w:val="center"/>
              <w:rPr>
                <w:sz w:val="24"/>
              </w:rPr>
            </w:pPr>
            <w:r>
              <w:rPr>
                <w:sz w:val="24"/>
              </w:rPr>
              <w:t>3.3</w:t>
            </w:r>
          </w:p>
        </w:tc>
        <w:tc>
          <w:tcPr>
            <w:tcW w:w="1544" w:type="dxa"/>
          </w:tcPr>
          <w:p>
            <w:pPr>
              <w:pStyle w:val="TableParagraph"/>
              <w:spacing w:line="268" w:lineRule="exact"/>
              <w:ind w:left="136" w:right="136"/>
              <w:jc w:val="center"/>
              <w:rPr>
                <w:sz w:val="24"/>
              </w:rPr>
            </w:pPr>
            <w:r>
              <w:rPr>
                <w:sz w:val="24"/>
              </w:rPr>
              <w:t>0.0</w:t>
            </w:r>
          </w:p>
        </w:tc>
        <w:tc>
          <w:tcPr>
            <w:tcW w:w="1320" w:type="dxa"/>
          </w:tcPr>
          <w:p>
            <w:pPr>
              <w:pStyle w:val="TableParagraph"/>
              <w:spacing w:line="268" w:lineRule="exact"/>
              <w:ind w:right="384"/>
              <w:jc w:val="right"/>
              <w:rPr>
                <w:sz w:val="24"/>
              </w:rPr>
            </w:pPr>
            <w:r>
              <w:rPr>
                <w:sz w:val="24"/>
              </w:rPr>
              <w:t>0.206</w:t>
            </w:r>
          </w:p>
        </w:tc>
      </w:tr>
    </w:tbl>
    <w:p>
      <w:pPr>
        <w:pStyle w:val="BodyText"/>
        <w:rPr>
          <w:b/>
          <w:sz w:val="20"/>
        </w:rPr>
      </w:pPr>
    </w:p>
    <w:p>
      <w:pPr>
        <w:pStyle w:val="BodyText"/>
        <w:spacing w:before="3"/>
        <w:rPr>
          <w:b/>
          <w:sz w:val="21"/>
        </w:rPr>
      </w:pPr>
    </w:p>
    <w:p>
      <w:pPr>
        <w:pStyle w:val="BodyText"/>
        <w:spacing w:before="70"/>
        <w:ind w:left="118" w:right="109"/>
        <w:jc w:val="both"/>
      </w:pPr>
      <w:r>
        <w:rPr/>
        <w:t>En la Tabla 3se muestra el control glicémico de los pacientes con DM2, donde encontramos la mayoría de los pacientes se encuentran en un mal control, considerando los parámetros establecidos por la Norma Oficial Mexicana NOM-015-SSA2-1994.</w:t>
      </w:r>
    </w:p>
    <w:p>
      <w:pPr>
        <w:pStyle w:val="BodyText"/>
      </w:pPr>
    </w:p>
    <w:p>
      <w:pPr>
        <w:pStyle w:val="BodyText"/>
        <w:spacing w:before="4"/>
      </w:pPr>
    </w:p>
    <w:p>
      <w:pPr>
        <w:pStyle w:val="Heading3"/>
        <w:spacing w:before="1"/>
        <w:ind w:left="2332"/>
        <w:jc w:val="left"/>
      </w:pPr>
      <w:r>
        <w:rPr/>
        <w:t>Tabla 3.  Control glicémico pacientes con DM2</w:t>
      </w:r>
    </w:p>
    <w:p>
      <w:pPr>
        <w:pStyle w:val="BodyText"/>
        <w:rPr>
          <w:b/>
          <w:sz w:val="20"/>
        </w:rPr>
      </w:pPr>
    </w:p>
    <w:p>
      <w:pPr>
        <w:pStyle w:val="BodyText"/>
        <w:spacing w:before="9"/>
        <w:rPr>
          <w:b/>
          <w:sz w:val="11"/>
        </w:rPr>
      </w:pPr>
    </w:p>
    <w:tbl>
      <w:tblPr>
        <w:tblW w:w="0" w:type="auto"/>
        <w:jc w:val="left"/>
        <w:tblInd w:w="228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3440"/>
        <w:gridCol w:w="696"/>
        <w:gridCol w:w="744"/>
      </w:tblGrid>
      <w:tr>
        <w:trPr>
          <w:trHeight w:val="444" w:hRule="exact"/>
        </w:trPr>
        <w:tc>
          <w:tcPr>
            <w:tcW w:w="3440" w:type="dxa"/>
            <w:tcBorders>
              <w:bottom w:val="single" w:sz="4" w:space="0" w:color="000000"/>
            </w:tcBorders>
          </w:tcPr>
          <w:p>
            <w:pPr>
              <w:pStyle w:val="TableParagraph"/>
              <w:spacing w:before="76"/>
              <w:ind w:left="103"/>
              <w:rPr>
                <w:b/>
                <w:sz w:val="24"/>
              </w:rPr>
            </w:pPr>
            <w:r>
              <w:rPr>
                <w:b/>
                <w:sz w:val="24"/>
              </w:rPr>
              <w:t>Control del paciente HbA1</w:t>
            </w:r>
          </w:p>
        </w:tc>
        <w:tc>
          <w:tcPr>
            <w:tcW w:w="696" w:type="dxa"/>
            <w:tcBorders>
              <w:bottom w:val="single" w:sz="4" w:space="0" w:color="000000"/>
              <w:right w:val="single" w:sz="4" w:space="0" w:color="BEBEBE"/>
            </w:tcBorders>
          </w:tcPr>
          <w:p>
            <w:pPr>
              <w:pStyle w:val="TableParagraph"/>
              <w:spacing w:before="76"/>
              <w:ind w:left="275"/>
              <w:rPr>
                <w:b/>
                <w:sz w:val="24"/>
              </w:rPr>
            </w:pPr>
            <w:r>
              <w:rPr>
                <w:b/>
                <w:w w:val="99"/>
                <w:sz w:val="24"/>
              </w:rPr>
              <w:t>n</w:t>
            </w:r>
          </w:p>
        </w:tc>
        <w:tc>
          <w:tcPr>
            <w:tcW w:w="744" w:type="dxa"/>
            <w:tcBorders>
              <w:left w:val="single" w:sz="4" w:space="0" w:color="BEBEBE"/>
              <w:bottom w:val="single" w:sz="4" w:space="0" w:color="000000"/>
            </w:tcBorders>
          </w:tcPr>
          <w:p>
            <w:pPr>
              <w:pStyle w:val="TableParagraph"/>
              <w:spacing w:before="76"/>
              <w:ind w:left="247"/>
              <w:rPr>
                <w:b/>
                <w:sz w:val="24"/>
              </w:rPr>
            </w:pPr>
            <w:r>
              <w:rPr>
                <w:b/>
                <w:sz w:val="24"/>
              </w:rPr>
              <w:t>%</w:t>
            </w:r>
          </w:p>
        </w:tc>
      </w:tr>
      <w:tr>
        <w:trPr>
          <w:trHeight w:val="286" w:hRule="exact"/>
        </w:trPr>
        <w:tc>
          <w:tcPr>
            <w:tcW w:w="3440" w:type="dxa"/>
            <w:tcBorders>
              <w:top w:val="single" w:sz="4" w:space="0" w:color="000000"/>
            </w:tcBorders>
          </w:tcPr>
          <w:p>
            <w:pPr>
              <w:pStyle w:val="TableParagraph"/>
              <w:spacing w:line="268" w:lineRule="exact"/>
              <w:ind w:left="103"/>
              <w:rPr>
                <w:rFonts w:ascii="Arial"/>
                <w:sz w:val="20"/>
              </w:rPr>
            </w:pPr>
            <w:r>
              <w:rPr>
                <w:sz w:val="24"/>
              </w:rPr>
              <w:t>Bueno </w:t>
            </w:r>
            <w:r>
              <w:rPr>
                <w:rFonts w:ascii="Arial"/>
                <w:sz w:val="20"/>
              </w:rPr>
              <w:t>&lt;6.5%mg/dl</w:t>
            </w:r>
          </w:p>
        </w:tc>
        <w:tc>
          <w:tcPr>
            <w:tcW w:w="696" w:type="dxa"/>
            <w:tcBorders>
              <w:top w:val="single" w:sz="4" w:space="0" w:color="000000"/>
              <w:right w:val="single" w:sz="4" w:space="0" w:color="BEBEBE"/>
            </w:tcBorders>
          </w:tcPr>
          <w:p>
            <w:pPr>
              <w:pStyle w:val="TableParagraph"/>
              <w:spacing w:line="268" w:lineRule="exact"/>
              <w:ind w:left="283"/>
              <w:rPr>
                <w:sz w:val="24"/>
              </w:rPr>
            </w:pPr>
            <w:r>
              <w:rPr>
                <w:sz w:val="24"/>
              </w:rPr>
              <w:t>6</w:t>
            </w:r>
          </w:p>
        </w:tc>
        <w:tc>
          <w:tcPr>
            <w:tcW w:w="744" w:type="dxa"/>
            <w:tcBorders>
              <w:top w:val="single" w:sz="4" w:space="0" w:color="000000"/>
              <w:left w:val="single" w:sz="4" w:space="0" w:color="BEBEBE"/>
            </w:tcBorders>
          </w:tcPr>
          <w:p>
            <w:pPr>
              <w:pStyle w:val="TableParagraph"/>
              <w:spacing w:line="268" w:lineRule="exact"/>
              <w:ind w:left="216"/>
              <w:rPr>
                <w:sz w:val="24"/>
              </w:rPr>
            </w:pPr>
            <w:r>
              <w:rPr>
                <w:sz w:val="24"/>
              </w:rPr>
              <w:t>6.7</w:t>
            </w:r>
          </w:p>
        </w:tc>
      </w:tr>
      <w:tr>
        <w:trPr>
          <w:trHeight w:val="286" w:hRule="exact"/>
        </w:trPr>
        <w:tc>
          <w:tcPr>
            <w:tcW w:w="3440" w:type="dxa"/>
          </w:tcPr>
          <w:p>
            <w:pPr>
              <w:pStyle w:val="TableParagraph"/>
              <w:spacing w:line="268" w:lineRule="exact"/>
              <w:ind w:left="103"/>
              <w:rPr>
                <w:rFonts w:ascii="Arial"/>
                <w:sz w:val="20"/>
              </w:rPr>
            </w:pPr>
            <w:r>
              <w:rPr>
                <w:sz w:val="24"/>
              </w:rPr>
              <w:t>Regular </w:t>
            </w:r>
            <w:r>
              <w:rPr>
                <w:rFonts w:ascii="Arial"/>
                <w:sz w:val="20"/>
              </w:rPr>
              <w:t>6.5-8%mg/dl</w:t>
            </w:r>
          </w:p>
        </w:tc>
        <w:tc>
          <w:tcPr>
            <w:tcW w:w="696" w:type="dxa"/>
            <w:tcBorders>
              <w:right w:val="single" w:sz="4" w:space="0" w:color="BEBEBE"/>
            </w:tcBorders>
          </w:tcPr>
          <w:p>
            <w:pPr>
              <w:pStyle w:val="TableParagraph"/>
              <w:spacing w:line="268" w:lineRule="exact"/>
              <w:ind w:left="283"/>
              <w:rPr>
                <w:sz w:val="24"/>
              </w:rPr>
            </w:pPr>
            <w:r>
              <w:rPr>
                <w:sz w:val="24"/>
              </w:rPr>
              <w:t>2</w:t>
            </w:r>
          </w:p>
        </w:tc>
        <w:tc>
          <w:tcPr>
            <w:tcW w:w="744" w:type="dxa"/>
            <w:tcBorders>
              <w:left w:val="single" w:sz="4" w:space="0" w:color="BEBEBE"/>
            </w:tcBorders>
          </w:tcPr>
          <w:p>
            <w:pPr>
              <w:pStyle w:val="TableParagraph"/>
              <w:spacing w:line="268" w:lineRule="exact"/>
              <w:ind w:left="216"/>
              <w:rPr>
                <w:sz w:val="24"/>
              </w:rPr>
            </w:pPr>
            <w:r>
              <w:rPr>
                <w:sz w:val="24"/>
              </w:rPr>
              <w:t>2.2</w:t>
            </w:r>
          </w:p>
        </w:tc>
      </w:tr>
      <w:tr>
        <w:trPr>
          <w:trHeight w:val="286" w:hRule="exact"/>
        </w:trPr>
        <w:tc>
          <w:tcPr>
            <w:tcW w:w="3440" w:type="dxa"/>
          </w:tcPr>
          <w:p>
            <w:pPr>
              <w:pStyle w:val="TableParagraph"/>
              <w:spacing w:line="268" w:lineRule="exact"/>
              <w:ind w:left="103"/>
              <w:rPr>
                <w:rFonts w:ascii="Arial"/>
                <w:sz w:val="20"/>
              </w:rPr>
            </w:pPr>
            <w:r>
              <w:rPr>
                <w:sz w:val="24"/>
              </w:rPr>
              <w:t>Malo</w:t>
            </w:r>
            <w:r>
              <w:rPr>
                <w:spacing w:val="55"/>
                <w:sz w:val="24"/>
              </w:rPr>
              <w:t> </w:t>
            </w:r>
            <w:r>
              <w:rPr>
                <w:rFonts w:ascii="Arial"/>
                <w:sz w:val="20"/>
              </w:rPr>
              <w:t>&gt;8%mg/dl</w:t>
            </w:r>
          </w:p>
        </w:tc>
        <w:tc>
          <w:tcPr>
            <w:tcW w:w="696" w:type="dxa"/>
            <w:tcBorders>
              <w:right w:val="single" w:sz="4" w:space="0" w:color="BEBEBE"/>
            </w:tcBorders>
          </w:tcPr>
          <w:p>
            <w:pPr>
              <w:pStyle w:val="TableParagraph"/>
              <w:spacing w:line="268" w:lineRule="exact"/>
              <w:ind w:left="223"/>
              <w:rPr>
                <w:sz w:val="24"/>
              </w:rPr>
            </w:pPr>
            <w:r>
              <w:rPr>
                <w:sz w:val="24"/>
              </w:rPr>
              <w:t>22</w:t>
            </w:r>
          </w:p>
        </w:tc>
        <w:tc>
          <w:tcPr>
            <w:tcW w:w="744" w:type="dxa"/>
            <w:tcBorders>
              <w:left w:val="single" w:sz="4" w:space="0" w:color="BEBEBE"/>
            </w:tcBorders>
          </w:tcPr>
          <w:p>
            <w:pPr>
              <w:pStyle w:val="TableParagraph"/>
              <w:spacing w:line="268" w:lineRule="exact"/>
              <w:ind w:left="156"/>
              <w:rPr>
                <w:sz w:val="24"/>
              </w:rPr>
            </w:pPr>
            <w:r>
              <w:rPr>
                <w:sz w:val="24"/>
              </w:rPr>
              <w:t>24.4</w:t>
            </w:r>
          </w:p>
        </w:tc>
      </w:tr>
    </w:tbl>
    <w:p>
      <w:pPr>
        <w:spacing w:after="0" w:line="268" w:lineRule="exact"/>
        <w:rPr>
          <w:sz w:val="24"/>
        </w:rPr>
        <w:sectPr>
          <w:pgSz w:w="11910" w:h="16840"/>
          <w:pgMar w:header="731" w:footer="0" w:top="960" w:bottom="280" w:left="1300" w:right="1160"/>
        </w:sectPr>
      </w:pPr>
    </w:p>
    <w:p>
      <w:pPr>
        <w:pStyle w:val="BodyText"/>
        <w:rPr>
          <w:b/>
          <w:sz w:val="20"/>
        </w:rPr>
      </w:pPr>
    </w:p>
    <w:p>
      <w:pPr>
        <w:pStyle w:val="BodyText"/>
        <w:rPr>
          <w:b/>
          <w:sz w:val="20"/>
        </w:rPr>
      </w:pPr>
    </w:p>
    <w:p>
      <w:pPr>
        <w:pStyle w:val="BodyText"/>
        <w:rPr>
          <w:b/>
          <w:sz w:val="20"/>
        </w:rPr>
      </w:pPr>
    </w:p>
    <w:p>
      <w:pPr>
        <w:pStyle w:val="Heading2"/>
        <w:numPr>
          <w:ilvl w:val="1"/>
          <w:numId w:val="21"/>
        </w:numPr>
        <w:tabs>
          <w:tab w:pos="903" w:val="left" w:leader="none"/>
          <w:tab w:pos="904" w:val="left" w:leader="none"/>
        </w:tabs>
        <w:spacing w:line="240" w:lineRule="auto" w:before="233" w:after="0"/>
        <w:ind w:left="903" w:right="0" w:hanging="425"/>
        <w:jc w:val="left"/>
      </w:pPr>
      <w:bookmarkStart w:name="_TOC_250004" w:id="1"/>
      <w:r>
        <w:rPr/>
        <w:t>Conclusiones</w:t>
      </w:r>
      <w:r>
        <w:rPr>
          <w:spacing w:val="-6"/>
        </w:rPr>
        <w:t> </w:t>
      </w:r>
      <w:bookmarkEnd w:id="1"/>
      <w:r>
        <w:rPr/>
        <w:t>Generales.</w:t>
      </w:r>
    </w:p>
    <w:p>
      <w:pPr>
        <w:pStyle w:val="BodyText"/>
        <w:rPr>
          <w:b/>
          <w:sz w:val="26"/>
        </w:rPr>
      </w:pPr>
    </w:p>
    <w:p>
      <w:pPr>
        <w:pStyle w:val="BodyText"/>
        <w:spacing w:before="1"/>
        <w:rPr>
          <w:b/>
          <w:sz w:val="23"/>
        </w:rPr>
      </w:pPr>
    </w:p>
    <w:p>
      <w:pPr>
        <w:pStyle w:val="Heading3"/>
        <w:numPr>
          <w:ilvl w:val="2"/>
          <w:numId w:val="21"/>
        </w:numPr>
        <w:tabs>
          <w:tab w:pos="899" w:val="left" w:leader="none"/>
        </w:tabs>
        <w:spacing w:line="240" w:lineRule="auto" w:before="0" w:after="0"/>
        <w:ind w:left="898" w:right="0" w:hanging="420"/>
        <w:jc w:val="left"/>
      </w:pPr>
      <w:bookmarkStart w:name="_TOC_250003" w:id="2"/>
      <w:bookmarkEnd w:id="2"/>
      <w:r>
        <w:rPr/>
        <w:t>Conclusiones</w:t>
      </w:r>
    </w:p>
    <w:p>
      <w:pPr>
        <w:pStyle w:val="BodyText"/>
        <w:spacing w:before="129"/>
        <w:ind w:left="118" w:right="108"/>
        <w:jc w:val="both"/>
      </w:pPr>
      <w:r>
        <w:rPr/>
        <w:t>Los datos de este estudio indican que las concentraciones salivales de IL-6 se presentaron incrementadas en los pacientes con DM2 con EP que en los individuos que solo presentaron</w:t>
      </w:r>
      <w:r>
        <w:rPr>
          <w:spacing w:val="-36"/>
        </w:rPr>
        <w:t> </w:t>
      </w:r>
      <w:r>
        <w:rPr/>
        <w:t>EP, este resultado muestra la relación que existe entre la DM2 y la EP, siendo esta una de las complicaciones</w:t>
      </w:r>
      <w:r>
        <w:rPr>
          <w:spacing w:val="-7"/>
        </w:rPr>
        <w:t> </w:t>
      </w:r>
      <w:r>
        <w:rPr/>
        <w:t>más</w:t>
      </w:r>
      <w:r>
        <w:rPr>
          <w:spacing w:val="-3"/>
        </w:rPr>
        <w:t> </w:t>
      </w:r>
      <w:r>
        <w:rPr/>
        <w:t>importante</w:t>
      </w:r>
      <w:r>
        <w:rPr>
          <w:spacing w:val="-6"/>
        </w:rPr>
        <w:t> </w:t>
      </w:r>
      <w:r>
        <w:rPr/>
        <w:t>a</w:t>
      </w:r>
      <w:r>
        <w:rPr>
          <w:spacing w:val="-5"/>
        </w:rPr>
        <w:t> </w:t>
      </w:r>
      <w:r>
        <w:rPr/>
        <w:t>nivel</w:t>
      </w:r>
      <w:r>
        <w:rPr>
          <w:spacing w:val="-6"/>
        </w:rPr>
        <w:t> </w:t>
      </w:r>
      <w:r>
        <w:rPr/>
        <w:t>bucal</w:t>
      </w:r>
      <w:r>
        <w:rPr>
          <w:spacing w:val="-6"/>
        </w:rPr>
        <w:t> </w:t>
      </w:r>
      <w:r>
        <w:rPr/>
        <w:t>de</w:t>
      </w:r>
      <w:r>
        <w:rPr>
          <w:spacing w:val="-7"/>
        </w:rPr>
        <w:t> </w:t>
      </w:r>
      <w:r>
        <w:rPr/>
        <w:t>los</w:t>
      </w:r>
      <w:r>
        <w:rPr>
          <w:spacing w:val="-6"/>
        </w:rPr>
        <w:t> </w:t>
      </w:r>
      <w:r>
        <w:rPr/>
        <w:t>pacientes</w:t>
      </w:r>
      <w:r>
        <w:rPr>
          <w:spacing w:val="-4"/>
        </w:rPr>
        <w:t> </w:t>
      </w:r>
      <w:r>
        <w:rPr/>
        <w:t>con</w:t>
      </w:r>
      <w:r>
        <w:rPr>
          <w:spacing w:val="-6"/>
        </w:rPr>
        <w:t> </w:t>
      </w:r>
      <w:r>
        <w:rPr/>
        <w:t>DM2,</w:t>
      </w:r>
      <w:r>
        <w:rPr>
          <w:spacing w:val="-4"/>
        </w:rPr>
        <w:t> </w:t>
      </w:r>
      <w:r>
        <w:rPr/>
        <w:t>así</w:t>
      </w:r>
      <w:r>
        <w:rPr>
          <w:spacing w:val="-6"/>
        </w:rPr>
        <w:t> </w:t>
      </w:r>
      <w:r>
        <w:rPr/>
        <w:t>como</w:t>
      </w:r>
      <w:r>
        <w:rPr>
          <w:spacing w:val="-6"/>
        </w:rPr>
        <w:t> </w:t>
      </w:r>
      <w:r>
        <w:rPr/>
        <w:t>la</w:t>
      </w:r>
      <w:r>
        <w:rPr>
          <w:spacing w:val="-7"/>
        </w:rPr>
        <w:t> </w:t>
      </w:r>
      <w:r>
        <w:rPr/>
        <w:t>relación</w:t>
      </w:r>
      <w:r>
        <w:rPr>
          <w:spacing w:val="-6"/>
        </w:rPr>
        <w:t> </w:t>
      </w:r>
      <w:r>
        <w:rPr/>
        <w:t>del estado inflamatorio entre la EP y la DM2. Hasta el momento no se ha identificado como tal un biomarcador salival en específico que ayude a la detección oportuna de la EP en los pacientes con DM2, considerando que la evaluación de saliva es una técnica no invasiva e</w:t>
      </w:r>
      <w:r>
        <w:rPr>
          <w:spacing w:val="-16"/>
        </w:rPr>
        <w:t> </w:t>
      </w:r>
      <w:r>
        <w:rPr/>
        <w:t>innovadora.</w:t>
      </w:r>
    </w:p>
    <w:p>
      <w:pPr>
        <w:pStyle w:val="BodyText"/>
      </w:pPr>
    </w:p>
    <w:p>
      <w:pPr>
        <w:pStyle w:val="BodyText"/>
        <w:ind w:left="118" w:right="115"/>
        <w:jc w:val="both"/>
      </w:pPr>
      <w:r>
        <w:rPr/>
        <w:t>Se encontró que en los pacientes con DM2 existe una mayor afectación a nivel periodontal tomando en cuenta los parámetros del IPC, donde los sextantes más afectados fueron los posteriores en ambas arcadas. Esto nos lleva a concluir que es importante el poder implementar una</w:t>
      </w:r>
      <w:r>
        <w:rPr>
          <w:spacing w:val="-7"/>
        </w:rPr>
        <w:t> </w:t>
      </w:r>
      <w:r>
        <w:rPr/>
        <w:t>técnica</w:t>
      </w:r>
      <w:r>
        <w:rPr>
          <w:spacing w:val="-7"/>
        </w:rPr>
        <w:t> </w:t>
      </w:r>
      <w:r>
        <w:rPr/>
        <w:t>preventiva</w:t>
      </w:r>
      <w:r>
        <w:rPr>
          <w:spacing w:val="-6"/>
        </w:rPr>
        <w:t> </w:t>
      </w:r>
      <w:r>
        <w:rPr/>
        <w:t>de</w:t>
      </w:r>
      <w:r>
        <w:rPr>
          <w:spacing w:val="-5"/>
        </w:rPr>
        <w:t> </w:t>
      </w:r>
      <w:r>
        <w:rPr/>
        <w:t>la</w:t>
      </w:r>
      <w:r>
        <w:rPr>
          <w:spacing w:val="-7"/>
        </w:rPr>
        <w:t> </w:t>
      </w:r>
      <w:r>
        <w:rPr/>
        <w:t>EP</w:t>
      </w:r>
      <w:r>
        <w:rPr>
          <w:spacing w:val="-6"/>
        </w:rPr>
        <w:t> </w:t>
      </w:r>
      <w:r>
        <w:rPr/>
        <w:t>para</w:t>
      </w:r>
      <w:r>
        <w:rPr>
          <w:spacing w:val="-8"/>
        </w:rPr>
        <w:t> </w:t>
      </w:r>
      <w:r>
        <w:rPr/>
        <w:t>los</w:t>
      </w:r>
      <w:r>
        <w:rPr>
          <w:spacing w:val="-6"/>
        </w:rPr>
        <w:t> </w:t>
      </w:r>
      <w:r>
        <w:rPr/>
        <w:t>pacientes</w:t>
      </w:r>
      <w:r>
        <w:rPr>
          <w:spacing w:val="-4"/>
        </w:rPr>
        <w:t> </w:t>
      </w:r>
      <w:r>
        <w:rPr/>
        <w:t>con</w:t>
      </w:r>
      <w:r>
        <w:rPr>
          <w:spacing w:val="-6"/>
        </w:rPr>
        <w:t> </w:t>
      </w:r>
      <w:r>
        <w:rPr/>
        <w:t>DM2</w:t>
      </w:r>
      <w:r>
        <w:rPr>
          <w:spacing w:val="-1"/>
        </w:rPr>
        <w:t> </w:t>
      </w:r>
      <w:r>
        <w:rPr>
          <w:spacing w:val="-3"/>
        </w:rPr>
        <w:t>ya</w:t>
      </w:r>
      <w:r>
        <w:rPr>
          <w:spacing w:val="-7"/>
        </w:rPr>
        <w:t> </w:t>
      </w:r>
      <w:r>
        <w:rPr/>
        <w:t>que</w:t>
      </w:r>
      <w:r>
        <w:rPr>
          <w:spacing w:val="-7"/>
        </w:rPr>
        <w:t> </w:t>
      </w:r>
      <w:r>
        <w:rPr/>
        <w:t>la</w:t>
      </w:r>
      <w:r>
        <w:rPr>
          <w:spacing w:val="-7"/>
        </w:rPr>
        <w:t> </w:t>
      </w:r>
      <w:r>
        <w:rPr/>
        <w:t>enfermedad</w:t>
      </w:r>
      <w:r>
        <w:rPr>
          <w:spacing w:val="-6"/>
        </w:rPr>
        <w:t> </w:t>
      </w:r>
      <w:r>
        <w:rPr/>
        <w:t>periodontal</w:t>
      </w:r>
      <w:r>
        <w:rPr>
          <w:spacing w:val="-6"/>
        </w:rPr>
        <w:t> </w:t>
      </w:r>
      <w:r>
        <w:rPr/>
        <w:t>es de tipo progresivo y es detectada en estadios </w:t>
      </w:r>
      <w:r>
        <w:rPr>
          <w:spacing w:val="-3"/>
        </w:rPr>
        <w:t>ya</w:t>
      </w:r>
      <w:r>
        <w:rPr>
          <w:spacing w:val="-2"/>
        </w:rPr>
        <w:t> </w:t>
      </w:r>
      <w:r>
        <w:rPr/>
        <w:t>avanzados.</w:t>
      </w:r>
    </w:p>
    <w:p>
      <w:pPr>
        <w:pStyle w:val="BodyText"/>
      </w:pPr>
    </w:p>
    <w:p>
      <w:pPr>
        <w:pStyle w:val="BodyText"/>
        <w:ind w:left="118" w:right="114"/>
        <w:jc w:val="both"/>
      </w:pPr>
      <w:r>
        <w:rPr/>
        <w:t>El mal control glicémico del paciente con diabetes, contribuye al desarrollo de la EP, considerando que si esta es una complicación a nivel bucal se presenta de forma crónica en el paciente y complicando la salud bucal del paciente, es importante hacer hincapié en el paciente con DM2 que debe haber un control optimo en sus concentraciones de glucosa .</w:t>
      </w:r>
    </w:p>
    <w:p>
      <w:pPr>
        <w:pStyle w:val="BodyText"/>
      </w:pPr>
    </w:p>
    <w:p>
      <w:pPr>
        <w:pStyle w:val="Heading3"/>
        <w:numPr>
          <w:ilvl w:val="2"/>
          <w:numId w:val="21"/>
        </w:numPr>
        <w:tabs>
          <w:tab w:pos="899" w:val="left" w:leader="none"/>
        </w:tabs>
        <w:spacing w:line="240" w:lineRule="auto" w:before="144" w:after="0"/>
        <w:ind w:left="898" w:right="0" w:hanging="420"/>
        <w:jc w:val="left"/>
      </w:pPr>
      <w:bookmarkStart w:name="_TOC_250002" w:id="3"/>
      <w:bookmarkEnd w:id="3"/>
      <w:r>
        <w:rPr/>
        <w:t>Limitaciones</w:t>
      </w:r>
    </w:p>
    <w:p>
      <w:pPr>
        <w:pStyle w:val="BodyText"/>
        <w:spacing w:before="132"/>
        <w:ind w:left="118" w:right="108"/>
        <w:jc w:val="both"/>
      </w:pPr>
      <w:r>
        <w:rPr/>
        <w:t>El presente estudio mostro ciertas limitaciones, entre ellas que es de tipo transversal, el cual el diseño no nos permite inferir causalidad, los participantes del grupo con DM2+EP eran de un parámetro de edad mayor a los otros, no fue posible identificar pacientes con DM2 sin EP. El uso del IPC nos limita a una evaluación clínica no a las necesidades del paciente. Por ultimo no encontramos estudios realizados en nuestro país, en el cual evaluaran las concentraciónes salivales</w:t>
      </w:r>
      <w:r>
        <w:rPr>
          <w:spacing w:val="-7"/>
        </w:rPr>
        <w:t> </w:t>
      </w:r>
      <w:r>
        <w:rPr/>
        <w:t>de</w:t>
      </w:r>
      <w:r>
        <w:rPr>
          <w:spacing w:val="-5"/>
        </w:rPr>
        <w:t> </w:t>
      </w:r>
      <w:r>
        <w:rPr/>
        <w:t>IL-6,</w:t>
      </w:r>
      <w:r>
        <w:rPr>
          <w:spacing w:val="-6"/>
        </w:rPr>
        <w:t> </w:t>
      </w:r>
      <w:r>
        <w:rPr/>
        <w:t>lo</w:t>
      </w:r>
      <w:r>
        <w:rPr>
          <w:spacing w:val="-6"/>
        </w:rPr>
        <w:t> </w:t>
      </w:r>
      <w:r>
        <w:rPr/>
        <w:t>cual</w:t>
      </w:r>
      <w:r>
        <w:rPr>
          <w:spacing w:val="-6"/>
        </w:rPr>
        <w:t> </w:t>
      </w:r>
      <w:r>
        <w:rPr/>
        <w:t>nos</w:t>
      </w:r>
      <w:r>
        <w:rPr>
          <w:spacing w:val="-6"/>
        </w:rPr>
        <w:t> </w:t>
      </w:r>
      <w:r>
        <w:rPr/>
        <w:t>dificulta</w:t>
      </w:r>
      <w:r>
        <w:rPr>
          <w:spacing w:val="-7"/>
        </w:rPr>
        <w:t> </w:t>
      </w:r>
      <w:r>
        <w:rPr/>
        <w:t>el</w:t>
      </w:r>
      <w:r>
        <w:rPr>
          <w:spacing w:val="-5"/>
        </w:rPr>
        <w:t> </w:t>
      </w:r>
      <w:r>
        <w:rPr/>
        <w:t>poder</w:t>
      </w:r>
      <w:r>
        <w:rPr>
          <w:spacing w:val="-7"/>
        </w:rPr>
        <w:t> </w:t>
      </w:r>
      <w:r>
        <w:rPr/>
        <w:t>comprar</w:t>
      </w:r>
      <w:r>
        <w:rPr>
          <w:spacing w:val="-7"/>
        </w:rPr>
        <w:t> </w:t>
      </w:r>
      <w:r>
        <w:rPr/>
        <w:t>nuestro</w:t>
      </w:r>
      <w:r>
        <w:rPr>
          <w:spacing w:val="-6"/>
        </w:rPr>
        <w:t> </w:t>
      </w:r>
      <w:r>
        <w:rPr/>
        <w:t>trabajo</w:t>
      </w:r>
      <w:r>
        <w:rPr>
          <w:spacing w:val="-6"/>
        </w:rPr>
        <w:t> </w:t>
      </w:r>
      <w:r>
        <w:rPr/>
        <w:t>con</w:t>
      </w:r>
      <w:r>
        <w:rPr>
          <w:spacing w:val="-6"/>
        </w:rPr>
        <w:t> </w:t>
      </w:r>
      <w:r>
        <w:rPr/>
        <w:t>población</w:t>
      </w:r>
      <w:r>
        <w:rPr>
          <w:spacing w:val="-6"/>
        </w:rPr>
        <w:t> </w:t>
      </w:r>
      <w:r>
        <w:rPr/>
        <w:t>del</w:t>
      </w:r>
      <w:r>
        <w:rPr>
          <w:spacing w:val="-6"/>
        </w:rPr>
        <w:t> </w:t>
      </w:r>
      <w:r>
        <w:rPr/>
        <w:t>mismo país.</w:t>
      </w:r>
    </w:p>
    <w:p>
      <w:pPr>
        <w:pStyle w:val="BodyText"/>
      </w:pPr>
    </w:p>
    <w:p>
      <w:pPr>
        <w:pStyle w:val="Heading3"/>
        <w:numPr>
          <w:ilvl w:val="2"/>
          <w:numId w:val="21"/>
        </w:numPr>
        <w:tabs>
          <w:tab w:pos="539" w:val="left" w:leader="none"/>
        </w:tabs>
        <w:spacing w:line="240" w:lineRule="auto" w:before="144" w:after="0"/>
        <w:ind w:left="538" w:right="0" w:hanging="420"/>
        <w:jc w:val="both"/>
      </w:pPr>
      <w:bookmarkStart w:name="_TOC_250001" w:id="4"/>
      <w:bookmarkEnd w:id="4"/>
      <w:r>
        <w:rPr/>
        <w:t>Recomendaciones</w:t>
      </w:r>
    </w:p>
    <w:p>
      <w:pPr>
        <w:pStyle w:val="BodyText"/>
        <w:spacing w:before="132"/>
        <w:ind w:left="118" w:right="112"/>
        <w:jc w:val="both"/>
      </w:pPr>
      <w:r>
        <w:rPr/>
        <w:t>Realizar una evaluación posterior al paciente, considerando el control glicémico y la condición periodontal subsecuente al tratamiento posiblemente realizado. Es importante la realización de estudios en población mexicana evaluando las concentraciones de IL-6 salival buscando su asociación</w:t>
      </w:r>
      <w:r>
        <w:rPr>
          <w:spacing w:val="-15"/>
        </w:rPr>
        <w:t> </w:t>
      </w:r>
      <w:r>
        <w:rPr/>
        <w:t>con</w:t>
      </w:r>
      <w:r>
        <w:rPr>
          <w:spacing w:val="-13"/>
        </w:rPr>
        <w:t> </w:t>
      </w:r>
      <w:r>
        <w:rPr/>
        <w:t>el</w:t>
      </w:r>
      <w:r>
        <w:rPr>
          <w:spacing w:val="-15"/>
        </w:rPr>
        <w:t> </w:t>
      </w:r>
      <w:r>
        <w:rPr/>
        <w:t>tiempo</w:t>
      </w:r>
      <w:r>
        <w:rPr>
          <w:spacing w:val="-15"/>
        </w:rPr>
        <w:t> </w:t>
      </w:r>
      <w:r>
        <w:rPr/>
        <w:t>de</w:t>
      </w:r>
      <w:r>
        <w:rPr>
          <w:spacing w:val="-17"/>
        </w:rPr>
        <w:t> </w:t>
      </w:r>
      <w:r>
        <w:rPr/>
        <w:t>diagnóstico</w:t>
      </w:r>
      <w:r>
        <w:rPr>
          <w:spacing w:val="-16"/>
        </w:rPr>
        <w:t> </w:t>
      </w:r>
      <w:r>
        <w:rPr/>
        <w:t>de</w:t>
      </w:r>
      <w:r>
        <w:rPr>
          <w:spacing w:val="-17"/>
        </w:rPr>
        <w:t> </w:t>
      </w:r>
      <w:r>
        <w:rPr/>
        <w:t>la</w:t>
      </w:r>
      <w:r>
        <w:rPr>
          <w:spacing w:val="-16"/>
        </w:rPr>
        <w:t> </w:t>
      </w:r>
      <w:r>
        <w:rPr/>
        <w:t>DM2.</w:t>
      </w:r>
      <w:r>
        <w:rPr>
          <w:spacing w:val="-14"/>
        </w:rPr>
        <w:t> </w:t>
      </w:r>
      <w:r>
        <w:rPr/>
        <w:t>Especificar</w:t>
      </w:r>
      <w:r>
        <w:rPr>
          <w:spacing w:val="-17"/>
        </w:rPr>
        <w:t> </w:t>
      </w:r>
      <w:r>
        <w:rPr/>
        <w:t>un</w:t>
      </w:r>
      <w:r>
        <w:rPr>
          <w:spacing w:val="-16"/>
        </w:rPr>
        <w:t> </w:t>
      </w:r>
      <w:r>
        <w:rPr/>
        <w:t>biomarcador</w:t>
      </w:r>
      <w:r>
        <w:rPr>
          <w:spacing w:val="-17"/>
        </w:rPr>
        <w:t> </w:t>
      </w:r>
      <w:r>
        <w:rPr/>
        <w:t>salival</w:t>
      </w:r>
      <w:r>
        <w:rPr>
          <w:spacing w:val="-15"/>
        </w:rPr>
        <w:t> </w:t>
      </w:r>
      <w:r>
        <w:rPr/>
        <w:t>que</w:t>
      </w:r>
      <w:r>
        <w:rPr>
          <w:spacing w:val="-17"/>
        </w:rPr>
        <w:t> </w:t>
      </w:r>
      <w:r>
        <w:rPr/>
        <w:t>ayude a la prevención de la EP en el paciente con</w:t>
      </w:r>
      <w:r>
        <w:rPr>
          <w:spacing w:val="-10"/>
        </w:rPr>
        <w:t> </w:t>
      </w:r>
      <w:r>
        <w:rPr/>
        <w:t>DM2.</w:t>
      </w:r>
    </w:p>
    <w:p>
      <w:pPr>
        <w:spacing w:after="0"/>
        <w:jc w:val="both"/>
        <w:sectPr>
          <w:pgSz w:w="11910" w:h="16840"/>
          <w:pgMar w:header="731" w:footer="0" w:top="960" w:bottom="280" w:left="1300" w:right="1160"/>
        </w:sectPr>
      </w:pPr>
    </w:p>
    <w:p>
      <w:pPr>
        <w:pStyle w:val="BodyText"/>
        <w:rPr>
          <w:sz w:val="20"/>
        </w:rPr>
      </w:pPr>
    </w:p>
    <w:p>
      <w:pPr>
        <w:pStyle w:val="Heading2"/>
        <w:numPr>
          <w:ilvl w:val="1"/>
          <w:numId w:val="21"/>
        </w:numPr>
        <w:tabs>
          <w:tab w:pos="839" w:val="left" w:leader="none"/>
        </w:tabs>
        <w:spacing w:line="240" w:lineRule="auto" w:before="217" w:after="0"/>
        <w:ind w:left="838" w:right="0" w:hanging="360"/>
        <w:jc w:val="left"/>
      </w:pPr>
      <w:bookmarkStart w:name="_TOC_250000" w:id="5"/>
      <w:r>
        <w:rPr/>
        <w:t>Referencias</w:t>
      </w:r>
      <w:r>
        <w:rPr>
          <w:spacing w:val="-4"/>
        </w:rPr>
        <w:t> </w:t>
      </w:r>
      <w:bookmarkEnd w:id="5"/>
      <w:r>
        <w:rPr/>
        <w:t>Bibliográficas</w:t>
      </w:r>
    </w:p>
    <w:p>
      <w:pPr>
        <w:pStyle w:val="BodyText"/>
        <w:rPr>
          <w:b/>
          <w:sz w:val="26"/>
        </w:rPr>
      </w:pPr>
    </w:p>
    <w:p>
      <w:pPr>
        <w:pStyle w:val="ListParagraph"/>
        <w:numPr>
          <w:ilvl w:val="0"/>
          <w:numId w:val="22"/>
        </w:numPr>
        <w:tabs>
          <w:tab w:pos="386" w:val="left" w:leader="none"/>
        </w:tabs>
        <w:spacing w:line="360" w:lineRule="auto" w:before="172" w:after="0"/>
        <w:ind w:left="118" w:right="117" w:firstLine="0"/>
        <w:jc w:val="both"/>
        <w:rPr>
          <w:sz w:val="24"/>
        </w:rPr>
      </w:pPr>
      <w:r>
        <w:rPr>
          <w:sz w:val="24"/>
        </w:rPr>
        <w:t>Barnes VM, Kennedy AD , PanagakosF, Devizio W, Trivedi HM, et al. Global metabolic analysis of human saliva and plasma from healthy and diabetic subjects, withs and without periodontal disease. PLoS ONE. 2014; 9</w:t>
      </w:r>
      <w:r>
        <w:rPr>
          <w:spacing w:val="-6"/>
          <w:sz w:val="24"/>
        </w:rPr>
        <w:t> </w:t>
      </w:r>
      <w:r>
        <w:rPr>
          <w:sz w:val="24"/>
        </w:rPr>
        <w:t>(8):1-8.</w:t>
      </w:r>
    </w:p>
    <w:p>
      <w:pPr>
        <w:pStyle w:val="ListParagraph"/>
        <w:numPr>
          <w:ilvl w:val="0"/>
          <w:numId w:val="22"/>
        </w:numPr>
        <w:tabs>
          <w:tab w:pos="369" w:val="left" w:leader="none"/>
        </w:tabs>
        <w:spacing w:line="360" w:lineRule="auto" w:before="4" w:after="0"/>
        <w:ind w:left="118" w:right="112" w:firstLine="0"/>
        <w:jc w:val="both"/>
        <w:rPr>
          <w:sz w:val="24"/>
        </w:rPr>
      </w:pPr>
      <w:r>
        <w:rPr>
          <w:sz w:val="24"/>
        </w:rPr>
        <w:t>Chee B, Park B, Bartold M. Periodontitis and type II diabetes : a two-way relationship. Int J Evid Based Healthc.</w:t>
      </w:r>
      <w:r>
        <w:rPr>
          <w:spacing w:val="-7"/>
          <w:sz w:val="24"/>
        </w:rPr>
        <w:t> </w:t>
      </w:r>
      <w:r>
        <w:rPr>
          <w:sz w:val="24"/>
        </w:rPr>
        <w:t>2013;11(4):317-29.</w:t>
      </w:r>
    </w:p>
    <w:p>
      <w:pPr>
        <w:pStyle w:val="ListParagraph"/>
        <w:numPr>
          <w:ilvl w:val="0"/>
          <w:numId w:val="22"/>
        </w:numPr>
        <w:tabs>
          <w:tab w:pos="369" w:val="left" w:leader="none"/>
        </w:tabs>
        <w:spacing w:line="360" w:lineRule="auto" w:before="4" w:after="0"/>
        <w:ind w:left="118" w:right="110" w:firstLine="0"/>
        <w:jc w:val="both"/>
        <w:rPr>
          <w:sz w:val="24"/>
        </w:rPr>
      </w:pPr>
      <w:r>
        <w:rPr>
          <w:sz w:val="24"/>
        </w:rPr>
        <w:t>Su H, Gornitsky M, Velly AM, Yu H, Benarroch M, Schipper HM. Salivary DNA, lipid, an protein oxidation in nonsmokers with periodontal disease. Free Radic Biol Med. 2009 ;46 (7): 914-21.</w:t>
      </w:r>
    </w:p>
    <w:p>
      <w:pPr>
        <w:pStyle w:val="ListParagraph"/>
        <w:numPr>
          <w:ilvl w:val="0"/>
          <w:numId w:val="22"/>
        </w:numPr>
        <w:tabs>
          <w:tab w:pos="419" w:val="left" w:leader="none"/>
        </w:tabs>
        <w:spacing w:line="240" w:lineRule="auto" w:before="6" w:after="0"/>
        <w:ind w:left="418" w:right="0" w:hanging="300"/>
        <w:jc w:val="both"/>
        <w:rPr>
          <w:sz w:val="24"/>
        </w:rPr>
      </w:pPr>
      <w:r>
        <w:rPr>
          <w:sz w:val="24"/>
        </w:rPr>
        <w:t>Preshaw PM. Periodontal disease and diabetes. J Dent. 2009 ;37 (8) :S575-</w:t>
      </w:r>
      <w:r>
        <w:rPr>
          <w:spacing w:val="-9"/>
          <w:sz w:val="24"/>
        </w:rPr>
        <w:t> </w:t>
      </w:r>
      <w:r>
        <w:rPr>
          <w:sz w:val="24"/>
        </w:rPr>
        <w:t>S7.</w:t>
      </w:r>
    </w:p>
    <w:p>
      <w:pPr>
        <w:pStyle w:val="ListParagraph"/>
        <w:numPr>
          <w:ilvl w:val="0"/>
          <w:numId w:val="22"/>
        </w:numPr>
        <w:tabs>
          <w:tab w:pos="422" w:val="left" w:leader="none"/>
        </w:tabs>
        <w:spacing w:line="360" w:lineRule="auto" w:before="137" w:after="0"/>
        <w:ind w:left="118" w:right="114" w:firstLine="0"/>
        <w:jc w:val="both"/>
        <w:rPr>
          <w:sz w:val="24"/>
        </w:rPr>
      </w:pPr>
      <w:r>
        <w:rPr>
          <w:sz w:val="24"/>
        </w:rPr>
        <w:t>Kuo LC, PolsonAM, Kang T. Associations between periodontal diseases and systemic diseases: a review of the inter-relationships and interactions with diabetes, respiratory diseases, cardiovascular diseases and osteoporosis. Public Health. 2008; 122</w:t>
      </w:r>
      <w:r>
        <w:rPr>
          <w:spacing w:val="-9"/>
          <w:sz w:val="24"/>
        </w:rPr>
        <w:t> </w:t>
      </w:r>
      <w:r>
        <w:rPr>
          <w:sz w:val="24"/>
        </w:rPr>
        <w:t>(4):417-33.</w:t>
      </w:r>
    </w:p>
    <w:p>
      <w:pPr>
        <w:pStyle w:val="ListParagraph"/>
        <w:numPr>
          <w:ilvl w:val="0"/>
          <w:numId w:val="22"/>
        </w:numPr>
        <w:tabs>
          <w:tab w:pos="359" w:val="left" w:leader="none"/>
        </w:tabs>
        <w:spacing w:line="240" w:lineRule="auto" w:before="6" w:after="0"/>
        <w:ind w:left="358" w:right="0" w:hanging="240"/>
        <w:jc w:val="both"/>
        <w:rPr>
          <w:sz w:val="24"/>
        </w:rPr>
      </w:pPr>
      <w:r>
        <w:rPr>
          <w:sz w:val="24"/>
        </w:rPr>
        <w:t>Nurdan O. Advances in periodontal disease markers. Clin Chim Acta. 2004;</w:t>
      </w:r>
      <w:r>
        <w:rPr>
          <w:spacing w:val="-9"/>
          <w:sz w:val="24"/>
        </w:rPr>
        <w:t> </w:t>
      </w:r>
      <w:r>
        <w:rPr>
          <w:sz w:val="24"/>
        </w:rPr>
        <w:t>334:1-16.</w:t>
      </w:r>
    </w:p>
    <w:p>
      <w:pPr>
        <w:pStyle w:val="ListParagraph"/>
        <w:numPr>
          <w:ilvl w:val="0"/>
          <w:numId w:val="22"/>
        </w:numPr>
        <w:tabs>
          <w:tab w:pos="364" w:val="left" w:leader="none"/>
        </w:tabs>
        <w:spacing w:line="360" w:lineRule="auto" w:before="137" w:after="0"/>
        <w:ind w:left="118" w:right="118" w:firstLine="0"/>
        <w:jc w:val="both"/>
        <w:rPr>
          <w:sz w:val="24"/>
        </w:rPr>
      </w:pPr>
      <w:r>
        <w:rPr>
          <w:sz w:val="24"/>
        </w:rPr>
        <w:t>Zhang L, Henson BS, Camargo PM, Wong DT. The clinical value of salivary biomarkers for periodontal disease. Periodontol 2000. 2009 ; 51:</w:t>
      </w:r>
      <w:r>
        <w:rPr>
          <w:spacing w:val="-6"/>
          <w:sz w:val="24"/>
        </w:rPr>
        <w:t> </w:t>
      </w:r>
      <w:r>
        <w:rPr>
          <w:sz w:val="24"/>
        </w:rPr>
        <w:t>29-37.</w:t>
      </w:r>
    </w:p>
    <w:p>
      <w:pPr>
        <w:pStyle w:val="ListParagraph"/>
        <w:numPr>
          <w:ilvl w:val="0"/>
          <w:numId w:val="22"/>
        </w:numPr>
        <w:tabs>
          <w:tab w:pos="407" w:val="left" w:leader="none"/>
        </w:tabs>
        <w:spacing w:line="360" w:lineRule="auto" w:before="4" w:after="0"/>
        <w:ind w:left="118" w:right="117" w:firstLine="0"/>
        <w:jc w:val="both"/>
        <w:rPr>
          <w:sz w:val="24"/>
        </w:rPr>
      </w:pPr>
      <w:r>
        <w:rPr>
          <w:sz w:val="24"/>
        </w:rPr>
        <w:t>Kaufman E, Lamster </w:t>
      </w:r>
      <w:r>
        <w:rPr>
          <w:spacing w:val="-2"/>
          <w:sz w:val="24"/>
        </w:rPr>
        <w:t>IB. </w:t>
      </w:r>
      <w:r>
        <w:rPr>
          <w:sz w:val="24"/>
        </w:rPr>
        <w:t>Analysis of saliva for periodontal diagnosis. A review. J Clin Periodontol 2000. 2000; 27:</w:t>
      </w:r>
      <w:r>
        <w:rPr>
          <w:spacing w:val="-1"/>
          <w:sz w:val="24"/>
        </w:rPr>
        <w:t> </w:t>
      </w:r>
      <w:r>
        <w:rPr>
          <w:sz w:val="24"/>
        </w:rPr>
        <w:t>453.</w:t>
      </w:r>
    </w:p>
    <w:p>
      <w:pPr>
        <w:pStyle w:val="ListParagraph"/>
        <w:numPr>
          <w:ilvl w:val="0"/>
          <w:numId w:val="22"/>
        </w:numPr>
        <w:tabs>
          <w:tab w:pos="407" w:val="left" w:leader="none"/>
        </w:tabs>
        <w:spacing w:line="360" w:lineRule="auto" w:before="6" w:after="0"/>
        <w:ind w:left="118" w:right="115" w:firstLine="0"/>
        <w:jc w:val="both"/>
        <w:rPr>
          <w:sz w:val="24"/>
        </w:rPr>
      </w:pPr>
      <w:r>
        <w:rPr>
          <w:sz w:val="24"/>
        </w:rPr>
        <w:t>Ali J, Pramod K, Tahirn M, Ansari SH. Autoinmune responses in periodontal diseases. Autoimmun Rev.</w:t>
      </w:r>
      <w:r>
        <w:rPr>
          <w:spacing w:val="-5"/>
          <w:sz w:val="24"/>
        </w:rPr>
        <w:t> </w:t>
      </w:r>
      <w:r>
        <w:rPr>
          <w:sz w:val="24"/>
        </w:rPr>
        <w:t>2011;10:426-31.</w:t>
      </w:r>
    </w:p>
    <w:p>
      <w:pPr>
        <w:pStyle w:val="ListParagraph"/>
        <w:numPr>
          <w:ilvl w:val="0"/>
          <w:numId w:val="22"/>
        </w:numPr>
        <w:tabs>
          <w:tab w:pos="573" w:val="left" w:leader="none"/>
        </w:tabs>
        <w:spacing w:line="360" w:lineRule="auto" w:before="6" w:after="0"/>
        <w:ind w:left="118" w:right="113" w:firstLine="0"/>
        <w:jc w:val="both"/>
        <w:rPr>
          <w:sz w:val="24"/>
        </w:rPr>
      </w:pPr>
      <w:r>
        <w:rPr>
          <w:sz w:val="24"/>
        </w:rPr>
        <w:t>Tobón-Arroyave SI,Jaramillo-González PE, Isaza-Guzmán DM. Correlation between salivary IL-1B levels and periodontal clinical status. Arch Oral Biol. 2008; 53(4)</w:t>
      </w:r>
      <w:r>
        <w:rPr>
          <w:spacing w:val="-10"/>
          <w:sz w:val="24"/>
        </w:rPr>
        <w:t> </w:t>
      </w:r>
      <w:r>
        <w:rPr>
          <w:sz w:val="24"/>
        </w:rPr>
        <w:t>:346-52.</w:t>
      </w:r>
    </w:p>
    <w:p>
      <w:pPr>
        <w:pStyle w:val="ListParagraph"/>
        <w:numPr>
          <w:ilvl w:val="0"/>
          <w:numId w:val="22"/>
        </w:numPr>
        <w:tabs>
          <w:tab w:pos="510" w:val="left" w:leader="none"/>
        </w:tabs>
        <w:spacing w:line="360" w:lineRule="auto" w:before="6" w:after="0"/>
        <w:ind w:left="118" w:right="113" w:firstLine="0"/>
        <w:jc w:val="both"/>
        <w:rPr>
          <w:sz w:val="24"/>
        </w:rPr>
      </w:pPr>
      <w:r>
        <w:rPr>
          <w:sz w:val="24"/>
        </w:rPr>
        <w:t>Giannobile WV, Beikler T, Kinney JS, Ramseier CA, Morelli T, Wong DT. Saliva as a diagnostic tool for periodontal disease: current state and future directions. Periodontol 2000. 2009;50:52-64.</w:t>
      </w:r>
    </w:p>
    <w:p>
      <w:pPr>
        <w:pStyle w:val="ListParagraph"/>
        <w:numPr>
          <w:ilvl w:val="0"/>
          <w:numId w:val="22"/>
        </w:numPr>
        <w:tabs>
          <w:tab w:pos="472" w:val="left" w:leader="none"/>
        </w:tabs>
        <w:spacing w:line="360" w:lineRule="auto" w:before="4" w:after="0"/>
        <w:ind w:left="118" w:right="109" w:firstLine="0"/>
        <w:jc w:val="both"/>
        <w:rPr>
          <w:sz w:val="24"/>
        </w:rPr>
      </w:pPr>
      <w:r>
        <w:rPr>
          <w:sz w:val="24"/>
        </w:rPr>
        <w:t>Palm</w:t>
      </w:r>
      <w:r>
        <w:rPr>
          <w:spacing w:val="-8"/>
          <w:sz w:val="24"/>
        </w:rPr>
        <w:t> </w:t>
      </w:r>
      <w:r>
        <w:rPr>
          <w:sz w:val="24"/>
        </w:rPr>
        <w:t>F,</w:t>
      </w:r>
      <w:r>
        <w:rPr>
          <w:spacing w:val="-6"/>
          <w:sz w:val="24"/>
        </w:rPr>
        <w:t> </w:t>
      </w:r>
      <w:r>
        <w:rPr>
          <w:sz w:val="24"/>
        </w:rPr>
        <w:t>Lahdentausta</w:t>
      </w:r>
      <w:r>
        <w:rPr>
          <w:spacing w:val="-4"/>
          <w:sz w:val="24"/>
        </w:rPr>
        <w:t> </w:t>
      </w:r>
      <w:r>
        <w:rPr>
          <w:spacing w:val="-3"/>
          <w:sz w:val="24"/>
        </w:rPr>
        <w:t>L,</w:t>
      </w:r>
      <w:r>
        <w:rPr>
          <w:spacing w:val="-9"/>
          <w:sz w:val="24"/>
        </w:rPr>
        <w:t> </w:t>
      </w:r>
      <w:r>
        <w:rPr>
          <w:sz w:val="24"/>
        </w:rPr>
        <w:t>Sorsa</w:t>
      </w:r>
      <w:r>
        <w:rPr>
          <w:spacing w:val="-10"/>
          <w:sz w:val="24"/>
        </w:rPr>
        <w:t> </w:t>
      </w:r>
      <w:r>
        <w:rPr>
          <w:sz w:val="24"/>
        </w:rPr>
        <w:t>T,</w:t>
      </w:r>
      <w:r>
        <w:rPr>
          <w:spacing w:val="-9"/>
          <w:sz w:val="24"/>
        </w:rPr>
        <w:t> </w:t>
      </w:r>
      <w:r>
        <w:rPr>
          <w:sz w:val="24"/>
        </w:rPr>
        <w:t>Tervahartiala</w:t>
      </w:r>
      <w:r>
        <w:rPr>
          <w:spacing w:val="-7"/>
          <w:sz w:val="24"/>
        </w:rPr>
        <w:t> </w:t>
      </w:r>
      <w:r>
        <w:rPr>
          <w:sz w:val="24"/>
        </w:rPr>
        <w:t>T,</w:t>
      </w:r>
      <w:r>
        <w:rPr>
          <w:spacing w:val="-9"/>
          <w:sz w:val="24"/>
        </w:rPr>
        <w:t> </w:t>
      </w:r>
      <w:r>
        <w:rPr>
          <w:sz w:val="24"/>
        </w:rPr>
        <w:t>Gokel</w:t>
      </w:r>
      <w:r>
        <w:rPr>
          <w:spacing w:val="-8"/>
          <w:sz w:val="24"/>
        </w:rPr>
        <w:t> </w:t>
      </w:r>
      <w:r>
        <w:rPr>
          <w:sz w:val="24"/>
        </w:rPr>
        <w:t>P,</w:t>
      </w:r>
      <w:r>
        <w:rPr>
          <w:spacing w:val="-9"/>
          <w:sz w:val="24"/>
        </w:rPr>
        <w:t> </w:t>
      </w:r>
      <w:r>
        <w:rPr>
          <w:sz w:val="24"/>
        </w:rPr>
        <w:t>et</w:t>
      </w:r>
      <w:r>
        <w:rPr>
          <w:spacing w:val="-8"/>
          <w:sz w:val="24"/>
        </w:rPr>
        <w:t> </w:t>
      </w:r>
      <w:r>
        <w:rPr>
          <w:sz w:val="24"/>
        </w:rPr>
        <w:t>al.</w:t>
      </w:r>
      <w:r>
        <w:rPr>
          <w:spacing w:val="-3"/>
          <w:sz w:val="24"/>
        </w:rPr>
        <w:t> </w:t>
      </w:r>
      <w:r>
        <w:rPr>
          <w:sz w:val="24"/>
        </w:rPr>
        <w:t>Biomarkers</w:t>
      </w:r>
      <w:r>
        <w:rPr>
          <w:spacing w:val="-9"/>
          <w:sz w:val="24"/>
        </w:rPr>
        <w:t> </w:t>
      </w:r>
      <w:r>
        <w:rPr>
          <w:sz w:val="24"/>
        </w:rPr>
        <w:t>of</w:t>
      </w:r>
      <w:r>
        <w:rPr>
          <w:spacing w:val="-9"/>
          <w:sz w:val="24"/>
        </w:rPr>
        <w:t> </w:t>
      </w:r>
      <w:r>
        <w:rPr>
          <w:sz w:val="24"/>
        </w:rPr>
        <w:t>periodontitis and</w:t>
      </w:r>
      <w:r>
        <w:rPr>
          <w:spacing w:val="-7"/>
          <w:sz w:val="24"/>
        </w:rPr>
        <w:t> </w:t>
      </w:r>
      <w:r>
        <w:rPr>
          <w:sz w:val="24"/>
        </w:rPr>
        <w:t>inflammation</w:t>
      </w:r>
      <w:r>
        <w:rPr>
          <w:spacing w:val="-7"/>
          <w:sz w:val="24"/>
        </w:rPr>
        <w:t> </w:t>
      </w:r>
      <w:r>
        <w:rPr>
          <w:sz w:val="24"/>
        </w:rPr>
        <w:t>in</w:t>
      </w:r>
      <w:r>
        <w:rPr>
          <w:spacing w:val="-7"/>
          <w:sz w:val="24"/>
        </w:rPr>
        <w:t> </w:t>
      </w:r>
      <w:r>
        <w:rPr>
          <w:sz w:val="24"/>
        </w:rPr>
        <w:t>ischemic</w:t>
      </w:r>
      <w:r>
        <w:rPr>
          <w:spacing w:val="-8"/>
          <w:sz w:val="24"/>
        </w:rPr>
        <w:t> </w:t>
      </w:r>
      <w:r>
        <w:rPr>
          <w:sz w:val="24"/>
        </w:rPr>
        <w:t>stroke:</w:t>
      </w:r>
      <w:r>
        <w:rPr>
          <w:spacing w:val="-7"/>
          <w:sz w:val="24"/>
        </w:rPr>
        <w:t> </w:t>
      </w:r>
      <w:r>
        <w:rPr>
          <w:sz w:val="24"/>
        </w:rPr>
        <w:t>A</w:t>
      </w:r>
      <w:r>
        <w:rPr>
          <w:spacing w:val="-8"/>
          <w:sz w:val="24"/>
        </w:rPr>
        <w:t> </w:t>
      </w:r>
      <w:r>
        <w:rPr>
          <w:sz w:val="24"/>
        </w:rPr>
        <w:t>case-control</w:t>
      </w:r>
      <w:r>
        <w:rPr>
          <w:spacing w:val="-7"/>
          <w:sz w:val="24"/>
        </w:rPr>
        <w:t> </w:t>
      </w:r>
      <w:r>
        <w:rPr>
          <w:sz w:val="24"/>
        </w:rPr>
        <w:t>study.</w:t>
      </w:r>
      <w:r>
        <w:rPr>
          <w:spacing w:val="-5"/>
          <w:sz w:val="24"/>
        </w:rPr>
        <w:t> </w:t>
      </w:r>
      <w:r>
        <w:rPr>
          <w:sz w:val="24"/>
        </w:rPr>
        <w:t>Innate</w:t>
      </w:r>
      <w:r>
        <w:rPr>
          <w:spacing w:val="-6"/>
          <w:sz w:val="24"/>
        </w:rPr>
        <w:t> </w:t>
      </w:r>
      <w:r>
        <w:rPr>
          <w:sz w:val="24"/>
        </w:rPr>
        <w:t>Immun.2014;</w:t>
      </w:r>
      <w:r>
        <w:rPr>
          <w:spacing w:val="-7"/>
          <w:sz w:val="24"/>
        </w:rPr>
        <w:t> </w:t>
      </w:r>
      <w:r>
        <w:rPr>
          <w:sz w:val="24"/>
        </w:rPr>
        <w:t>20(5):</w:t>
      </w:r>
      <w:r>
        <w:rPr>
          <w:spacing w:val="-7"/>
          <w:sz w:val="24"/>
        </w:rPr>
        <w:t> </w:t>
      </w:r>
      <w:r>
        <w:rPr>
          <w:sz w:val="24"/>
        </w:rPr>
        <w:t>511-518.</w:t>
      </w:r>
    </w:p>
    <w:p>
      <w:pPr>
        <w:pStyle w:val="ListParagraph"/>
        <w:numPr>
          <w:ilvl w:val="0"/>
          <w:numId w:val="22"/>
        </w:numPr>
        <w:tabs>
          <w:tab w:pos="467" w:val="left" w:leader="none"/>
        </w:tabs>
        <w:spacing w:line="360" w:lineRule="auto" w:before="4" w:after="0"/>
        <w:ind w:left="118" w:right="109" w:firstLine="0"/>
        <w:jc w:val="both"/>
        <w:rPr>
          <w:sz w:val="24"/>
        </w:rPr>
      </w:pPr>
      <w:r>
        <w:rPr>
          <w:sz w:val="24"/>
        </w:rPr>
        <w:t>Khosravi</w:t>
      </w:r>
      <w:r>
        <w:rPr>
          <w:spacing w:val="-13"/>
          <w:sz w:val="24"/>
        </w:rPr>
        <w:t> </w:t>
      </w:r>
      <w:r>
        <w:rPr>
          <w:sz w:val="24"/>
        </w:rPr>
        <w:t>R,</w:t>
      </w:r>
      <w:r>
        <w:rPr>
          <w:spacing w:val="-13"/>
          <w:sz w:val="24"/>
        </w:rPr>
        <w:t> </w:t>
      </w:r>
      <w:r>
        <w:rPr>
          <w:sz w:val="24"/>
        </w:rPr>
        <w:t>Ka</w:t>
      </w:r>
      <w:r>
        <w:rPr>
          <w:spacing w:val="-15"/>
          <w:sz w:val="24"/>
        </w:rPr>
        <w:t> </w:t>
      </w:r>
      <w:r>
        <w:rPr>
          <w:sz w:val="24"/>
        </w:rPr>
        <w:t>K,</w:t>
      </w:r>
      <w:r>
        <w:rPr>
          <w:spacing w:val="-12"/>
          <w:sz w:val="24"/>
        </w:rPr>
        <w:t> </w:t>
      </w:r>
      <w:r>
        <w:rPr>
          <w:sz w:val="24"/>
        </w:rPr>
        <w:t>Huang</w:t>
      </w:r>
      <w:r>
        <w:rPr>
          <w:spacing w:val="-13"/>
          <w:sz w:val="24"/>
        </w:rPr>
        <w:t> </w:t>
      </w:r>
      <w:r>
        <w:rPr>
          <w:sz w:val="24"/>
        </w:rPr>
        <w:t>T,</w:t>
      </w:r>
      <w:r>
        <w:rPr>
          <w:spacing w:val="-14"/>
          <w:sz w:val="24"/>
        </w:rPr>
        <w:t> </w:t>
      </w:r>
      <w:r>
        <w:rPr>
          <w:sz w:val="24"/>
        </w:rPr>
        <w:t>Khalili</w:t>
      </w:r>
      <w:r>
        <w:rPr>
          <w:spacing w:val="-13"/>
          <w:sz w:val="24"/>
        </w:rPr>
        <w:t> </w:t>
      </w:r>
      <w:r>
        <w:rPr>
          <w:sz w:val="24"/>
        </w:rPr>
        <w:t>S,</w:t>
      </w:r>
      <w:r>
        <w:rPr>
          <w:spacing w:val="-13"/>
          <w:sz w:val="24"/>
        </w:rPr>
        <w:t> </w:t>
      </w:r>
      <w:r>
        <w:rPr>
          <w:sz w:val="24"/>
        </w:rPr>
        <w:t>Nguyen</w:t>
      </w:r>
      <w:r>
        <w:rPr>
          <w:spacing w:val="-11"/>
          <w:sz w:val="24"/>
        </w:rPr>
        <w:t> </w:t>
      </w:r>
      <w:r>
        <w:rPr>
          <w:sz w:val="24"/>
        </w:rPr>
        <w:t>BH,</w:t>
      </w:r>
      <w:r>
        <w:rPr>
          <w:spacing w:val="-11"/>
          <w:sz w:val="24"/>
        </w:rPr>
        <w:t> </w:t>
      </w:r>
      <w:r>
        <w:rPr>
          <w:sz w:val="24"/>
        </w:rPr>
        <w:t>Tumor</w:t>
      </w:r>
      <w:r>
        <w:rPr>
          <w:spacing w:val="-14"/>
          <w:sz w:val="24"/>
        </w:rPr>
        <w:t> </w:t>
      </w:r>
      <w:r>
        <w:rPr>
          <w:sz w:val="24"/>
        </w:rPr>
        <w:t>necrosis</w:t>
      </w:r>
      <w:r>
        <w:rPr>
          <w:spacing w:val="-13"/>
          <w:sz w:val="24"/>
        </w:rPr>
        <w:t> </w:t>
      </w:r>
      <w:r>
        <w:rPr>
          <w:sz w:val="24"/>
        </w:rPr>
        <w:t>factor-</w:t>
      </w:r>
      <w:r>
        <w:rPr>
          <w:spacing w:val="-14"/>
          <w:sz w:val="24"/>
        </w:rPr>
        <w:t> </w:t>
      </w:r>
      <w:r>
        <w:rPr>
          <w:sz w:val="24"/>
        </w:rPr>
        <w:t>α</w:t>
      </w:r>
      <w:r>
        <w:rPr>
          <w:spacing w:val="-12"/>
          <w:sz w:val="24"/>
        </w:rPr>
        <w:t> </w:t>
      </w:r>
      <w:r>
        <w:rPr>
          <w:sz w:val="24"/>
        </w:rPr>
        <w:t>and</w:t>
      </w:r>
      <w:r>
        <w:rPr>
          <w:spacing w:val="-13"/>
          <w:sz w:val="24"/>
        </w:rPr>
        <w:t> </w:t>
      </w:r>
      <w:r>
        <w:rPr>
          <w:sz w:val="24"/>
        </w:rPr>
        <w:t>interleukin- 6:</w:t>
      </w:r>
      <w:r>
        <w:rPr>
          <w:spacing w:val="-5"/>
          <w:sz w:val="24"/>
        </w:rPr>
        <w:t> </w:t>
      </w:r>
      <w:r>
        <w:rPr>
          <w:sz w:val="24"/>
        </w:rPr>
        <w:t>potential</w:t>
      </w:r>
      <w:r>
        <w:rPr>
          <w:spacing w:val="-5"/>
          <w:sz w:val="24"/>
        </w:rPr>
        <w:t> </w:t>
      </w:r>
      <w:r>
        <w:rPr>
          <w:sz w:val="24"/>
        </w:rPr>
        <w:t>interorgan</w:t>
      </w:r>
      <w:r>
        <w:rPr>
          <w:spacing w:val="-5"/>
          <w:sz w:val="24"/>
        </w:rPr>
        <w:t> </w:t>
      </w:r>
      <w:r>
        <w:rPr>
          <w:sz w:val="24"/>
        </w:rPr>
        <w:t>inflammatory</w:t>
      </w:r>
      <w:r>
        <w:rPr>
          <w:spacing w:val="-10"/>
          <w:sz w:val="24"/>
        </w:rPr>
        <w:t> </w:t>
      </w:r>
      <w:r>
        <w:rPr>
          <w:sz w:val="24"/>
        </w:rPr>
        <w:t>mediators</w:t>
      </w:r>
      <w:r>
        <w:rPr>
          <w:spacing w:val="-3"/>
          <w:sz w:val="24"/>
        </w:rPr>
        <w:t> </w:t>
      </w:r>
      <w:r>
        <w:rPr>
          <w:sz w:val="24"/>
        </w:rPr>
        <w:t>contributing</w:t>
      </w:r>
      <w:r>
        <w:rPr>
          <w:spacing w:val="-7"/>
          <w:sz w:val="24"/>
        </w:rPr>
        <w:t> </w:t>
      </w:r>
      <w:r>
        <w:rPr>
          <w:sz w:val="24"/>
        </w:rPr>
        <w:t>to</w:t>
      </w:r>
      <w:r>
        <w:rPr>
          <w:spacing w:val="-5"/>
          <w:sz w:val="24"/>
        </w:rPr>
        <w:t> </w:t>
      </w:r>
      <w:r>
        <w:rPr>
          <w:sz w:val="24"/>
        </w:rPr>
        <w:t>destructive</w:t>
      </w:r>
      <w:r>
        <w:rPr>
          <w:spacing w:val="-6"/>
          <w:sz w:val="24"/>
        </w:rPr>
        <w:t> </w:t>
      </w:r>
      <w:r>
        <w:rPr>
          <w:sz w:val="24"/>
        </w:rPr>
        <w:t>periodontal</w:t>
      </w:r>
      <w:r>
        <w:rPr>
          <w:spacing w:val="-5"/>
          <w:sz w:val="24"/>
        </w:rPr>
        <w:t> </w:t>
      </w:r>
      <w:r>
        <w:rPr>
          <w:sz w:val="24"/>
        </w:rPr>
        <w:t>disease</w:t>
      </w:r>
      <w:r>
        <w:rPr>
          <w:spacing w:val="-6"/>
          <w:sz w:val="24"/>
        </w:rPr>
        <w:t> </w:t>
      </w:r>
      <w:r>
        <w:rPr>
          <w:sz w:val="24"/>
        </w:rPr>
        <w:t>in obesity or metabolic syndrome. Mediators Inflamm.</w:t>
      </w:r>
      <w:r>
        <w:rPr>
          <w:spacing w:val="-9"/>
          <w:sz w:val="24"/>
        </w:rPr>
        <w:t> </w:t>
      </w:r>
      <w:r>
        <w:rPr>
          <w:sz w:val="24"/>
        </w:rPr>
        <w:t>2013:1-6</w:t>
      </w:r>
    </w:p>
    <w:p>
      <w:pPr>
        <w:pStyle w:val="ListParagraph"/>
        <w:numPr>
          <w:ilvl w:val="0"/>
          <w:numId w:val="22"/>
        </w:numPr>
        <w:tabs>
          <w:tab w:pos="486" w:val="left" w:leader="none"/>
        </w:tabs>
        <w:spacing w:line="360" w:lineRule="auto" w:before="6" w:after="0"/>
        <w:ind w:left="118" w:right="108" w:firstLine="0"/>
        <w:jc w:val="both"/>
        <w:rPr>
          <w:sz w:val="24"/>
        </w:rPr>
      </w:pPr>
      <w:r>
        <w:rPr>
          <w:sz w:val="24"/>
        </w:rPr>
        <w:t>Saremi A, Nelson RG, Tulloch-Reid M, Hanson RL, Sievers ML, et al. Periodontal disease and mortality in type 2 diabetes. Diabetes Care.</w:t>
      </w:r>
      <w:r>
        <w:rPr>
          <w:spacing w:val="-7"/>
          <w:sz w:val="24"/>
        </w:rPr>
        <w:t> </w:t>
      </w:r>
      <w:r>
        <w:rPr>
          <w:sz w:val="24"/>
        </w:rPr>
        <w:t>2005;28(1):27-32.</w:t>
      </w:r>
    </w:p>
    <w:p>
      <w:pPr>
        <w:spacing w:after="0" w:line="360" w:lineRule="auto"/>
        <w:jc w:val="both"/>
        <w:rPr>
          <w:sz w:val="24"/>
        </w:rPr>
        <w:sectPr>
          <w:pgSz w:w="11910" w:h="16840"/>
          <w:pgMar w:header="731" w:footer="0" w:top="960" w:bottom="280" w:left="1300" w:right="1160"/>
        </w:sectPr>
      </w:pPr>
    </w:p>
    <w:p>
      <w:pPr>
        <w:pStyle w:val="BodyText"/>
        <w:rPr>
          <w:sz w:val="20"/>
        </w:rPr>
      </w:pPr>
    </w:p>
    <w:p>
      <w:pPr>
        <w:pStyle w:val="ListParagraph"/>
        <w:numPr>
          <w:ilvl w:val="0"/>
          <w:numId w:val="22"/>
        </w:numPr>
        <w:tabs>
          <w:tab w:pos="494" w:val="left" w:leader="none"/>
        </w:tabs>
        <w:spacing w:line="360" w:lineRule="auto" w:before="196" w:after="0"/>
        <w:ind w:left="118" w:right="113" w:firstLine="0"/>
        <w:jc w:val="both"/>
        <w:rPr>
          <w:sz w:val="24"/>
        </w:rPr>
      </w:pPr>
      <w:r>
        <w:rPr>
          <w:sz w:val="24"/>
        </w:rPr>
        <w:t>Jiménez MC, Sanders AE, Mauriello SM</w:t>
      </w:r>
      <w:r>
        <w:rPr>
          <w:position w:val="9"/>
          <w:sz w:val="16"/>
        </w:rPr>
        <w:t>, </w:t>
      </w:r>
      <w:r>
        <w:rPr>
          <w:sz w:val="24"/>
        </w:rPr>
        <w:t>Kaste LM, Beck JD. Prevalence of periodontitis according to Hispanic or Latino background among study participants of the Hispanic Community Health Study/Study of Latinos. J Am Dent Assoc.</w:t>
      </w:r>
      <w:r>
        <w:rPr>
          <w:spacing w:val="-13"/>
          <w:sz w:val="24"/>
        </w:rPr>
        <w:t> </w:t>
      </w:r>
      <w:r>
        <w:rPr>
          <w:sz w:val="24"/>
        </w:rPr>
        <w:t>2014;145(8):805-16.</w:t>
      </w:r>
    </w:p>
    <w:p>
      <w:pPr>
        <w:pStyle w:val="ListParagraph"/>
        <w:numPr>
          <w:ilvl w:val="0"/>
          <w:numId w:val="22"/>
        </w:numPr>
        <w:tabs>
          <w:tab w:pos="554" w:val="left" w:leader="none"/>
        </w:tabs>
        <w:spacing w:line="360" w:lineRule="auto" w:before="4" w:after="0"/>
        <w:ind w:left="118" w:right="115" w:firstLine="0"/>
        <w:jc w:val="left"/>
        <w:rPr>
          <w:sz w:val="24"/>
        </w:rPr>
      </w:pPr>
      <w:r>
        <w:rPr>
          <w:sz w:val="24"/>
        </w:rPr>
        <w:t>Pública INdS. Perfil Epidemiológico de la Salud Bucal en México 2010. .[Online]; 2012.[cited 2014septiembre 24].Avalible from: </w:t>
      </w:r>
      <w:hyperlink r:id="rId23">
        <w:r>
          <w:rPr>
            <w:sz w:val="24"/>
          </w:rPr>
          <w:t>http://www.epidemiologia.salud.gob.mx/dgae/infoepid/publicaciones2011.html</w:t>
        </w:r>
      </w:hyperlink>
    </w:p>
    <w:p>
      <w:pPr>
        <w:pStyle w:val="ListParagraph"/>
        <w:numPr>
          <w:ilvl w:val="0"/>
          <w:numId w:val="22"/>
        </w:numPr>
        <w:tabs>
          <w:tab w:pos="501" w:val="left" w:leader="none"/>
        </w:tabs>
        <w:spacing w:line="360" w:lineRule="auto" w:before="6" w:after="0"/>
        <w:ind w:left="118" w:right="113" w:firstLine="0"/>
        <w:jc w:val="both"/>
        <w:rPr>
          <w:sz w:val="24"/>
        </w:rPr>
      </w:pPr>
      <w:r>
        <w:rPr>
          <w:sz w:val="24"/>
        </w:rPr>
        <w:t>Bongartz T, Kudva Y. Can treatment of chronic inflammatory diseases reduce the risk of diabetes mellitus? JAMA.</w:t>
      </w:r>
      <w:r>
        <w:rPr>
          <w:spacing w:val="-5"/>
          <w:sz w:val="24"/>
        </w:rPr>
        <w:t> </w:t>
      </w:r>
      <w:r>
        <w:rPr>
          <w:sz w:val="24"/>
        </w:rPr>
        <w:t>2011;305(24):2573-4.</w:t>
      </w:r>
    </w:p>
    <w:p>
      <w:pPr>
        <w:pStyle w:val="ListParagraph"/>
        <w:numPr>
          <w:ilvl w:val="0"/>
          <w:numId w:val="22"/>
        </w:numPr>
        <w:tabs>
          <w:tab w:pos="510" w:val="left" w:leader="none"/>
        </w:tabs>
        <w:spacing w:line="360" w:lineRule="auto" w:before="6" w:after="0"/>
        <w:ind w:left="118" w:right="114" w:firstLine="0"/>
        <w:jc w:val="both"/>
        <w:rPr>
          <w:sz w:val="24"/>
        </w:rPr>
      </w:pPr>
      <w:r>
        <w:rPr>
          <w:sz w:val="24"/>
        </w:rPr>
        <w:t>Ali J, Pramod K, Tahir MA, Ansari SH. Autoimmune responses in periodontal diseases. Autoimmun Rev. 2011</w:t>
      </w:r>
      <w:r>
        <w:rPr>
          <w:spacing w:val="-7"/>
          <w:sz w:val="24"/>
        </w:rPr>
        <w:t> </w:t>
      </w:r>
      <w:r>
        <w:rPr>
          <w:sz w:val="24"/>
        </w:rPr>
        <w:t>May;10(7):426-31</w:t>
      </w:r>
    </w:p>
    <w:p>
      <w:pPr>
        <w:pStyle w:val="ListParagraph"/>
        <w:numPr>
          <w:ilvl w:val="0"/>
          <w:numId w:val="22"/>
        </w:numPr>
        <w:tabs>
          <w:tab w:pos="537" w:val="left" w:leader="none"/>
        </w:tabs>
        <w:spacing w:line="360" w:lineRule="auto" w:before="6" w:after="0"/>
        <w:ind w:left="118" w:right="110" w:firstLine="0"/>
        <w:jc w:val="both"/>
        <w:rPr>
          <w:sz w:val="24"/>
        </w:rPr>
      </w:pPr>
      <w:r>
        <w:rPr>
          <w:sz w:val="24"/>
        </w:rPr>
        <w:t>Vozarova B, Weyer C, Hanson K, Tataranni PA, Bogardus C, Pratley R. Circulating Interleukin -6 in relation to adiposity, insulin action and insulin secretion. Obes Res. 2001;9</w:t>
      </w:r>
      <w:r>
        <w:rPr>
          <w:spacing w:val="-37"/>
          <w:sz w:val="24"/>
        </w:rPr>
        <w:t> </w:t>
      </w:r>
      <w:r>
        <w:rPr>
          <w:sz w:val="24"/>
        </w:rPr>
        <w:t>(7): 414-7.</w:t>
      </w:r>
    </w:p>
    <w:p>
      <w:pPr>
        <w:pStyle w:val="ListParagraph"/>
        <w:numPr>
          <w:ilvl w:val="0"/>
          <w:numId w:val="22"/>
        </w:numPr>
        <w:tabs>
          <w:tab w:pos="535" w:val="left" w:leader="none"/>
        </w:tabs>
        <w:spacing w:line="360" w:lineRule="auto" w:before="4" w:after="0"/>
        <w:ind w:left="118" w:right="113" w:firstLine="0"/>
        <w:jc w:val="both"/>
        <w:rPr>
          <w:sz w:val="24"/>
        </w:rPr>
      </w:pPr>
      <w:r>
        <w:rPr>
          <w:sz w:val="24"/>
        </w:rPr>
        <w:t>Monea</w:t>
      </w:r>
      <w:r>
        <w:rPr>
          <w:spacing w:val="-5"/>
          <w:sz w:val="24"/>
        </w:rPr>
        <w:t> </w:t>
      </w:r>
      <w:r>
        <w:rPr>
          <w:sz w:val="24"/>
        </w:rPr>
        <w:t>A,</w:t>
      </w:r>
      <w:r>
        <w:rPr>
          <w:spacing w:val="-4"/>
          <w:sz w:val="24"/>
        </w:rPr>
        <w:t> </w:t>
      </w:r>
      <w:r>
        <w:rPr>
          <w:sz w:val="24"/>
        </w:rPr>
        <w:t>Gruber</w:t>
      </w:r>
      <w:r>
        <w:rPr>
          <w:spacing w:val="-2"/>
          <w:sz w:val="24"/>
        </w:rPr>
        <w:t> </w:t>
      </w:r>
      <w:r>
        <w:rPr>
          <w:sz w:val="24"/>
        </w:rPr>
        <w:t>R,</w:t>
      </w:r>
      <w:r>
        <w:rPr>
          <w:spacing w:val="-4"/>
          <w:sz w:val="24"/>
        </w:rPr>
        <w:t> </w:t>
      </w:r>
      <w:r>
        <w:rPr>
          <w:sz w:val="24"/>
        </w:rPr>
        <w:t>Elod</w:t>
      </w:r>
      <w:r>
        <w:rPr>
          <w:spacing w:val="-4"/>
          <w:sz w:val="24"/>
        </w:rPr>
        <w:t> </w:t>
      </w:r>
      <w:r>
        <w:rPr>
          <w:sz w:val="24"/>
        </w:rPr>
        <w:t>N,</w:t>
      </w:r>
      <w:r>
        <w:rPr>
          <w:spacing w:val="-4"/>
          <w:sz w:val="24"/>
        </w:rPr>
        <w:t> </w:t>
      </w:r>
      <w:r>
        <w:rPr>
          <w:sz w:val="24"/>
        </w:rPr>
        <w:t>Beresescu</w:t>
      </w:r>
      <w:r>
        <w:rPr>
          <w:spacing w:val="-2"/>
          <w:sz w:val="24"/>
        </w:rPr>
        <w:t> </w:t>
      </w:r>
      <w:r>
        <w:rPr>
          <w:sz w:val="24"/>
        </w:rPr>
        <w:t>G,</w:t>
      </w:r>
      <w:r>
        <w:rPr>
          <w:spacing w:val="-4"/>
          <w:sz w:val="24"/>
        </w:rPr>
        <w:t> </w:t>
      </w:r>
      <w:r>
        <w:rPr>
          <w:sz w:val="24"/>
        </w:rPr>
        <w:t>Moldovan</w:t>
      </w:r>
      <w:r>
        <w:rPr>
          <w:spacing w:val="-4"/>
          <w:sz w:val="24"/>
        </w:rPr>
        <w:t> </w:t>
      </w:r>
      <w:r>
        <w:rPr>
          <w:sz w:val="24"/>
        </w:rPr>
        <w:t>C,</w:t>
      </w:r>
      <w:r>
        <w:rPr>
          <w:spacing w:val="-4"/>
          <w:sz w:val="24"/>
        </w:rPr>
        <w:t> </w:t>
      </w:r>
      <w:r>
        <w:rPr>
          <w:sz w:val="24"/>
        </w:rPr>
        <w:t>Monea</w:t>
      </w:r>
      <w:r>
        <w:rPr>
          <w:spacing w:val="-5"/>
          <w:sz w:val="24"/>
        </w:rPr>
        <w:t> </w:t>
      </w:r>
      <w:r>
        <w:rPr>
          <w:sz w:val="24"/>
        </w:rPr>
        <w:t>M.</w:t>
      </w:r>
      <w:r>
        <w:rPr>
          <w:spacing w:val="-4"/>
          <w:sz w:val="24"/>
        </w:rPr>
        <w:t> </w:t>
      </w:r>
      <w:r>
        <w:rPr>
          <w:sz w:val="24"/>
        </w:rPr>
        <w:t>Saliva</w:t>
      </w:r>
      <w:r>
        <w:rPr>
          <w:spacing w:val="-5"/>
          <w:sz w:val="24"/>
        </w:rPr>
        <w:t> </w:t>
      </w:r>
      <w:r>
        <w:rPr>
          <w:sz w:val="24"/>
        </w:rPr>
        <w:t>and</w:t>
      </w:r>
      <w:r>
        <w:rPr>
          <w:spacing w:val="-4"/>
          <w:sz w:val="24"/>
        </w:rPr>
        <w:t> </w:t>
      </w:r>
      <w:r>
        <w:rPr>
          <w:sz w:val="24"/>
        </w:rPr>
        <w:t>serum</w:t>
      </w:r>
      <w:r>
        <w:rPr>
          <w:spacing w:val="-4"/>
          <w:sz w:val="24"/>
        </w:rPr>
        <w:t> </w:t>
      </w:r>
      <w:r>
        <w:rPr>
          <w:sz w:val="24"/>
        </w:rPr>
        <w:t>levels of TNF- α and IL-6 in a simple of Romania adult subjects with type 2 Diabetes Mellitus and Periodontal Disease. ESJ.</w:t>
      </w:r>
      <w:r>
        <w:rPr>
          <w:spacing w:val="-5"/>
          <w:sz w:val="24"/>
        </w:rPr>
        <w:t> </w:t>
      </w:r>
      <w:r>
        <w:rPr>
          <w:sz w:val="24"/>
        </w:rPr>
        <w:t>2014;10(9):350-9.</w:t>
      </w:r>
    </w:p>
    <w:p>
      <w:pPr>
        <w:pStyle w:val="ListParagraph"/>
        <w:numPr>
          <w:ilvl w:val="0"/>
          <w:numId w:val="22"/>
        </w:numPr>
        <w:tabs>
          <w:tab w:pos="420" w:val="left" w:leader="none"/>
        </w:tabs>
        <w:spacing w:line="240" w:lineRule="auto" w:before="6" w:after="0"/>
        <w:ind w:left="419" w:right="0" w:hanging="301"/>
        <w:jc w:val="both"/>
        <w:rPr>
          <w:sz w:val="24"/>
        </w:rPr>
      </w:pPr>
      <w:r>
        <w:rPr>
          <w:sz w:val="24"/>
        </w:rPr>
        <w:t>World Health Organization. Oral Health Surveys, Basic methods, 2013. 5ed.</w:t>
      </w:r>
      <w:r>
        <w:rPr>
          <w:spacing w:val="-18"/>
          <w:sz w:val="24"/>
        </w:rPr>
        <w:t> </w:t>
      </w:r>
      <w:r>
        <w:rPr>
          <w:sz w:val="24"/>
        </w:rPr>
        <w:t>France.</w:t>
      </w:r>
    </w:p>
    <w:p>
      <w:pPr>
        <w:pStyle w:val="ListParagraph"/>
        <w:numPr>
          <w:ilvl w:val="0"/>
          <w:numId w:val="22"/>
        </w:numPr>
        <w:tabs>
          <w:tab w:pos="482" w:val="left" w:leader="none"/>
        </w:tabs>
        <w:spacing w:line="362" w:lineRule="auto" w:before="137" w:after="0"/>
        <w:ind w:left="118" w:right="113" w:firstLine="0"/>
        <w:jc w:val="both"/>
        <w:rPr>
          <w:sz w:val="24"/>
        </w:rPr>
      </w:pPr>
      <w:r>
        <w:rPr>
          <w:sz w:val="24"/>
        </w:rPr>
        <w:t>Lima DP, Diniz DG, Moimaz SA, Sumida DH, Okamoto AC. Saliva: reflection of the</w:t>
      </w:r>
      <w:r>
        <w:rPr>
          <w:spacing w:val="-29"/>
          <w:sz w:val="24"/>
        </w:rPr>
        <w:t> </w:t>
      </w:r>
      <w:r>
        <w:rPr>
          <w:sz w:val="24"/>
        </w:rPr>
        <w:t>body. Int J Infect Dis. 2010</w:t>
      </w:r>
      <w:r>
        <w:rPr>
          <w:spacing w:val="-8"/>
          <w:sz w:val="24"/>
        </w:rPr>
        <w:t> </w:t>
      </w:r>
      <w:r>
        <w:rPr>
          <w:sz w:val="24"/>
        </w:rPr>
        <w:t>Mar;14(3):e184-</w:t>
      </w:r>
    </w:p>
    <w:p>
      <w:pPr>
        <w:pStyle w:val="ListParagraph"/>
        <w:numPr>
          <w:ilvl w:val="0"/>
          <w:numId w:val="22"/>
        </w:numPr>
        <w:tabs>
          <w:tab w:pos="472" w:val="left" w:leader="none"/>
        </w:tabs>
        <w:spacing w:line="360" w:lineRule="auto" w:before="1" w:after="0"/>
        <w:ind w:left="118" w:right="110" w:firstLine="0"/>
        <w:jc w:val="both"/>
        <w:rPr>
          <w:sz w:val="24"/>
        </w:rPr>
      </w:pPr>
      <w:r>
        <w:rPr>
          <w:sz w:val="24"/>
        </w:rPr>
        <w:t>Korte</w:t>
      </w:r>
      <w:r>
        <w:rPr>
          <w:spacing w:val="-9"/>
          <w:sz w:val="24"/>
        </w:rPr>
        <w:t> </w:t>
      </w:r>
      <w:r>
        <w:rPr>
          <w:sz w:val="24"/>
        </w:rPr>
        <w:t>DL,</w:t>
      </w:r>
      <w:r>
        <w:rPr>
          <w:spacing w:val="-9"/>
          <w:sz w:val="24"/>
        </w:rPr>
        <w:t> </w:t>
      </w:r>
      <w:r>
        <w:rPr>
          <w:sz w:val="24"/>
        </w:rPr>
        <w:t>Kinney</w:t>
      </w:r>
      <w:r>
        <w:rPr>
          <w:spacing w:val="-16"/>
          <w:sz w:val="24"/>
        </w:rPr>
        <w:t> </w:t>
      </w:r>
      <w:r>
        <w:rPr>
          <w:sz w:val="24"/>
        </w:rPr>
        <w:t>J.</w:t>
      </w:r>
      <w:r>
        <w:rPr>
          <w:spacing w:val="-7"/>
          <w:sz w:val="24"/>
        </w:rPr>
        <w:t> </w:t>
      </w:r>
      <w:r>
        <w:rPr>
          <w:sz w:val="24"/>
        </w:rPr>
        <w:t>Personalized</w:t>
      </w:r>
      <w:r>
        <w:rPr>
          <w:spacing w:val="-9"/>
          <w:sz w:val="24"/>
        </w:rPr>
        <w:t> </w:t>
      </w:r>
      <w:r>
        <w:rPr>
          <w:sz w:val="24"/>
        </w:rPr>
        <w:t>medicine:</w:t>
      </w:r>
      <w:r>
        <w:rPr>
          <w:spacing w:val="-8"/>
          <w:sz w:val="24"/>
        </w:rPr>
        <w:t> </w:t>
      </w:r>
      <w:r>
        <w:rPr>
          <w:sz w:val="24"/>
        </w:rPr>
        <w:t>an</w:t>
      </w:r>
      <w:r>
        <w:rPr>
          <w:spacing w:val="-9"/>
          <w:sz w:val="24"/>
        </w:rPr>
        <w:t> </w:t>
      </w:r>
      <w:r>
        <w:rPr>
          <w:sz w:val="24"/>
        </w:rPr>
        <w:t>update</w:t>
      </w:r>
      <w:r>
        <w:rPr>
          <w:spacing w:val="-9"/>
          <w:sz w:val="24"/>
        </w:rPr>
        <w:t> </w:t>
      </w:r>
      <w:r>
        <w:rPr>
          <w:sz w:val="24"/>
        </w:rPr>
        <w:t>of</w:t>
      </w:r>
      <w:r>
        <w:rPr>
          <w:spacing w:val="-9"/>
          <w:sz w:val="24"/>
        </w:rPr>
        <w:t> </w:t>
      </w:r>
      <w:r>
        <w:rPr>
          <w:sz w:val="24"/>
        </w:rPr>
        <w:t>salivary</w:t>
      </w:r>
      <w:r>
        <w:rPr>
          <w:spacing w:val="-15"/>
          <w:sz w:val="24"/>
        </w:rPr>
        <w:t> </w:t>
      </w:r>
      <w:r>
        <w:rPr>
          <w:sz w:val="24"/>
        </w:rPr>
        <w:t>biomarkers</w:t>
      </w:r>
      <w:r>
        <w:rPr>
          <w:spacing w:val="-9"/>
          <w:sz w:val="24"/>
        </w:rPr>
        <w:t> </w:t>
      </w:r>
      <w:r>
        <w:rPr>
          <w:sz w:val="24"/>
        </w:rPr>
        <w:t>for</w:t>
      </w:r>
      <w:r>
        <w:rPr>
          <w:spacing w:val="-9"/>
          <w:sz w:val="24"/>
        </w:rPr>
        <w:t> </w:t>
      </w:r>
      <w:r>
        <w:rPr>
          <w:sz w:val="24"/>
        </w:rPr>
        <w:t>periodontal diseases. Periodontol 2000. 2016</w:t>
      </w:r>
      <w:r>
        <w:rPr>
          <w:spacing w:val="-7"/>
          <w:sz w:val="24"/>
        </w:rPr>
        <w:t> </w:t>
      </w:r>
      <w:r>
        <w:rPr>
          <w:sz w:val="24"/>
        </w:rPr>
        <w:t>;70(1):26-37</w:t>
      </w:r>
    </w:p>
    <w:p>
      <w:pPr>
        <w:pStyle w:val="ListParagraph"/>
        <w:numPr>
          <w:ilvl w:val="0"/>
          <w:numId w:val="22"/>
        </w:numPr>
        <w:tabs>
          <w:tab w:pos="477" w:val="left" w:leader="none"/>
        </w:tabs>
        <w:spacing w:line="360" w:lineRule="auto" w:before="4" w:after="0"/>
        <w:ind w:left="118" w:right="108" w:firstLine="0"/>
        <w:jc w:val="both"/>
        <w:rPr>
          <w:sz w:val="24"/>
        </w:rPr>
      </w:pPr>
      <w:r>
        <w:rPr>
          <w:sz w:val="24"/>
        </w:rPr>
        <w:t>Kosaka</w:t>
      </w:r>
      <w:r>
        <w:rPr>
          <w:spacing w:val="-4"/>
          <w:sz w:val="24"/>
        </w:rPr>
        <w:t> </w:t>
      </w:r>
      <w:r>
        <w:rPr>
          <w:sz w:val="24"/>
        </w:rPr>
        <w:t>T,</w:t>
      </w:r>
      <w:r>
        <w:rPr>
          <w:spacing w:val="-1"/>
          <w:sz w:val="24"/>
        </w:rPr>
        <w:t> </w:t>
      </w:r>
      <w:r>
        <w:rPr>
          <w:sz w:val="24"/>
        </w:rPr>
        <w:t>Kokubo</w:t>
      </w:r>
      <w:r>
        <w:rPr>
          <w:spacing w:val="-3"/>
          <w:sz w:val="24"/>
        </w:rPr>
        <w:t> </w:t>
      </w:r>
      <w:r>
        <w:rPr>
          <w:sz w:val="24"/>
        </w:rPr>
        <w:t>Y,</w:t>
      </w:r>
      <w:r>
        <w:rPr>
          <w:spacing w:val="-3"/>
          <w:sz w:val="24"/>
        </w:rPr>
        <w:t> </w:t>
      </w:r>
      <w:r>
        <w:rPr>
          <w:sz w:val="24"/>
        </w:rPr>
        <w:t>Ono</w:t>
      </w:r>
      <w:r>
        <w:rPr>
          <w:spacing w:val="-3"/>
          <w:sz w:val="24"/>
        </w:rPr>
        <w:t> </w:t>
      </w:r>
      <w:r>
        <w:rPr>
          <w:sz w:val="24"/>
        </w:rPr>
        <w:t>T,</w:t>
      </w:r>
      <w:r>
        <w:rPr>
          <w:spacing w:val="-2"/>
          <w:sz w:val="24"/>
        </w:rPr>
        <w:t> </w:t>
      </w:r>
      <w:r>
        <w:rPr>
          <w:sz w:val="24"/>
        </w:rPr>
        <w:t>Sekine</w:t>
      </w:r>
      <w:r>
        <w:rPr>
          <w:spacing w:val="-3"/>
          <w:sz w:val="24"/>
        </w:rPr>
        <w:t> </w:t>
      </w:r>
      <w:r>
        <w:rPr>
          <w:sz w:val="24"/>
        </w:rPr>
        <w:t>S,</w:t>
      </w:r>
      <w:r>
        <w:rPr>
          <w:spacing w:val="-3"/>
          <w:sz w:val="24"/>
        </w:rPr>
        <w:t> </w:t>
      </w:r>
      <w:r>
        <w:rPr>
          <w:sz w:val="24"/>
        </w:rPr>
        <w:t>Kida</w:t>
      </w:r>
      <w:r>
        <w:rPr>
          <w:spacing w:val="-1"/>
          <w:sz w:val="24"/>
        </w:rPr>
        <w:t> </w:t>
      </w:r>
      <w:r>
        <w:rPr>
          <w:sz w:val="24"/>
        </w:rPr>
        <w:t>M,</w:t>
      </w:r>
      <w:r>
        <w:rPr>
          <w:spacing w:val="-3"/>
          <w:sz w:val="24"/>
        </w:rPr>
        <w:t> </w:t>
      </w:r>
      <w:r>
        <w:rPr>
          <w:sz w:val="24"/>
        </w:rPr>
        <w:t>et</w:t>
      </w:r>
      <w:r>
        <w:rPr>
          <w:spacing w:val="-2"/>
          <w:sz w:val="24"/>
        </w:rPr>
        <w:t> </w:t>
      </w:r>
      <w:r>
        <w:rPr>
          <w:sz w:val="24"/>
        </w:rPr>
        <w:t>al.</w:t>
      </w:r>
      <w:r>
        <w:rPr>
          <w:spacing w:val="-1"/>
          <w:sz w:val="24"/>
        </w:rPr>
        <w:t> </w:t>
      </w:r>
      <w:r>
        <w:rPr>
          <w:sz w:val="24"/>
        </w:rPr>
        <w:t>Salivary</w:t>
      </w:r>
      <w:r>
        <w:rPr>
          <w:spacing w:val="-6"/>
          <w:sz w:val="24"/>
        </w:rPr>
        <w:t> </w:t>
      </w:r>
      <w:r>
        <w:rPr>
          <w:sz w:val="24"/>
        </w:rPr>
        <w:t>inflammatory</w:t>
      </w:r>
      <w:r>
        <w:rPr>
          <w:spacing w:val="-5"/>
          <w:sz w:val="24"/>
        </w:rPr>
        <w:t> </w:t>
      </w:r>
      <w:r>
        <w:rPr>
          <w:sz w:val="24"/>
        </w:rPr>
        <w:t>cytokines</w:t>
      </w:r>
      <w:r>
        <w:rPr>
          <w:spacing w:val="-3"/>
          <w:sz w:val="24"/>
        </w:rPr>
        <w:t> </w:t>
      </w:r>
      <w:r>
        <w:rPr>
          <w:sz w:val="24"/>
        </w:rPr>
        <w:t>may be novel markers of carotid atherosclerosis in a Japanese general population: the Suita study. Atherosclerosis. 2014</w:t>
      </w:r>
      <w:r>
        <w:rPr>
          <w:spacing w:val="-7"/>
          <w:sz w:val="24"/>
        </w:rPr>
        <w:t> </w:t>
      </w:r>
      <w:r>
        <w:rPr>
          <w:sz w:val="24"/>
        </w:rPr>
        <w:t>;237(1):123-8</w:t>
      </w:r>
    </w:p>
    <w:p>
      <w:pPr>
        <w:pStyle w:val="ListParagraph"/>
        <w:numPr>
          <w:ilvl w:val="0"/>
          <w:numId w:val="22"/>
        </w:numPr>
        <w:tabs>
          <w:tab w:pos="499" w:val="left" w:leader="none"/>
        </w:tabs>
        <w:spacing w:line="360" w:lineRule="auto" w:before="4" w:after="0"/>
        <w:ind w:left="118" w:right="110" w:firstLine="0"/>
        <w:jc w:val="both"/>
        <w:rPr>
          <w:sz w:val="24"/>
        </w:rPr>
      </w:pPr>
      <w:r>
        <w:rPr>
          <w:sz w:val="24"/>
        </w:rPr>
        <w:t>Sherrington EJ, Jeffery NM, Calder PC. The effect of feeding diets with different n-6/n-3 fatty</w:t>
      </w:r>
      <w:r>
        <w:rPr>
          <w:spacing w:val="-13"/>
          <w:sz w:val="24"/>
        </w:rPr>
        <w:t> </w:t>
      </w:r>
      <w:r>
        <w:rPr>
          <w:sz w:val="24"/>
        </w:rPr>
        <w:t>acids</w:t>
      </w:r>
      <w:r>
        <w:rPr>
          <w:spacing w:val="-8"/>
          <w:sz w:val="24"/>
        </w:rPr>
        <w:t> </w:t>
      </w:r>
      <w:r>
        <w:rPr>
          <w:sz w:val="24"/>
        </w:rPr>
        <w:t>ratios</w:t>
      </w:r>
      <w:r>
        <w:rPr>
          <w:spacing w:val="-11"/>
          <w:sz w:val="24"/>
        </w:rPr>
        <w:t> </w:t>
      </w:r>
      <w:r>
        <w:rPr>
          <w:sz w:val="24"/>
        </w:rPr>
        <w:t>on</w:t>
      </w:r>
      <w:r>
        <w:rPr>
          <w:spacing w:val="-9"/>
          <w:sz w:val="24"/>
        </w:rPr>
        <w:t> </w:t>
      </w:r>
      <w:r>
        <w:rPr>
          <w:sz w:val="24"/>
        </w:rPr>
        <w:t>adipose</w:t>
      </w:r>
      <w:r>
        <w:rPr>
          <w:spacing w:val="-12"/>
          <w:sz w:val="24"/>
        </w:rPr>
        <w:t> </w:t>
      </w:r>
      <w:r>
        <w:rPr>
          <w:sz w:val="24"/>
        </w:rPr>
        <w:t>tissue</w:t>
      </w:r>
      <w:r>
        <w:rPr>
          <w:spacing w:val="-12"/>
          <w:sz w:val="24"/>
        </w:rPr>
        <w:t> </w:t>
      </w:r>
      <w:r>
        <w:rPr>
          <w:sz w:val="24"/>
        </w:rPr>
        <w:t>of</w:t>
      </w:r>
      <w:r>
        <w:rPr>
          <w:spacing w:val="-12"/>
          <w:sz w:val="24"/>
        </w:rPr>
        <w:t> </w:t>
      </w:r>
      <w:r>
        <w:rPr>
          <w:sz w:val="24"/>
        </w:rPr>
        <w:t>deposition</w:t>
      </w:r>
      <w:r>
        <w:rPr>
          <w:spacing w:val="-11"/>
          <w:sz w:val="24"/>
        </w:rPr>
        <w:t> </w:t>
      </w:r>
      <w:r>
        <w:rPr>
          <w:sz w:val="24"/>
        </w:rPr>
        <w:t>in</w:t>
      </w:r>
      <w:r>
        <w:rPr>
          <w:spacing w:val="-11"/>
          <w:sz w:val="24"/>
        </w:rPr>
        <w:t> </w:t>
      </w:r>
      <w:r>
        <w:rPr>
          <w:sz w:val="24"/>
        </w:rPr>
        <w:t>the</w:t>
      </w:r>
      <w:r>
        <w:rPr>
          <w:spacing w:val="-12"/>
          <w:sz w:val="24"/>
        </w:rPr>
        <w:t> </w:t>
      </w:r>
      <w:r>
        <w:rPr>
          <w:sz w:val="24"/>
        </w:rPr>
        <w:t>rat.</w:t>
      </w:r>
      <w:r>
        <w:rPr>
          <w:spacing w:val="-6"/>
          <w:sz w:val="24"/>
        </w:rPr>
        <w:t> </w:t>
      </w:r>
      <w:r>
        <w:rPr>
          <w:sz w:val="24"/>
        </w:rPr>
        <w:t>Biochem</w:t>
      </w:r>
      <w:r>
        <w:rPr>
          <w:spacing w:val="-11"/>
          <w:sz w:val="24"/>
        </w:rPr>
        <w:t> </w:t>
      </w:r>
      <w:r>
        <w:rPr>
          <w:sz w:val="24"/>
        </w:rPr>
        <w:t>Soc</w:t>
      </w:r>
      <w:r>
        <w:rPr>
          <w:spacing w:val="-12"/>
          <w:sz w:val="24"/>
        </w:rPr>
        <w:t> </w:t>
      </w:r>
      <w:r>
        <w:rPr>
          <w:sz w:val="24"/>
        </w:rPr>
        <w:t>Trans.</w:t>
      </w:r>
      <w:r>
        <w:rPr>
          <w:spacing w:val="-11"/>
          <w:sz w:val="24"/>
        </w:rPr>
        <w:t> </w:t>
      </w:r>
      <w:r>
        <w:rPr>
          <w:sz w:val="24"/>
        </w:rPr>
        <w:t>1996;24(2):160S.</w:t>
      </w:r>
    </w:p>
    <w:p>
      <w:pPr>
        <w:pStyle w:val="ListParagraph"/>
        <w:numPr>
          <w:ilvl w:val="0"/>
          <w:numId w:val="22"/>
        </w:numPr>
        <w:tabs>
          <w:tab w:pos="549" w:val="left" w:leader="none"/>
        </w:tabs>
        <w:spacing w:line="360" w:lineRule="auto" w:before="4" w:after="0"/>
        <w:ind w:left="118" w:right="113" w:firstLine="0"/>
        <w:jc w:val="both"/>
        <w:rPr>
          <w:sz w:val="24"/>
        </w:rPr>
      </w:pPr>
      <w:r>
        <w:rPr>
          <w:sz w:val="24"/>
        </w:rPr>
        <w:t>Publica INdS. Encuesta Nacional de Salud.[Online]; 2012.[cited 2014 septimbre 30]. Avalible from:</w:t>
      </w:r>
      <w:r>
        <w:rPr>
          <w:spacing w:val="-10"/>
          <w:sz w:val="24"/>
        </w:rPr>
        <w:t> </w:t>
      </w:r>
      <w:r>
        <w:rPr>
          <w:sz w:val="24"/>
        </w:rPr>
        <w:t>ensanut.insp.mx/informes/ENSANUT2012ResultadosNacionales.pdf</w:t>
      </w:r>
    </w:p>
    <w:p>
      <w:pPr>
        <w:pStyle w:val="ListParagraph"/>
        <w:numPr>
          <w:ilvl w:val="0"/>
          <w:numId w:val="22"/>
        </w:numPr>
        <w:tabs>
          <w:tab w:pos="479" w:val="left" w:leader="none"/>
        </w:tabs>
        <w:spacing w:line="360" w:lineRule="auto" w:before="4" w:after="0"/>
        <w:ind w:left="118" w:right="116" w:firstLine="0"/>
        <w:jc w:val="both"/>
        <w:rPr>
          <w:sz w:val="24"/>
        </w:rPr>
      </w:pPr>
      <w:r>
        <w:rPr>
          <w:sz w:val="24"/>
        </w:rPr>
        <w:t>Pickup JC, Crook MA. </w:t>
      </w:r>
      <w:r>
        <w:rPr>
          <w:spacing w:val="-3"/>
          <w:sz w:val="24"/>
        </w:rPr>
        <w:t>Is </w:t>
      </w:r>
      <w:r>
        <w:rPr>
          <w:sz w:val="24"/>
        </w:rPr>
        <w:t>Type II diabetes mellitus a disease of the innate inmmune</w:t>
      </w:r>
      <w:r>
        <w:rPr>
          <w:spacing w:val="-28"/>
          <w:sz w:val="24"/>
        </w:rPr>
        <w:t> </w:t>
      </w:r>
      <w:r>
        <w:rPr>
          <w:sz w:val="24"/>
        </w:rPr>
        <w:t>system? Diabetologia.</w:t>
      </w:r>
      <w:r>
        <w:rPr>
          <w:spacing w:val="-4"/>
          <w:sz w:val="24"/>
        </w:rPr>
        <w:t> </w:t>
      </w:r>
      <w:r>
        <w:rPr>
          <w:sz w:val="24"/>
        </w:rPr>
        <w:t>1998;41(10):1241-8.</w:t>
      </w:r>
    </w:p>
    <w:p>
      <w:pPr>
        <w:pStyle w:val="ListParagraph"/>
        <w:numPr>
          <w:ilvl w:val="0"/>
          <w:numId w:val="22"/>
        </w:numPr>
        <w:tabs>
          <w:tab w:pos="527" w:val="left" w:leader="none"/>
        </w:tabs>
        <w:spacing w:line="360" w:lineRule="auto" w:before="4" w:after="0"/>
        <w:ind w:left="118" w:right="116" w:firstLine="0"/>
        <w:jc w:val="both"/>
        <w:rPr>
          <w:sz w:val="24"/>
        </w:rPr>
      </w:pPr>
      <w:r>
        <w:rPr>
          <w:sz w:val="24"/>
        </w:rPr>
        <w:t>Weyer C, Bogardus C, Mott DM, Pratley RE. The natural history of insulin secretory dysfunction and insulin resistance in the pathogenesis of type 2 diabetes mellitus. J Clin Invest. 1999;104(6):787-94.</w:t>
      </w:r>
    </w:p>
    <w:p>
      <w:pPr>
        <w:spacing w:after="0" w:line="360" w:lineRule="auto"/>
        <w:jc w:val="both"/>
        <w:rPr>
          <w:sz w:val="24"/>
        </w:rPr>
        <w:sectPr>
          <w:pgSz w:w="11910" w:h="16840"/>
          <w:pgMar w:header="731" w:footer="0" w:top="960" w:bottom="280" w:left="1300" w:right="1160"/>
        </w:sectPr>
      </w:pPr>
    </w:p>
    <w:p>
      <w:pPr>
        <w:pStyle w:val="BodyText"/>
        <w:rPr>
          <w:sz w:val="20"/>
        </w:rPr>
      </w:pPr>
    </w:p>
    <w:p>
      <w:pPr>
        <w:pStyle w:val="ListParagraph"/>
        <w:numPr>
          <w:ilvl w:val="0"/>
          <w:numId w:val="22"/>
        </w:numPr>
        <w:tabs>
          <w:tab w:pos="472" w:val="left" w:leader="none"/>
        </w:tabs>
        <w:spacing w:line="360" w:lineRule="auto" w:before="212" w:after="0"/>
        <w:ind w:left="118" w:right="114" w:firstLine="0"/>
        <w:jc w:val="both"/>
        <w:rPr>
          <w:sz w:val="24"/>
        </w:rPr>
      </w:pPr>
      <w:r>
        <w:rPr>
          <w:sz w:val="24"/>
        </w:rPr>
        <w:t>Heideman</w:t>
      </w:r>
      <w:r>
        <w:rPr>
          <w:spacing w:val="-9"/>
          <w:sz w:val="24"/>
        </w:rPr>
        <w:t> </w:t>
      </w:r>
      <w:r>
        <w:rPr>
          <w:sz w:val="24"/>
        </w:rPr>
        <w:t>WH,Nierkens</w:t>
      </w:r>
      <w:r>
        <w:rPr>
          <w:spacing w:val="-8"/>
          <w:sz w:val="24"/>
        </w:rPr>
        <w:t> </w:t>
      </w:r>
      <w:r>
        <w:rPr>
          <w:sz w:val="24"/>
        </w:rPr>
        <w:t>V,Stronks</w:t>
      </w:r>
      <w:r>
        <w:rPr>
          <w:spacing w:val="-9"/>
          <w:sz w:val="24"/>
        </w:rPr>
        <w:t> </w:t>
      </w:r>
      <w:r>
        <w:rPr>
          <w:sz w:val="24"/>
        </w:rPr>
        <w:t>K,</w:t>
      </w:r>
      <w:r>
        <w:rPr>
          <w:spacing w:val="-9"/>
          <w:sz w:val="24"/>
        </w:rPr>
        <w:t> </w:t>
      </w:r>
      <w:r>
        <w:rPr>
          <w:sz w:val="24"/>
        </w:rPr>
        <w:t>Middelkoop</w:t>
      </w:r>
      <w:r>
        <w:rPr>
          <w:spacing w:val="-8"/>
          <w:sz w:val="24"/>
        </w:rPr>
        <w:t> </w:t>
      </w:r>
      <w:r>
        <w:rPr>
          <w:sz w:val="24"/>
        </w:rPr>
        <w:t>BJ.</w:t>
      </w:r>
      <w:r>
        <w:rPr>
          <w:spacing w:val="-9"/>
          <w:sz w:val="24"/>
        </w:rPr>
        <w:t> </w:t>
      </w:r>
      <w:r>
        <w:rPr>
          <w:sz w:val="24"/>
        </w:rPr>
        <w:t>Twisk</w:t>
      </w:r>
      <w:r>
        <w:rPr>
          <w:spacing w:val="-10"/>
          <w:sz w:val="24"/>
        </w:rPr>
        <w:t> </w:t>
      </w:r>
      <w:r>
        <w:rPr>
          <w:sz w:val="24"/>
        </w:rPr>
        <w:t>JW,</w:t>
      </w:r>
      <w:r>
        <w:rPr>
          <w:spacing w:val="-9"/>
          <w:sz w:val="24"/>
        </w:rPr>
        <w:t> </w:t>
      </w:r>
      <w:r>
        <w:rPr>
          <w:sz w:val="24"/>
        </w:rPr>
        <w:t>et</w:t>
      </w:r>
      <w:r>
        <w:rPr>
          <w:spacing w:val="-8"/>
          <w:sz w:val="24"/>
        </w:rPr>
        <w:t> </w:t>
      </w:r>
      <w:r>
        <w:rPr>
          <w:sz w:val="24"/>
        </w:rPr>
        <w:t>al.</w:t>
      </w:r>
      <w:r>
        <w:rPr>
          <w:spacing w:val="41"/>
          <w:sz w:val="24"/>
        </w:rPr>
        <w:t> </w:t>
      </w:r>
      <w:r>
        <w:rPr>
          <w:sz w:val="24"/>
        </w:rPr>
        <w:t>.</w:t>
      </w:r>
      <w:r>
        <w:rPr>
          <w:spacing w:val="-9"/>
          <w:sz w:val="24"/>
        </w:rPr>
        <w:t> </w:t>
      </w:r>
      <w:r>
        <w:rPr>
          <w:sz w:val="24"/>
        </w:rPr>
        <w:t>DiAlert:</w:t>
      </w:r>
      <w:r>
        <w:rPr>
          <w:spacing w:val="-8"/>
          <w:sz w:val="24"/>
        </w:rPr>
        <w:t> </w:t>
      </w:r>
      <w:r>
        <w:rPr>
          <w:sz w:val="24"/>
        </w:rPr>
        <w:t>a</w:t>
      </w:r>
      <w:r>
        <w:rPr>
          <w:spacing w:val="-10"/>
          <w:sz w:val="24"/>
        </w:rPr>
        <w:t> </w:t>
      </w:r>
      <w:r>
        <w:rPr>
          <w:sz w:val="24"/>
        </w:rPr>
        <w:t>lifestyle education programme aimed at people with a positive family history of type 2 diabetes and overweight, study protocol of a randomised controlled trial. BMC Public Health. 2011;11(751):1-9</w:t>
      </w:r>
    </w:p>
    <w:p>
      <w:pPr>
        <w:pStyle w:val="ListParagraph"/>
        <w:numPr>
          <w:ilvl w:val="0"/>
          <w:numId w:val="22"/>
        </w:numPr>
        <w:tabs>
          <w:tab w:pos="506" w:val="left" w:leader="none"/>
        </w:tabs>
        <w:spacing w:line="360" w:lineRule="auto" w:before="6" w:after="0"/>
        <w:ind w:left="118" w:right="109" w:firstLine="0"/>
        <w:jc w:val="both"/>
        <w:rPr>
          <w:sz w:val="24"/>
        </w:rPr>
      </w:pPr>
      <w:r>
        <w:rPr>
          <w:sz w:val="24"/>
        </w:rPr>
        <w:t>Kahn SE. The relative contributions of insulin resistance and beta-cell dysfunction to the pathophysiology of Type 2 diabetes. Diabetologia. 2003 ;46</w:t>
      </w:r>
      <w:r>
        <w:rPr>
          <w:spacing w:val="-11"/>
          <w:sz w:val="24"/>
        </w:rPr>
        <w:t> </w:t>
      </w:r>
      <w:r>
        <w:rPr>
          <w:sz w:val="24"/>
        </w:rPr>
        <w:t>(1):3-19.</w:t>
      </w:r>
    </w:p>
    <w:p>
      <w:pPr>
        <w:pStyle w:val="ListParagraph"/>
        <w:numPr>
          <w:ilvl w:val="0"/>
          <w:numId w:val="22"/>
        </w:numPr>
        <w:tabs>
          <w:tab w:pos="542" w:val="left" w:leader="none"/>
        </w:tabs>
        <w:spacing w:line="360" w:lineRule="auto" w:before="6" w:after="0"/>
        <w:ind w:left="118" w:right="115" w:firstLine="0"/>
        <w:jc w:val="both"/>
        <w:rPr>
          <w:sz w:val="24"/>
        </w:rPr>
      </w:pPr>
      <w:r>
        <w:rPr>
          <w:sz w:val="24"/>
        </w:rPr>
        <w:t>Mandrup-Poulsen T. Type 2 diabetes mellitus: a metabolic autoinflammatory disease. Dermatol Clin. 2013 ;31 (3):</w:t>
      </w:r>
      <w:r>
        <w:rPr>
          <w:spacing w:val="-8"/>
          <w:sz w:val="24"/>
        </w:rPr>
        <w:t> </w:t>
      </w:r>
      <w:r>
        <w:rPr>
          <w:sz w:val="24"/>
        </w:rPr>
        <w:t>495-506</w:t>
      </w:r>
    </w:p>
    <w:p>
      <w:pPr>
        <w:pStyle w:val="ListParagraph"/>
        <w:numPr>
          <w:ilvl w:val="0"/>
          <w:numId w:val="22"/>
        </w:numPr>
        <w:tabs>
          <w:tab w:pos="479" w:val="left" w:leader="none"/>
        </w:tabs>
        <w:spacing w:line="240" w:lineRule="auto" w:before="6" w:after="0"/>
        <w:ind w:left="478" w:right="0" w:hanging="360"/>
        <w:jc w:val="both"/>
        <w:rPr>
          <w:sz w:val="24"/>
        </w:rPr>
      </w:pPr>
      <w:r>
        <w:rPr>
          <w:sz w:val="24"/>
        </w:rPr>
        <w:t>Tébar-Massó . La Diabetes en la Práctica Clínica.Ed. Panamericana. Madrid, España.</w:t>
      </w:r>
      <w:r>
        <w:rPr>
          <w:spacing w:val="-19"/>
          <w:sz w:val="24"/>
        </w:rPr>
        <w:t> </w:t>
      </w:r>
      <w:r>
        <w:rPr>
          <w:sz w:val="24"/>
        </w:rPr>
        <w:t>2009.</w:t>
      </w:r>
    </w:p>
    <w:p>
      <w:pPr>
        <w:pStyle w:val="ListParagraph"/>
        <w:numPr>
          <w:ilvl w:val="0"/>
          <w:numId w:val="22"/>
        </w:numPr>
        <w:tabs>
          <w:tab w:pos="616" w:val="left" w:leader="none"/>
        </w:tabs>
        <w:spacing w:line="360" w:lineRule="auto" w:before="137" w:after="0"/>
        <w:ind w:left="118" w:right="107" w:firstLine="0"/>
        <w:jc w:val="both"/>
        <w:rPr>
          <w:sz w:val="24"/>
        </w:rPr>
      </w:pPr>
      <w:r>
        <w:rPr>
          <w:sz w:val="24"/>
        </w:rPr>
        <w:t>Haeften TW,Pimenta W, Mitrakou A, Korytkwski M, JenssenT, Yki-Jarvinen H, et al. Disturbances</w:t>
      </w:r>
      <w:r>
        <w:rPr>
          <w:spacing w:val="-13"/>
          <w:sz w:val="24"/>
        </w:rPr>
        <w:t> </w:t>
      </w:r>
      <w:r>
        <w:rPr>
          <w:sz w:val="24"/>
        </w:rPr>
        <w:t>in</w:t>
      </w:r>
      <w:r>
        <w:rPr>
          <w:spacing w:val="-13"/>
          <w:sz w:val="24"/>
        </w:rPr>
        <w:t> </w:t>
      </w:r>
      <w:r>
        <w:rPr>
          <w:sz w:val="24"/>
        </w:rPr>
        <w:t>beta-cell</w:t>
      </w:r>
      <w:r>
        <w:rPr>
          <w:spacing w:val="-10"/>
          <w:sz w:val="24"/>
        </w:rPr>
        <w:t> </w:t>
      </w:r>
      <w:r>
        <w:rPr>
          <w:sz w:val="24"/>
        </w:rPr>
        <w:t>function</w:t>
      </w:r>
      <w:r>
        <w:rPr>
          <w:spacing w:val="-13"/>
          <w:sz w:val="24"/>
        </w:rPr>
        <w:t> </w:t>
      </w:r>
      <w:r>
        <w:rPr>
          <w:sz w:val="24"/>
        </w:rPr>
        <w:t>in</w:t>
      </w:r>
      <w:r>
        <w:rPr>
          <w:spacing w:val="-13"/>
          <w:sz w:val="24"/>
        </w:rPr>
        <w:t> </w:t>
      </w:r>
      <w:r>
        <w:rPr>
          <w:sz w:val="24"/>
        </w:rPr>
        <w:t>impaired</w:t>
      </w:r>
      <w:r>
        <w:rPr>
          <w:spacing w:val="-13"/>
          <w:sz w:val="24"/>
        </w:rPr>
        <w:t> </w:t>
      </w:r>
      <w:r>
        <w:rPr>
          <w:sz w:val="24"/>
        </w:rPr>
        <w:t>fasting</w:t>
      </w:r>
      <w:r>
        <w:rPr>
          <w:spacing w:val="-13"/>
          <w:sz w:val="24"/>
        </w:rPr>
        <w:t> </w:t>
      </w:r>
      <w:r>
        <w:rPr>
          <w:sz w:val="24"/>
        </w:rPr>
        <w:t>glycemia.</w:t>
      </w:r>
      <w:r>
        <w:rPr>
          <w:spacing w:val="-13"/>
          <w:sz w:val="24"/>
        </w:rPr>
        <w:t> </w:t>
      </w:r>
      <w:r>
        <w:rPr>
          <w:sz w:val="24"/>
        </w:rPr>
        <w:t>Diabetes.</w:t>
      </w:r>
      <w:r>
        <w:rPr>
          <w:spacing w:val="-14"/>
          <w:sz w:val="24"/>
        </w:rPr>
        <w:t> </w:t>
      </w:r>
      <w:r>
        <w:rPr>
          <w:sz w:val="24"/>
        </w:rPr>
        <w:t>2002;51(1):S265–S70.</w:t>
      </w:r>
    </w:p>
    <w:p>
      <w:pPr>
        <w:pStyle w:val="ListParagraph"/>
        <w:numPr>
          <w:ilvl w:val="0"/>
          <w:numId w:val="22"/>
        </w:numPr>
        <w:tabs>
          <w:tab w:pos="544" w:val="left" w:leader="none"/>
        </w:tabs>
        <w:spacing w:line="360" w:lineRule="auto" w:before="4" w:after="0"/>
        <w:ind w:left="118" w:right="118" w:firstLine="0"/>
        <w:jc w:val="both"/>
        <w:rPr>
          <w:sz w:val="24"/>
        </w:rPr>
      </w:pPr>
      <w:r>
        <w:rPr>
          <w:sz w:val="24"/>
        </w:rPr>
        <w:t>Laybutt DR, Preston AM, Akerfeldt MC, Kench JG, Busch AK, Biankin AV, et al. Endoplasmic reticulum stress contributes to beta cell apoptosis in type 2 diabetes. Diabetologia. 2007;50(4):752-63.</w:t>
      </w:r>
    </w:p>
    <w:p>
      <w:pPr>
        <w:pStyle w:val="ListParagraph"/>
        <w:numPr>
          <w:ilvl w:val="0"/>
          <w:numId w:val="22"/>
        </w:numPr>
        <w:tabs>
          <w:tab w:pos="568" w:val="left" w:leader="none"/>
        </w:tabs>
        <w:spacing w:line="360" w:lineRule="auto" w:before="6" w:after="0"/>
        <w:ind w:left="118" w:right="116" w:firstLine="0"/>
        <w:jc w:val="both"/>
        <w:rPr>
          <w:sz w:val="24"/>
        </w:rPr>
      </w:pPr>
      <w:r>
        <w:rPr>
          <w:sz w:val="24"/>
        </w:rPr>
        <w:t>Scheen AJ, Paquot N, Lefebvre PJ. Glucotoxicity and lipotoxicity, two implicated accomplices in the vicious circle of type 2 diabetes. Rev Med Liege. 1999; 54 (6):</w:t>
      </w:r>
      <w:r>
        <w:rPr>
          <w:spacing w:val="-12"/>
          <w:sz w:val="24"/>
        </w:rPr>
        <w:t> </w:t>
      </w:r>
      <w:r>
        <w:rPr>
          <w:sz w:val="24"/>
        </w:rPr>
        <w:t>535-8.</w:t>
      </w:r>
    </w:p>
    <w:p>
      <w:pPr>
        <w:pStyle w:val="ListParagraph"/>
        <w:numPr>
          <w:ilvl w:val="0"/>
          <w:numId w:val="22"/>
        </w:numPr>
        <w:tabs>
          <w:tab w:pos="506" w:val="left" w:leader="none"/>
        </w:tabs>
        <w:spacing w:line="360" w:lineRule="auto" w:before="6" w:after="0"/>
        <w:ind w:left="118" w:right="110" w:firstLine="0"/>
        <w:jc w:val="both"/>
        <w:rPr>
          <w:sz w:val="24"/>
        </w:rPr>
      </w:pPr>
      <w:r>
        <w:rPr>
          <w:sz w:val="24"/>
        </w:rPr>
        <w:t>Sivitz WI. Lipotoxicity and glucotoxicity in type 2 diabetes. Effects on development and progression. Postgrad Med. 2001;109 (4): 55-9,</w:t>
      </w:r>
      <w:r>
        <w:rPr>
          <w:spacing w:val="-5"/>
          <w:sz w:val="24"/>
        </w:rPr>
        <w:t> </w:t>
      </w:r>
      <w:r>
        <w:rPr>
          <w:sz w:val="24"/>
        </w:rPr>
        <w:t>63-4.</w:t>
      </w:r>
    </w:p>
    <w:p>
      <w:pPr>
        <w:pStyle w:val="BodyText"/>
        <w:spacing w:line="360" w:lineRule="auto" w:before="6"/>
        <w:ind w:left="118" w:right="111"/>
        <w:jc w:val="both"/>
      </w:pPr>
      <w:r>
        <w:rPr/>
        <w:t>37 Poitout V, Robertson RP. Minireview: Secondary beta-cell failure in type 2 diabetes--a convergence of glucotoxicity and lipotoxicity. Endocrinology. 2002;143(2):339-42.</w:t>
      </w:r>
    </w:p>
    <w:p>
      <w:pPr>
        <w:pStyle w:val="ListParagraph"/>
        <w:numPr>
          <w:ilvl w:val="0"/>
          <w:numId w:val="23"/>
        </w:numPr>
        <w:tabs>
          <w:tab w:pos="498" w:val="left" w:leader="none"/>
        </w:tabs>
        <w:spacing w:line="240" w:lineRule="auto" w:before="6" w:after="0"/>
        <w:ind w:left="118" w:right="0" w:firstLine="0"/>
        <w:jc w:val="both"/>
        <w:rPr>
          <w:sz w:val="24"/>
        </w:rPr>
      </w:pPr>
      <w:r>
        <w:rPr>
          <w:sz w:val="24"/>
        </w:rPr>
        <w:t>Executive summary: Standards of medical care in diabetes--2012. Diabetes Care.   </w:t>
      </w:r>
      <w:r>
        <w:rPr>
          <w:spacing w:val="2"/>
          <w:sz w:val="24"/>
        </w:rPr>
        <w:t> </w:t>
      </w:r>
      <w:r>
        <w:rPr>
          <w:sz w:val="24"/>
        </w:rPr>
        <w:t>2012;35</w:t>
      </w:r>
    </w:p>
    <w:p>
      <w:pPr>
        <w:pStyle w:val="BodyText"/>
        <w:spacing w:before="137"/>
        <w:ind w:left="118"/>
        <w:jc w:val="both"/>
      </w:pPr>
      <w:r>
        <w:rPr/>
        <w:t>:S4-S10.</w:t>
      </w:r>
    </w:p>
    <w:p>
      <w:pPr>
        <w:pStyle w:val="ListParagraph"/>
        <w:numPr>
          <w:ilvl w:val="0"/>
          <w:numId w:val="23"/>
        </w:numPr>
        <w:tabs>
          <w:tab w:pos="487" w:val="left" w:leader="none"/>
        </w:tabs>
        <w:spacing w:line="360" w:lineRule="auto" w:before="139" w:after="0"/>
        <w:ind w:left="118" w:right="109" w:firstLine="0"/>
        <w:jc w:val="both"/>
        <w:rPr>
          <w:sz w:val="24"/>
        </w:rPr>
      </w:pPr>
      <w:r>
        <w:rPr>
          <w:sz w:val="24"/>
        </w:rPr>
        <w:t>Kim KS, Kim SK, Lee YK, Park SW, Cho YW. Diagnostic value of glycated haemoglobin HbA(1c) for the early detection of diabetes in high-risk subjects. Diabet Med. 2008 ;25(8):997- 1000</w:t>
      </w:r>
    </w:p>
    <w:p>
      <w:pPr>
        <w:pStyle w:val="ListParagraph"/>
        <w:numPr>
          <w:ilvl w:val="0"/>
          <w:numId w:val="23"/>
        </w:numPr>
        <w:tabs>
          <w:tab w:pos="479" w:val="left" w:leader="none"/>
        </w:tabs>
        <w:spacing w:line="360" w:lineRule="auto" w:before="6" w:after="0"/>
        <w:ind w:left="118" w:right="109" w:firstLine="0"/>
        <w:jc w:val="both"/>
        <w:rPr>
          <w:sz w:val="24"/>
        </w:rPr>
      </w:pPr>
      <w:r>
        <w:rPr>
          <w:sz w:val="24"/>
        </w:rPr>
        <w:t>Katagiri S, Nitta H, Nagasawa T, Uchimura I, Izumiyama H, et al. Multi-center intervention study on glycohemoglobin (HbA1c) and serum, high-sensitivity CRP (hs-CRP) after local anti- infectious periodontal treatment in type 2 diabetic patients with periodontal disease. Diabetes Res Clin Pract. 2009</w:t>
      </w:r>
      <w:r>
        <w:rPr>
          <w:spacing w:val="-7"/>
          <w:sz w:val="24"/>
        </w:rPr>
        <w:t> </w:t>
      </w:r>
      <w:r>
        <w:rPr>
          <w:sz w:val="24"/>
        </w:rPr>
        <w:t>;83(3):308-15</w:t>
      </w:r>
    </w:p>
    <w:p>
      <w:pPr>
        <w:pStyle w:val="ListParagraph"/>
        <w:numPr>
          <w:ilvl w:val="0"/>
          <w:numId w:val="23"/>
        </w:numPr>
        <w:tabs>
          <w:tab w:pos="527" w:val="left" w:leader="none"/>
        </w:tabs>
        <w:spacing w:line="360" w:lineRule="auto" w:before="6" w:after="0"/>
        <w:ind w:left="118" w:right="113" w:firstLine="0"/>
        <w:jc w:val="both"/>
        <w:rPr>
          <w:sz w:val="24"/>
        </w:rPr>
      </w:pPr>
      <w:r>
        <w:rPr>
          <w:sz w:val="24"/>
        </w:rPr>
        <w:t>Bullo M, Garcia-Lorda P, Salas-Salvado J. Plasma soluble tumor necrosis factor alpha receptors and leptin levels in normal-weight and obese women: effect of adiposity and diabetes. Eur J Endocrinol.</w:t>
      </w:r>
      <w:r>
        <w:rPr>
          <w:spacing w:val="-6"/>
          <w:sz w:val="24"/>
        </w:rPr>
        <w:t> </w:t>
      </w:r>
      <w:r>
        <w:rPr>
          <w:sz w:val="24"/>
        </w:rPr>
        <w:t>2002;146(3):325-31</w:t>
      </w:r>
    </w:p>
    <w:p>
      <w:pPr>
        <w:pStyle w:val="ListParagraph"/>
        <w:numPr>
          <w:ilvl w:val="0"/>
          <w:numId w:val="23"/>
        </w:numPr>
        <w:tabs>
          <w:tab w:pos="465" w:val="left" w:leader="none"/>
        </w:tabs>
        <w:spacing w:line="360" w:lineRule="auto" w:before="4" w:after="0"/>
        <w:ind w:left="118" w:right="114" w:firstLine="0"/>
        <w:jc w:val="both"/>
        <w:rPr>
          <w:sz w:val="24"/>
        </w:rPr>
      </w:pPr>
      <w:r>
        <w:rPr>
          <w:sz w:val="24"/>
        </w:rPr>
        <w:t>Crook</w:t>
      </w:r>
      <w:r>
        <w:rPr>
          <w:spacing w:val="-17"/>
          <w:sz w:val="24"/>
        </w:rPr>
        <w:t> </w:t>
      </w:r>
      <w:r>
        <w:rPr>
          <w:sz w:val="24"/>
        </w:rPr>
        <w:t>M.</w:t>
      </w:r>
      <w:r>
        <w:rPr>
          <w:spacing w:val="-16"/>
          <w:sz w:val="24"/>
        </w:rPr>
        <w:t> </w:t>
      </w:r>
      <w:r>
        <w:rPr>
          <w:sz w:val="24"/>
        </w:rPr>
        <w:t>Type</w:t>
      </w:r>
      <w:r>
        <w:rPr>
          <w:spacing w:val="-17"/>
          <w:sz w:val="24"/>
        </w:rPr>
        <w:t> </w:t>
      </w:r>
      <w:r>
        <w:rPr>
          <w:sz w:val="24"/>
        </w:rPr>
        <w:t>2</w:t>
      </w:r>
      <w:r>
        <w:rPr>
          <w:spacing w:val="-16"/>
          <w:sz w:val="24"/>
        </w:rPr>
        <w:t> </w:t>
      </w:r>
      <w:r>
        <w:rPr>
          <w:sz w:val="24"/>
        </w:rPr>
        <w:t>diabetes</w:t>
      </w:r>
      <w:r>
        <w:rPr>
          <w:spacing w:val="-16"/>
          <w:sz w:val="24"/>
        </w:rPr>
        <w:t> </w:t>
      </w:r>
      <w:r>
        <w:rPr>
          <w:sz w:val="24"/>
        </w:rPr>
        <w:t>mellitus:</w:t>
      </w:r>
      <w:r>
        <w:rPr>
          <w:spacing w:val="-15"/>
          <w:sz w:val="24"/>
        </w:rPr>
        <w:t> </w:t>
      </w:r>
      <w:r>
        <w:rPr>
          <w:sz w:val="24"/>
        </w:rPr>
        <w:t>a</w:t>
      </w:r>
      <w:r>
        <w:rPr>
          <w:spacing w:val="-17"/>
          <w:sz w:val="24"/>
        </w:rPr>
        <w:t> </w:t>
      </w:r>
      <w:r>
        <w:rPr>
          <w:sz w:val="24"/>
        </w:rPr>
        <w:t>disease</w:t>
      </w:r>
      <w:r>
        <w:rPr>
          <w:spacing w:val="-17"/>
          <w:sz w:val="24"/>
        </w:rPr>
        <w:t> </w:t>
      </w:r>
      <w:r>
        <w:rPr>
          <w:sz w:val="24"/>
        </w:rPr>
        <w:t>of</w:t>
      </w:r>
      <w:r>
        <w:rPr>
          <w:spacing w:val="-14"/>
          <w:sz w:val="24"/>
        </w:rPr>
        <w:t> </w:t>
      </w:r>
      <w:r>
        <w:rPr>
          <w:sz w:val="24"/>
        </w:rPr>
        <w:t>the</w:t>
      </w:r>
      <w:r>
        <w:rPr>
          <w:spacing w:val="-16"/>
          <w:sz w:val="24"/>
        </w:rPr>
        <w:t> </w:t>
      </w:r>
      <w:r>
        <w:rPr>
          <w:sz w:val="24"/>
        </w:rPr>
        <w:t>innate</w:t>
      </w:r>
      <w:r>
        <w:rPr>
          <w:spacing w:val="-17"/>
          <w:sz w:val="24"/>
        </w:rPr>
        <w:t> </w:t>
      </w:r>
      <w:r>
        <w:rPr>
          <w:sz w:val="24"/>
        </w:rPr>
        <w:t>immune</w:t>
      </w:r>
      <w:r>
        <w:rPr>
          <w:spacing w:val="-16"/>
          <w:sz w:val="24"/>
        </w:rPr>
        <w:t> </w:t>
      </w:r>
      <w:r>
        <w:rPr>
          <w:sz w:val="24"/>
        </w:rPr>
        <w:t>system?</w:t>
      </w:r>
      <w:r>
        <w:rPr>
          <w:spacing w:val="-12"/>
          <w:sz w:val="24"/>
        </w:rPr>
        <w:t> </w:t>
      </w:r>
      <w:r>
        <w:rPr>
          <w:sz w:val="24"/>
        </w:rPr>
        <w:t>An</w:t>
      </w:r>
      <w:r>
        <w:rPr>
          <w:spacing w:val="-16"/>
          <w:sz w:val="24"/>
        </w:rPr>
        <w:t> </w:t>
      </w:r>
      <w:r>
        <w:rPr>
          <w:sz w:val="24"/>
        </w:rPr>
        <w:t>update.</w:t>
      </w:r>
      <w:r>
        <w:rPr>
          <w:spacing w:val="-16"/>
          <w:sz w:val="24"/>
        </w:rPr>
        <w:t> </w:t>
      </w:r>
      <w:r>
        <w:rPr>
          <w:sz w:val="24"/>
        </w:rPr>
        <w:t>Diabet Med. 2004;21(3)</w:t>
      </w:r>
      <w:r>
        <w:rPr>
          <w:spacing w:val="-4"/>
          <w:sz w:val="24"/>
        </w:rPr>
        <w:t> </w:t>
      </w:r>
      <w:r>
        <w:rPr>
          <w:sz w:val="24"/>
        </w:rPr>
        <w:t>:203-7.</w:t>
      </w:r>
    </w:p>
    <w:p>
      <w:pPr>
        <w:spacing w:after="0" w:line="360" w:lineRule="auto"/>
        <w:jc w:val="both"/>
        <w:rPr>
          <w:sz w:val="24"/>
        </w:rPr>
        <w:sectPr>
          <w:pgSz w:w="11910" w:h="16840"/>
          <w:pgMar w:header="731" w:footer="0" w:top="960" w:bottom="280" w:left="1300" w:right="1160"/>
        </w:sectPr>
      </w:pPr>
    </w:p>
    <w:p>
      <w:pPr>
        <w:pStyle w:val="BodyText"/>
        <w:rPr>
          <w:sz w:val="20"/>
        </w:rPr>
      </w:pPr>
    </w:p>
    <w:p>
      <w:pPr>
        <w:pStyle w:val="ListParagraph"/>
        <w:numPr>
          <w:ilvl w:val="0"/>
          <w:numId w:val="23"/>
        </w:numPr>
        <w:tabs>
          <w:tab w:pos="491" w:val="left" w:leader="none"/>
        </w:tabs>
        <w:spacing w:line="360" w:lineRule="auto" w:before="212" w:after="0"/>
        <w:ind w:left="118" w:right="106" w:firstLine="0"/>
        <w:jc w:val="both"/>
        <w:rPr>
          <w:sz w:val="24"/>
        </w:rPr>
      </w:pPr>
      <w:r>
        <w:rPr>
          <w:sz w:val="24"/>
        </w:rPr>
        <w:t>Mackay CR. Chemokines: immunology's high impact factors. Nat Immunol. 2001;2(2):95- 101.</w:t>
      </w:r>
    </w:p>
    <w:p>
      <w:pPr>
        <w:pStyle w:val="ListParagraph"/>
        <w:numPr>
          <w:ilvl w:val="0"/>
          <w:numId w:val="23"/>
        </w:numPr>
        <w:tabs>
          <w:tab w:pos="484" w:val="left" w:leader="none"/>
        </w:tabs>
        <w:spacing w:line="360" w:lineRule="auto" w:before="6" w:after="0"/>
        <w:ind w:left="118" w:right="119" w:firstLine="0"/>
        <w:jc w:val="both"/>
        <w:rPr>
          <w:sz w:val="24"/>
        </w:rPr>
      </w:pPr>
      <w:r>
        <w:rPr>
          <w:sz w:val="24"/>
        </w:rPr>
        <w:t>Liles WC, Van Voorhis WC. Nomenclature and biologic significance of cytokines involved in inflammation and the host immune response. J Infect Dis.</w:t>
      </w:r>
      <w:r>
        <w:rPr>
          <w:spacing w:val="-10"/>
          <w:sz w:val="24"/>
        </w:rPr>
        <w:t> </w:t>
      </w:r>
      <w:r>
        <w:rPr>
          <w:sz w:val="24"/>
        </w:rPr>
        <w:t>1995;172:1573-80.</w:t>
      </w:r>
    </w:p>
    <w:p>
      <w:pPr>
        <w:pStyle w:val="ListParagraph"/>
        <w:numPr>
          <w:ilvl w:val="0"/>
          <w:numId w:val="23"/>
        </w:numPr>
        <w:tabs>
          <w:tab w:pos="501" w:val="left" w:leader="none"/>
        </w:tabs>
        <w:spacing w:line="360" w:lineRule="auto" w:before="6" w:after="0"/>
        <w:ind w:left="118" w:right="115" w:firstLine="0"/>
        <w:jc w:val="both"/>
        <w:rPr>
          <w:sz w:val="24"/>
        </w:rPr>
      </w:pPr>
      <w:r>
        <w:rPr>
          <w:sz w:val="24"/>
        </w:rPr>
        <w:t>Nibal L,Fedele S, D’Aiut F, Donos N. Interleukin-6 in oral diseases: a review. Oral Dis. 2012</w:t>
      </w:r>
      <w:r>
        <w:rPr>
          <w:spacing w:val="-3"/>
          <w:sz w:val="24"/>
        </w:rPr>
        <w:t> </w:t>
      </w:r>
      <w:r>
        <w:rPr>
          <w:sz w:val="24"/>
        </w:rPr>
        <w:t>;18(3):236-43.</w:t>
      </w:r>
    </w:p>
    <w:p>
      <w:pPr>
        <w:pStyle w:val="ListParagraph"/>
        <w:numPr>
          <w:ilvl w:val="0"/>
          <w:numId w:val="23"/>
        </w:numPr>
        <w:tabs>
          <w:tab w:pos="532" w:val="left" w:leader="none"/>
        </w:tabs>
        <w:spacing w:line="360" w:lineRule="auto" w:before="6" w:after="0"/>
        <w:ind w:left="118" w:right="116" w:firstLine="0"/>
        <w:jc w:val="both"/>
        <w:rPr>
          <w:sz w:val="24"/>
        </w:rPr>
      </w:pPr>
      <w:r>
        <w:rPr>
          <w:sz w:val="24"/>
        </w:rPr>
        <w:t>Fonseca JE, SantosMJ, Canhão H, Choy E. Interleukin-6 as a key player in systemic inflammation and joint destruction. Autoimmun Rev.</w:t>
      </w:r>
      <w:r>
        <w:rPr>
          <w:spacing w:val="-8"/>
          <w:sz w:val="24"/>
        </w:rPr>
        <w:t> </w:t>
      </w:r>
      <w:r>
        <w:rPr>
          <w:sz w:val="24"/>
        </w:rPr>
        <w:t>2009;8(7):538-42.</w:t>
      </w:r>
    </w:p>
    <w:p>
      <w:pPr>
        <w:pStyle w:val="ListParagraph"/>
        <w:numPr>
          <w:ilvl w:val="0"/>
          <w:numId w:val="23"/>
        </w:numPr>
        <w:tabs>
          <w:tab w:pos="487" w:val="left" w:leader="none"/>
        </w:tabs>
        <w:spacing w:line="360" w:lineRule="auto" w:before="6" w:after="0"/>
        <w:ind w:left="118" w:right="112" w:firstLine="0"/>
        <w:jc w:val="both"/>
        <w:rPr>
          <w:sz w:val="24"/>
        </w:rPr>
      </w:pPr>
      <w:r>
        <w:rPr>
          <w:sz w:val="24"/>
        </w:rPr>
        <w:t>Pradhan AD, Manson JE, Rifai N, Buring JE, Ridker PM. C-reactive protein, interleukin 6, and risk of developing type 2 diabetes mellitus. JAMA.</w:t>
      </w:r>
      <w:r>
        <w:rPr>
          <w:spacing w:val="-6"/>
          <w:sz w:val="24"/>
        </w:rPr>
        <w:t> </w:t>
      </w:r>
      <w:r>
        <w:rPr>
          <w:sz w:val="24"/>
        </w:rPr>
        <w:t>2001:18;286(3)</w:t>
      </w:r>
    </w:p>
    <w:p>
      <w:pPr>
        <w:pStyle w:val="ListParagraph"/>
        <w:numPr>
          <w:ilvl w:val="0"/>
          <w:numId w:val="23"/>
        </w:numPr>
        <w:tabs>
          <w:tab w:pos="496" w:val="left" w:leader="none"/>
        </w:tabs>
        <w:spacing w:line="360" w:lineRule="auto" w:before="6" w:after="0"/>
        <w:ind w:left="118" w:right="112" w:firstLine="0"/>
        <w:jc w:val="both"/>
        <w:rPr>
          <w:sz w:val="24"/>
        </w:rPr>
      </w:pPr>
      <w:r>
        <w:rPr>
          <w:sz w:val="24"/>
        </w:rPr>
        <w:t>Hirano T, Kishimoto T. Interleukin -6: Posssible implications in human diseases. Ric Clin Lab.</w:t>
      </w:r>
      <w:r>
        <w:rPr>
          <w:spacing w:val="-4"/>
          <w:sz w:val="24"/>
        </w:rPr>
        <w:t> </w:t>
      </w:r>
      <w:r>
        <w:rPr>
          <w:sz w:val="24"/>
        </w:rPr>
        <w:t>1989;19(1):1-10.</w:t>
      </w:r>
    </w:p>
    <w:p>
      <w:pPr>
        <w:pStyle w:val="ListParagraph"/>
        <w:numPr>
          <w:ilvl w:val="0"/>
          <w:numId w:val="23"/>
        </w:numPr>
        <w:tabs>
          <w:tab w:pos="554" w:val="left" w:leader="none"/>
        </w:tabs>
        <w:spacing w:line="360" w:lineRule="auto" w:before="6" w:after="0"/>
        <w:ind w:left="118" w:right="107" w:firstLine="0"/>
        <w:jc w:val="both"/>
        <w:rPr>
          <w:sz w:val="24"/>
        </w:rPr>
      </w:pPr>
      <w:r>
        <w:rPr>
          <w:sz w:val="24"/>
        </w:rPr>
        <w:t>Ross JH, Hardy DC, Schuyler CA, Slate EH, Mize TW. Expression of periodontal interleukin-6 protein is increased across patients with neither periodontal disease nor diabetes, patients with periodontal disease alone and patients with both diseases. J Periodontal Res.</w:t>
      </w:r>
      <w:r>
        <w:rPr>
          <w:spacing w:val="50"/>
          <w:sz w:val="24"/>
        </w:rPr>
        <w:t> </w:t>
      </w:r>
      <w:r>
        <w:rPr>
          <w:sz w:val="24"/>
        </w:rPr>
        <w:t>2010</w:t>
      </w:r>
    </w:p>
    <w:p>
      <w:pPr>
        <w:pStyle w:val="BodyText"/>
        <w:spacing w:before="4"/>
        <w:ind w:left="118"/>
        <w:jc w:val="both"/>
      </w:pPr>
      <w:r>
        <w:rPr/>
        <w:t>;45(5):688-94.</w:t>
      </w:r>
    </w:p>
    <w:p>
      <w:pPr>
        <w:pStyle w:val="ListParagraph"/>
        <w:numPr>
          <w:ilvl w:val="0"/>
          <w:numId w:val="23"/>
        </w:numPr>
        <w:tabs>
          <w:tab w:pos="506" w:val="left" w:leader="none"/>
        </w:tabs>
        <w:spacing w:line="360" w:lineRule="auto" w:before="139" w:after="0"/>
        <w:ind w:left="118" w:right="112" w:firstLine="0"/>
        <w:jc w:val="both"/>
        <w:rPr>
          <w:sz w:val="24"/>
        </w:rPr>
      </w:pPr>
      <w:r>
        <w:rPr>
          <w:sz w:val="24"/>
        </w:rPr>
        <w:t>Dodds MW,Yeh CK, Jhonson DA. Salivary alterations in type 2 (non-insulin-dependent) diabetes mellitus and hypertension. Community Dent Oral Epidemiol.</w:t>
      </w:r>
      <w:r>
        <w:rPr>
          <w:spacing w:val="-11"/>
          <w:sz w:val="24"/>
        </w:rPr>
        <w:t> </w:t>
      </w:r>
      <w:r>
        <w:rPr>
          <w:sz w:val="24"/>
        </w:rPr>
        <w:t>2000;28(5):373-81.</w:t>
      </w:r>
    </w:p>
    <w:p>
      <w:pPr>
        <w:pStyle w:val="ListParagraph"/>
        <w:numPr>
          <w:ilvl w:val="0"/>
          <w:numId w:val="23"/>
        </w:numPr>
        <w:tabs>
          <w:tab w:pos="496" w:val="left" w:leader="none"/>
        </w:tabs>
        <w:spacing w:line="360" w:lineRule="auto" w:before="6" w:after="0"/>
        <w:ind w:left="118" w:right="118" w:firstLine="0"/>
        <w:jc w:val="both"/>
        <w:rPr>
          <w:sz w:val="24"/>
        </w:rPr>
      </w:pPr>
      <w:r>
        <w:rPr>
          <w:sz w:val="24"/>
        </w:rPr>
        <w:t>Radhika T, Ranganathan K. Periodontal health in type 2 diabetics. J Dr NTR Univ Health Sci.</w:t>
      </w:r>
      <w:r>
        <w:rPr>
          <w:spacing w:val="-5"/>
          <w:sz w:val="24"/>
        </w:rPr>
        <w:t> </w:t>
      </w:r>
      <w:r>
        <w:rPr>
          <w:sz w:val="24"/>
        </w:rPr>
        <w:t>2014;3(5):37-42.</w:t>
      </w:r>
    </w:p>
    <w:p>
      <w:pPr>
        <w:pStyle w:val="ListParagraph"/>
        <w:numPr>
          <w:ilvl w:val="0"/>
          <w:numId w:val="23"/>
        </w:numPr>
        <w:tabs>
          <w:tab w:pos="510" w:val="left" w:leader="none"/>
        </w:tabs>
        <w:spacing w:line="360" w:lineRule="auto" w:before="6" w:after="0"/>
        <w:ind w:left="118" w:right="113" w:firstLine="0"/>
        <w:jc w:val="both"/>
        <w:rPr>
          <w:sz w:val="24"/>
        </w:rPr>
      </w:pPr>
      <w:r>
        <w:rPr>
          <w:sz w:val="24"/>
        </w:rPr>
        <w:t>Ramesh A, Thomas B, Anand A, Kumari S. Comparative evaluation of mieloperoxidase levels amog sistematically healthy individuals and patiend with type 3 Diabetes Mellitus, with chronic periodontitis- A bichemical study. JSPIK.2010;4(1):</w:t>
      </w:r>
      <w:r>
        <w:rPr>
          <w:spacing w:val="-9"/>
          <w:sz w:val="24"/>
        </w:rPr>
        <w:t> </w:t>
      </w:r>
      <w:r>
        <w:rPr>
          <w:sz w:val="24"/>
        </w:rPr>
        <w:t>15-17</w:t>
      </w:r>
    </w:p>
    <w:p>
      <w:pPr>
        <w:pStyle w:val="ListParagraph"/>
        <w:numPr>
          <w:ilvl w:val="0"/>
          <w:numId w:val="23"/>
        </w:numPr>
        <w:tabs>
          <w:tab w:pos="499" w:val="left" w:leader="none"/>
        </w:tabs>
        <w:spacing w:line="360" w:lineRule="auto" w:before="4" w:after="0"/>
        <w:ind w:left="118" w:right="109" w:firstLine="0"/>
        <w:jc w:val="both"/>
        <w:rPr>
          <w:sz w:val="24"/>
        </w:rPr>
      </w:pPr>
      <w:r>
        <w:rPr>
          <w:sz w:val="24"/>
        </w:rPr>
        <w:t>Dodds MW, Yeh CK, Johnson DA. Salivary alterations in type 2 (non-insulin-dependent) diabetes mellitus and hypertension. Community Dent Oral Epidemiol. 2000;28(5):373- 54.Mealey BL. Periodontal disease and diabetes. A two-way street. J Am Dent Assoc. 2006;137(10):26S-31S.</w:t>
      </w:r>
    </w:p>
    <w:p>
      <w:pPr>
        <w:pStyle w:val="ListParagraph"/>
        <w:numPr>
          <w:ilvl w:val="0"/>
          <w:numId w:val="24"/>
        </w:numPr>
        <w:tabs>
          <w:tab w:pos="523" w:val="left" w:leader="none"/>
        </w:tabs>
        <w:spacing w:line="360" w:lineRule="auto" w:before="6" w:after="0"/>
        <w:ind w:left="118" w:right="112" w:firstLine="0"/>
        <w:jc w:val="both"/>
        <w:rPr>
          <w:sz w:val="24"/>
        </w:rPr>
      </w:pPr>
      <w:r>
        <w:rPr>
          <w:sz w:val="24"/>
        </w:rPr>
        <w:t>Demmer RT, Jacobs DR Jr, Singh R, Zuk A, Rosenbaum M. Periodontal Bacteria and Prediabetes Prevalence in ORIGINS: The Oral Infections, Glucose Intolerance, and Insulin Resistance Study. J Dent Res.</w:t>
      </w:r>
      <w:r>
        <w:rPr>
          <w:spacing w:val="-8"/>
          <w:sz w:val="24"/>
        </w:rPr>
        <w:t> </w:t>
      </w:r>
      <w:r>
        <w:rPr>
          <w:sz w:val="24"/>
        </w:rPr>
        <w:t>2015;94(9):201S-11S</w:t>
      </w:r>
    </w:p>
    <w:p>
      <w:pPr>
        <w:pStyle w:val="ListParagraph"/>
        <w:numPr>
          <w:ilvl w:val="0"/>
          <w:numId w:val="24"/>
        </w:numPr>
        <w:tabs>
          <w:tab w:pos="479" w:val="left" w:leader="none"/>
        </w:tabs>
        <w:spacing w:line="360" w:lineRule="auto" w:before="4" w:after="0"/>
        <w:ind w:left="118" w:right="110" w:firstLine="0"/>
        <w:jc w:val="both"/>
        <w:rPr>
          <w:sz w:val="24"/>
        </w:rPr>
      </w:pPr>
      <w:r>
        <w:rPr>
          <w:sz w:val="24"/>
        </w:rPr>
        <w:t>Lazenby</w:t>
      </w:r>
      <w:r>
        <w:rPr>
          <w:spacing w:val="-8"/>
          <w:sz w:val="24"/>
        </w:rPr>
        <w:t> </w:t>
      </w:r>
      <w:r>
        <w:rPr>
          <w:sz w:val="24"/>
        </w:rPr>
        <w:t>MG,</w:t>
      </w:r>
      <w:r>
        <w:rPr>
          <w:spacing w:val="-4"/>
          <w:sz w:val="24"/>
        </w:rPr>
        <w:t> </w:t>
      </w:r>
      <w:r>
        <w:rPr>
          <w:sz w:val="24"/>
        </w:rPr>
        <w:t>Crook</w:t>
      </w:r>
      <w:r>
        <w:rPr>
          <w:spacing w:val="-4"/>
          <w:sz w:val="24"/>
        </w:rPr>
        <w:t> </w:t>
      </w:r>
      <w:r>
        <w:rPr>
          <w:sz w:val="24"/>
        </w:rPr>
        <w:t>MA.</w:t>
      </w:r>
      <w:r>
        <w:rPr>
          <w:spacing w:val="-4"/>
          <w:sz w:val="24"/>
        </w:rPr>
        <w:t> </w:t>
      </w:r>
      <w:r>
        <w:rPr>
          <w:sz w:val="24"/>
        </w:rPr>
        <w:t>The</w:t>
      </w:r>
      <w:r>
        <w:rPr>
          <w:spacing w:val="-5"/>
          <w:sz w:val="24"/>
        </w:rPr>
        <w:t> </w:t>
      </w:r>
      <w:r>
        <w:rPr>
          <w:sz w:val="24"/>
        </w:rPr>
        <w:t>innate</w:t>
      </w:r>
      <w:r>
        <w:rPr>
          <w:spacing w:val="-5"/>
          <w:sz w:val="24"/>
        </w:rPr>
        <w:t> </w:t>
      </w:r>
      <w:r>
        <w:rPr>
          <w:sz w:val="24"/>
        </w:rPr>
        <w:t>immune</w:t>
      </w:r>
      <w:r>
        <w:rPr>
          <w:spacing w:val="-4"/>
          <w:sz w:val="24"/>
        </w:rPr>
        <w:t> </w:t>
      </w:r>
      <w:r>
        <w:rPr>
          <w:sz w:val="24"/>
        </w:rPr>
        <w:t>system</w:t>
      </w:r>
      <w:r>
        <w:rPr>
          <w:spacing w:val="-3"/>
          <w:sz w:val="24"/>
        </w:rPr>
        <w:t> </w:t>
      </w:r>
      <w:r>
        <w:rPr>
          <w:sz w:val="24"/>
        </w:rPr>
        <w:t>and</w:t>
      </w:r>
      <w:r>
        <w:rPr>
          <w:spacing w:val="-4"/>
          <w:sz w:val="24"/>
        </w:rPr>
        <w:t> </w:t>
      </w:r>
      <w:r>
        <w:rPr>
          <w:sz w:val="24"/>
        </w:rPr>
        <w:t>diabetes</w:t>
      </w:r>
      <w:r>
        <w:rPr>
          <w:spacing w:val="-4"/>
          <w:sz w:val="24"/>
        </w:rPr>
        <w:t> </w:t>
      </w:r>
      <w:r>
        <w:rPr>
          <w:sz w:val="24"/>
        </w:rPr>
        <w:t>mellitus:</w:t>
      </w:r>
      <w:r>
        <w:rPr>
          <w:spacing w:val="-3"/>
          <w:sz w:val="24"/>
        </w:rPr>
        <w:t> </w:t>
      </w:r>
      <w:r>
        <w:rPr>
          <w:sz w:val="24"/>
        </w:rPr>
        <w:t>the</w:t>
      </w:r>
      <w:r>
        <w:rPr>
          <w:spacing w:val="-4"/>
          <w:sz w:val="24"/>
        </w:rPr>
        <w:t> </w:t>
      </w:r>
      <w:r>
        <w:rPr>
          <w:sz w:val="24"/>
        </w:rPr>
        <w:t>relevance</w:t>
      </w:r>
      <w:r>
        <w:rPr>
          <w:spacing w:val="-5"/>
          <w:sz w:val="24"/>
        </w:rPr>
        <w:t> </w:t>
      </w:r>
      <w:r>
        <w:rPr>
          <w:sz w:val="24"/>
        </w:rPr>
        <w:t>of periodontitis? A hypothesis. Clin Sci (Lond).</w:t>
      </w:r>
      <w:r>
        <w:rPr>
          <w:spacing w:val="-13"/>
          <w:sz w:val="24"/>
        </w:rPr>
        <w:t> </w:t>
      </w:r>
      <w:r>
        <w:rPr>
          <w:sz w:val="24"/>
        </w:rPr>
        <w:t>2010;119(10):423-9.</w:t>
      </w:r>
    </w:p>
    <w:p>
      <w:pPr>
        <w:spacing w:after="0" w:line="360" w:lineRule="auto"/>
        <w:jc w:val="both"/>
        <w:rPr>
          <w:sz w:val="24"/>
        </w:rPr>
        <w:sectPr>
          <w:pgSz w:w="11910" w:h="16840"/>
          <w:pgMar w:header="731" w:footer="0" w:top="960" w:bottom="280" w:left="1300" w:right="1160"/>
        </w:sectPr>
      </w:pPr>
    </w:p>
    <w:p>
      <w:pPr>
        <w:pStyle w:val="BodyText"/>
        <w:rPr>
          <w:sz w:val="20"/>
        </w:rPr>
      </w:pPr>
    </w:p>
    <w:p>
      <w:pPr>
        <w:pStyle w:val="ListParagraph"/>
        <w:numPr>
          <w:ilvl w:val="0"/>
          <w:numId w:val="24"/>
        </w:numPr>
        <w:tabs>
          <w:tab w:pos="510" w:val="left" w:leader="none"/>
        </w:tabs>
        <w:spacing w:line="360" w:lineRule="auto" w:before="212" w:after="0"/>
        <w:ind w:left="118" w:right="111" w:firstLine="0"/>
        <w:jc w:val="both"/>
        <w:rPr>
          <w:sz w:val="24"/>
        </w:rPr>
      </w:pPr>
      <w:r>
        <w:rPr>
          <w:sz w:val="24"/>
        </w:rPr>
        <w:t>Lee HK, Choi SH, Won KC, Merchant AT, Song KB, et al. The effect of intensive oral hygiene care on gingivitis and periodontal destruction in type 2 diabetic patients. Yonsei Med J. 2009;50(4):529-36</w:t>
      </w:r>
    </w:p>
    <w:p>
      <w:pPr>
        <w:pStyle w:val="ListParagraph"/>
        <w:numPr>
          <w:ilvl w:val="0"/>
          <w:numId w:val="24"/>
        </w:numPr>
        <w:tabs>
          <w:tab w:pos="549" w:val="left" w:leader="none"/>
        </w:tabs>
        <w:spacing w:line="360" w:lineRule="auto" w:before="4" w:after="0"/>
        <w:ind w:left="118" w:right="107" w:firstLine="0"/>
        <w:jc w:val="both"/>
        <w:rPr>
          <w:sz w:val="24"/>
        </w:rPr>
      </w:pPr>
      <w:r>
        <w:rPr>
          <w:sz w:val="24"/>
        </w:rPr>
        <w:t>Hanes PJ, Krishna R. Characteristics of inflammation common to both diabetes and periodontitis: are predictive diagnosis and targeted preventive measures possible?. EPMA J. 2010;1(1):101-16</w:t>
      </w:r>
    </w:p>
    <w:p>
      <w:pPr>
        <w:pStyle w:val="ListParagraph"/>
        <w:numPr>
          <w:ilvl w:val="0"/>
          <w:numId w:val="24"/>
        </w:numPr>
        <w:tabs>
          <w:tab w:pos="513" w:val="left" w:leader="none"/>
        </w:tabs>
        <w:spacing w:line="360" w:lineRule="auto" w:before="6" w:after="0"/>
        <w:ind w:left="118" w:right="111" w:firstLine="0"/>
        <w:jc w:val="both"/>
        <w:rPr>
          <w:sz w:val="24"/>
        </w:rPr>
      </w:pPr>
      <w:r>
        <w:rPr>
          <w:sz w:val="24"/>
        </w:rPr>
        <w:t>Arrieta-Blanco JJ, Bartolomé Villar B, Jiménez Martinez E, Saavedra Vallejo P, Arrieta Blanco FJ. Problemas bucodentales en pacientes con diabetes mellitus (II): Índice gingival y enfermedad periodontal. Med Oral.</w:t>
      </w:r>
      <w:r>
        <w:rPr>
          <w:spacing w:val="-6"/>
          <w:sz w:val="24"/>
        </w:rPr>
        <w:t> </w:t>
      </w:r>
      <w:r>
        <w:rPr>
          <w:sz w:val="24"/>
        </w:rPr>
        <w:t>2003;8:233-47.</w:t>
      </w:r>
    </w:p>
    <w:p>
      <w:pPr>
        <w:pStyle w:val="ListParagraph"/>
        <w:numPr>
          <w:ilvl w:val="0"/>
          <w:numId w:val="24"/>
        </w:numPr>
        <w:tabs>
          <w:tab w:pos="491" w:val="left" w:leader="none"/>
        </w:tabs>
        <w:spacing w:line="360" w:lineRule="auto" w:before="0" w:after="0"/>
        <w:ind w:left="118" w:right="111" w:firstLine="0"/>
        <w:jc w:val="both"/>
        <w:rPr>
          <w:sz w:val="24"/>
        </w:rPr>
      </w:pPr>
      <w:r>
        <w:rPr>
          <w:sz w:val="24"/>
        </w:rPr>
        <w:t>Ryan ME</w:t>
      </w:r>
      <w:r>
        <w:rPr>
          <w:position w:val="9"/>
          <w:sz w:val="16"/>
        </w:rPr>
        <w:t>1</w:t>
      </w:r>
      <w:r>
        <w:rPr>
          <w:sz w:val="24"/>
        </w:rPr>
        <w:t>, Carnu O, Kamer A. The influence of diabetes on the periodontal tissues. J Am Dent Assoc.</w:t>
      </w:r>
      <w:r>
        <w:rPr>
          <w:spacing w:val="-2"/>
          <w:sz w:val="24"/>
        </w:rPr>
        <w:t> </w:t>
      </w:r>
      <w:r>
        <w:rPr>
          <w:sz w:val="24"/>
        </w:rPr>
        <w:t>2003;134:34S-40S.</w:t>
      </w:r>
    </w:p>
    <w:p>
      <w:pPr>
        <w:pStyle w:val="ListParagraph"/>
        <w:numPr>
          <w:ilvl w:val="0"/>
          <w:numId w:val="24"/>
        </w:numPr>
        <w:tabs>
          <w:tab w:pos="498" w:val="left" w:leader="none"/>
        </w:tabs>
        <w:spacing w:line="360" w:lineRule="auto" w:before="4" w:after="0"/>
        <w:ind w:left="118" w:right="108" w:firstLine="0"/>
        <w:jc w:val="both"/>
        <w:rPr>
          <w:sz w:val="24"/>
        </w:rPr>
      </w:pPr>
      <w:r>
        <w:rPr>
          <w:sz w:val="24"/>
        </w:rPr>
        <w:t>The American Academy of Periodontology. Parameter on systemic conditions affected by periodontal diseases. American Academy of Periodontology. J Periodontol.</w:t>
      </w:r>
      <w:r>
        <w:rPr>
          <w:spacing w:val="-12"/>
          <w:sz w:val="24"/>
        </w:rPr>
        <w:t> </w:t>
      </w:r>
      <w:r>
        <w:rPr>
          <w:sz w:val="24"/>
        </w:rPr>
        <w:t>2000;71(5):880-3.</w:t>
      </w:r>
    </w:p>
    <w:p>
      <w:pPr>
        <w:pStyle w:val="ListParagraph"/>
        <w:numPr>
          <w:ilvl w:val="0"/>
          <w:numId w:val="24"/>
        </w:numPr>
        <w:tabs>
          <w:tab w:pos="501" w:val="left" w:leader="none"/>
        </w:tabs>
        <w:spacing w:line="360" w:lineRule="auto" w:before="4" w:after="0"/>
        <w:ind w:left="118" w:right="113" w:firstLine="0"/>
        <w:jc w:val="both"/>
        <w:rPr>
          <w:sz w:val="24"/>
        </w:rPr>
      </w:pPr>
      <w:r>
        <w:rPr>
          <w:sz w:val="24"/>
        </w:rPr>
        <w:t>Taylor GW, Manz MC, Borgnakke WS. Diabetes, periodontal diseases, dental caries, and tooth loss: a review of the literature. Compend Contin Educ Dent. 2004</w:t>
      </w:r>
      <w:r>
        <w:rPr>
          <w:spacing w:val="-10"/>
          <w:sz w:val="24"/>
        </w:rPr>
        <w:t> </w:t>
      </w:r>
      <w:r>
        <w:rPr>
          <w:sz w:val="24"/>
        </w:rPr>
        <w:t>Mar;25(3):179-84</w:t>
      </w:r>
    </w:p>
    <w:p>
      <w:pPr>
        <w:pStyle w:val="ListParagraph"/>
        <w:numPr>
          <w:ilvl w:val="0"/>
          <w:numId w:val="24"/>
        </w:numPr>
        <w:tabs>
          <w:tab w:pos="486" w:val="left" w:leader="none"/>
        </w:tabs>
        <w:spacing w:line="360" w:lineRule="auto" w:before="4" w:after="0"/>
        <w:ind w:left="118" w:right="109" w:firstLine="0"/>
        <w:jc w:val="both"/>
        <w:rPr>
          <w:sz w:val="24"/>
        </w:rPr>
      </w:pPr>
      <w:r>
        <w:rPr>
          <w:sz w:val="24"/>
        </w:rPr>
        <w:t>Gutiérrez-Hernández G, de la Cruz de la Cruz D, Hernández-Castillo L. Estado periodontal e higiene dental en diabéticos. Salud en Tabasco 20111763-70. Disponible en: </w:t>
      </w:r>
      <w:hyperlink r:id="rId24">
        <w:r>
          <w:rPr>
            <w:b/>
            <w:sz w:val="24"/>
            <w:u w:val="thick"/>
          </w:rPr>
          <w:t>http://www.redalyc.org/articulo.oa?id=48722325004.</w:t>
        </w:r>
        <w:r>
          <w:rPr>
            <w:b/>
            <w:spacing w:val="-13"/>
            <w:sz w:val="24"/>
            <w:u w:val="thick"/>
          </w:rPr>
          <w:t> </w:t>
        </w:r>
      </w:hyperlink>
      <w:r>
        <w:rPr>
          <w:sz w:val="24"/>
        </w:rPr>
        <w:t>Fecha</w:t>
      </w:r>
      <w:r>
        <w:rPr>
          <w:spacing w:val="-13"/>
          <w:sz w:val="24"/>
        </w:rPr>
        <w:t> </w:t>
      </w:r>
      <w:r>
        <w:rPr>
          <w:sz w:val="24"/>
        </w:rPr>
        <w:t>de</w:t>
      </w:r>
      <w:r>
        <w:rPr>
          <w:spacing w:val="-13"/>
          <w:sz w:val="24"/>
        </w:rPr>
        <w:t> </w:t>
      </w:r>
      <w:r>
        <w:rPr>
          <w:sz w:val="24"/>
        </w:rPr>
        <w:t>consulta:</w:t>
      </w:r>
      <w:r>
        <w:rPr>
          <w:spacing w:val="-12"/>
          <w:sz w:val="24"/>
        </w:rPr>
        <w:t> </w:t>
      </w:r>
      <w:r>
        <w:rPr>
          <w:sz w:val="24"/>
        </w:rPr>
        <w:t>11</w:t>
      </w:r>
      <w:r>
        <w:rPr>
          <w:spacing w:val="-14"/>
          <w:sz w:val="24"/>
        </w:rPr>
        <w:t> </w:t>
      </w:r>
      <w:r>
        <w:rPr>
          <w:sz w:val="24"/>
        </w:rPr>
        <w:t>de</w:t>
      </w:r>
      <w:r>
        <w:rPr>
          <w:spacing w:val="-15"/>
          <w:sz w:val="24"/>
        </w:rPr>
        <w:t> </w:t>
      </w:r>
      <w:r>
        <w:rPr>
          <w:sz w:val="24"/>
        </w:rPr>
        <w:t>mayo</w:t>
      </w:r>
      <w:r>
        <w:rPr>
          <w:spacing w:val="-12"/>
          <w:sz w:val="24"/>
        </w:rPr>
        <w:t> </w:t>
      </w:r>
      <w:r>
        <w:rPr>
          <w:sz w:val="24"/>
        </w:rPr>
        <w:t>de</w:t>
      </w:r>
      <w:r>
        <w:rPr>
          <w:spacing w:val="-13"/>
          <w:sz w:val="24"/>
        </w:rPr>
        <w:t> </w:t>
      </w:r>
      <w:r>
        <w:rPr>
          <w:sz w:val="24"/>
        </w:rPr>
        <w:t>2015.</w:t>
      </w:r>
    </w:p>
    <w:p>
      <w:pPr>
        <w:pStyle w:val="ListParagraph"/>
        <w:numPr>
          <w:ilvl w:val="0"/>
          <w:numId w:val="24"/>
        </w:numPr>
        <w:tabs>
          <w:tab w:pos="499" w:val="left" w:leader="none"/>
        </w:tabs>
        <w:spacing w:line="240" w:lineRule="auto" w:before="4" w:after="0"/>
        <w:ind w:left="118" w:right="115" w:firstLine="0"/>
        <w:jc w:val="both"/>
        <w:rPr>
          <w:sz w:val="24"/>
        </w:rPr>
      </w:pPr>
      <w:r>
        <w:rPr>
          <w:sz w:val="24"/>
        </w:rPr>
        <w:t>Taylor GW. Bidirectional interrelationships between diabetes and periodontal diseases: an epidemiologic perspective. Ann Periodontol.</w:t>
      </w:r>
      <w:r>
        <w:rPr>
          <w:spacing w:val="-9"/>
          <w:sz w:val="24"/>
        </w:rPr>
        <w:t> </w:t>
      </w:r>
      <w:r>
        <w:rPr>
          <w:sz w:val="24"/>
        </w:rPr>
        <w:t>2001;6(1):99-112.</w:t>
      </w:r>
    </w:p>
    <w:p>
      <w:pPr>
        <w:pStyle w:val="ListParagraph"/>
        <w:numPr>
          <w:ilvl w:val="0"/>
          <w:numId w:val="24"/>
        </w:numPr>
        <w:tabs>
          <w:tab w:pos="503" w:val="left" w:leader="none"/>
        </w:tabs>
        <w:spacing w:line="240" w:lineRule="auto" w:before="0" w:after="0"/>
        <w:ind w:left="118" w:right="110" w:firstLine="0"/>
        <w:jc w:val="both"/>
        <w:rPr>
          <w:sz w:val="24"/>
        </w:rPr>
      </w:pPr>
      <w:r>
        <w:rPr>
          <w:sz w:val="24"/>
        </w:rPr>
        <w:t>Gossi SG. Treatment of periodontal disease and control of diabetes: an assessment of the evidence and need for future research. Ann Periodontol.</w:t>
      </w:r>
      <w:r>
        <w:rPr>
          <w:spacing w:val="-9"/>
          <w:sz w:val="24"/>
        </w:rPr>
        <w:t> </w:t>
      </w:r>
      <w:r>
        <w:rPr>
          <w:sz w:val="24"/>
        </w:rPr>
        <w:t>2001;6(1):138-45.</w:t>
      </w:r>
    </w:p>
    <w:p>
      <w:pPr>
        <w:spacing w:after="0" w:line="240" w:lineRule="auto"/>
        <w:jc w:val="both"/>
        <w:rPr>
          <w:sz w:val="24"/>
        </w:rPr>
        <w:sectPr>
          <w:pgSz w:w="11910" w:h="16840"/>
          <w:pgMar w:header="731" w:footer="0" w:top="960" w:bottom="280" w:left="1300" w:right="1160"/>
        </w:sectPr>
      </w:pPr>
    </w:p>
    <w:p>
      <w:pPr>
        <w:pStyle w:val="BodyText"/>
        <w:rPr>
          <w:sz w:val="20"/>
        </w:rPr>
      </w:pPr>
    </w:p>
    <w:p>
      <w:pPr>
        <w:pStyle w:val="Heading1"/>
        <w:spacing w:before="215"/>
        <w:ind w:left="118" w:firstLine="0"/>
        <w:jc w:val="both"/>
      </w:pPr>
      <w:r>
        <w:rPr/>
        <w:t>10 . Anexos</w:t>
      </w:r>
    </w:p>
    <w:p>
      <w:pPr>
        <w:pStyle w:val="BodyText"/>
        <w:rPr>
          <w:b/>
          <w:sz w:val="28"/>
        </w:rPr>
      </w:pPr>
    </w:p>
    <w:p>
      <w:pPr>
        <w:pStyle w:val="BodyText"/>
        <w:spacing w:before="10"/>
        <w:rPr>
          <w:b/>
          <w:sz w:val="23"/>
        </w:rPr>
      </w:pPr>
    </w:p>
    <w:p>
      <w:pPr>
        <w:pStyle w:val="Heading3"/>
        <w:ind w:left="118"/>
      </w:pPr>
      <w:r>
        <w:rPr/>
        <w:drawing>
          <wp:anchor distT="0" distB="0" distL="0" distR="0" allowOverlap="1" layoutInCell="1" locked="0" behindDoc="0" simplePos="0" relativeHeight="1216">
            <wp:simplePos x="0" y="0"/>
            <wp:positionH relativeFrom="page">
              <wp:posOffset>5908547</wp:posOffset>
            </wp:positionH>
            <wp:positionV relativeFrom="paragraph">
              <wp:posOffset>282233</wp:posOffset>
            </wp:positionV>
            <wp:extent cx="890016" cy="890016"/>
            <wp:effectExtent l="0" t="0" r="0" b="0"/>
            <wp:wrapNone/>
            <wp:docPr id="7" name="image3.jpeg" descr=""/>
            <wp:cNvGraphicFramePr>
              <a:graphicFrameLocks noChangeAspect="1"/>
            </wp:cNvGraphicFramePr>
            <a:graphic>
              <a:graphicData uri="http://schemas.openxmlformats.org/drawingml/2006/picture">
                <pic:pic>
                  <pic:nvPicPr>
                    <pic:cNvPr id="8" name="image3.jpeg"/>
                    <pic:cNvPicPr/>
                  </pic:nvPicPr>
                  <pic:blipFill>
                    <a:blip r:embed="rId25" cstate="print"/>
                    <a:stretch>
                      <a:fillRect/>
                    </a:stretch>
                  </pic:blipFill>
                  <pic:spPr>
                    <a:xfrm>
                      <a:off x="0" y="0"/>
                      <a:ext cx="890016" cy="890016"/>
                    </a:xfrm>
                    <a:prstGeom prst="rect">
                      <a:avLst/>
                    </a:prstGeom>
                  </pic:spPr>
                </pic:pic>
              </a:graphicData>
            </a:graphic>
          </wp:anchor>
        </w:drawing>
      </w:r>
      <w:r>
        <w:rPr/>
        <w:t>10.1 Anexo 1. CARTA DE CONSENTIMIENTO BAJO INFORMACIÓN</w:t>
      </w:r>
    </w:p>
    <w:p>
      <w:pPr>
        <w:pStyle w:val="BodyText"/>
        <w:rPr>
          <w:b/>
        </w:rPr>
      </w:pPr>
    </w:p>
    <w:p>
      <w:pPr>
        <w:pStyle w:val="BodyText"/>
        <w:rPr>
          <w:b/>
        </w:rPr>
      </w:pPr>
    </w:p>
    <w:p>
      <w:pPr>
        <w:spacing w:before="199"/>
        <w:ind w:left="1587" w:right="1628" w:firstLine="0"/>
        <w:jc w:val="left"/>
        <w:rPr>
          <w:b/>
          <w:sz w:val="24"/>
        </w:rPr>
      </w:pPr>
      <w:r>
        <w:rPr/>
        <w:drawing>
          <wp:anchor distT="0" distB="0" distL="0" distR="0" allowOverlap="1" layoutInCell="1" locked="0" behindDoc="0" simplePos="0" relativeHeight="1192">
            <wp:simplePos x="0" y="0"/>
            <wp:positionH relativeFrom="page">
              <wp:posOffset>918972</wp:posOffset>
            </wp:positionH>
            <wp:positionV relativeFrom="paragraph">
              <wp:posOffset>10834</wp:posOffset>
            </wp:positionV>
            <wp:extent cx="786384" cy="723900"/>
            <wp:effectExtent l="0" t="0" r="0" b="0"/>
            <wp:wrapNone/>
            <wp:docPr id="9" name="image4.png" descr=""/>
            <wp:cNvGraphicFramePr>
              <a:graphicFrameLocks noChangeAspect="1"/>
            </wp:cNvGraphicFramePr>
            <a:graphic>
              <a:graphicData uri="http://schemas.openxmlformats.org/drawingml/2006/picture">
                <pic:pic>
                  <pic:nvPicPr>
                    <pic:cNvPr id="10" name="image4.png"/>
                    <pic:cNvPicPr/>
                  </pic:nvPicPr>
                  <pic:blipFill>
                    <a:blip r:embed="rId26" cstate="print"/>
                    <a:stretch>
                      <a:fillRect/>
                    </a:stretch>
                  </pic:blipFill>
                  <pic:spPr>
                    <a:xfrm>
                      <a:off x="0" y="0"/>
                      <a:ext cx="786384" cy="723900"/>
                    </a:xfrm>
                    <a:prstGeom prst="rect">
                      <a:avLst/>
                    </a:prstGeom>
                  </pic:spPr>
                </pic:pic>
              </a:graphicData>
            </a:graphic>
          </wp:anchor>
        </w:drawing>
      </w:r>
      <w:r>
        <w:rPr>
          <w:b/>
          <w:sz w:val="24"/>
        </w:rPr>
        <w:t>UNIVERSIDAD AUTONOMA DEL ESTADO DE MEXICO CENTRO DE INVESTIGACIÓN EN CIENCIAS MÉDICAS</w:t>
      </w:r>
    </w:p>
    <w:p>
      <w:pPr>
        <w:pStyle w:val="BodyText"/>
        <w:rPr>
          <w:b/>
        </w:rPr>
      </w:pPr>
    </w:p>
    <w:p>
      <w:pPr>
        <w:pStyle w:val="BodyText"/>
        <w:spacing w:before="10"/>
        <w:rPr>
          <w:b/>
          <w:sz w:val="20"/>
        </w:rPr>
      </w:pPr>
    </w:p>
    <w:p>
      <w:pPr>
        <w:spacing w:before="0"/>
        <w:ind w:left="1664" w:right="1628" w:firstLine="0"/>
        <w:jc w:val="left"/>
        <w:rPr>
          <w:b/>
          <w:sz w:val="24"/>
        </w:rPr>
      </w:pPr>
      <w:r>
        <w:rPr>
          <w:b/>
          <w:sz w:val="24"/>
        </w:rPr>
        <w:t>CARTA DE CONSENTIMIENTO BAJO INFORMACION</w:t>
      </w:r>
    </w:p>
    <w:p>
      <w:pPr>
        <w:pStyle w:val="BodyText"/>
        <w:spacing w:before="6"/>
        <w:rPr>
          <w:b/>
          <w:sz w:val="23"/>
        </w:rPr>
      </w:pPr>
    </w:p>
    <w:p>
      <w:pPr>
        <w:spacing w:before="0"/>
        <w:ind w:left="118" w:right="169" w:firstLine="0"/>
        <w:jc w:val="both"/>
        <w:rPr>
          <w:sz w:val="24"/>
        </w:rPr>
      </w:pPr>
      <w:r>
        <w:rPr>
          <w:sz w:val="24"/>
        </w:rPr>
        <w:t>Proyecto de Investigación: “</w:t>
      </w:r>
      <w:r>
        <w:rPr>
          <w:b/>
          <w:sz w:val="24"/>
        </w:rPr>
        <w:t>Evaluación de las concentraciones salivales de IL-6 y MPO en pacientes con Enfermedad Periodontal en pacientes con y sin Diabetes Mellitus tipo 2”</w:t>
      </w:r>
      <w:r>
        <w:rPr>
          <w:sz w:val="24"/>
        </w:rPr>
        <w:t>.</w:t>
      </w:r>
    </w:p>
    <w:p>
      <w:pPr>
        <w:pStyle w:val="BodyText"/>
      </w:pPr>
    </w:p>
    <w:p>
      <w:pPr>
        <w:pStyle w:val="BodyText"/>
        <w:ind w:left="118" w:right="176"/>
        <w:jc w:val="both"/>
      </w:pPr>
      <w:r>
        <w:rPr/>
        <w:t>Investigadores: E.OP Diana G. Guadarrama López, Dra. En C. S. Patricia Cerecero Aguirre (UAEMex).</w:t>
      </w:r>
    </w:p>
    <w:p>
      <w:pPr>
        <w:pStyle w:val="BodyText"/>
        <w:spacing w:before="10"/>
        <w:rPr>
          <w:sz w:val="20"/>
        </w:rPr>
      </w:pPr>
    </w:p>
    <w:p>
      <w:pPr>
        <w:pStyle w:val="BodyText"/>
        <w:ind w:left="118" w:right="172"/>
        <w:jc w:val="both"/>
      </w:pPr>
      <w:r>
        <w:rPr/>
        <w:t>La Facultad de Medicina y el Centro de Investigaciones en Ciencias Médicas de la Universidad Autónoma</w:t>
      </w:r>
      <w:r>
        <w:rPr>
          <w:spacing w:val="-7"/>
        </w:rPr>
        <w:t> </w:t>
      </w:r>
      <w:r>
        <w:rPr/>
        <w:t>del</w:t>
      </w:r>
      <w:r>
        <w:rPr>
          <w:spacing w:val="-6"/>
        </w:rPr>
        <w:t> </w:t>
      </w:r>
      <w:r>
        <w:rPr/>
        <w:t>Estado</w:t>
      </w:r>
      <w:r>
        <w:rPr>
          <w:spacing w:val="-7"/>
        </w:rPr>
        <w:t> </w:t>
      </w:r>
      <w:r>
        <w:rPr/>
        <w:t>de</w:t>
      </w:r>
      <w:r>
        <w:rPr>
          <w:spacing w:val="-5"/>
        </w:rPr>
        <w:t> </w:t>
      </w:r>
      <w:r>
        <w:rPr/>
        <w:t>México</w:t>
      </w:r>
      <w:r>
        <w:rPr>
          <w:spacing w:val="-7"/>
        </w:rPr>
        <w:t> </w:t>
      </w:r>
      <w:r>
        <w:rPr/>
        <w:t>en</w:t>
      </w:r>
      <w:r>
        <w:rPr>
          <w:spacing w:val="-6"/>
        </w:rPr>
        <w:t> </w:t>
      </w:r>
      <w:r>
        <w:rPr/>
        <w:t>colaboración</w:t>
      </w:r>
      <w:r>
        <w:rPr>
          <w:spacing w:val="-6"/>
        </w:rPr>
        <w:t> </w:t>
      </w:r>
      <w:r>
        <w:rPr/>
        <w:t>con</w:t>
      </w:r>
      <w:r>
        <w:rPr>
          <w:spacing w:val="-6"/>
        </w:rPr>
        <w:t> </w:t>
      </w:r>
      <w:r>
        <w:rPr/>
        <w:t>el</w:t>
      </w:r>
      <w:r>
        <w:rPr>
          <w:spacing w:val="-3"/>
        </w:rPr>
        <w:t> </w:t>
      </w:r>
      <w:r>
        <w:rPr/>
        <w:t>Instituto</w:t>
      </w:r>
      <w:r>
        <w:rPr>
          <w:spacing w:val="-6"/>
        </w:rPr>
        <w:t> </w:t>
      </w:r>
      <w:r>
        <w:rPr/>
        <w:t>de</w:t>
      </w:r>
      <w:r>
        <w:rPr>
          <w:spacing w:val="-7"/>
        </w:rPr>
        <w:t> </w:t>
      </w:r>
      <w:r>
        <w:rPr/>
        <w:t>Salud</w:t>
      </w:r>
      <w:r>
        <w:rPr>
          <w:spacing w:val="-6"/>
        </w:rPr>
        <w:t> </w:t>
      </w:r>
      <w:r>
        <w:rPr/>
        <w:t>del</w:t>
      </w:r>
      <w:r>
        <w:rPr>
          <w:spacing w:val="-6"/>
        </w:rPr>
        <w:t> </w:t>
      </w:r>
      <w:r>
        <w:rPr/>
        <w:t>Estado</w:t>
      </w:r>
      <w:r>
        <w:rPr>
          <w:spacing w:val="-7"/>
        </w:rPr>
        <w:t> </w:t>
      </w:r>
      <w:r>
        <w:rPr/>
        <w:t>de</w:t>
      </w:r>
      <w:r>
        <w:rPr>
          <w:spacing w:val="-4"/>
        </w:rPr>
        <w:t> </w:t>
      </w:r>
      <w:r>
        <w:rPr/>
        <w:t>México (ISEM) llevará a cabo un estudio en pacientes con y sin diabetes mellitus tipo 2 y enfermedad periodontal residentes del Valle de</w:t>
      </w:r>
      <w:r>
        <w:rPr>
          <w:spacing w:val="-7"/>
        </w:rPr>
        <w:t> </w:t>
      </w:r>
      <w:r>
        <w:rPr/>
        <w:t>Toluca.</w:t>
      </w:r>
    </w:p>
    <w:p>
      <w:pPr>
        <w:pStyle w:val="BodyText"/>
        <w:spacing w:before="3"/>
        <w:rPr>
          <w:sz w:val="21"/>
        </w:rPr>
      </w:pPr>
    </w:p>
    <w:p>
      <w:pPr>
        <w:pStyle w:val="Heading3"/>
        <w:ind w:left="118"/>
      </w:pPr>
      <w:r>
        <w:rPr/>
        <w:t>Propósito del estudio</w:t>
      </w:r>
    </w:p>
    <w:p>
      <w:pPr>
        <w:pStyle w:val="BodyText"/>
        <w:spacing w:before="5"/>
        <w:rPr>
          <w:b/>
          <w:sz w:val="20"/>
        </w:rPr>
      </w:pPr>
    </w:p>
    <w:p>
      <w:pPr>
        <w:pStyle w:val="BodyText"/>
        <w:ind w:left="118" w:right="170"/>
        <w:jc w:val="both"/>
      </w:pPr>
      <w:r>
        <w:rPr/>
        <w:t>Esta investigación abarca el estudio de la enfermedad periodontal, la cual básicamente consiste en la destrucción progresiva de los tejidos de soporte de los dientes que ocasiona la pérdida gradual</w:t>
      </w:r>
      <w:r>
        <w:rPr>
          <w:spacing w:val="-11"/>
        </w:rPr>
        <w:t> </w:t>
      </w:r>
      <w:r>
        <w:rPr/>
        <w:t>de</w:t>
      </w:r>
      <w:r>
        <w:rPr>
          <w:spacing w:val="-12"/>
        </w:rPr>
        <w:t> </w:t>
      </w:r>
      <w:r>
        <w:rPr/>
        <w:t>los</w:t>
      </w:r>
      <w:r>
        <w:rPr>
          <w:spacing w:val="-10"/>
        </w:rPr>
        <w:t> </w:t>
      </w:r>
      <w:r>
        <w:rPr/>
        <w:t>mismos.</w:t>
      </w:r>
      <w:r>
        <w:rPr>
          <w:spacing w:val="-11"/>
        </w:rPr>
        <w:t> </w:t>
      </w:r>
      <w:r>
        <w:rPr/>
        <w:t>Debido</w:t>
      </w:r>
      <w:r>
        <w:rPr>
          <w:spacing w:val="-11"/>
        </w:rPr>
        <w:t> </w:t>
      </w:r>
      <w:r>
        <w:rPr/>
        <w:t>a</w:t>
      </w:r>
      <w:r>
        <w:rPr>
          <w:spacing w:val="-12"/>
        </w:rPr>
        <w:t> </w:t>
      </w:r>
      <w:r>
        <w:rPr/>
        <w:t>que</w:t>
      </w:r>
      <w:r>
        <w:rPr>
          <w:spacing w:val="-12"/>
        </w:rPr>
        <w:t> </w:t>
      </w:r>
      <w:r>
        <w:rPr/>
        <w:t>esta</w:t>
      </w:r>
      <w:r>
        <w:rPr>
          <w:spacing w:val="-11"/>
        </w:rPr>
        <w:t> </w:t>
      </w:r>
      <w:r>
        <w:rPr/>
        <w:t>enfermedad</w:t>
      </w:r>
      <w:r>
        <w:rPr>
          <w:spacing w:val="-11"/>
        </w:rPr>
        <w:t> </w:t>
      </w:r>
      <w:r>
        <w:rPr/>
        <w:t>es</w:t>
      </w:r>
      <w:r>
        <w:rPr>
          <w:spacing w:val="-11"/>
        </w:rPr>
        <w:t> </w:t>
      </w:r>
      <w:r>
        <w:rPr/>
        <w:t>muy</w:t>
      </w:r>
      <w:r>
        <w:rPr>
          <w:spacing w:val="-16"/>
        </w:rPr>
        <w:t> </w:t>
      </w:r>
      <w:r>
        <w:rPr/>
        <w:t>frecuente</w:t>
      </w:r>
      <w:r>
        <w:rPr>
          <w:spacing w:val="-11"/>
        </w:rPr>
        <w:t> </w:t>
      </w:r>
      <w:r>
        <w:rPr/>
        <w:t>(seis</w:t>
      </w:r>
      <w:r>
        <w:rPr>
          <w:spacing w:val="-11"/>
        </w:rPr>
        <w:t> </w:t>
      </w:r>
      <w:r>
        <w:rPr/>
        <w:t>de</w:t>
      </w:r>
      <w:r>
        <w:rPr>
          <w:spacing w:val="-12"/>
        </w:rPr>
        <w:t> </w:t>
      </w:r>
      <w:r>
        <w:rPr/>
        <w:t>cada</w:t>
      </w:r>
      <w:r>
        <w:rPr>
          <w:spacing w:val="-12"/>
        </w:rPr>
        <w:t> </w:t>
      </w:r>
      <w:r>
        <w:rPr/>
        <w:t>diez</w:t>
      </w:r>
      <w:r>
        <w:rPr>
          <w:spacing w:val="-10"/>
        </w:rPr>
        <w:t> </w:t>
      </w:r>
      <w:r>
        <w:rPr/>
        <w:t>adultos la padecen), es la primera causa de pérdida de los dientes en la edad adulta. De tal manera, motivados por la alta prevalencia de este padecimiento en nuestro medio, hemos diseñado este estudio,</w:t>
      </w:r>
      <w:r>
        <w:rPr>
          <w:spacing w:val="-7"/>
        </w:rPr>
        <w:t> </w:t>
      </w:r>
      <w:r>
        <w:rPr/>
        <w:t>que</w:t>
      </w:r>
      <w:r>
        <w:rPr>
          <w:spacing w:val="-8"/>
        </w:rPr>
        <w:t> </w:t>
      </w:r>
      <w:r>
        <w:rPr/>
        <w:t>nos</w:t>
      </w:r>
      <w:r>
        <w:rPr>
          <w:spacing w:val="-7"/>
        </w:rPr>
        <w:t> </w:t>
      </w:r>
      <w:r>
        <w:rPr/>
        <w:t>permitirá</w:t>
      </w:r>
      <w:r>
        <w:rPr>
          <w:spacing w:val="-8"/>
        </w:rPr>
        <w:t> </w:t>
      </w:r>
      <w:r>
        <w:rPr/>
        <w:t>conocer</w:t>
      </w:r>
      <w:r>
        <w:rPr>
          <w:spacing w:val="-8"/>
        </w:rPr>
        <w:t> </w:t>
      </w:r>
      <w:r>
        <w:rPr/>
        <w:t>más</w:t>
      </w:r>
      <w:r>
        <w:rPr>
          <w:spacing w:val="-8"/>
        </w:rPr>
        <w:t> </w:t>
      </w:r>
      <w:r>
        <w:rPr/>
        <w:t>a</w:t>
      </w:r>
      <w:r>
        <w:rPr>
          <w:spacing w:val="-8"/>
        </w:rPr>
        <w:t> </w:t>
      </w:r>
      <w:r>
        <w:rPr/>
        <w:t>fondo</w:t>
      </w:r>
      <w:r>
        <w:rPr>
          <w:spacing w:val="-8"/>
        </w:rPr>
        <w:t> </w:t>
      </w:r>
      <w:r>
        <w:rPr/>
        <w:t>el</w:t>
      </w:r>
      <w:r>
        <w:rPr>
          <w:spacing w:val="-7"/>
        </w:rPr>
        <w:t> </w:t>
      </w:r>
      <w:r>
        <w:rPr/>
        <w:t>estado</w:t>
      </w:r>
      <w:r>
        <w:rPr>
          <w:spacing w:val="-7"/>
        </w:rPr>
        <w:t> </w:t>
      </w:r>
      <w:r>
        <w:rPr/>
        <w:t>de</w:t>
      </w:r>
      <w:r>
        <w:rPr>
          <w:spacing w:val="-8"/>
        </w:rPr>
        <w:t> </w:t>
      </w:r>
      <w:r>
        <w:rPr/>
        <w:t>algunos</w:t>
      </w:r>
      <w:r>
        <w:rPr>
          <w:spacing w:val="-7"/>
        </w:rPr>
        <w:t> </w:t>
      </w:r>
      <w:r>
        <w:rPr/>
        <w:t>mecanismos</w:t>
      </w:r>
      <w:r>
        <w:rPr>
          <w:spacing w:val="-7"/>
        </w:rPr>
        <w:t> </w:t>
      </w:r>
      <w:r>
        <w:rPr/>
        <w:t>subyacentes</w:t>
      </w:r>
      <w:r>
        <w:rPr>
          <w:spacing w:val="-7"/>
        </w:rPr>
        <w:t> </w:t>
      </w:r>
      <w:r>
        <w:rPr/>
        <w:t>de defensa, así como la identificación de algunos indicadores de inflamación crónica en pacientes con y sin diabetes mellitus tipo</w:t>
      </w:r>
      <w:r>
        <w:rPr>
          <w:spacing w:val="-7"/>
        </w:rPr>
        <w:t> </w:t>
      </w:r>
      <w:r>
        <w:rPr/>
        <w:t>2.</w:t>
      </w:r>
    </w:p>
    <w:p>
      <w:pPr>
        <w:pStyle w:val="BodyText"/>
        <w:spacing w:before="10"/>
        <w:rPr>
          <w:sz w:val="20"/>
        </w:rPr>
      </w:pPr>
    </w:p>
    <w:p>
      <w:pPr>
        <w:pStyle w:val="BodyText"/>
        <w:ind w:left="118" w:right="172"/>
        <w:jc w:val="both"/>
      </w:pPr>
      <w:r>
        <w:rPr/>
        <w:t>Después</w:t>
      </w:r>
      <w:r>
        <w:rPr>
          <w:spacing w:val="-6"/>
        </w:rPr>
        <w:t> </w:t>
      </w:r>
      <w:r>
        <w:rPr/>
        <w:t>de</w:t>
      </w:r>
      <w:r>
        <w:rPr>
          <w:spacing w:val="-5"/>
        </w:rPr>
        <w:t> </w:t>
      </w:r>
      <w:r>
        <w:rPr/>
        <w:t>leer</w:t>
      </w:r>
      <w:r>
        <w:rPr>
          <w:spacing w:val="-5"/>
        </w:rPr>
        <w:t> </w:t>
      </w:r>
      <w:r>
        <w:rPr/>
        <w:t>la</w:t>
      </w:r>
      <w:r>
        <w:rPr>
          <w:spacing w:val="-7"/>
        </w:rPr>
        <w:t> </w:t>
      </w:r>
      <w:r>
        <w:rPr/>
        <w:t>siguiente</w:t>
      </w:r>
      <w:r>
        <w:rPr>
          <w:spacing w:val="-7"/>
        </w:rPr>
        <w:t> </w:t>
      </w:r>
      <w:r>
        <w:rPr/>
        <w:t>carta,</w:t>
      </w:r>
      <w:r>
        <w:rPr>
          <w:spacing w:val="-6"/>
        </w:rPr>
        <w:t> </w:t>
      </w:r>
      <w:r>
        <w:rPr/>
        <w:t>por</w:t>
      </w:r>
      <w:r>
        <w:rPr>
          <w:spacing w:val="-7"/>
        </w:rPr>
        <w:t> </w:t>
      </w:r>
      <w:r>
        <w:rPr/>
        <w:t>favor</w:t>
      </w:r>
      <w:r>
        <w:rPr>
          <w:spacing w:val="-7"/>
        </w:rPr>
        <w:t> </w:t>
      </w:r>
      <w:r>
        <w:rPr/>
        <w:t>indique</w:t>
      </w:r>
      <w:r>
        <w:rPr>
          <w:spacing w:val="-7"/>
        </w:rPr>
        <w:t> </w:t>
      </w:r>
      <w:r>
        <w:rPr/>
        <w:t>si</w:t>
      </w:r>
      <w:r>
        <w:rPr>
          <w:spacing w:val="-6"/>
        </w:rPr>
        <w:t> </w:t>
      </w:r>
      <w:r>
        <w:rPr/>
        <w:t>está</w:t>
      </w:r>
      <w:r>
        <w:rPr>
          <w:spacing w:val="-6"/>
        </w:rPr>
        <w:t> </w:t>
      </w:r>
      <w:r>
        <w:rPr/>
        <w:t>de</w:t>
      </w:r>
      <w:r>
        <w:rPr>
          <w:spacing w:val="-5"/>
        </w:rPr>
        <w:t> </w:t>
      </w:r>
      <w:r>
        <w:rPr/>
        <w:t>acuerdo</w:t>
      </w:r>
      <w:r>
        <w:rPr>
          <w:spacing w:val="-5"/>
        </w:rPr>
        <w:t> </w:t>
      </w:r>
      <w:r>
        <w:rPr/>
        <w:t>en</w:t>
      </w:r>
      <w:r>
        <w:rPr>
          <w:spacing w:val="-6"/>
        </w:rPr>
        <w:t> </w:t>
      </w:r>
      <w:r>
        <w:rPr/>
        <w:t>participar</w:t>
      </w:r>
      <w:r>
        <w:rPr>
          <w:spacing w:val="-5"/>
        </w:rPr>
        <w:t> </w:t>
      </w:r>
      <w:r>
        <w:rPr/>
        <w:t>en</w:t>
      </w:r>
      <w:r>
        <w:rPr>
          <w:spacing w:val="-6"/>
        </w:rPr>
        <w:t> </w:t>
      </w:r>
      <w:r>
        <w:rPr/>
        <w:t>el</w:t>
      </w:r>
      <w:r>
        <w:rPr>
          <w:spacing w:val="-3"/>
        </w:rPr>
        <w:t> </w:t>
      </w:r>
      <w:r>
        <w:rPr/>
        <w:t>estudio y de ser así firme el</w:t>
      </w:r>
      <w:r>
        <w:rPr>
          <w:spacing w:val="-5"/>
        </w:rPr>
        <w:t> </w:t>
      </w:r>
      <w:r>
        <w:rPr/>
        <w:t>documento.</w:t>
      </w:r>
    </w:p>
    <w:p>
      <w:pPr>
        <w:pStyle w:val="BodyText"/>
        <w:spacing w:before="4"/>
      </w:pPr>
    </w:p>
    <w:p>
      <w:pPr>
        <w:pStyle w:val="Heading3"/>
        <w:spacing w:before="1"/>
        <w:ind w:left="118"/>
      </w:pPr>
      <w:r>
        <w:rPr/>
        <w:t>Procedimientos.</w:t>
      </w:r>
    </w:p>
    <w:p>
      <w:pPr>
        <w:pStyle w:val="BodyText"/>
        <w:spacing w:before="5"/>
        <w:rPr>
          <w:b/>
          <w:sz w:val="20"/>
        </w:rPr>
      </w:pPr>
    </w:p>
    <w:p>
      <w:pPr>
        <w:pStyle w:val="BodyText"/>
        <w:spacing w:before="1"/>
        <w:ind w:left="118" w:right="179"/>
        <w:jc w:val="both"/>
      </w:pPr>
      <w:r>
        <w:rPr/>
        <w:t>La participación en el estudio es totalmente voluntaria y tiene la opción de rechazar o retirarse de la investigación en el momento que usted lo decida.</w:t>
      </w:r>
    </w:p>
    <w:p>
      <w:pPr>
        <w:pStyle w:val="BodyText"/>
        <w:spacing w:before="10"/>
        <w:rPr>
          <w:sz w:val="20"/>
        </w:rPr>
      </w:pPr>
    </w:p>
    <w:p>
      <w:pPr>
        <w:pStyle w:val="BodyText"/>
        <w:ind w:left="118" w:right="172"/>
        <w:jc w:val="both"/>
      </w:pPr>
      <w:r>
        <w:rPr/>
        <w:t>En</w:t>
      </w:r>
      <w:r>
        <w:rPr>
          <w:spacing w:val="-4"/>
        </w:rPr>
        <w:t> </w:t>
      </w:r>
      <w:r>
        <w:rPr/>
        <w:t>caso</w:t>
      </w:r>
      <w:r>
        <w:rPr>
          <w:spacing w:val="-4"/>
        </w:rPr>
        <w:t> </w:t>
      </w:r>
      <w:r>
        <w:rPr/>
        <w:t>de</w:t>
      </w:r>
      <w:r>
        <w:rPr>
          <w:spacing w:val="-5"/>
        </w:rPr>
        <w:t> </w:t>
      </w:r>
      <w:r>
        <w:rPr/>
        <w:t>aceptar</w:t>
      </w:r>
      <w:r>
        <w:rPr>
          <w:spacing w:val="-5"/>
        </w:rPr>
        <w:t> </w:t>
      </w:r>
      <w:r>
        <w:rPr/>
        <w:t>participar</w:t>
      </w:r>
      <w:r>
        <w:rPr>
          <w:spacing w:val="-5"/>
        </w:rPr>
        <w:t> </w:t>
      </w:r>
      <w:r>
        <w:rPr/>
        <w:t>en</w:t>
      </w:r>
      <w:r>
        <w:rPr>
          <w:spacing w:val="-4"/>
        </w:rPr>
        <w:t> </w:t>
      </w:r>
      <w:r>
        <w:rPr/>
        <w:t>el</w:t>
      </w:r>
      <w:r>
        <w:rPr>
          <w:spacing w:val="-3"/>
        </w:rPr>
        <w:t> </w:t>
      </w:r>
      <w:r>
        <w:rPr/>
        <w:t>estudio,</w:t>
      </w:r>
      <w:r>
        <w:rPr>
          <w:spacing w:val="-4"/>
        </w:rPr>
        <w:t> </w:t>
      </w:r>
      <w:r>
        <w:rPr/>
        <w:t>se</w:t>
      </w:r>
      <w:r>
        <w:rPr>
          <w:spacing w:val="-5"/>
        </w:rPr>
        <w:t> </w:t>
      </w:r>
      <w:r>
        <w:rPr/>
        <w:t>le</w:t>
      </w:r>
      <w:r>
        <w:rPr>
          <w:spacing w:val="-4"/>
        </w:rPr>
        <w:t> </w:t>
      </w:r>
      <w:r>
        <w:rPr/>
        <w:t>pedirá</w:t>
      </w:r>
      <w:r>
        <w:rPr>
          <w:spacing w:val="-5"/>
        </w:rPr>
        <w:t> </w:t>
      </w:r>
      <w:r>
        <w:rPr/>
        <w:t>presentarse</w:t>
      </w:r>
      <w:r>
        <w:rPr>
          <w:spacing w:val="-5"/>
        </w:rPr>
        <w:t> </w:t>
      </w:r>
      <w:r>
        <w:rPr/>
        <w:t>en</w:t>
      </w:r>
      <w:r>
        <w:rPr>
          <w:spacing w:val="-4"/>
        </w:rPr>
        <w:t> </w:t>
      </w:r>
      <w:r>
        <w:rPr/>
        <w:t>las</w:t>
      </w:r>
      <w:r>
        <w:rPr>
          <w:spacing w:val="-4"/>
        </w:rPr>
        <w:t> </w:t>
      </w:r>
      <w:r>
        <w:rPr/>
        <w:t>instalaciones</w:t>
      </w:r>
      <w:r>
        <w:rPr>
          <w:spacing w:val="-4"/>
        </w:rPr>
        <w:t> </w:t>
      </w:r>
      <w:r>
        <w:rPr/>
        <w:t>al</w:t>
      </w:r>
      <w:r>
        <w:rPr>
          <w:spacing w:val="-3"/>
        </w:rPr>
        <w:t> </w:t>
      </w:r>
      <w:r>
        <w:rPr/>
        <w:t>Centro de Investigación en Ciencias Médicas, en ayuno de 12 horas, sin aseo bucal y con ropa cómoda. Durante</w:t>
      </w:r>
      <w:r>
        <w:rPr>
          <w:spacing w:val="-9"/>
        </w:rPr>
        <w:t> </w:t>
      </w:r>
      <w:r>
        <w:rPr/>
        <w:t>esta</w:t>
      </w:r>
      <w:r>
        <w:rPr>
          <w:spacing w:val="-10"/>
        </w:rPr>
        <w:t> </w:t>
      </w:r>
      <w:r>
        <w:rPr/>
        <w:t>cita</w:t>
      </w:r>
      <w:r>
        <w:rPr>
          <w:spacing w:val="-10"/>
        </w:rPr>
        <w:t> </w:t>
      </w:r>
      <w:r>
        <w:rPr/>
        <w:t>se</w:t>
      </w:r>
      <w:r>
        <w:rPr>
          <w:spacing w:val="-7"/>
        </w:rPr>
        <w:t> </w:t>
      </w:r>
      <w:r>
        <w:rPr/>
        <w:t>realizarán</w:t>
      </w:r>
      <w:r>
        <w:rPr>
          <w:spacing w:val="-9"/>
        </w:rPr>
        <w:t> </w:t>
      </w:r>
      <w:r>
        <w:rPr/>
        <w:t>mediciones</w:t>
      </w:r>
      <w:r>
        <w:rPr>
          <w:spacing w:val="-8"/>
        </w:rPr>
        <w:t> </w:t>
      </w:r>
      <w:r>
        <w:rPr/>
        <w:t>de</w:t>
      </w:r>
      <w:r>
        <w:rPr>
          <w:spacing w:val="-10"/>
        </w:rPr>
        <w:t> </w:t>
      </w:r>
      <w:r>
        <w:rPr/>
        <w:t>peso</w:t>
      </w:r>
      <w:r>
        <w:rPr>
          <w:spacing w:val="-6"/>
        </w:rPr>
        <w:t> </w:t>
      </w:r>
      <w:r>
        <w:rPr/>
        <w:t>y</w:t>
      </w:r>
      <w:r>
        <w:rPr>
          <w:spacing w:val="-11"/>
        </w:rPr>
        <w:t> </w:t>
      </w:r>
      <w:r>
        <w:rPr/>
        <w:t>la</w:t>
      </w:r>
      <w:r>
        <w:rPr>
          <w:spacing w:val="-9"/>
        </w:rPr>
        <w:t> </w:t>
      </w:r>
      <w:r>
        <w:rPr/>
        <w:t>talla,</w:t>
      </w:r>
      <w:r>
        <w:rPr>
          <w:spacing w:val="-9"/>
        </w:rPr>
        <w:t> </w:t>
      </w:r>
      <w:r>
        <w:rPr/>
        <w:t>se</w:t>
      </w:r>
      <w:r>
        <w:rPr>
          <w:spacing w:val="-10"/>
        </w:rPr>
        <w:t> </w:t>
      </w:r>
      <w:r>
        <w:rPr/>
        <w:t>evaluará</w:t>
      </w:r>
      <w:r>
        <w:rPr>
          <w:spacing w:val="-10"/>
        </w:rPr>
        <w:t> </w:t>
      </w:r>
      <w:r>
        <w:rPr/>
        <w:t>su</w:t>
      </w:r>
      <w:r>
        <w:rPr>
          <w:spacing w:val="-6"/>
        </w:rPr>
        <w:t> </w:t>
      </w:r>
      <w:r>
        <w:rPr/>
        <w:t>estado</w:t>
      </w:r>
      <w:r>
        <w:rPr>
          <w:spacing w:val="-9"/>
        </w:rPr>
        <w:t> </w:t>
      </w:r>
      <w:r>
        <w:rPr/>
        <w:t>de</w:t>
      </w:r>
      <w:r>
        <w:rPr>
          <w:spacing w:val="-10"/>
        </w:rPr>
        <w:t> </w:t>
      </w:r>
      <w:r>
        <w:rPr/>
        <w:t>salud</w:t>
      </w:r>
      <w:r>
        <w:rPr>
          <w:spacing w:val="-8"/>
        </w:rPr>
        <w:t> </w:t>
      </w:r>
      <w:r>
        <w:rPr/>
        <w:t>bucal, se tomará una muestra de sangre y saliva. Además, se le pedirá contestar una serie de preguntas con respecto a su estado de salud general; el tiempo aproximado para contestar estas preguntas es de 10</w:t>
      </w:r>
      <w:r>
        <w:rPr>
          <w:spacing w:val="-3"/>
        </w:rPr>
        <w:t> </w:t>
      </w:r>
      <w:r>
        <w:rPr/>
        <w:t>minutos.</w:t>
      </w:r>
    </w:p>
    <w:p>
      <w:pPr>
        <w:spacing w:after="0"/>
        <w:jc w:val="both"/>
        <w:sectPr>
          <w:pgSz w:w="11910" w:h="16840"/>
          <w:pgMar w:header="731" w:footer="0" w:top="960" w:bottom="280" w:left="1300" w:right="1100"/>
        </w:sectPr>
      </w:pPr>
    </w:p>
    <w:p>
      <w:pPr>
        <w:pStyle w:val="BodyText"/>
        <w:rPr>
          <w:sz w:val="20"/>
        </w:rPr>
      </w:pPr>
    </w:p>
    <w:p>
      <w:pPr>
        <w:pStyle w:val="BodyText"/>
        <w:spacing w:before="209"/>
        <w:ind w:left="118" w:right="153"/>
        <w:jc w:val="both"/>
      </w:pPr>
      <w:r>
        <w:rPr/>
        <w:t>Para la exploración bucal se utilizarán instrumentos estériles; el tiempo aproximado para este procedimiento es de 30 minutos. </w:t>
      </w:r>
      <w:r>
        <w:rPr>
          <w:spacing w:val="-3"/>
        </w:rPr>
        <w:t>La </w:t>
      </w:r>
      <w:r>
        <w:rPr/>
        <w:t>revisión bucal podría ocasionar un ligero sangrado de la encía</w:t>
      </w:r>
      <w:r>
        <w:rPr>
          <w:spacing w:val="-12"/>
        </w:rPr>
        <w:t> </w:t>
      </w:r>
      <w:r>
        <w:rPr/>
        <w:t>al</w:t>
      </w:r>
      <w:r>
        <w:rPr>
          <w:spacing w:val="-13"/>
        </w:rPr>
        <w:t> </w:t>
      </w:r>
      <w:r>
        <w:rPr/>
        <w:t>momento</w:t>
      </w:r>
      <w:r>
        <w:rPr>
          <w:spacing w:val="-13"/>
        </w:rPr>
        <w:t> </w:t>
      </w:r>
      <w:r>
        <w:rPr/>
        <w:t>de</w:t>
      </w:r>
      <w:r>
        <w:rPr>
          <w:spacing w:val="-14"/>
        </w:rPr>
        <w:t> </w:t>
      </w:r>
      <w:r>
        <w:rPr/>
        <w:t>introducir</w:t>
      </w:r>
      <w:r>
        <w:rPr>
          <w:spacing w:val="-14"/>
        </w:rPr>
        <w:t> </w:t>
      </w:r>
      <w:r>
        <w:rPr/>
        <w:t>un</w:t>
      </w:r>
      <w:r>
        <w:rPr>
          <w:spacing w:val="-13"/>
        </w:rPr>
        <w:t> </w:t>
      </w:r>
      <w:r>
        <w:rPr/>
        <w:t>instrumento</w:t>
      </w:r>
      <w:r>
        <w:rPr>
          <w:spacing w:val="-13"/>
        </w:rPr>
        <w:t> </w:t>
      </w:r>
      <w:r>
        <w:rPr/>
        <w:t>delgado</w:t>
      </w:r>
      <w:r>
        <w:rPr>
          <w:spacing w:val="-11"/>
        </w:rPr>
        <w:t> </w:t>
      </w:r>
      <w:r>
        <w:rPr/>
        <w:t>de</w:t>
      </w:r>
      <w:r>
        <w:rPr>
          <w:spacing w:val="-14"/>
        </w:rPr>
        <w:t> </w:t>
      </w:r>
      <w:r>
        <w:rPr/>
        <w:t>punta</w:t>
      </w:r>
      <w:r>
        <w:rPr>
          <w:spacing w:val="-12"/>
        </w:rPr>
        <w:t> </w:t>
      </w:r>
      <w:r>
        <w:rPr/>
        <w:t>roma</w:t>
      </w:r>
      <w:r>
        <w:rPr>
          <w:spacing w:val="-12"/>
        </w:rPr>
        <w:t> </w:t>
      </w:r>
      <w:r>
        <w:rPr/>
        <w:t>en</w:t>
      </w:r>
      <w:r>
        <w:rPr>
          <w:spacing w:val="-13"/>
        </w:rPr>
        <w:t> </w:t>
      </w:r>
      <w:r>
        <w:rPr/>
        <w:t>el</w:t>
      </w:r>
      <w:r>
        <w:rPr>
          <w:spacing w:val="-8"/>
        </w:rPr>
        <w:t> </w:t>
      </w:r>
      <w:r>
        <w:rPr/>
        <w:t>espacio</w:t>
      </w:r>
      <w:r>
        <w:rPr>
          <w:spacing w:val="-11"/>
        </w:rPr>
        <w:t> </w:t>
      </w:r>
      <w:r>
        <w:rPr/>
        <w:t>entre</w:t>
      </w:r>
      <w:r>
        <w:rPr>
          <w:spacing w:val="-15"/>
        </w:rPr>
        <w:t> </w:t>
      </w:r>
      <w:r>
        <w:rPr/>
        <w:t>la</w:t>
      </w:r>
      <w:r>
        <w:rPr>
          <w:spacing w:val="-12"/>
        </w:rPr>
        <w:t> </w:t>
      </w:r>
      <w:r>
        <w:rPr/>
        <w:t>encía y el</w:t>
      </w:r>
      <w:r>
        <w:rPr>
          <w:spacing w:val="-4"/>
        </w:rPr>
        <w:t> </w:t>
      </w:r>
      <w:r>
        <w:rPr/>
        <w:t>diente.</w:t>
      </w:r>
    </w:p>
    <w:p>
      <w:pPr>
        <w:pStyle w:val="BodyText"/>
        <w:spacing w:before="10"/>
        <w:rPr>
          <w:sz w:val="20"/>
        </w:rPr>
      </w:pPr>
    </w:p>
    <w:p>
      <w:pPr>
        <w:pStyle w:val="BodyText"/>
        <w:ind w:left="118" w:right="152"/>
        <w:jc w:val="both"/>
      </w:pPr>
      <w:r>
        <w:rPr/>
        <w:t>Se le tomará una muestra de saliva, por lo cual deberán presentarse en ayuno y sin aseo bucal desde una noche antes. Se depositará en un recipiente nuevo, estéril y desechable.</w:t>
      </w:r>
    </w:p>
    <w:p>
      <w:pPr>
        <w:pStyle w:val="BodyText"/>
        <w:spacing w:before="10"/>
        <w:rPr>
          <w:sz w:val="20"/>
        </w:rPr>
      </w:pPr>
    </w:p>
    <w:p>
      <w:pPr>
        <w:pStyle w:val="BodyText"/>
        <w:ind w:left="118" w:right="150"/>
        <w:jc w:val="both"/>
      </w:pPr>
      <w:r>
        <w:rPr/>
        <w:t>Además se le tomará una muestra de sangre con el fin de obtener los niveles de glucosa, triglicéridos, colesterol, HDL, hemoglobina glucosilada, con el objetivo de identificar alguna anomalía metabólica, considerando estos datos para su participación o no en el estudio, por lo cual deberá acudir en ayuno total de 12 horas. La toma de muestra sanguínea será realizada por personal</w:t>
      </w:r>
      <w:r>
        <w:rPr>
          <w:spacing w:val="-9"/>
        </w:rPr>
        <w:t> </w:t>
      </w:r>
      <w:r>
        <w:rPr/>
        <w:t>profesional</w:t>
      </w:r>
      <w:r>
        <w:rPr>
          <w:spacing w:val="-9"/>
        </w:rPr>
        <w:t> </w:t>
      </w:r>
      <w:r>
        <w:rPr/>
        <w:t>capacitado</w:t>
      </w:r>
      <w:r>
        <w:rPr>
          <w:spacing w:val="-7"/>
        </w:rPr>
        <w:t> </w:t>
      </w:r>
      <w:r>
        <w:rPr/>
        <w:t>y</w:t>
      </w:r>
      <w:r>
        <w:rPr>
          <w:spacing w:val="-13"/>
        </w:rPr>
        <w:t> </w:t>
      </w:r>
      <w:r>
        <w:rPr/>
        <w:t>se</w:t>
      </w:r>
      <w:r>
        <w:rPr>
          <w:spacing w:val="-9"/>
        </w:rPr>
        <w:t> </w:t>
      </w:r>
      <w:r>
        <w:rPr/>
        <w:t>realizará</w:t>
      </w:r>
      <w:r>
        <w:rPr>
          <w:spacing w:val="-11"/>
        </w:rPr>
        <w:t> </w:t>
      </w:r>
      <w:r>
        <w:rPr/>
        <w:t>una</w:t>
      </w:r>
      <w:r>
        <w:rPr>
          <w:spacing w:val="-8"/>
        </w:rPr>
        <w:t> </w:t>
      </w:r>
      <w:r>
        <w:rPr/>
        <w:t>punción</w:t>
      </w:r>
      <w:r>
        <w:rPr>
          <w:spacing w:val="-9"/>
        </w:rPr>
        <w:t> </w:t>
      </w:r>
      <w:r>
        <w:rPr/>
        <w:t>en</w:t>
      </w:r>
      <w:r>
        <w:rPr>
          <w:spacing w:val="-10"/>
        </w:rPr>
        <w:t> </w:t>
      </w:r>
      <w:r>
        <w:rPr/>
        <w:t>el</w:t>
      </w:r>
      <w:r>
        <w:rPr>
          <w:spacing w:val="-9"/>
        </w:rPr>
        <w:t> </w:t>
      </w:r>
      <w:r>
        <w:rPr/>
        <w:t>brazo.</w:t>
      </w:r>
      <w:r>
        <w:rPr>
          <w:spacing w:val="-10"/>
        </w:rPr>
        <w:t> </w:t>
      </w:r>
      <w:r>
        <w:rPr/>
        <w:t>Todo</w:t>
      </w:r>
      <w:r>
        <w:rPr>
          <w:spacing w:val="-10"/>
        </w:rPr>
        <w:t> </w:t>
      </w:r>
      <w:r>
        <w:rPr/>
        <w:t>el</w:t>
      </w:r>
      <w:r>
        <w:rPr>
          <w:spacing w:val="-9"/>
        </w:rPr>
        <w:t> </w:t>
      </w:r>
      <w:r>
        <w:rPr/>
        <w:t>material</w:t>
      </w:r>
      <w:r>
        <w:rPr>
          <w:spacing w:val="-9"/>
        </w:rPr>
        <w:t> </w:t>
      </w:r>
      <w:r>
        <w:rPr/>
        <w:t>utilizado será nuevo, desechable y estéril. Después de la punción podría presentarse un pequeño moretón a la</w:t>
      </w:r>
      <w:r>
        <w:rPr>
          <w:spacing w:val="-2"/>
        </w:rPr>
        <w:t> </w:t>
      </w:r>
      <w:r>
        <w:rPr/>
        <w:t>zona.</w:t>
      </w:r>
    </w:p>
    <w:p>
      <w:pPr>
        <w:pStyle w:val="BodyText"/>
        <w:spacing w:before="10"/>
        <w:rPr>
          <w:sz w:val="20"/>
        </w:rPr>
      </w:pPr>
    </w:p>
    <w:p>
      <w:pPr>
        <w:pStyle w:val="BodyText"/>
        <w:ind w:left="118" w:right="152"/>
        <w:jc w:val="both"/>
      </w:pPr>
      <w:r>
        <w:rPr/>
        <w:t>También se le realizarán mediciones de peso y estatura, por lo que se le recomienda acudir con ropa cómoda, el tiempo aproximado de estas mediciones es de 20 minutos.</w:t>
      </w:r>
    </w:p>
    <w:p>
      <w:pPr>
        <w:pStyle w:val="BodyText"/>
        <w:spacing w:before="10"/>
        <w:rPr>
          <w:sz w:val="20"/>
        </w:rPr>
      </w:pPr>
    </w:p>
    <w:p>
      <w:pPr>
        <w:pStyle w:val="BodyText"/>
        <w:ind w:left="118"/>
        <w:jc w:val="both"/>
      </w:pPr>
      <w:r>
        <w:rPr/>
        <w:t>La información que usted nos proporcione, será estrictamente confidencial.</w:t>
      </w:r>
    </w:p>
    <w:p>
      <w:pPr>
        <w:pStyle w:val="BodyText"/>
        <w:spacing w:before="10"/>
        <w:rPr>
          <w:sz w:val="20"/>
        </w:rPr>
      </w:pPr>
    </w:p>
    <w:p>
      <w:pPr>
        <w:pStyle w:val="BodyText"/>
        <w:ind w:left="118" w:right="152"/>
        <w:jc w:val="both"/>
      </w:pPr>
      <w:r>
        <w:rPr/>
        <w:t>Los exámenes de sangre, se proporcionarán </w:t>
      </w:r>
      <w:r>
        <w:rPr>
          <w:b/>
        </w:rPr>
        <w:t>sin costo </w:t>
      </w:r>
      <w:r>
        <w:rPr/>
        <w:t>alguno para usted y los resultados le</w:t>
      </w:r>
      <w:r>
        <w:rPr>
          <w:spacing w:val="-23"/>
        </w:rPr>
        <w:t> </w:t>
      </w:r>
      <w:r>
        <w:rPr/>
        <w:t>serán entregados de manera personalizada. Se le darán recomendaciones de tratamiento</w:t>
      </w:r>
      <w:r>
        <w:rPr>
          <w:spacing w:val="-17"/>
        </w:rPr>
        <w:t> </w:t>
      </w:r>
      <w:r>
        <w:rPr/>
        <w:t>dental.</w:t>
      </w:r>
    </w:p>
    <w:p>
      <w:pPr>
        <w:pStyle w:val="BodyText"/>
        <w:spacing w:before="10"/>
        <w:rPr>
          <w:sz w:val="20"/>
        </w:rPr>
      </w:pPr>
    </w:p>
    <w:p>
      <w:pPr>
        <w:spacing w:before="0"/>
        <w:ind w:left="118" w:right="150" w:firstLine="0"/>
        <w:jc w:val="both"/>
        <w:rPr>
          <w:sz w:val="24"/>
        </w:rPr>
      </w:pPr>
      <w:r>
        <w:rPr>
          <w:b/>
          <w:sz w:val="24"/>
        </w:rPr>
        <w:t>No</w:t>
      </w:r>
      <w:r>
        <w:rPr>
          <w:b/>
          <w:spacing w:val="-7"/>
          <w:sz w:val="24"/>
        </w:rPr>
        <w:t> </w:t>
      </w:r>
      <w:r>
        <w:rPr>
          <w:b/>
          <w:sz w:val="24"/>
        </w:rPr>
        <w:t>existirá</w:t>
      </w:r>
      <w:r>
        <w:rPr>
          <w:b/>
          <w:spacing w:val="-4"/>
          <w:sz w:val="24"/>
        </w:rPr>
        <w:t> </w:t>
      </w:r>
      <w:r>
        <w:rPr>
          <w:b/>
          <w:sz w:val="24"/>
        </w:rPr>
        <w:t>ningún</w:t>
      </w:r>
      <w:r>
        <w:rPr>
          <w:b/>
          <w:spacing w:val="-6"/>
          <w:sz w:val="24"/>
        </w:rPr>
        <w:t> </w:t>
      </w:r>
      <w:r>
        <w:rPr>
          <w:b/>
          <w:sz w:val="24"/>
        </w:rPr>
        <w:t>tipo</w:t>
      </w:r>
      <w:r>
        <w:rPr>
          <w:b/>
          <w:spacing w:val="-6"/>
          <w:sz w:val="24"/>
        </w:rPr>
        <w:t> </w:t>
      </w:r>
      <w:r>
        <w:rPr>
          <w:b/>
          <w:sz w:val="24"/>
        </w:rPr>
        <w:t>de</w:t>
      </w:r>
      <w:r>
        <w:rPr>
          <w:b/>
          <w:spacing w:val="-7"/>
          <w:sz w:val="24"/>
        </w:rPr>
        <w:t> </w:t>
      </w:r>
      <w:r>
        <w:rPr>
          <w:b/>
          <w:sz w:val="24"/>
        </w:rPr>
        <w:t>compensación</w:t>
      </w:r>
      <w:r>
        <w:rPr>
          <w:b/>
          <w:spacing w:val="-5"/>
          <w:sz w:val="24"/>
        </w:rPr>
        <w:t> </w:t>
      </w:r>
      <w:r>
        <w:rPr>
          <w:b/>
          <w:sz w:val="24"/>
        </w:rPr>
        <w:t>económica </w:t>
      </w:r>
      <w:r>
        <w:rPr>
          <w:sz w:val="24"/>
        </w:rPr>
        <w:t>de</w:t>
      </w:r>
      <w:r>
        <w:rPr>
          <w:spacing w:val="-5"/>
          <w:sz w:val="24"/>
        </w:rPr>
        <w:t> </w:t>
      </w:r>
      <w:r>
        <w:rPr>
          <w:sz w:val="24"/>
        </w:rPr>
        <w:t>parte</w:t>
      </w:r>
      <w:r>
        <w:rPr>
          <w:spacing w:val="-7"/>
          <w:sz w:val="24"/>
        </w:rPr>
        <w:t> </w:t>
      </w:r>
      <w:r>
        <w:rPr>
          <w:sz w:val="24"/>
        </w:rPr>
        <w:t>de</w:t>
      </w:r>
      <w:r>
        <w:rPr>
          <w:spacing w:val="-7"/>
          <w:sz w:val="24"/>
        </w:rPr>
        <w:t> </w:t>
      </w:r>
      <w:r>
        <w:rPr>
          <w:sz w:val="24"/>
        </w:rPr>
        <w:t>la</w:t>
      </w:r>
      <w:r>
        <w:rPr>
          <w:spacing w:val="-5"/>
          <w:sz w:val="24"/>
        </w:rPr>
        <w:t> </w:t>
      </w:r>
      <w:r>
        <w:rPr>
          <w:sz w:val="24"/>
        </w:rPr>
        <w:t>Universidad</w:t>
      </w:r>
      <w:r>
        <w:rPr>
          <w:spacing w:val="-6"/>
          <w:sz w:val="24"/>
        </w:rPr>
        <w:t> </w:t>
      </w:r>
      <w:r>
        <w:rPr>
          <w:sz w:val="24"/>
        </w:rPr>
        <w:t>o</w:t>
      </w:r>
      <w:r>
        <w:rPr>
          <w:spacing w:val="-4"/>
          <w:sz w:val="24"/>
        </w:rPr>
        <w:t> </w:t>
      </w:r>
      <w:r>
        <w:rPr>
          <w:sz w:val="24"/>
        </w:rPr>
        <w:t>del</w:t>
      </w:r>
      <w:r>
        <w:rPr>
          <w:spacing w:val="-1"/>
          <w:sz w:val="24"/>
        </w:rPr>
        <w:t> </w:t>
      </w:r>
      <w:r>
        <w:rPr>
          <w:sz w:val="24"/>
        </w:rPr>
        <w:t>Instituto por su participación en esta</w:t>
      </w:r>
      <w:r>
        <w:rPr>
          <w:spacing w:val="-7"/>
          <w:sz w:val="24"/>
        </w:rPr>
        <w:t> </w:t>
      </w:r>
      <w:r>
        <w:rPr>
          <w:sz w:val="24"/>
        </w:rPr>
        <w:t>investigación.</w:t>
      </w:r>
    </w:p>
    <w:p>
      <w:pPr>
        <w:pStyle w:val="BodyText"/>
        <w:spacing w:before="10"/>
        <w:rPr>
          <w:sz w:val="20"/>
        </w:rPr>
      </w:pPr>
    </w:p>
    <w:p>
      <w:pPr>
        <w:pStyle w:val="BodyText"/>
        <w:ind w:left="118" w:right="153"/>
        <w:jc w:val="both"/>
      </w:pPr>
      <w:r>
        <w:rPr/>
        <w:t>Esta investigación ha sido revisada y aprobada tanto por el Comité de Bioética del Centro de Investigación en Ciencias Médicas de la Universidad Autónoma del Estado de México.</w:t>
      </w:r>
    </w:p>
    <w:p>
      <w:pPr>
        <w:pStyle w:val="BodyText"/>
        <w:spacing w:before="10"/>
        <w:rPr>
          <w:sz w:val="20"/>
        </w:rPr>
      </w:pPr>
    </w:p>
    <w:p>
      <w:pPr>
        <w:pStyle w:val="BodyText"/>
        <w:ind w:left="118" w:right="147"/>
        <w:jc w:val="both"/>
      </w:pPr>
      <w:r>
        <w:rPr/>
        <w:t>Estoy enterado y acepto que los datos demográficos (edad, sexo, ocupación) y los resultados de los</w:t>
      </w:r>
      <w:r>
        <w:rPr>
          <w:spacing w:val="-14"/>
        </w:rPr>
        <w:t> </w:t>
      </w:r>
      <w:r>
        <w:rPr/>
        <w:t>exámenes</w:t>
      </w:r>
      <w:r>
        <w:rPr>
          <w:spacing w:val="-14"/>
        </w:rPr>
        <w:t> </w:t>
      </w:r>
      <w:r>
        <w:rPr/>
        <w:t>diagnósticos</w:t>
      </w:r>
      <w:r>
        <w:rPr>
          <w:spacing w:val="-14"/>
        </w:rPr>
        <w:t> </w:t>
      </w:r>
      <w:r>
        <w:rPr/>
        <w:t>de</w:t>
      </w:r>
      <w:r>
        <w:rPr>
          <w:spacing w:val="-15"/>
        </w:rPr>
        <w:t> </w:t>
      </w:r>
      <w:r>
        <w:rPr/>
        <w:t>laboratorio</w:t>
      </w:r>
      <w:r>
        <w:rPr>
          <w:spacing w:val="-14"/>
        </w:rPr>
        <w:t> </w:t>
      </w:r>
      <w:r>
        <w:rPr/>
        <w:t>sean</w:t>
      </w:r>
      <w:r>
        <w:rPr>
          <w:spacing w:val="-14"/>
        </w:rPr>
        <w:t> </w:t>
      </w:r>
      <w:r>
        <w:rPr/>
        <w:t>comparados</w:t>
      </w:r>
      <w:r>
        <w:rPr>
          <w:spacing w:val="-14"/>
        </w:rPr>
        <w:t> </w:t>
      </w:r>
      <w:r>
        <w:rPr/>
        <w:t>o</w:t>
      </w:r>
      <w:r>
        <w:rPr>
          <w:spacing w:val="-14"/>
        </w:rPr>
        <w:t> </w:t>
      </w:r>
      <w:r>
        <w:rPr/>
        <w:t>discutidos</w:t>
      </w:r>
      <w:r>
        <w:rPr>
          <w:spacing w:val="-12"/>
        </w:rPr>
        <w:t> </w:t>
      </w:r>
      <w:r>
        <w:rPr/>
        <w:t>y</w:t>
      </w:r>
      <w:r>
        <w:rPr>
          <w:spacing w:val="-22"/>
        </w:rPr>
        <w:t> </w:t>
      </w:r>
      <w:r>
        <w:rPr/>
        <w:t>autorizo</w:t>
      </w:r>
      <w:r>
        <w:rPr>
          <w:spacing w:val="-14"/>
        </w:rPr>
        <w:t> </w:t>
      </w:r>
      <w:r>
        <w:rPr/>
        <w:t>sean</w:t>
      </w:r>
      <w:r>
        <w:rPr>
          <w:spacing w:val="-14"/>
        </w:rPr>
        <w:t> </w:t>
      </w:r>
      <w:r>
        <w:rPr/>
        <w:t>utilizados para su publicación en revistas científicas y textos especializados, con el conocimiento de que nunca</w:t>
      </w:r>
      <w:r>
        <w:rPr>
          <w:spacing w:val="-5"/>
        </w:rPr>
        <w:t> </w:t>
      </w:r>
      <w:r>
        <w:rPr/>
        <w:t>seré</w:t>
      </w:r>
      <w:r>
        <w:rPr>
          <w:spacing w:val="-6"/>
        </w:rPr>
        <w:t> </w:t>
      </w:r>
      <w:r>
        <w:rPr/>
        <w:t>identificado</w:t>
      </w:r>
      <w:r>
        <w:rPr>
          <w:spacing w:val="-1"/>
        </w:rPr>
        <w:t> </w:t>
      </w:r>
      <w:r>
        <w:rPr/>
        <w:t>y</w:t>
      </w:r>
      <w:r>
        <w:rPr>
          <w:spacing w:val="-6"/>
        </w:rPr>
        <w:t> </w:t>
      </w:r>
      <w:r>
        <w:rPr/>
        <w:t>siempre</w:t>
      </w:r>
      <w:r>
        <w:rPr>
          <w:spacing w:val="-5"/>
        </w:rPr>
        <w:t> </w:t>
      </w:r>
      <w:r>
        <w:rPr/>
        <w:t>se</w:t>
      </w:r>
      <w:r>
        <w:rPr>
          <w:spacing w:val="-5"/>
        </w:rPr>
        <w:t> </w:t>
      </w:r>
      <w:r>
        <w:rPr/>
        <w:t>mantendrá</w:t>
      </w:r>
      <w:r>
        <w:rPr>
          <w:spacing w:val="-6"/>
        </w:rPr>
        <w:t> </w:t>
      </w:r>
      <w:r>
        <w:rPr/>
        <w:t>el</w:t>
      </w:r>
      <w:r>
        <w:rPr>
          <w:spacing w:val="-1"/>
        </w:rPr>
        <w:t> </w:t>
      </w:r>
      <w:r>
        <w:rPr/>
        <w:t>anonimato</w:t>
      </w:r>
      <w:r>
        <w:rPr>
          <w:spacing w:val="-2"/>
        </w:rPr>
        <w:t> </w:t>
      </w:r>
      <w:r>
        <w:rPr/>
        <w:t>y</w:t>
      </w:r>
      <w:r>
        <w:rPr>
          <w:spacing w:val="-9"/>
        </w:rPr>
        <w:t> </w:t>
      </w:r>
      <w:r>
        <w:rPr/>
        <w:t>confidencialidad</w:t>
      </w:r>
      <w:r>
        <w:rPr>
          <w:spacing w:val="-4"/>
        </w:rPr>
        <w:t> </w:t>
      </w:r>
      <w:r>
        <w:rPr/>
        <w:t>de</w:t>
      </w:r>
      <w:r>
        <w:rPr>
          <w:spacing w:val="-5"/>
        </w:rPr>
        <w:t> </w:t>
      </w:r>
      <w:r>
        <w:rPr/>
        <w:t>mi</w:t>
      </w:r>
      <w:r>
        <w:rPr>
          <w:spacing w:val="-3"/>
        </w:rPr>
        <w:t> </w:t>
      </w:r>
      <w:r>
        <w:rPr/>
        <w:t>identidad personal. Los resultados se analizarán como grupo y mi nombre no aparecerá en la</w:t>
      </w:r>
      <w:r>
        <w:rPr>
          <w:spacing w:val="-18"/>
        </w:rPr>
        <w:t> </w:t>
      </w:r>
      <w:r>
        <w:rPr/>
        <w:t>publicación.</w:t>
      </w:r>
    </w:p>
    <w:p>
      <w:pPr>
        <w:pStyle w:val="BodyText"/>
        <w:spacing w:before="10"/>
        <w:rPr>
          <w:sz w:val="20"/>
        </w:rPr>
      </w:pPr>
    </w:p>
    <w:p>
      <w:pPr>
        <w:pStyle w:val="BodyText"/>
        <w:ind w:left="118" w:right="155"/>
        <w:jc w:val="both"/>
      </w:pPr>
      <w:r>
        <w:rPr/>
        <w:t>Después</w:t>
      </w:r>
      <w:r>
        <w:rPr>
          <w:spacing w:val="-14"/>
        </w:rPr>
        <w:t> </w:t>
      </w:r>
      <w:r>
        <w:rPr/>
        <w:t>de</w:t>
      </w:r>
      <w:r>
        <w:rPr>
          <w:spacing w:val="-15"/>
        </w:rPr>
        <w:t> </w:t>
      </w:r>
      <w:r>
        <w:rPr/>
        <w:t>que</w:t>
      </w:r>
      <w:r>
        <w:rPr>
          <w:spacing w:val="-15"/>
        </w:rPr>
        <w:t> </w:t>
      </w:r>
      <w:r>
        <w:rPr/>
        <w:t>se</w:t>
      </w:r>
      <w:r>
        <w:rPr>
          <w:spacing w:val="-15"/>
        </w:rPr>
        <w:t> </w:t>
      </w:r>
      <w:r>
        <w:rPr/>
        <w:t>me</w:t>
      </w:r>
      <w:r>
        <w:rPr>
          <w:spacing w:val="-15"/>
        </w:rPr>
        <w:t> </w:t>
      </w:r>
      <w:r>
        <w:rPr/>
        <w:t>explicaron</w:t>
      </w:r>
      <w:r>
        <w:rPr>
          <w:spacing w:val="-15"/>
        </w:rPr>
        <w:t> </w:t>
      </w:r>
      <w:r>
        <w:rPr/>
        <w:t>los</w:t>
      </w:r>
      <w:r>
        <w:rPr>
          <w:spacing w:val="-14"/>
        </w:rPr>
        <w:t> </w:t>
      </w:r>
      <w:r>
        <w:rPr/>
        <w:t>procedimientos,</w:t>
      </w:r>
      <w:r>
        <w:rPr>
          <w:spacing w:val="-14"/>
        </w:rPr>
        <w:t> </w:t>
      </w:r>
      <w:r>
        <w:rPr/>
        <w:t>beneficios</w:t>
      </w:r>
      <w:r>
        <w:rPr>
          <w:spacing w:val="-11"/>
        </w:rPr>
        <w:t> </w:t>
      </w:r>
      <w:r>
        <w:rPr/>
        <w:t>y</w:t>
      </w:r>
      <w:r>
        <w:rPr>
          <w:spacing w:val="-19"/>
        </w:rPr>
        <w:t> </w:t>
      </w:r>
      <w:r>
        <w:rPr/>
        <w:t>riesgos</w:t>
      </w:r>
      <w:r>
        <w:rPr>
          <w:spacing w:val="-14"/>
        </w:rPr>
        <w:t> </w:t>
      </w:r>
      <w:r>
        <w:rPr/>
        <w:t>de</w:t>
      </w:r>
      <w:r>
        <w:rPr>
          <w:spacing w:val="-15"/>
        </w:rPr>
        <w:t> </w:t>
      </w:r>
      <w:r>
        <w:rPr/>
        <w:t>este</w:t>
      </w:r>
      <w:r>
        <w:rPr>
          <w:spacing w:val="-15"/>
        </w:rPr>
        <w:t> </w:t>
      </w:r>
      <w:r>
        <w:rPr/>
        <w:t>estudio,</w:t>
      </w:r>
      <w:r>
        <w:rPr>
          <w:spacing w:val="-14"/>
        </w:rPr>
        <w:t> </w:t>
      </w:r>
      <w:r>
        <w:rPr/>
        <w:t>declaro que he leído y comprendido las explicaciones que se me han dado a todas mis preguntas y al asentar mi firma en este documento, acepto voluntariamente participar en esta</w:t>
      </w:r>
      <w:r>
        <w:rPr>
          <w:spacing w:val="-14"/>
        </w:rPr>
        <w:t> </w:t>
      </w:r>
      <w:r>
        <w:rPr/>
        <w:t>investigación.</w:t>
      </w:r>
    </w:p>
    <w:p>
      <w:pPr>
        <w:pStyle w:val="BodyText"/>
        <w:tabs>
          <w:tab w:pos="4526" w:val="left" w:leader="none"/>
        </w:tabs>
        <w:ind w:left="118" w:right="152"/>
        <w:jc w:val="both"/>
      </w:pPr>
      <w:r>
        <w:rPr/>
        <w:t>Con</w:t>
      </w:r>
      <w:r>
        <w:rPr>
          <w:spacing w:val="3"/>
        </w:rPr>
        <w:t> </w:t>
      </w:r>
      <w:r>
        <w:rPr/>
        <w:t>fecha</w:t>
      </w:r>
      <w:r>
        <w:rPr>
          <w:u w:val="single"/>
        </w:rPr>
        <w:t> </w:t>
        <w:tab/>
      </w:r>
      <w:r>
        <w:rPr/>
        <w:t>, habiendo comprendido lo anterior y una</w:t>
      </w:r>
      <w:r>
        <w:rPr>
          <w:spacing w:val="27"/>
        </w:rPr>
        <w:t> </w:t>
      </w:r>
      <w:r>
        <w:rPr/>
        <w:t>vez</w:t>
      </w:r>
      <w:r>
        <w:rPr>
          <w:spacing w:val="4"/>
        </w:rPr>
        <w:t> </w:t>
      </w:r>
      <w:r>
        <w:rPr/>
        <w:t>que se me aclararon todas las dudas que surgieron con respecto a mi participación en el proyecto,</w:t>
      </w:r>
      <w:r>
        <w:rPr>
          <w:spacing w:val="-23"/>
        </w:rPr>
        <w:t> </w:t>
      </w:r>
      <w:r>
        <w:rPr>
          <w:spacing w:val="-3"/>
        </w:rPr>
        <w:t>yo</w:t>
      </w:r>
    </w:p>
    <w:p>
      <w:pPr>
        <w:pStyle w:val="BodyText"/>
        <w:tabs>
          <w:tab w:pos="4918" w:val="left" w:leader="none"/>
          <w:tab w:pos="9383" w:val="left" w:leader="none"/>
        </w:tabs>
        <w:ind w:left="118" w:right="101"/>
        <w:jc w:val="both"/>
      </w:pPr>
      <w:r>
        <w:rPr>
          <w:u w:val="single"/>
        </w:rPr>
        <w:t> </w:t>
        <w:tab/>
      </w:r>
      <w:r>
        <w:rPr/>
        <w:t>,   con   número</w:t>
      </w:r>
      <w:r>
        <w:rPr>
          <w:spacing w:val="59"/>
        </w:rPr>
        <w:t> </w:t>
      </w:r>
      <w:r>
        <w:rPr/>
        <w:t>de </w:t>
      </w:r>
      <w:r>
        <w:rPr>
          <w:spacing w:val="41"/>
        </w:rPr>
        <w:t> </w:t>
      </w:r>
      <w:r>
        <w:rPr/>
        <w:t>expediente  </w:t>
      </w:r>
      <w:r>
        <w:rPr>
          <w:spacing w:val="-21"/>
        </w:rPr>
        <w:t> </w:t>
      </w:r>
      <w:r>
        <w:rPr>
          <w:u w:val="single"/>
        </w:rPr>
        <w:t> </w:t>
        <w:tab/>
      </w:r>
      <w:r>
        <w:rPr/>
        <w:t> acepto participar en el</w:t>
      </w:r>
      <w:r>
        <w:rPr>
          <w:spacing w:val="-4"/>
        </w:rPr>
        <w:t> </w:t>
      </w:r>
      <w:r>
        <w:rPr/>
        <w:t>estudio.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240;mso-wrap-distance-left:0;mso-wrap-distance-right:0" from="211.25pt,8.840205pt" to="391.250009pt,8.840205pt" stroked="true" strokeweight=".48pt" strokecolor="#000000">
            <w10:wrap type="topAndBottom"/>
          </v:line>
        </w:pict>
      </w:r>
    </w:p>
    <w:p>
      <w:pPr>
        <w:pStyle w:val="BodyText"/>
        <w:spacing w:line="247" w:lineRule="exact"/>
        <w:ind w:left="3814" w:right="3850"/>
        <w:jc w:val="center"/>
      </w:pPr>
      <w:r>
        <w:rPr/>
        <w:t>Firma del paciente</w:t>
      </w:r>
    </w:p>
    <w:p>
      <w:pPr>
        <w:spacing w:after="0" w:line="247" w:lineRule="exact"/>
        <w:jc w:val="center"/>
        <w:sectPr>
          <w:pgSz w:w="11910" w:h="16840"/>
          <w:pgMar w:header="731" w:footer="0" w:top="960" w:bottom="280" w:left="1300" w:right="1120"/>
        </w:sectPr>
      </w:pPr>
    </w:p>
    <w:p>
      <w:pPr>
        <w:pStyle w:val="BodyText"/>
        <w:rPr>
          <w:sz w:val="20"/>
        </w:rPr>
      </w:pPr>
    </w:p>
    <w:p>
      <w:pPr>
        <w:pStyle w:val="BodyText"/>
        <w:rPr>
          <w:sz w:val="20"/>
        </w:rPr>
      </w:pPr>
    </w:p>
    <w:p>
      <w:pPr>
        <w:pStyle w:val="BodyText"/>
        <w:spacing w:before="4"/>
        <w:rPr>
          <w:sz w:val="21"/>
        </w:rPr>
      </w:pPr>
    </w:p>
    <w:p>
      <w:pPr>
        <w:pStyle w:val="BodyText"/>
        <w:spacing w:line="20" w:lineRule="exact"/>
        <w:ind w:left="379"/>
        <w:rPr>
          <w:sz w:val="2"/>
        </w:rPr>
      </w:pPr>
      <w:r>
        <w:rPr>
          <w:sz w:val="2"/>
        </w:rPr>
        <w:pict>
          <v:group style="width:438.55pt;height:.5pt;mso-position-horizontal-relative:char;mso-position-vertical-relative:line" coordorigin="0,0" coordsize="8771,10">
            <v:line style="position:absolute" from="5,5" to="8766,5" stroked="true" strokeweight=".48pt" strokecolor="#000000"/>
          </v:group>
        </w:pict>
      </w:r>
      <w:r>
        <w:rPr>
          <w:sz w:val="2"/>
        </w:rPr>
      </w:r>
    </w:p>
    <w:p>
      <w:pPr>
        <w:pStyle w:val="BodyText"/>
        <w:rPr>
          <w:sz w:val="14"/>
        </w:rPr>
      </w:pPr>
    </w:p>
    <w:p>
      <w:pPr>
        <w:pStyle w:val="BodyText"/>
        <w:spacing w:before="69"/>
        <w:ind w:left="1027" w:right="1024"/>
        <w:jc w:val="center"/>
      </w:pPr>
      <w:r>
        <w:rPr/>
        <w:t>Nombre y firma del investigador</w:t>
      </w:r>
    </w:p>
    <w:p>
      <w:pPr>
        <w:pStyle w:val="BodyText"/>
        <w:rPr>
          <w:sz w:val="20"/>
        </w:rPr>
      </w:pPr>
    </w:p>
    <w:p>
      <w:pPr>
        <w:pStyle w:val="BodyText"/>
      </w:pPr>
      <w:r>
        <w:rPr/>
        <w:pict>
          <v:line style="position:absolute;mso-position-horizontal-relative:page;mso-position-vertical-relative:paragraph;z-index:1288;mso-wrap-distance-left:0;mso-wrap-distance-right:0" from="69.503998pt,16.505278pt" to="533.163998pt,16.505278pt" stroked="true" strokeweight="1.44pt" strokecolor="#000000">
            <w10:wrap type="topAndBottom"/>
          </v:line>
        </w:pict>
      </w:r>
    </w:p>
    <w:p>
      <w:pPr>
        <w:pStyle w:val="BodyText"/>
        <w:spacing w:before="7"/>
        <w:rPr>
          <w:sz w:val="11"/>
        </w:rPr>
      </w:pPr>
    </w:p>
    <w:p>
      <w:pPr>
        <w:pStyle w:val="BodyText"/>
        <w:spacing w:before="69"/>
        <w:ind w:left="1579" w:right="529"/>
      </w:pPr>
      <w:r>
        <w:rPr/>
        <w:t>Nombre y firma del personal del ISEM o Facultad de Odontología</w:t>
      </w:r>
    </w:p>
    <w:p>
      <w:pPr>
        <w:pStyle w:val="BodyText"/>
        <w:rPr>
          <w:sz w:val="20"/>
        </w:rPr>
      </w:pPr>
    </w:p>
    <w:p>
      <w:pPr>
        <w:pStyle w:val="BodyText"/>
        <w:spacing w:before="9"/>
        <w:rPr>
          <w:sz w:val="23"/>
        </w:rPr>
      </w:pPr>
      <w:r>
        <w:rPr/>
        <w:pict>
          <v:line style="position:absolute;mso-position-horizontal-relative:page;mso-position-vertical-relative:paragraph;z-index:1312;mso-wrap-distance-left:0;mso-wrap-distance-right:0" from="69.503998pt,16.385283pt" to="533.163998pt,16.385283pt" stroked="true" strokeweight="1.44pt" strokecolor="#000000">
            <w10:wrap type="topAndBottom"/>
          </v:line>
        </w:pict>
      </w:r>
    </w:p>
    <w:p>
      <w:pPr>
        <w:pStyle w:val="BodyText"/>
        <w:spacing w:before="7"/>
        <w:rPr>
          <w:sz w:val="11"/>
        </w:rPr>
      </w:pPr>
    </w:p>
    <w:p>
      <w:pPr>
        <w:pStyle w:val="BodyText"/>
        <w:spacing w:before="69"/>
        <w:ind w:left="1027" w:right="1025"/>
        <w:jc w:val="center"/>
      </w:pPr>
      <w:r>
        <w:rPr/>
        <w:t>Nombre, firma y parentesco de testigo</w:t>
      </w:r>
    </w:p>
    <w:p>
      <w:pPr>
        <w:pStyle w:val="BodyText"/>
      </w:pPr>
    </w:p>
    <w:p>
      <w:pPr>
        <w:pStyle w:val="BodyText"/>
        <w:spacing w:before="10"/>
        <w:rPr>
          <w:sz w:val="20"/>
        </w:rPr>
      </w:pPr>
    </w:p>
    <w:p>
      <w:pPr>
        <w:pStyle w:val="BodyText"/>
        <w:ind w:left="1027" w:right="1026"/>
        <w:jc w:val="center"/>
      </w:pPr>
      <w:r>
        <w:rPr/>
        <w:t>Para cualquier información adicional o aclaración, favor de comunicarse con:</w:t>
      </w:r>
    </w:p>
    <w:p>
      <w:pPr>
        <w:pStyle w:val="BodyText"/>
        <w:ind w:left="3349" w:right="529" w:hanging="2799"/>
      </w:pPr>
      <w:r>
        <w:rPr/>
        <w:t>E. OP Diana G. Guadarrama López ó Dra. en C.S. Patricia Cerecero Aguirre al teléfono 01 (722) 2 12 80 27. Ext. 158</w:t>
      </w:r>
    </w:p>
    <w:p>
      <w:pPr>
        <w:spacing w:after="0"/>
        <w:sectPr>
          <w:pgSz w:w="11910" w:h="16840"/>
          <w:pgMar w:header="731" w:footer="0" w:top="960" w:bottom="280" w:left="1260" w:right="1120"/>
        </w:sectPr>
      </w:pPr>
    </w:p>
    <w:p>
      <w:pPr>
        <w:pStyle w:val="BodyText"/>
        <w:rPr>
          <w:sz w:val="20"/>
        </w:rPr>
      </w:pPr>
    </w:p>
    <w:p>
      <w:pPr>
        <w:pStyle w:val="Heading3"/>
        <w:spacing w:before="214"/>
        <w:ind w:left="558"/>
        <w:jc w:val="left"/>
      </w:pPr>
      <w:r>
        <w:rPr/>
        <w:t>9.2 Anexo 2. HISTORIA CLÍNICA E INDICE DE ENFERMEDAD PERIODONTAL</w:t>
      </w:r>
    </w:p>
    <w:p>
      <w:pPr>
        <w:pStyle w:val="BodyText"/>
        <w:rPr>
          <w:b/>
        </w:rPr>
      </w:pPr>
    </w:p>
    <w:p>
      <w:pPr>
        <w:pStyle w:val="BodyText"/>
        <w:rPr>
          <w:b/>
        </w:rPr>
      </w:pPr>
    </w:p>
    <w:p>
      <w:pPr>
        <w:pStyle w:val="BodyText"/>
        <w:rPr>
          <w:b/>
        </w:rPr>
      </w:pPr>
    </w:p>
    <w:p>
      <w:pPr>
        <w:spacing w:before="0"/>
        <w:ind w:left="1667" w:right="1879" w:firstLine="0"/>
        <w:jc w:val="center"/>
        <w:rPr>
          <w:b/>
          <w:sz w:val="24"/>
        </w:rPr>
      </w:pPr>
      <w:r>
        <w:rPr/>
        <w:drawing>
          <wp:anchor distT="0" distB="0" distL="0" distR="0" allowOverlap="1" layoutInCell="1" locked="0" behindDoc="0" simplePos="0" relativeHeight="1336">
            <wp:simplePos x="0" y="0"/>
            <wp:positionH relativeFrom="page">
              <wp:posOffset>838200</wp:posOffset>
            </wp:positionH>
            <wp:positionV relativeFrom="paragraph">
              <wp:posOffset>-141438</wp:posOffset>
            </wp:positionV>
            <wp:extent cx="790956" cy="722376"/>
            <wp:effectExtent l="0" t="0" r="0" b="0"/>
            <wp:wrapNone/>
            <wp:docPr id="11" name="image4.png" descr=""/>
            <wp:cNvGraphicFramePr>
              <a:graphicFrameLocks noChangeAspect="1"/>
            </wp:cNvGraphicFramePr>
            <a:graphic>
              <a:graphicData uri="http://schemas.openxmlformats.org/drawingml/2006/picture">
                <pic:pic>
                  <pic:nvPicPr>
                    <pic:cNvPr id="12" name="image4.png"/>
                    <pic:cNvPicPr/>
                  </pic:nvPicPr>
                  <pic:blipFill>
                    <a:blip r:embed="rId26" cstate="print"/>
                    <a:stretch>
                      <a:fillRect/>
                    </a:stretch>
                  </pic:blipFill>
                  <pic:spPr>
                    <a:xfrm>
                      <a:off x="0" y="0"/>
                      <a:ext cx="790956" cy="722376"/>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6057900</wp:posOffset>
            </wp:positionH>
            <wp:positionV relativeFrom="paragraph">
              <wp:posOffset>-197826</wp:posOffset>
            </wp:positionV>
            <wp:extent cx="890016" cy="890016"/>
            <wp:effectExtent l="0" t="0" r="0" b="0"/>
            <wp:wrapNone/>
            <wp:docPr id="13" name="image3.jpeg" descr=""/>
            <wp:cNvGraphicFramePr>
              <a:graphicFrameLocks noChangeAspect="1"/>
            </wp:cNvGraphicFramePr>
            <a:graphic>
              <a:graphicData uri="http://schemas.openxmlformats.org/drawingml/2006/picture">
                <pic:pic>
                  <pic:nvPicPr>
                    <pic:cNvPr id="14" name="image3.jpeg"/>
                    <pic:cNvPicPr/>
                  </pic:nvPicPr>
                  <pic:blipFill>
                    <a:blip r:embed="rId25" cstate="print"/>
                    <a:stretch>
                      <a:fillRect/>
                    </a:stretch>
                  </pic:blipFill>
                  <pic:spPr>
                    <a:xfrm>
                      <a:off x="0" y="0"/>
                      <a:ext cx="890016" cy="890016"/>
                    </a:xfrm>
                    <a:prstGeom prst="rect">
                      <a:avLst/>
                    </a:prstGeom>
                  </pic:spPr>
                </pic:pic>
              </a:graphicData>
            </a:graphic>
          </wp:anchor>
        </w:drawing>
      </w:r>
      <w:r>
        <w:rPr>
          <w:b/>
          <w:sz w:val="24"/>
        </w:rPr>
        <w:t>UNIVERSIDAD AUTONOMA DEL ESTADO DE MEXICO CENTRO DE INVESTIGACIÓN EN CIENCIAS MÉDICAS</w:t>
      </w:r>
    </w:p>
    <w:p>
      <w:pPr>
        <w:pStyle w:val="BodyText"/>
        <w:rPr>
          <w:b/>
        </w:rPr>
      </w:pPr>
    </w:p>
    <w:p>
      <w:pPr>
        <w:pStyle w:val="BodyText"/>
        <w:rPr>
          <w:b/>
        </w:rPr>
      </w:pPr>
    </w:p>
    <w:p>
      <w:pPr>
        <w:spacing w:before="0"/>
        <w:ind w:left="1051" w:right="1270" w:firstLine="0"/>
        <w:jc w:val="center"/>
        <w:rPr>
          <w:b/>
          <w:sz w:val="24"/>
        </w:rPr>
      </w:pPr>
      <w:r>
        <w:rPr>
          <w:b/>
          <w:sz w:val="24"/>
        </w:rPr>
        <w:t>HISTORIA CLÍNICA E INDICE DE ENFERMEDAD PERIODONTAL</w:t>
      </w:r>
    </w:p>
    <w:p>
      <w:pPr>
        <w:pStyle w:val="BodyText"/>
        <w:spacing w:before="6"/>
        <w:rPr>
          <w:b/>
          <w:sz w:val="17"/>
        </w:rPr>
      </w:pPr>
    </w:p>
    <w:p>
      <w:pPr>
        <w:tabs>
          <w:tab w:pos="2624" w:val="left" w:leader="none"/>
          <w:tab w:pos="4673" w:val="left" w:leader="none"/>
          <w:tab w:pos="6588" w:val="left" w:leader="none"/>
        </w:tabs>
        <w:spacing w:before="69"/>
        <w:ind w:left="198" w:right="0" w:firstLine="0"/>
        <w:jc w:val="left"/>
        <w:rPr>
          <w:b/>
          <w:sz w:val="24"/>
        </w:rPr>
      </w:pPr>
      <w:r>
        <w:rPr>
          <w:sz w:val="24"/>
        </w:rPr>
        <w:t>Fecha</w:t>
      </w:r>
      <w:r>
        <w:rPr>
          <w:sz w:val="24"/>
          <w:u w:val="single"/>
        </w:rPr>
        <w:t> </w:t>
        <w:tab/>
      </w:r>
      <w:r>
        <w:rPr>
          <w:sz w:val="24"/>
        </w:rPr>
        <w:tab/>
      </w:r>
      <w:r>
        <w:rPr>
          <w:b/>
          <w:sz w:val="24"/>
        </w:rPr>
        <w:t>Folio: </w:t>
      </w:r>
      <w:r>
        <w:rPr>
          <w:b/>
          <w:sz w:val="24"/>
          <w:u w:val="single"/>
        </w:rPr>
        <w:t> </w:t>
        <w:tab/>
      </w:r>
    </w:p>
    <w:p>
      <w:pPr>
        <w:pStyle w:val="BodyText"/>
        <w:spacing w:before="4"/>
        <w:rPr>
          <w:b/>
          <w:sz w:val="18"/>
        </w:rPr>
      </w:pPr>
    </w:p>
    <w:p>
      <w:pPr>
        <w:pStyle w:val="Heading3"/>
        <w:spacing w:line="274" w:lineRule="exact" w:before="70"/>
        <w:ind w:left="198"/>
        <w:jc w:val="left"/>
      </w:pPr>
      <w:r>
        <w:rPr/>
        <w:t>Datos Generales.</w:t>
      </w:r>
    </w:p>
    <w:p>
      <w:pPr>
        <w:pStyle w:val="BodyText"/>
        <w:tabs>
          <w:tab w:pos="4233" w:val="left" w:leader="none"/>
          <w:tab w:pos="5526" w:val="left" w:leader="none"/>
          <w:tab w:pos="6886" w:val="left" w:leader="none"/>
          <w:tab w:pos="8882" w:val="left" w:leader="none"/>
        </w:tabs>
        <w:ind w:left="2239" w:right="941" w:hanging="2041"/>
      </w:pPr>
      <w:r>
        <w:rPr/>
        <w:t>Nombre</w:t>
      </w:r>
      <w:r>
        <w:rPr>
          <w:spacing w:val="-2"/>
        </w:rPr>
        <w:t> </w:t>
      </w:r>
      <w:r>
        <w:rPr/>
        <w:t>del</w:t>
      </w:r>
      <w:r>
        <w:rPr>
          <w:spacing w:val="-1"/>
        </w:rPr>
        <w:t> </w:t>
      </w:r>
      <w:r>
        <w:rPr/>
        <w:t>paciente:</w:t>
      </w:r>
      <w:r>
        <w:rPr>
          <w:u w:val="single"/>
        </w:rPr>
        <w:t> </w:t>
        <w:tab/>
        <w:tab/>
        <w:tab/>
      </w:r>
      <w:r>
        <w:rPr/>
        <w:t>Edad:</w:t>
      </w:r>
      <w:r>
        <w:rPr>
          <w:u w:val="single"/>
        </w:rPr>
        <w:tab/>
      </w:r>
      <w:r>
        <w:rPr/>
        <w:t> Apellido</w:t>
      </w:r>
      <w:r>
        <w:rPr>
          <w:spacing w:val="-2"/>
        </w:rPr>
        <w:t> </w:t>
      </w:r>
      <w:r>
        <w:rPr/>
        <w:t>Paterno</w:t>
        <w:tab/>
        <w:t>Materno</w:t>
        <w:tab/>
        <w:t>Nombre</w:t>
      </w:r>
      <w:r>
        <w:rPr>
          <w:spacing w:val="-3"/>
        </w:rPr>
        <w:t> </w:t>
      </w:r>
      <w:r>
        <w:rPr/>
        <w:t>(s)</w:t>
      </w:r>
    </w:p>
    <w:p>
      <w:pPr>
        <w:pStyle w:val="BodyText"/>
      </w:pPr>
    </w:p>
    <w:p>
      <w:pPr>
        <w:pStyle w:val="BodyText"/>
        <w:tabs>
          <w:tab w:pos="7580" w:val="left" w:leader="none"/>
        </w:tabs>
        <w:ind w:left="198"/>
      </w:pPr>
      <w:r>
        <w:rPr/>
        <w:t>Dirección y/o</w:t>
      </w:r>
      <w:r>
        <w:rPr>
          <w:spacing w:val="-5"/>
        </w:rPr>
        <w:t> </w:t>
      </w:r>
      <w:r>
        <w:rPr/>
        <w:t>teléfono: </w:t>
      </w:r>
      <w:r>
        <w:rPr>
          <w:u w:val="single"/>
        </w:rPr>
        <w:t> </w:t>
        <w:tab/>
      </w:r>
    </w:p>
    <w:p>
      <w:pPr>
        <w:pStyle w:val="BodyText"/>
        <w:spacing w:before="11"/>
        <w:rPr>
          <w:sz w:val="17"/>
        </w:rPr>
      </w:pPr>
    </w:p>
    <w:p>
      <w:pPr>
        <w:pStyle w:val="BodyText"/>
        <w:tabs>
          <w:tab w:pos="2360" w:val="left" w:leader="none"/>
          <w:tab w:pos="3973" w:val="left" w:leader="none"/>
        </w:tabs>
        <w:spacing w:before="69"/>
        <w:ind w:left="198"/>
      </w:pPr>
      <w:r>
        <w:rPr/>
        <w:t>Sexo:</w:t>
      </w:r>
      <w:r>
        <w:rPr>
          <w:spacing w:val="-1"/>
        </w:rPr>
        <w:t> </w:t>
      </w:r>
      <w:r>
        <w:rPr/>
        <w:t>Femenino</w:t>
      </w:r>
      <w:r>
        <w:rPr>
          <w:u w:val="single"/>
        </w:rPr>
        <w:tab/>
      </w:r>
      <w:r>
        <w:rPr/>
        <w:t>Masculino </w:t>
      </w:r>
      <w:r>
        <w:rPr>
          <w:u w:val="single"/>
        </w:rPr>
        <w:t> </w:t>
        <w:tab/>
      </w:r>
    </w:p>
    <w:p>
      <w:pPr>
        <w:pStyle w:val="BodyText"/>
        <w:spacing w:before="11"/>
        <w:rPr>
          <w:sz w:val="17"/>
        </w:rPr>
      </w:pPr>
    </w:p>
    <w:p>
      <w:pPr>
        <w:pStyle w:val="BodyText"/>
        <w:spacing w:line="480" w:lineRule="auto" w:before="69" w:after="41"/>
        <w:ind w:left="198" w:right="1330"/>
      </w:pPr>
      <w:r>
        <w:rPr/>
        <w:t>Estado civil: Casado□ Soltero □ Viudo □  Separado □  Unión libre □  Divorciado □ Por favor marque con una </w:t>
      </w:r>
      <w:r>
        <w:rPr>
          <w:b/>
        </w:rPr>
        <w:t>“X” </w:t>
      </w:r>
      <w:r>
        <w:rPr/>
        <w:t>hasta que año fue a la escuela</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52"/>
        <w:gridCol w:w="1866"/>
        <w:gridCol w:w="1895"/>
      </w:tblGrid>
      <w:tr>
        <w:trPr>
          <w:trHeight w:val="258" w:hRule="exact"/>
        </w:trPr>
        <w:tc>
          <w:tcPr>
            <w:tcW w:w="2052" w:type="dxa"/>
          </w:tcPr>
          <w:p>
            <w:pPr/>
          </w:p>
        </w:tc>
        <w:tc>
          <w:tcPr>
            <w:tcW w:w="1866" w:type="dxa"/>
          </w:tcPr>
          <w:p>
            <w:pPr>
              <w:pStyle w:val="TableParagraph"/>
              <w:spacing w:line="245" w:lineRule="exact"/>
              <w:ind w:left="315"/>
              <w:rPr>
                <w:sz w:val="24"/>
              </w:rPr>
            </w:pPr>
            <w:r>
              <w:rPr>
                <w:sz w:val="24"/>
              </w:rPr>
              <w:t>Completa</w:t>
            </w:r>
          </w:p>
        </w:tc>
        <w:tc>
          <w:tcPr>
            <w:tcW w:w="1895" w:type="dxa"/>
          </w:tcPr>
          <w:p>
            <w:pPr>
              <w:pStyle w:val="TableParagraph"/>
              <w:spacing w:line="245" w:lineRule="exact"/>
              <w:ind w:left="617"/>
              <w:rPr>
                <w:sz w:val="24"/>
              </w:rPr>
            </w:pPr>
            <w:r>
              <w:rPr>
                <w:sz w:val="24"/>
              </w:rPr>
              <w:t>Incompleta</w:t>
            </w:r>
          </w:p>
        </w:tc>
      </w:tr>
      <w:tr>
        <w:trPr>
          <w:trHeight w:val="276" w:hRule="exact"/>
        </w:trPr>
        <w:tc>
          <w:tcPr>
            <w:tcW w:w="2052" w:type="dxa"/>
          </w:tcPr>
          <w:p>
            <w:pPr>
              <w:pStyle w:val="TableParagraph"/>
              <w:spacing w:line="263" w:lineRule="exact"/>
              <w:ind w:left="200"/>
              <w:rPr>
                <w:sz w:val="24"/>
              </w:rPr>
            </w:pPr>
            <w:r>
              <w:rPr>
                <w:sz w:val="24"/>
              </w:rPr>
              <w:t>Primaria</w:t>
            </w:r>
          </w:p>
        </w:tc>
        <w:tc>
          <w:tcPr>
            <w:tcW w:w="1866" w:type="dxa"/>
          </w:tcPr>
          <w:p>
            <w:pPr>
              <w:pStyle w:val="TableParagraph"/>
              <w:spacing w:line="263" w:lineRule="exact"/>
              <w:ind w:left="315"/>
              <w:rPr>
                <w:sz w:val="24"/>
              </w:rPr>
            </w:pPr>
            <w:r>
              <w:rPr>
                <w:w w:val="99"/>
                <w:sz w:val="24"/>
              </w:rPr>
              <w:t>□</w:t>
            </w:r>
          </w:p>
        </w:tc>
        <w:tc>
          <w:tcPr>
            <w:tcW w:w="1895" w:type="dxa"/>
          </w:tcPr>
          <w:p>
            <w:pPr>
              <w:pStyle w:val="TableParagraph"/>
              <w:spacing w:line="263" w:lineRule="exact"/>
              <w:ind w:left="617"/>
              <w:rPr>
                <w:sz w:val="24"/>
              </w:rPr>
            </w:pPr>
            <w:r>
              <w:rPr>
                <w:w w:val="99"/>
                <w:sz w:val="24"/>
              </w:rPr>
              <w:t>□</w:t>
            </w:r>
          </w:p>
        </w:tc>
      </w:tr>
      <w:tr>
        <w:trPr>
          <w:trHeight w:val="277" w:hRule="exact"/>
        </w:trPr>
        <w:tc>
          <w:tcPr>
            <w:tcW w:w="2052" w:type="dxa"/>
          </w:tcPr>
          <w:p>
            <w:pPr>
              <w:pStyle w:val="TableParagraph"/>
              <w:spacing w:line="263" w:lineRule="exact"/>
              <w:ind w:left="200"/>
              <w:rPr>
                <w:sz w:val="24"/>
              </w:rPr>
            </w:pPr>
            <w:r>
              <w:rPr>
                <w:sz w:val="24"/>
              </w:rPr>
              <w:t>Secundaria</w:t>
            </w:r>
          </w:p>
        </w:tc>
        <w:tc>
          <w:tcPr>
            <w:tcW w:w="1866" w:type="dxa"/>
          </w:tcPr>
          <w:p>
            <w:pPr>
              <w:pStyle w:val="TableParagraph"/>
              <w:spacing w:line="263" w:lineRule="exact"/>
              <w:ind w:left="315"/>
              <w:rPr>
                <w:sz w:val="24"/>
              </w:rPr>
            </w:pPr>
            <w:r>
              <w:rPr>
                <w:w w:val="99"/>
                <w:sz w:val="24"/>
              </w:rPr>
              <w:t>□</w:t>
            </w:r>
          </w:p>
        </w:tc>
        <w:tc>
          <w:tcPr>
            <w:tcW w:w="1895" w:type="dxa"/>
          </w:tcPr>
          <w:p>
            <w:pPr>
              <w:pStyle w:val="TableParagraph"/>
              <w:spacing w:line="263" w:lineRule="exact"/>
              <w:ind w:left="617"/>
              <w:rPr>
                <w:sz w:val="24"/>
              </w:rPr>
            </w:pPr>
            <w:r>
              <w:rPr>
                <w:w w:val="99"/>
                <w:sz w:val="24"/>
              </w:rPr>
              <w:t>□</w:t>
            </w:r>
          </w:p>
        </w:tc>
      </w:tr>
      <w:tr>
        <w:trPr>
          <w:trHeight w:val="277" w:hRule="exact"/>
        </w:trPr>
        <w:tc>
          <w:tcPr>
            <w:tcW w:w="2052" w:type="dxa"/>
          </w:tcPr>
          <w:p>
            <w:pPr>
              <w:pStyle w:val="TableParagraph"/>
              <w:spacing w:line="264" w:lineRule="exact"/>
              <w:ind w:left="200"/>
              <w:rPr>
                <w:sz w:val="24"/>
              </w:rPr>
            </w:pPr>
            <w:r>
              <w:rPr>
                <w:sz w:val="24"/>
              </w:rPr>
              <w:t>Preparatoria</w:t>
            </w:r>
          </w:p>
        </w:tc>
        <w:tc>
          <w:tcPr>
            <w:tcW w:w="1866" w:type="dxa"/>
          </w:tcPr>
          <w:p>
            <w:pPr>
              <w:pStyle w:val="TableParagraph"/>
              <w:spacing w:line="264" w:lineRule="exact"/>
              <w:ind w:left="315"/>
              <w:rPr>
                <w:sz w:val="24"/>
              </w:rPr>
            </w:pPr>
            <w:r>
              <w:rPr>
                <w:w w:val="99"/>
                <w:sz w:val="24"/>
              </w:rPr>
              <w:t>□</w:t>
            </w:r>
          </w:p>
        </w:tc>
        <w:tc>
          <w:tcPr>
            <w:tcW w:w="1895" w:type="dxa"/>
          </w:tcPr>
          <w:p>
            <w:pPr>
              <w:pStyle w:val="TableParagraph"/>
              <w:spacing w:line="264" w:lineRule="exact"/>
              <w:ind w:left="617"/>
              <w:rPr>
                <w:sz w:val="24"/>
              </w:rPr>
            </w:pPr>
            <w:r>
              <w:rPr>
                <w:w w:val="99"/>
                <w:sz w:val="24"/>
              </w:rPr>
              <w:t>□</w:t>
            </w:r>
          </w:p>
        </w:tc>
      </w:tr>
      <w:tr>
        <w:trPr>
          <w:trHeight w:val="280" w:hRule="exact"/>
        </w:trPr>
        <w:tc>
          <w:tcPr>
            <w:tcW w:w="2052" w:type="dxa"/>
          </w:tcPr>
          <w:p>
            <w:pPr>
              <w:pStyle w:val="TableParagraph"/>
              <w:spacing w:line="263" w:lineRule="exact"/>
              <w:ind w:left="200"/>
              <w:rPr>
                <w:sz w:val="24"/>
              </w:rPr>
            </w:pPr>
            <w:r>
              <w:rPr>
                <w:sz w:val="24"/>
              </w:rPr>
              <w:t>Carrera Técnica</w:t>
            </w:r>
          </w:p>
        </w:tc>
        <w:tc>
          <w:tcPr>
            <w:tcW w:w="1866" w:type="dxa"/>
          </w:tcPr>
          <w:p>
            <w:pPr>
              <w:pStyle w:val="TableParagraph"/>
              <w:spacing w:line="265" w:lineRule="exact"/>
              <w:ind w:left="315"/>
              <w:rPr>
                <w:sz w:val="24"/>
              </w:rPr>
            </w:pPr>
            <w:r>
              <w:rPr>
                <w:w w:val="99"/>
                <w:sz w:val="24"/>
              </w:rPr>
              <w:t>□</w:t>
            </w:r>
          </w:p>
        </w:tc>
        <w:tc>
          <w:tcPr>
            <w:tcW w:w="1895" w:type="dxa"/>
          </w:tcPr>
          <w:p>
            <w:pPr>
              <w:pStyle w:val="TableParagraph"/>
              <w:spacing w:line="265" w:lineRule="exact"/>
              <w:ind w:left="617"/>
              <w:rPr>
                <w:sz w:val="24"/>
              </w:rPr>
            </w:pPr>
            <w:r>
              <w:rPr>
                <w:w w:val="99"/>
                <w:sz w:val="24"/>
              </w:rPr>
              <w:t>□</w:t>
            </w:r>
          </w:p>
        </w:tc>
      </w:tr>
      <w:tr>
        <w:trPr>
          <w:trHeight w:val="277" w:hRule="exact"/>
        </w:trPr>
        <w:tc>
          <w:tcPr>
            <w:tcW w:w="2052" w:type="dxa"/>
          </w:tcPr>
          <w:p>
            <w:pPr>
              <w:pStyle w:val="TableParagraph"/>
              <w:spacing w:line="264" w:lineRule="exact"/>
              <w:ind w:left="200"/>
              <w:rPr>
                <w:sz w:val="24"/>
              </w:rPr>
            </w:pPr>
            <w:r>
              <w:rPr>
                <w:sz w:val="24"/>
              </w:rPr>
              <w:t>Profesional</w:t>
            </w:r>
          </w:p>
        </w:tc>
        <w:tc>
          <w:tcPr>
            <w:tcW w:w="1866" w:type="dxa"/>
          </w:tcPr>
          <w:p>
            <w:pPr>
              <w:pStyle w:val="TableParagraph"/>
              <w:spacing w:line="264" w:lineRule="exact"/>
              <w:ind w:left="315"/>
              <w:rPr>
                <w:sz w:val="24"/>
              </w:rPr>
            </w:pPr>
            <w:r>
              <w:rPr>
                <w:w w:val="99"/>
                <w:sz w:val="24"/>
              </w:rPr>
              <w:t>□</w:t>
            </w:r>
          </w:p>
        </w:tc>
        <w:tc>
          <w:tcPr>
            <w:tcW w:w="1895" w:type="dxa"/>
          </w:tcPr>
          <w:p>
            <w:pPr>
              <w:pStyle w:val="TableParagraph"/>
              <w:spacing w:line="264" w:lineRule="exact"/>
              <w:ind w:left="617"/>
              <w:rPr>
                <w:sz w:val="24"/>
              </w:rPr>
            </w:pPr>
            <w:r>
              <w:rPr>
                <w:w w:val="99"/>
                <w:sz w:val="24"/>
              </w:rPr>
              <w:t>□</w:t>
            </w:r>
          </w:p>
        </w:tc>
      </w:tr>
      <w:tr>
        <w:trPr>
          <w:trHeight w:val="260" w:hRule="exact"/>
        </w:trPr>
        <w:tc>
          <w:tcPr>
            <w:tcW w:w="2052" w:type="dxa"/>
          </w:tcPr>
          <w:p>
            <w:pPr>
              <w:pStyle w:val="TableParagraph"/>
              <w:spacing w:line="263" w:lineRule="exact"/>
              <w:ind w:left="200"/>
              <w:rPr>
                <w:sz w:val="24"/>
              </w:rPr>
            </w:pPr>
            <w:r>
              <w:rPr>
                <w:sz w:val="24"/>
              </w:rPr>
              <w:t>Posgrado</w:t>
            </w:r>
          </w:p>
        </w:tc>
        <w:tc>
          <w:tcPr>
            <w:tcW w:w="1866" w:type="dxa"/>
          </w:tcPr>
          <w:p>
            <w:pPr>
              <w:pStyle w:val="TableParagraph"/>
              <w:spacing w:line="265" w:lineRule="exact"/>
              <w:ind w:left="315"/>
              <w:rPr>
                <w:sz w:val="24"/>
              </w:rPr>
            </w:pPr>
            <w:r>
              <w:rPr>
                <w:w w:val="99"/>
                <w:sz w:val="24"/>
              </w:rPr>
              <w:t>□</w:t>
            </w:r>
          </w:p>
        </w:tc>
        <w:tc>
          <w:tcPr>
            <w:tcW w:w="1895" w:type="dxa"/>
          </w:tcPr>
          <w:p>
            <w:pPr>
              <w:pStyle w:val="TableParagraph"/>
              <w:spacing w:line="265" w:lineRule="exact"/>
              <w:ind w:left="617"/>
              <w:rPr>
                <w:sz w:val="24"/>
              </w:rPr>
            </w:pPr>
            <w:r>
              <w:rPr>
                <w:w w:val="99"/>
                <w:sz w:val="24"/>
              </w:rPr>
              <w:t>□</w:t>
            </w:r>
          </w:p>
        </w:tc>
      </w:tr>
    </w:tbl>
    <w:p>
      <w:pPr>
        <w:pStyle w:val="BodyText"/>
        <w:spacing w:before="7"/>
        <w:rPr>
          <w:sz w:val="18"/>
        </w:rPr>
      </w:pPr>
    </w:p>
    <w:p>
      <w:pPr>
        <w:pStyle w:val="BodyText"/>
        <w:spacing w:before="69"/>
        <w:ind w:left="198"/>
      </w:pPr>
      <w:r>
        <w:rPr/>
        <w:t>Marque con una </w:t>
      </w:r>
      <w:r>
        <w:rPr>
          <w:b/>
        </w:rPr>
        <w:t>“X” </w:t>
      </w:r>
      <w:r>
        <w:rPr/>
        <w:t>cual es su ocupación actual.</w:t>
      </w:r>
    </w:p>
    <w:p>
      <w:pPr>
        <w:pStyle w:val="BodyText"/>
        <w:spacing w:before="11"/>
        <w:rPr>
          <w:sz w:val="17"/>
        </w:rPr>
      </w:pPr>
    </w:p>
    <w:p>
      <w:pPr>
        <w:spacing w:after="0"/>
        <w:rPr>
          <w:sz w:val="17"/>
        </w:rPr>
        <w:sectPr>
          <w:pgSz w:w="11910" w:h="16840"/>
          <w:pgMar w:header="731" w:footer="0" w:top="960" w:bottom="280" w:left="1220" w:right="860"/>
        </w:sectPr>
      </w:pPr>
    </w:p>
    <w:p>
      <w:pPr>
        <w:pStyle w:val="BodyText"/>
        <w:tabs>
          <w:tab w:pos="1741" w:val="left" w:leader="none"/>
        </w:tabs>
        <w:spacing w:before="69"/>
        <w:ind w:left="198"/>
      </w:pPr>
      <w:r>
        <w:rPr/>
        <w:t>Estudiante </w:t>
      </w:r>
      <w:r>
        <w:rPr>
          <w:spacing w:val="-6"/>
        </w:rPr>
        <w:t> </w:t>
      </w:r>
      <w:r>
        <w:rPr>
          <w:u w:val="single"/>
        </w:rPr>
        <w:t> </w:t>
        <w:tab/>
      </w:r>
    </w:p>
    <w:p>
      <w:pPr>
        <w:pStyle w:val="BodyText"/>
        <w:tabs>
          <w:tab w:pos="3060" w:val="left" w:leader="none"/>
        </w:tabs>
        <w:spacing w:before="69"/>
        <w:ind w:left="198"/>
      </w:pPr>
      <w:r>
        <w:rPr/>
        <w:br w:type="column"/>
      </w:r>
      <w:r>
        <w:rPr/>
        <w:t>Empleado  de</w:t>
      </w:r>
      <w:r>
        <w:rPr>
          <w:spacing w:val="45"/>
        </w:rPr>
        <w:t> </w:t>
      </w:r>
      <w:r>
        <w:rPr/>
        <w:t>Gobierno </w:t>
      </w:r>
      <w:r>
        <w:rPr>
          <w:spacing w:val="-6"/>
        </w:rPr>
        <w:t> </w:t>
      </w:r>
      <w:r>
        <w:rPr>
          <w:u w:val="single"/>
        </w:rPr>
        <w:t> </w:t>
        <w:tab/>
      </w:r>
    </w:p>
    <w:p>
      <w:pPr>
        <w:pStyle w:val="BodyText"/>
        <w:tabs>
          <w:tab w:pos="1681" w:val="left" w:leader="none"/>
          <w:tab w:pos="2096" w:val="left" w:leader="none"/>
        </w:tabs>
        <w:spacing w:before="69"/>
        <w:ind w:left="198"/>
      </w:pPr>
      <w:r>
        <w:rPr/>
        <w:br w:type="column"/>
      </w:r>
      <w:r>
        <w:rPr/>
        <w:t>Profesionista</w:t>
        <w:tab/>
      </w:r>
      <w:r>
        <w:rPr>
          <w:u w:val="single"/>
        </w:rPr>
        <w:t> </w:t>
        <w:tab/>
      </w:r>
    </w:p>
    <w:p>
      <w:pPr>
        <w:pStyle w:val="BodyText"/>
        <w:tabs>
          <w:tab w:pos="1760" w:val="left" w:leader="none"/>
          <w:tab w:pos="2175" w:val="left" w:leader="none"/>
        </w:tabs>
        <w:spacing w:before="69"/>
        <w:ind w:left="198"/>
      </w:pPr>
      <w:r>
        <w:rPr/>
        <w:br w:type="column"/>
      </w:r>
      <w:r>
        <w:rPr/>
        <w:t>Ama  de</w:t>
      </w:r>
      <w:r>
        <w:rPr>
          <w:spacing w:val="45"/>
        </w:rPr>
        <w:t> </w:t>
      </w:r>
      <w:r>
        <w:rPr/>
        <w:t>casa</w:t>
        <w:tab/>
      </w:r>
      <w:r>
        <w:rPr>
          <w:u w:val="single"/>
        </w:rPr>
        <w:t> </w:t>
        <w:tab/>
      </w:r>
    </w:p>
    <w:p>
      <w:pPr>
        <w:spacing w:after="0"/>
        <w:sectPr>
          <w:type w:val="continuous"/>
          <w:pgSz w:w="11910" w:h="16840"/>
          <w:pgMar w:top="1200" w:bottom="0" w:left="1220" w:right="860"/>
          <w:cols w:num="4" w:equalWidth="0">
            <w:col w:w="1742" w:space="91"/>
            <w:col w:w="3061" w:space="91"/>
            <w:col w:w="2097" w:space="203"/>
            <w:col w:w="2545"/>
          </w:cols>
        </w:sectPr>
      </w:pPr>
    </w:p>
    <w:p>
      <w:pPr>
        <w:pStyle w:val="BodyText"/>
        <w:tabs>
          <w:tab w:pos="1897" w:val="left" w:leader="none"/>
          <w:tab w:pos="3411" w:val="left" w:leader="none"/>
          <w:tab w:pos="4570" w:val="left" w:leader="none"/>
          <w:tab w:pos="8863" w:val="left" w:leader="none"/>
        </w:tabs>
        <w:ind w:left="198"/>
      </w:pPr>
      <w:r>
        <w:rPr/>
        <w:t>Comerciante</w:t>
      </w:r>
      <w:r>
        <w:rPr>
          <w:u w:val="single"/>
        </w:rPr>
        <w:tab/>
      </w:r>
      <w:r>
        <w:rPr/>
        <w:t>Empleado</w:t>
      </w:r>
      <w:r>
        <w:rPr>
          <w:u w:val="single"/>
        </w:rPr>
        <w:tab/>
      </w:r>
      <w:r>
        <w:rPr/>
        <w:t>Otro</w:t>
      </w:r>
      <w:r>
        <w:rPr>
          <w:u w:val="single"/>
        </w:rPr>
        <w:tab/>
      </w:r>
      <w:r>
        <w:rPr/>
        <w:t>(Especifique)</w:t>
      </w:r>
      <w:r>
        <w:rPr>
          <w:u w:val="single"/>
        </w:rPr>
        <w:t> </w:t>
        <w:tab/>
      </w:r>
    </w:p>
    <w:p>
      <w:pPr>
        <w:pStyle w:val="BodyText"/>
        <w:spacing w:before="4"/>
        <w:rPr>
          <w:sz w:val="18"/>
        </w:rPr>
      </w:pPr>
    </w:p>
    <w:p>
      <w:pPr>
        <w:pStyle w:val="Heading3"/>
        <w:spacing w:before="70"/>
        <w:ind w:left="198"/>
        <w:jc w:val="left"/>
      </w:pPr>
      <w:r>
        <w:rPr/>
        <w:t>ANTECEDENTES HEREDO FAMILIARES</w:t>
      </w:r>
    </w:p>
    <w:p>
      <w:pPr>
        <w:pStyle w:val="BodyText"/>
        <w:spacing w:before="4"/>
        <w:rPr>
          <w:b/>
          <w:sz w:val="23"/>
        </w:rPr>
      </w:pPr>
    </w:p>
    <w:p>
      <w:pPr>
        <w:pStyle w:val="BodyText"/>
        <w:spacing w:before="1" w:after="38"/>
        <w:ind w:left="198"/>
      </w:pPr>
      <w:r>
        <w:rPr/>
        <w:t>Algún familiar ha padecido o padece?</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6"/>
        <w:gridCol w:w="753"/>
        <w:gridCol w:w="810"/>
        <w:gridCol w:w="4703"/>
      </w:tblGrid>
      <w:tr>
        <w:trPr>
          <w:trHeight w:val="262" w:hRule="exact"/>
        </w:trPr>
        <w:tc>
          <w:tcPr>
            <w:tcW w:w="2456" w:type="dxa"/>
          </w:tcPr>
          <w:p>
            <w:pPr>
              <w:pStyle w:val="TableParagraph"/>
              <w:spacing w:line="245" w:lineRule="exact"/>
              <w:ind w:left="200"/>
              <w:rPr>
                <w:sz w:val="24"/>
              </w:rPr>
            </w:pPr>
            <w:r>
              <w:rPr>
                <w:sz w:val="24"/>
              </w:rPr>
              <w:t>Diabetes</w:t>
            </w:r>
          </w:p>
        </w:tc>
        <w:tc>
          <w:tcPr>
            <w:tcW w:w="753" w:type="dxa"/>
          </w:tcPr>
          <w:p>
            <w:pPr>
              <w:pStyle w:val="TableParagraph"/>
              <w:spacing w:line="245" w:lineRule="exact"/>
              <w:ind w:right="126"/>
              <w:jc w:val="right"/>
              <w:rPr>
                <w:sz w:val="24"/>
              </w:rPr>
            </w:pPr>
            <w:r>
              <w:rPr>
                <w:sz w:val="24"/>
              </w:rPr>
              <w:t>Si □</w:t>
            </w:r>
          </w:p>
        </w:tc>
        <w:tc>
          <w:tcPr>
            <w:tcW w:w="810" w:type="dxa"/>
          </w:tcPr>
          <w:p>
            <w:pPr>
              <w:pStyle w:val="TableParagraph"/>
              <w:spacing w:line="245" w:lineRule="exact"/>
              <w:ind w:left="128"/>
              <w:rPr>
                <w:sz w:val="24"/>
              </w:rPr>
            </w:pPr>
            <w:r>
              <w:rPr>
                <w:sz w:val="24"/>
              </w:rPr>
              <w:t>No □</w:t>
            </w:r>
          </w:p>
        </w:tc>
        <w:tc>
          <w:tcPr>
            <w:tcW w:w="4703" w:type="dxa"/>
          </w:tcPr>
          <w:p>
            <w:pPr>
              <w:pStyle w:val="TableParagraph"/>
              <w:tabs>
                <w:tab w:pos="4412" w:val="left" w:leader="none"/>
              </w:tabs>
              <w:spacing w:line="245" w:lineRule="exact"/>
              <w:ind w:left="37"/>
              <w:jc w:val="center"/>
              <w:rPr>
                <w:sz w:val="24"/>
              </w:rPr>
            </w:pPr>
            <w:r>
              <w:rPr>
                <w:sz w:val="24"/>
              </w:rPr>
              <w:t>Especifique parentesco</w:t>
            </w:r>
            <w:r>
              <w:rPr>
                <w:spacing w:val="-2"/>
                <w:sz w:val="24"/>
              </w:rPr>
              <w:t> </w:t>
            </w:r>
            <w:r>
              <w:rPr>
                <w:sz w:val="24"/>
              </w:rPr>
              <w:t>_</w:t>
            </w:r>
            <w:r>
              <w:rPr>
                <w:sz w:val="24"/>
                <w:u w:val="single"/>
              </w:rPr>
              <w:t> </w:t>
              <w:tab/>
            </w:r>
          </w:p>
        </w:tc>
      </w:tr>
      <w:tr>
        <w:trPr>
          <w:trHeight w:val="283" w:hRule="exact"/>
        </w:trPr>
        <w:tc>
          <w:tcPr>
            <w:tcW w:w="2456" w:type="dxa"/>
          </w:tcPr>
          <w:p>
            <w:pPr>
              <w:pStyle w:val="TableParagraph"/>
              <w:spacing w:line="267" w:lineRule="exact"/>
              <w:ind w:left="200"/>
              <w:rPr>
                <w:sz w:val="24"/>
              </w:rPr>
            </w:pPr>
            <w:r>
              <w:rPr>
                <w:sz w:val="24"/>
              </w:rPr>
              <w:t>Problemas Cardiacos</w:t>
            </w:r>
          </w:p>
        </w:tc>
        <w:tc>
          <w:tcPr>
            <w:tcW w:w="753" w:type="dxa"/>
          </w:tcPr>
          <w:p>
            <w:pPr>
              <w:pStyle w:val="TableParagraph"/>
              <w:spacing w:line="267" w:lineRule="exact"/>
              <w:ind w:right="126"/>
              <w:jc w:val="right"/>
              <w:rPr>
                <w:sz w:val="24"/>
              </w:rPr>
            </w:pPr>
            <w:r>
              <w:rPr>
                <w:sz w:val="24"/>
              </w:rPr>
              <w:t>Si □</w:t>
            </w:r>
          </w:p>
        </w:tc>
        <w:tc>
          <w:tcPr>
            <w:tcW w:w="810" w:type="dxa"/>
          </w:tcPr>
          <w:p>
            <w:pPr>
              <w:pStyle w:val="TableParagraph"/>
              <w:spacing w:line="267" w:lineRule="exact"/>
              <w:ind w:left="128"/>
              <w:rPr>
                <w:sz w:val="24"/>
              </w:rPr>
            </w:pPr>
            <w:r>
              <w:rPr>
                <w:sz w:val="24"/>
              </w:rPr>
              <w:t>No □</w:t>
            </w:r>
          </w:p>
        </w:tc>
        <w:tc>
          <w:tcPr>
            <w:tcW w:w="4703" w:type="dxa"/>
          </w:tcPr>
          <w:p>
            <w:pPr>
              <w:pStyle w:val="TableParagraph"/>
              <w:tabs>
                <w:tab w:pos="4412" w:val="left" w:leader="none"/>
              </w:tabs>
              <w:spacing w:line="267" w:lineRule="exact"/>
              <w:ind w:left="37"/>
              <w:jc w:val="center"/>
              <w:rPr>
                <w:sz w:val="24"/>
              </w:rPr>
            </w:pPr>
            <w:r>
              <w:rPr>
                <w:sz w:val="24"/>
              </w:rPr>
              <w:t>Especifique parentesco</w:t>
            </w:r>
            <w:r>
              <w:rPr>
                <w:spacing w:val="-2"/>
                <w:sz w:val="24"/>
              </w:rPr>
              <w:t> </w:t>
            </w:r>
            <w:r>
              <w:rPr>
                <w:sz w:val="24"/>
              </w:rPr>
              <w:t>_</w:t>
            </w:r>
            <w:r>
              <w:rPr>
                <w:sz w:val="24"/>
                <w:u w:val="single"/>
              </w:rPr>
              <w:t> </w:t>
              <w:tab/>
            </w:r>
          </w:p>
        </w:tc>
      </w:tr>
      <w:tr>
        <w:trPr>
          <w:trHeight w:val="290" w:hRule="exact"/>
        </w:trPr>
        <w:tc>
          <w:tcPr>
            <w:tcW w:w="2456" w:type="dxa"/>
          </w:tcPr>
          <w:p>
            <w:pPr>
              <w:pStyle w:val="TableParagraph"/>
              <w:spacing w:line="267" w:lineRule="exact"/>
              <w:ind w:left="200"/>
              <w:rPr>
                <w:sz w:val="24"/>
              </w:rPr>
            </w:pPr>
            <w:r>
              <w:rPr>
                <w:sz w:val="24"/>
              </w:rPr>
              <w:t>Hipertensión arterial</w:t>
            </w:r>
          </w:p>
        </w:tc>
        <w:tc>
          <w:tcPr>
            <w:tcW w:w="753" w:type="dxa"/>
          </w:tcPr>
          <w:p>
            <w:pPr>
              <w:pStyle w:val="TableParagraph"/>
              <w:spacing w:line="267" w:lineRule="exact"/>
              <w:ind w:right="126"/>
              <w:jc w:val="right"/>
              <w:rPr>
                <w:sz w:val="24"/>
              </w:rPr>
            </w:pPr>
            <w:r>
              <w:rPr>
                <w:sz w:val="24"/>
              </w:rPr>
              <w:t>Si □</w:t>
            </w:r>
          </w:p>
        </w:tc>
        <w:tc>
          <w:tcPr>
            <w:tcW w:w="810" w:type="dxa"/>
          </w:tcPr>
          <w:p>
            <w:pPr>
              <w:pStyle w:val="TableParagraph"/>
              <w:spacing w:line="267" w:lineRule="exact"/>
              <w:ind w:left="128"/>
              <w:rPr>
                <w:sz w:val="24"/>
              </w:rPr>
            </w:pPr>
            <w:r>
              <w:rPr>
                <w:sz w:val="24"/>
              </w:rPr>
              <w:t>No □</w:t>
            </w:r>
          </w:p>
        </w:tc>
        <w:tc>
          <w:tcPr>
            <w:tcW w:w="4703" w:type="dxa"/>
          </w:tcPr>
          <w:p>
            <w:pPr>
              <w:pStyle w:val="TableParagraph"/>
              <w:tabs>
                <w:tab w:pos="4412" w:val="left" w:leader="none"/>
              </w:tabs>
              <w:spacing w:line="267" w:lineRule="exact"/>
              <w:ind w:left="37"/>
              <w:jc w:val="center"/>
              <w:rPr>
                <w:sz w:val="24"/>
              </w:rPr>
            </w:pPr>
            <w:r>
              <w:rPr>
                <w:sz w:val="24"/>
              </w:rPr>
              <w:t>Especifique parentesco</w:t>
            </w:r>
            <w:r>
              <w:rPr>
                <w:spacing w:val="-2"/>
                <w:sz w:val="24"/>
              </w:rPr>
              <w:t> </w:t>
            </w:r>
            <w:r>
              <w:rPr>
                <w:sz w:val="24"/>
              </w:rPr>
              <w:t>_</w:t>
            </w:r>
            <w:r>
              <w:rPr>
                <w:sz w:val="24"/>
                <w:u w:val="single"/>
              </w:rPr>
              <w:t> </w:t>
              <w:tab/>
            </w:r>
          </w:p>
        </w:tc>
      </w:tr>
      <w:tr>
        <w:trPr>
          <w:trHeight w:val="269" w:hRule="exact"/>
        </w:trPr>
        <w:tc>
          <w:tcPr>
            <w:tcW w:w="2456" w:type="dxa"/>
          </w:tcPr>
          <w:p>
            <w:pPr>
              <w:pStyle w:val="TableParagraph"/>
              <w:spacing w:line="274" w:lineRule="exact"/>
              <w:ind w:left="200"/>
              <w:rPr>
                <w:sz w:val="24"/>
              </w:rPr>
            </w:pPr>
            <w:r>
              <w:rPr>
                <w:sz w:val="24"/>
              </w:rPr>
              <w:t>Infarto del miocardio</w:t>
            </w:r>
          </w:p>
        </w:tc>
        <w:tc>
          <w:tcPr>
            <w:tcW w:w="753" w:type="dxa"/>
          </w:tcPr>
          <w:p>
            <w:pPr>
              <w:pStyle w:val="TableParagraph"/>
              <w:spacing w:line="274" w:lineRule="exact"/>
              <w:ind w:right="126"/>
              <w:jc w:val="right"/>
              <w:rPr>
                <w:sz w:val="24"/>
              </w:rPr>
            </w:pPr>
            <w:r>
              <w:rPr>
                <w:sz w:val="24"/>
              </w:rPr>
              <w:t>Si □</w:t>
            </w:r>
          </w:p>
        </w:tc>
        <w:tc>
          <w:tcPr>
            <w:tcW w:w="810" w:type="dxa"/>
          </w:tcPr>
          <w:p>
            <w:pPr>
              <w:pStyle w:val="TableParagraph"/>
              <w:spacing w:line="274" w:lineRule="exact"/>
              <w:ind w:left="128"/>
              <w:rPr>
                <w:sz w:val="24"/>
              </w:rPr>
            </w:pPr>
            <w:r>
              <w:rPr>
                <w:sz w:val="24"/>
              </w:rPr>
              <w:t>No □</w:t>
            </w:r>
          </w:p>
        </w:tc>
        <w:tc>
          <w:tcPr>
            <w:tcW w:w="4703" w:type="dxa"/>
          </w:tcPr>
          <w:p>
            <w:pPr>
              <w:pStyle w:val="TableParagraph"/>
              <w:tabs>
                <w:tab w:pos="4412" w:val="left" w:leader="none"/>
              </w:tabs>
              <w:spacing w:line="274" w:lineRule="exact"/>
              <w:ind w:left="38"/>
              <w:jc w:val="center"/>
              <w:rPr>
                <w:sz w:val="24"/>
              </w:rPr>
            </w:pPr>
            <w:r>
              <w:rPr>
                <w:sz w:val="24"/>
              </w:rPr>
              <w:t>Especifique parentesco</w:t>
            </w:r>
            <w:r>
              <w:rPr>
                <w:spacing w:val="-3"/>
                <w:sz w:val="24"/>
              </w:rPr>
              <w:t> </w:t>
            </w:r>
            <w:r>
              <w:rPr>
                <w:sz w:val="24"/>
              </w:rPr>
              <w:t>_</w:t>
            </w:r>
            <w:r>
              <w:rPr>
                <w:sz w:val="24"/>
                <w:u w:val="single"/>
              </w:rPr>
              <w:t> </w:t>
              <w:tab/>
            </w:r>
          </w:p>
        </w:tc>
      </w:tr>
    </w:tbl>
    <w:p>
      <w:pPr>
        <w:pStyle w:val="BodyText"/>
        <w:spacing w:before="9"/>
        <w:rPr>
          <w:sz w:val="18"/>
        </w:rPr>
      </w:pPr>
    </w:p>
    <w:p>
      <w:pPr>
        <w:pStyle w:val="Heading3"/>
        <w:spacing w:line="274" w:lineRule="exact" w:before="70"/>
        <w:ind w:left="198"/>
        <w:jc w:val="left"/>
      </w:pPr>
      <w:r>
        <w:rPr/>
        <w:t>ANTECEDENTES PATOLÓGICOS</w:t>
      </w:r>
    </w:p>
    <w:p>
      <w:pPr>
        <w:pStyle w:val="BodyText"/>
        <w:spacing w:line="274" w:lineRule="exact"/>
        <w:ind w:left="198"/>
      </w:pPr>
      <w:r>
        <w:rPr/>
        <w:t>¿Usted ha padecido o padece?</w:t>
      </w:r>
    </w:p>
    <w:p>
      <w:pPr>
        <w:pStyle w:val="BodyText"/>
        <w:spacing w:before="7" w:after="1"/>
        <w:rPr>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16"/>
        <w:gridCol w:w="969"/>
        <w:gridCol w:w="892"/>
      </w:tblGrid>
      <w:tr>
        <w:trPr>
          <w:trHeight w:val="258" w:hRule="exact"/>
        </w:trPr>
        <w:tc>
          <w:tcPr>
            <w:tcW w:w="3116" w:type="dxa"/>
          </w:tcPr>
          <w:p>
            <w:pPr>
              <w:pStyle w:val="TableParagraph"/>
              <w:spacing w:line="245" w:lineRule="exact"/>
              <w:ind w:left="200"/>
              <w:rPr>
                <w:sz w:val="24"/>
              </w:rPr>
            </w:pPr>
            <w:r>
              <w:rPr>
                <w:sz w:val="24"/>
              </w:rPr>
              <w:t>Enfermedades del corazón</w:t>
            </w:r>
          </w:p>
        </w:tc>
        <w:tc>
          <w:tcPr>
            <w:tcW w:w="969" w:type="dxa"/>
          </w:tcPr>
          <w:p>
            <w:pPr>
              <w:pStyle w:val="TableParagraph"/>
              <w:spacing w:line="245" w:lineRule="exact"/>
              <w:ind w:right="191"/>
              <w:jc w:val="right"/>
              <w:rPr>
                <w:sz w:val="24"/>
              </w:rPr>
            </w:pPr>
            <w:r>
              <w:rPr>
                <w:sz w:val="24"/>
              </w:rPr>
              <w:t>Si □</w:t>
            </w:r>
          </w:p>
        </w:tc>
        <w:tc>
          <w:tcPr>
            <w:tcW w:w="892" w:type="dxa"/>
          </w:tcPr>
          <w:p>
            <w:pPr>
              <w:pStyle w:val="TableParagraph"/>
              <w:spacing w:line="245" w:lineRule="exact"/>
              <w:ind w:left="193"/>
              <w:rPr>
                <w:sz w:val="24"/>
              </w:rPr>
            </w:pPr>
            <w:r>
              <w:rPr>
                <w:sz w:val="24"/>
              </w:rPr>
              <w:t>No □</w:t>
            </w:r>
          </w:p>
        </w:tc>
      </w:tr>
      <w:tr>
        <w:trPr>
          <w:trHeight w:val="258" w:hRule="exact"/>
        </w:trPr>
        <w:tc>
          <w:tcPr>
            <w:tcW w:w="3116" w:type="dxa"/>
          </w:tcPr>
          <w:p>
            <w:pPr>
              <w:pStyle w:val="TableParagraph"/>
              <w:spacing w:line="263" w:lineRule="exact"/>
              <w:ind w:left="200"/>
              <w:rPr>
                <w:sz w:val="24"/>
              </w:rPr>
            </w:pPr>
            <w:r>
              <w:rPr>
                <w:sz w:val="24"/>
              </w:rPr>
              <w:t>Infarto</w:t>
            </w:r>
          </w:p>
        </w:tc>
        <w:tc>
          <w:tcPr>
            <w:tcW w:w="969" w:type="dxa"/>
          </w:tcPr>
          <w:p>
            <w:pPr>
              <w:pStyle w:val="TableParagraph"/>
              <w:spacing w:line="263" w:lineRule="exact"/>
              <w:ind w:right="191"/>
              <w:jc w:val="right"/>
              <w:rPr>
                <w:sz w:val="24"/>
              </w:rPr>
            </w:pPr>
            <w:r>
              <w:rPr>
                <w:sz w:val="24"/>
              </w:rPr>
              <w:t>Si □</w:t>
            </w:r>
          </w:p>
        </w:tc>
        <w:tc>
          <w:tcPr>
            <w:tcW w:w="892" w:type="dxa"/>
          </w:tcPr>
          <w:p>
            <w:pPr>
              <w:pStyle w:val="TableParagraph"/>
              <w:spacing w:line="263" w:lineRule="exact"/>
              <w:ind w:left="193"/>
              <w:rPr>
                <w:sz w:val="24"/>
              </w:rPr>
            </w:pPr>
            <w:r>
              <w:rPr>
                <w:sz w:val="24"/>
              </w:rPr>
              <w:t>No □</w:t>
            </w:r>
          </w:p>
        </w:tc>
      </w:tr>
    </w:tbl>
    <w:p>
      <w:pPr>
        <w:spacing w:after="0" w:line="263" w:lineRule="exact"/>
        <w:rPr>
          <w:sz w:val="24"/>
        </w:rPr>
        <w:sectPr>
          <w:type w:val="continuous"/>
          <w:pgSz w:w="11910" w:h="16840"/>
          <w:pgMar w:top="1200" w:bottom="0" w:left="1220" w:right="860"/>
        </w:sectPr>
      </w:pPr>
    </w:p>
    <w:p>
      <w:pPr>
        <w:pStyle w:val="BodyText"/>
        <w:rPr>
          <w:sz w:val="20"/>
        </w:rPr>
      </w:pPr>
    </w:p>
    <w:p>
      <w:pPr>
        <w:pStyle w:val="BodyText"/>
        <w:spacing w:before="10"/>
        <w:rPr>
          <w:sz w:val="20"/>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2"/>
        <w:gridCol w:w="1293"/>
        <w:gridCol w:w="892"/>
      </w:tblGrid>
      <w:tr>
        <w:trPr>
          <w:trHeight w:val="258" w:hRule="exact"/>
        </w:trPr>
        <w:tc>
          <w:tcPr>
            <w:tcW w:w="2792" w:type="dxa"/>
          </w:tcPr>
          <w:p>
            <w:pPr>
              <w:pStyle w:val="TableParagraph"/>
              <w:spacing w:line="245" w:lineRule="exact"/>
              <w:ind w:left="200"/>
              <w:rPr>
                <w:sz w:val="24"/>
              </w:rPr>
            </w:pPr>
            <w:r>
              <w:rPr>
                <w:sz w:val="24"/>
              </w:rPr>
              <w:t>Soplo en el corazón</w:t>
            </w:r>
          </w:p>
        </w:tc>
        <w:tc>
          <w:tcPr>
            <w:tcW w:w="1293" w:type="dxa"/>
          </w:tcPr>
          <w:p>
            <w:pPr>
              <w:pStyle w:val="TableParagraph"/>
              <w:spacing w:line="245" w:lineRule="exact"/>
              <w:ind w:right="191"/>
              <w:jc w:val="right"/>
              <w:rPr>
                <w:sz w:val="24"/>
              </w:rPr>
            </w:pPr>
            <w:r>
              <w:rPr>
                <w:sz w:val="24"/>
              </w:rPr>
              <w:t>Si □</w:t>
            </w:r>
          </w:p>
        </w:tc>
        <w:tc>
          <w:tcPr>
            <w:tcW w:w="892" w:type="dxa"/>
          </w:tcPr>
          <w:p>
            <w:pPr>
              <w:pStyle w:val="TableParagraph"/>
              <w:spacing w:line="245" w:lineRule="exact"/>
              <w:ind w:left="193"/>
              <w:rPr>
                <w:sz w:val="24"/>
              </w:rPr>
            </w:pPr>
            <w:r>
              <w:rPr>
                <w:sz w:val="24"/>
              </w:rPr>
              <w:t>No □</w:t>
            </w:r>
          </w:p>
        </w:tc>
      </w:tr>
      <w:tr>
        <w:trPr>
          <w:trHeight w:val="276" w:hRule="exact"/>
        </w:trPr>
        <w:tc>
          <w:tcPr>
            <w:tcW w:w="2792" w:type="dxa"/>
          </w:tcPr>
          <w:p>
            <w:pPr>
              <w:pStyle w:val="TableParagraph"/>
              <w:spacing w:line="263" w:lineRule="exact"/>
              <w:ind w:left="200"/>
              <w:rPr>
                <w:sz w:val="24"/>
              </w:rPr>
            </w:pPr>
            <w:r>
              <w:rPr>
                <w:sz w:val="24"/>
              </w:rPr>
              <w:t>Fiebre reumática</w:t>
            </w:r>
          </w:p>
        </w:tc>
        <w:tc>
          <w:tcPr>
            <w:tcW w:w="1293" w:type="dxa"/>
          </w:tcPr>
          <w:p>
            <w:pPr>
              <w:pStyle w:val="TableParagraph"/>
              <w:spacing w:line="263" w:lineRule="exact"/>
              <w:ind w:right="191"/>
              <w:jc w:val="right"/>
              <w:rPr>
                <w:sz w:val="24"/>
              </w:rPr>
            </w:pPr>
            <w:r>
              <w:rPr>
                <w:sz w:val="24"/>
              </w:rPr>
              <w:t>Si □</w:t>
            </w:r>
          </w:p>
        </w:tc>
        <w:tc>
          <w:tcPr>
            <w:tcW w:w="892" w:type="dxa"/>
          </w:tcPr>
          <w:p>
            <w:pPr>
              <w:pStyle w:val="TableParagraph"/>
              <w:spacing w:line="263" w:lineRule="exact"/>
              <w:ind w:left="193"/>
              <w:rPr>
                <w:sz w:val="24"/>
              </w:rPr>
            </w:pPr>
            <w:r>
              <w:rPr>
                <w:sz w:val="24"/>
              </w:rPr>
              <w:t>No □</w:t>
            </w:r>
          </w:p>
        </w:tc>
      </w:tr>
      <w:tr>
        <w:trPr>
          <w:trHeight w:val="276" w:hRule="exact"/>
        </w:trPr>
        <w:tc>
          <w:tcPr>
            <w:tcW w:w="2792" w:type="dxa"/>
          </w:tcPr>
          <w:p>
            <w:pPr>
              <w:pStyle w:val="TableParagraph"/>
              <w:spacing w:line="263" w:lineRule="exact"/>
              <w:ind w:left="200"/>
              <w:rPr>
                <w:sz w:val="24"/>
              </w:rPr>
            </w:pPr>
            <w:r>
              <w:rPr>
                <w:sz w:val="24"/>
              </w:rPr>
              <w:t>Ateroesclerosis</w:t>
            </w:r>
          </w:p>
        </w:tc>
        <w:tc>
          <w:tcPr>
            <w:tcW w:w="1293" w:type="dxa"/>
          </w:tcPr>
          <w:p>
            <w:pPr>
              <w:pStyle w:val="TableParagraph"/>
              <w:spacing w:line="263" w:lineRule="exact"/>
              <w:ind w:right="191"/>
              <w:jc w:val="right"/>
              <w:rPr>
                <w:sz w:val="24"/>
              </w:rPr>
            </w:pPr>
            <w:r>
              <w:rPr>
                <w:sz w:val="24"/>
              </w:rPr>
              <w:t>Si □</w:t>
            </w:r>
          </w:p>
        </w:tc>
        <w:tc>
          <w:tcPr>
            <w:tcW w:w="892" w:type="dxa"/>
          </w:tcPr>
          <w:p>
            <w:pPr>
              <w:pStyle w:val="TableParagraph"/>
              <w:spacing w:line="263" w:lineRule="exact"/>
              <w:ind w:left="193"/>
              <w:rPr>
                <w:sz w:val="24"/>
              </w:rPr>
            </w:pPr>
            <w:r>
              <w:rPr>
                <w:sz w:val="24"/>
              </w:rPr>
              <w:t>No □</w:t>
            </w:r>
          </w:p>
        </w:tc>
      </w:tr>
      <w:tr>
        <w:trPr>
          <w:trHeight w:val="276" w:hRule="exact"/>
        </w:trPr>
        <w:tc>
          <w:tcPr>
            <w:tcW w:w="2792" w:type="dxa"/>
          </w:tcPr>
          <w:p>
            <w:pPr>
              <w:pStyle w:val="TableParagraph"/>
              <w:spacing w:line="263" w:lineRule="exact"/>
              <w:ind w:left="200"/>
              <w:rPr>
                <w:sz w:val="24"/>
              </w:rPr>
            </w:pPr>
            <w:r>
              <w:rPr>
                <w:sz w:val="24"/>
              </w:rPr>
              <w:t>Presión alta o baja</w:t>
            </w:r>
          </w:p>
        </w:tc>
        <w:tc>
          <w:tcPr>
            <w:tcW w:w="1293" w:type="dxa"/>
          </w:tcPr>
          <w:p>
            <w:pPr>
              <w:pStyle w:val="TableParagraph"/>
              <w:spacing w:line="263" w:lineRule="exact"/>
              <w:ind w:right="191"/>
              <w:jc w:val="right"/>
              <w:rPr>
                <w:sz w:val="24"/>
              </w:rPr>
            </w:pPr>
            <w:r>
              <w:rPr>
                <w:sz w:val="24"/>
              </w:rPr>
              <w:t>Si □</w:t>
            </w:r>
          </w:p>
        </w:tc>
        <w:tc>
          <w:tcPr>
            <w:tcW w:w="892" w:type="dxa"/>
          </w:tcPr>
          <w:p>
            <w:pPr>
              <w:pStyle w:val="TableParagraph"/>
              <w:spacing w:line="263" w:lineRule="exact"/>
              <w:ind w:left="193"/>
              <w:rPr>
                <w:sz w:val="24"/>
              </w:rPr>
            </w:pPr>
            <w:r>
              <w:rPr>
                <w:sz w:val="24"/>
              </w:rPr>
              <w:t>No □</w:t>
            </w:r>
          </w:p>
        </w:tc>
      </w:tr>
      <w:tr>
        <w:trPr>
          <w:trHeight w:val="276" w:hRule="exact"/>
        </w:trPr>
        <w:tc>
          <w:tcPr>
            <w:tcW w:w="2792" w:type="dxa"/>
          </w:tcPr>
          <w:p>
            <w:pPr>
              <w:pStyle w:val="TableParagraph"/>
              <w:spacing w:line="263" w:lineRule="exact"/>
              <w:ind w:left="200"/>
              <w:rPr>
                <w:sz w:val="24"/>
              </w:rPr>
            </w:pPr>
            <w:r>
              <w:rPr>
                <w:sz w:val="24"/>
              </w:rPr>
              <w:t>Diabetes</w:t>
            </w:r>
          </w:p>
        </w:tc>
        <w:tc>
          <w:tcPr>
            <w:tcW w:w="1293" w:type="dxa"/>
          </w:tcPr>
          <w:p>
            <w:pPr>
              <w:pStyle w:val="TableParagraph"/>
              <w:spacing w:line="263" w:lineRule="exact"/>
              <w:ind w:right="191"/>
              <w:jc w:val="right"/>
              <w:rPr>
                <w:sz w:val="24"/>
              </w:rPr>
            </w:pPr>
            <w:r>
              <w:rPr>
                <w:sz w:val="24"/>
              </w:rPr>
              <w:t>Si □</w:t>
            </w:r>
          </w:p>
        </w:tc>
        <w:tc>
          <w:tcPr>
            <w:tcW w:w="892" w:type="dxa"/>
          </w:tcPr>
          <w:p>
            <w:pPr>
              <w:pStyle w:val="TableParagraph"/>
              <w:spacing w:line="263" w:lineRule="exact"/>
              <w:ind w:left="193"/>
              <w:rPr>
                <w:sz w:val="24"/>
              </w:rPr>
            </w:pPr>
            <w:r>
              <w:rPr>
                <w:sz w:val="24"/>
              </w:rPr>
              <w:t>No □</w:t>
            </w:r>
          </w:p>
        </w:tc>
      </w:tr>
      <w:tr>
        <w:trPr>
          <w:trHeight w:val="258" w:hRule="exact"/>
        </w:trPr>
        <w:tc>
          <w:tcPr>
            <w:tcW w:w="2792" w:type="dxa"/>
          </w:tcPr>
          <w:p>
            <w:pPr>
              <w:pStyle w:val="TableParagraph"/>
              <w:spacing w:line="263" w:lineRule="exact"/>
              <w:ind w:left="200"/>
              <w:rPr>
                <w:sz w:val="24"/>
              </w:rPr>
            </w:pPr>
            <w:r>
              <w:rPr>
                <w:sz w:val="24"/>
              </w:rPr>
              <w:t>Gota</w:t>
            </w:r>
          </w:p>
        </w:tc>
        <w:tc>
          <w:tcPr>
            <w:tcW w:w="1293" w:type="dxa"/>
          </w:tcPr>
          <w:p>
            <w:pPr>
              <w:pStyle w:val="TableParagraph"/>
              <w:spacing w:line="263" w:lineRule="exact"/>
              <w:ind w:right="191"/>
              <w:jc w:val="right"/>
              <w:rPr>
                <w:sz w:val="24"/>
              </w:rPr>
            </w:pPr>
            <w:r>
              <w:rPr>
                <w:sz w:val="24"/>
              </w:rPr>
              <w:t>Si □</w:t>
            </w:r>
          </w:p>
        </w:tc>
        <w:tc>
          <w:tcPr>
            <w:tcW w:w="892" w:type="dxa"/>
          </w:tcPr>
          <w:p>
            <w:pPr>
              <w:pStyle w:val="TableParagraph"/>
              <w:spacing w:line="263" w:lineRule="exact"/>
              <w:ind w:left="193"/>
              <w:rPr>
                <w:sz w:val="24"/>
              </w:rPr>
            </w:pPr>
            <w:r>
              <w:rPr>
                <w:sz w:val="24"/>
              </w:rPr>
              <w:t>No □</w:t>
            </w:r>
          </w:p>
        </w:tc>
      </w:tr>
    </w:tbl>
    <w:p>
      <w:pPr>
        <w:pStyle w:val="BodyText"/>
        <w:spacing w:before="5"/>
        <w:rPr>
          <w:sz w:val="18"/>
        </w:rPr>
      </w:pPr>
    </w:p>
    <w:p>
      <w:pPr>
        <w:pStyle w:val="BodyText"/>
        <w:tabs>
          <w:tab w:pos="7917" w:val="left" w:leader="none"/>
        </w:tabs>
        <w:spacing w:before="69"/>
        <w:ind w:left="198" w:right="529"/>
      </w:pPr>
      <w:r>
        <w:rPr/>
        <w:t>Especificar el año en que inició el padecimiento</w:t>
      </w:r>
      <w:r>
        <w:rPr>
          <w:spacing w:val="-7"/>
        </w:rPr>
        <w:t> </w:t>
      </w:r>
      <w:r>
        <w:rPr/>
        <w:t>_</w:t>
      </w:r>
      <w:r>
        <w:rPr>
          <w:u w:val="single"/>
        </w:rPr>
        <w:t> </w:t>
        <w:tab/>
      </w:r>
    </w:p>
    <w:p>
      <w:pPr>
        <w:pStyle w:val="BodyText"/>
        <w:spacing w:before="11"/>
        <w:rPr>
          <w:sz w:val="17"/>
        </w:rPr>
      </w:pPr>
    </w:p>
    <w:p>
      <w:pPr>
        <w:pStyle w:val="BodyText"/>
        <w:spacing w:before="69"/>
        <w:ind w:left="198" w:right="529"/>
      </w:pPr>
      <w:r>
        <w:rPr/>
        <w:t>¿Toma medicamentos?</w:t>
      </w:r>
    </w:p>
    <w:p>
      <w:pPr>
        <w:pStyle w:val="BodyText"/>
        <w:ind w:left="198"/>
      </w:pPr>
      <w:r>
        <w:rPr/>
        <w:t>(Marque con una </w:t>
      </w:r>
      <w:r>
        <w:rPr>
          <w:b/>
        </w:rPr>
        <w:t>“X” </w:t>
      </w:r>
      <w:r>
        <w:rPr/>
        <w:t>solo los que usa regularmente, por ejemplo, dos o más veces por semana)</w:t>
      </w:r>
    </w:p>
    <w:p>
      <w:pPr>
        <w:pStyle w:val="BodyText"/>
        <w:tabs>
          <w:tab w:pos="613" w:val="left" w:leader="none"/>
        </w:tabs>
        <w:ind w:left="198" w:right="529"/>
      </w:pPr>
      <w:r>
        <w:rPr>
          <w:u w:val="single"/>
        </w:rPr>
        <w:t> </w:t>
        <w:tab/>
      </w:r>
      <w:r>
        <w:rPr/>
        <w:t>Ninguno (pase a la siguiente</w:t>
      </w:r>
      <w:r>
        <w:rPr>
          <w:spacing w:val="-7"/>
        </w:rPr>
        <w:t> </w:t>
      </w:r>
      <w:r>
        <w:rPr/>
        <w:t>pregunta)</w:t>
      </w:r>
    </w:p>
    <w:p>
      <w:pPr>
        <w:pStyle w:val="BodyText"/>
        <w:tabs>
          <w:tab w:pos="613" w:val="left" w:leader="none"/>
        </w:tabs>
        <w:ind w:left="198" w:right="529"/>
      </w:pPr>
      <w:r>
        <w:rPr>
          <w:u w:val="single"/>
        </w:rPr>
        <w:t> </w:t>
        <w:tab/>
      </w:r>
      <w:r>
        <w:rPr/>
        <w:t>Ácido acetilsalicílico</w:t>
      </w:r>
      <w:r>
        <w:rPr>
          <w:spacing w:val="-7"/>
        </w:rPr>
        <w:t> </w:t>
      </w:r>
      <w:r>
        <w:rPr/>
        <w:t>(aspirina)</w:t>
      </w:r>
    </w:p>
    <w:p>
      <w:pPr>
        <w:pStyle w:val="BodyText"/>
        <w:tabs>
          <w:tab w:pos="613" w:val="left" w:leader="none"/>
        </w:tabs>
        <w:ind w:left="198" w:right="529"/>
      </w:pPr>
      <w:r>
        <w:rPr>
          <w:u w:val="single"/>
        </w:rPr>
        <w:t> </w:t>
        <w:tab/>
      </w:r>
      <w:r>
        <w:rPr/>
        <w:t>Acetaminofén</w:t>
      </w:r>
      <w:r>
        <w:rPr>
          <w:spacing w:val="-6"/>
        </w:rPr>
        <w:t> </w:t>
      </w:r>
      <w:r>
        <w:rPr/>
        <w:t>(tempra)</w:t>
      </w:r>
    </w:p>
    <w:p>
      <w:pPr>
        <w:pStyle w:val="BodyText"/>
        <w:tabs>
          <w:tab w:pos="613" w:val="left" w:leader="none"/>
        </w:tabs>
        <w:ind w:left="198" w:right="529"/>
      </w:pPr>
      <w:r>
        <w:rPr>
          <w:u w:val="single"/>
        </w:rPr>
        <w:t> </w:t>
        <w:tab/>
      </w:r>
      <w:r>
        <w:rPr/>
        <w:t>Antiinflamatorios (diclofenaco, naproxeno, ibuprofeno,</w:t>
      </w:r>
      <w:r>
        <w:rPr>
          <w:spacing w:val="-9"/>
        </w:rPr>
        <w:t> </w:t>
      </w:r>
      <w:r>
        <w:rPr/>
        <w:t>piroxicam)</w:t>
      </w:r>
    </w:p>
    <w:p>
      <w:pPr>
        <w:pStyle w:val="BodyText"/>
        <w:tabs>
          <w:tab w:pos="613" w:val="left" w:leader="none"/>
        </w:tabs>
        <w:ind w:left="198" w:right="529"/>
      </w:pPr>
      <w:r>
        <w:rPr>
          <w:u w:val="single"/>
        </w:rPr>
        <w:t> </w:t>
        <w:tab/>
      </w:r>
      <w:r>
        <w:rPr/>
        <w:t>Diuréticos como furosemida</w:t>
      </w:r>
      <w:r>
        <w:rPr>
          <w:spacing w:val="-6"/>
        </w:rPr>
        <w:t> </w:t>
      </w:r>
      <w:r>
        <w:rPr/>
        <w:t>(lasix)</w:t>
      </w:r>
    </w:p>
    <w:p>
      <w:pPr>
        <w:pStyle w:val="BodyText"/>
        <w:tabs>
          <w:tab w:pos="613" w:val="left" w:leader="none"/>
        </w:tabs>
        <w:ind w:left="198" w:right="529"/>
      </w:pPr>
      <w:r>
        <w:rPr>
          <w:u w:val="single"/>
        </w:rPr>
        <w:t> </w:t>
        <w:tab/>
      </w:r>
      <w:r>
        <w:rPr/>
        <w:t>Clortalidona</w:t>
      </w:r>
      <w:r>
        <w:rPr>
          <w:spacing w:val="-4"/>
        </w:rPr>
        <w:t> </w:t>
      </w:r>
      <w:r>
        <w:rPr/>
        <w:t>(higotrón)</w:t>
      </w:r>
    </w:p>
    <w:p>
      <w:pPr>
        <w:pStyle w:val="BodyText"/>
        <w:tabs>
          <w:tab w:pos="613" w:val="left" w:leader="none"/>
        </w:tabs>
        <w:ind w:left="198" w:right="529"/>
      </w:pPr>
      <w:r>
        <w:rPr>
          <w:u w:val="single"/>
        </w:rPr>
        <w:t> </w:t>
        <w:tab/>
      </w:r>
      <w:r>
        <w:rPr/>
        <w:t>Espironolactona</w:t>
      </w:r>
      <w:r>
        <w:rPr>
          <w:spacing w:val="-5"/>
        </w:rPr>
        <w:t> </w:t>
      </w:r>
      <w:r>
        <w:rPr/>
        <w:t>(aladactone)</w:t>
      </w:r>
    </w:p>
    <w:p>
      <w:pPr>
        <w:pStyle w:val="BodyText"/>
        <w:tabs>
          <w:tab w:pos="613" w:val="left" w:leader="none"/>
        </w:tabs>
        <w:ind w:left="198" w:right="529"/>
      </w:pPr>
      <w:r>
        <w:rPr>
          <w:u w:val="single"/>
        </w:rPr>
        <w:t> </w:t>
        <w:tab/>
      </w:r>
      <w:r>
        <w:rPr/>
        <w:t>Beta bloqueadores (propanolol,</w:t>
      </w:r>
      <w:r>
        <w:rPr>
          <w:spacing w:val="-5"/>
        </w:rPr>
        <w:t> </w:t>
      </w:r>
      <w:r>
        <w:rPr/>
        <w:t>metoprolol)</w:t>
      </w:r>
    </w:p>
    <w:p>
      <w:pPr>
        <w:pStyle w:val="BodyText"/>
        <w:tabs>
          <w:tab w:pos="613" w:val="left" w:leader="none"/>
        </w:tabs>
        <w:ind w:left="198" w:right="529"/>
      </w:pPr>
      <w:r>
        <w:rPr>
          <w:u w:val="single"/>
        </w:rPr>
        <w:t> </w:t>
        <w:tab/>
      </w:r>
      <w:r>
        <w:rPr/>
        <w:t>Bloqueadores de calcio (nifedipina, adalat,</w:t>
      </w:r>
      <w:r>
        <w:rPr>
          <w:spacing w:val="-9"/>
        </w:rPr>
        <w:t> </w:t>
      </w:r>
      <w:r>
        <w:rPr/>
        <w:t>verapamilo)</w:t>
      </w:r>
    </w:p>
    <w:p>
      <w:pPr>
        <w:pStyle w:val="BodyText"/>
        <w:tabs>
          <w:tab w:pos="613" w:val="left" w:leader="none"/>
        </w:tabs>
        <w:ind w:left="198" w:right="529"/>
      </w:pPr>
      <w:r>
        <w:rPr>
          <w:u w:val="single"/>
        </w:rPr>
        <w:t> </w:t>
        <w:tab/>
      </w:r>
      <w:r>
        <w:rPr/>
        <w:t>Nitratos</w:t>
      </w:r>
      <w:r>
        <w:rPr>
          <w:spacing w:val="-5"/>
        </w:rPr>
        <w:t> </w:t>
      </w:r>
      <w:r>
        <w:rPr/>
        <w:t>(isosorbide)</w:t>
      </w:r>
    </w:p>
    <w:p>
      <w:pPr>
        <w:pStyle w:val="BodyText"/>
        <w:tabs>
          <w:tab w:pos="613" w:val="left" w:leader="none"/>
        </w:tabs>
        <w:ind w:left="198" w:right="529"/>
      </w:pPr>
      <w:r>
        <w:rPr>
          <w:u w:val="single"/>
        </w:rPr>
        <w:t> </w:t>
        <w:tab/>
      </w:r>
      <w:r>
        <w:rPr/>
        <w:t>Otros antihipertensivos (alfa metil dopa, hidralazina, enalapril,</w:t>
      </w:r>
      <w:r>
        <w:rPr>
          <w:spacing w:val="-13"/>
        </w:rPr>
        <w:t> </w:t>
      </w:r>
      <w:r>
        <w:rPr/>
        <w:t>prasozina)</w:t>
      </w:r>
    </w:p>
    <w:p>
      <w:pPr>
        <w:pStyle w:val="BodyText"/>
        <w:tabs>
          <w:tab w:pos="613" w:val="left" w:leader="none"/>
        </w:tabs>
        <w:ind w:left="198" w:right="529"/>
      </w:pPr>
      <w:r>
        <w:rPr>
          <w:u w:val="single"/>
        </w:rPr>
        <w:t> </w:t>
        <w:tab/>
      </w:r>
      <w:r>
        <w:rPr/>
        <w:t>Digoxina</w:t>
      </w:r>
      <w:r>
        <w:rPr>
          <w:spacing w:val="-3"/>
        </w:rPr>
        <w:t> </w:t>
      </w:r>
      <w:r>
        <w:rPr/>
        <w:t>(lanoxin)</w:t>
      </w:r>
    </w:p>
    <w:p>
      <w:pPr>
        <w:pStyle w:val="BodyText"/>
        <w:tabs>
          <w:tab w:pos="613" w:val="left" w:leader="none"/>
        </w:tabs>
        <w:ind w:left="198" w:right="529"/>
      </w:pPr>
      <w:r>
        <w:rPr>
          <w:u w:val="single"/>
        </w:rPr>
        <w:t> </w:t>
        <w:tab/>
      </w:r>
      <w:r>
        <w:rPr/>
        <w:t>Antiarrítimicos (norpase, propafenona, amiadarona,</w:t>
      </w:r>
      <w:r>
        <w:rPr>
          <w:spacing w:val="-7"/>
        </w:rPr>
        <w:t> </w:t>
      </w:r>
      <w:r>
        <w:rPr/>
        <w:t>quinidina)</w:t>
      </w:r>
    </w:p>
    <w:p>
      <w:pPr>
        <w:pStyle w:val="BodyText"/>
        <w:tabs>
          <w:tab w:pos="613" w:val="left" w:leader="none"/>
        </w:tabs>
        <w:ind w:left="198" w:right="529"/>
      </w:pPr>
      <w:r>
        <w:rPr>
          <w:u w:val="single"/>
        </w:rPr>
        <w:t> </w:t>
        <w:tab/>
      </w:r>
      <w:r>
        <w:rPr/>
        <w:t>Cimetidina , ranitidina (tagamet,</w:t>
      </w:r>
      <w:r>
        <w:rPr>
          <w:spacing w:val="-10"/>
        </w:rPr>
        <w:t> </w:t>
      </w:r>
      <w:r>
        <w:rPr/>
        <w:t>ranisen)</w:t>
      </w:r>
    </w:p>
    <w:p>
      <w:pPr>
        <w:pStyle w:val="BodyText"/>
        <w:tabs>
          <w:tab w:pos="613" w:val="left" w:leader="none"/>
        </w:tabs>
        <w:ind w:left="198" w:right="529"/>
      </w:pPr>
      <w:r>
        <w:rPr>
          <w:u w:val="single"/>
        </w:rPr>
        <w:t> </w:t>
        <w:tab/>
      </w:r>
      <w:r>
        <w:rPr/>
        <w:t>Anticoleresterolémicos (pravastatina,</w:t>
      </w:r>
      <w:r>
        <w:rPr>
          <w:spacing w:val="-7"/>
        </w:rPr>
        <w:t> </w:t>
      </w:r>
      <w:r>
        <w:rPr/>
        <w:t>bezafibrato)</w:t>
      </w:r>
    </w:p>
    <w:p>
      <w:pPr>
        <w:pStyle w:val="BodyText"/>
        <w:tabs>
          <w:tab w:pos="613" w:val="left" w:leader="none"/>
        </w:tabs>
        <w:ind w:left="198" w:right="529"/>
      </w:pPr>
      <w:r>
        <w:rPr>
          <w:u w:val="single"/>
        </w:rPr>
        <w:t> </w:t>
        <w:tab/>
      </w:r>
      <w:r>
        <w:rPr/>
        <w:t>Fibra natural como Psillom plántago (metamucil,</w:t>
      </w:r>
      <w:r>
        <w:rPr>
          <w:spacing w:val="-9"/>
        </w:rPr>
        <w:t> </w:t>
      </w:r>
      <w:r>
        <w:rPr/>
        <w:t>psillumax)</w:t>
      </w:r>
    </w:p>
    <w:p>
      <w:pPr>
        <w:pStyle w:val="BodyText"/>
        <w:tabs>
          <w:tab w:pos="613" w:val="left" w:leader="none"/>
        </w:tabs>
        <w:ind w:left="198" w:right="529"/>
      </w:pPr>
      <w:r>
        <w:rPr>
          <w:u w:val="single"/>
        </w:rPr>
        <w:t> </w:t>
        <w:tab/>
      </w:r>
      <w:r>
        <w:rPr/>
        <w:t>Hipoglucemiantes (tulbutamida,</w:t>
      </w:r>
      <w:r>
        <w:rPr>
          <w:spacing w:val="-7"/>
        </w:rPr>
        <w:t> </w:t>
      </w:r>
      <w:r>
        <w:rPr/>
        <w:t>glibencalmida)</w:t>
      </w:r>
    </w:p>
    <w:p>
      <w:pPr>
        <w:pStyle w:val="BodyText"/>
        <w:tabs>
          <w:tab w:pos="613" w:val="left" w:leader="none"/>
        </w:tabs>
        <w:ind w:left="198" w:right="529"/>
      </w:pPr>
      <w:r>
        <w:rPr>
          <w:u w:val="single"/>
        </w:rPr>
        <w:t> </w:t>
        <w:tab/>
      </w:r>
      <w:r>
        <w:rPr/>
        <w:t>Hormonales (estrégenos,</w:t>
      </w:r>
      <w:r>
        <w:rPr>
          <w:spacing w:val="-9"/>
        </w:rPr>
        <w:t> </w:t>
      </w:r>
      <w:r>
        <w:rPr/>
        <w:t>premarin)</w:t>
      </w:r>
    </w:p>
    <w:p>
      <w:pPr>
        <w:pStyle w:val="BodyText"/>
        <w:tabs>
          <w:tab w:pos="613" w:val="left" w:leader="none"/>
        </w:tabs>
        <w:ind w:left="198" w:right="529"/>
      </w:pPr>
      <w:r>
        <w:rPr>
          <w:u w:val="single"/>
        </w:rPr>
        <w:t> </w:t>
        <w:tab/>
      </w:r>
      <w:r>
        <w:rPr/>
        <w:t>Antidepresivos (monclobamina,</w:t>
      </w:r>
      <w:r>
        <w:rPr>
          <w:spacing w:val="-8"/>
        </w:rPr>
        <w:t> </w:t>
      </w:r>
      <w:r>
        <w:rPr/>
        <w:t>imipramina)</w:t>
      </w:r>
    </w:p>
    <w:p>
      <w:pPr>
        <w:pStyle w:val="BodyText"/>
        <w:tabs>
          <w:tab w:pos="613" w:val="left" w:leader="none"/>
        </w:tabs>
        <w:ind w:left="198" w:right="529"/>
      </w:pPr>
      <w:r>
        <w:rPr>
          <w:u w:val="single"/>
        </w:rPr>
        <w:t> </w:t>
        <w:tab/>
      </w:r>
      <w:r>
        <w:rPr/>
        <w:t>Ansiolíticos (diazepán, clonazepán,</w:t>
      </w:r>
      <w:r>
        <w:rPr>
          <w:spacing w:val="-9"/>
        </w:rPr>
        <w:t> </w:t>
      </w:r>
      <w:r>
        <w:rPr/>
        <w:t>alprozalán)</w:t>
      </w:r>
    </w:p>
    <w:p>
      <w:pPr>
        <w:pStyle w:val="BodyText"/>
        <w:tabs>
          <w:tab w:pos="613" w:val="left" w:leader="none"/>
        </w:tabs>
        <w:ind w:left="198" w:right="529"/>
      </w:pPr>
      <w:r>
        <w:rPr>
          <w:u w:val="single"/>
        </w:rPr>
        <w:t> </w:t>
        <w:tab/>
      </w:r>
      <w:r>
        <w:rPr/>
        <w:t>Metformin</w:t>
      </w:r>
    </w:p>
    <w:p>
      <w:pPr>
        <w:pStyle w:val="BodyText"/>
        <w:tabs>
          <w:tab w:pos="613" w:val="left" w:leader="none"/>
          <w:tab w:pos="6025" w:val="left" w:leader="none"/>
        </w:tabs>
        <w:ind w:left="198" w:right="529"/>
      </w:pPr>
      <w:r>
        <w:rPr>
          <w:u w:val="single"/>
        </w:rPr>
        <w:t> </w:t>
        <w:tab/>
      </w:r>
      <w:r>
        <w:rPr/>
        <w:t>Otro</w:t>
      </w:r>
      <w:r>
        <w:rPr>
          <w:spacing w:val="-5"/>
        </w:rPr>
        <w:t> </w:t>
      </w:r>
      <w:r>
        <w:rPr/>
        <w:t>(especifique)</w:t>
      </w:r>
      <w:r>
        <w:rPr>
          <w:u w:val="single"/>
        </w:rPr>
        <w:t> </w:t>
        <w:tab/>
      </w:r>
    </w:p>
    <w:p>
      <w:pPr>
        <w:pStyle w:val="BodyText"/>
        <w:spacing w:before="4"/>
        <w:rPr>
          <w:sz w:val="18"/>
        </w:rPr>
      </w:pPr>
    </w:p>
    <w:p>
      <w:pPr>
        <w:pStyle w:val="Heading3"/>
        <w:spacing w:line="272" w:lineRule="exact" w:before="70"/>
        <w:ind w:left="198" w:right="529"/>
        <w:jc w:val="left"/>
      </w:pPr>
      <w:r>
        <w:rPr/>
        <w:t>TABACO</w:t>
      </w:r>
    </w:p>
    <w:p>
      <w:pPr>
        <w:pStyle w:val="BodyText"/>
        <w:spacing w:line="272" w:lineRule="exact"/>
        <w:ind w:left="198" w:right="529"/>
      </w:pPr>
      <w:r>
        <w:rPr/>
        <w:t>¿Ha fumado 100 cigarrillos o más en toda su vida?</w:t>
      </w:r>
    </w:p>
    <w:p>
      <w:pPr>
        <w:pStyle w:val="BodyText"/>
        <w:tabs>
          <w:tab w:pos="613" w:val="left" w:leader="none"/>
        </w:tabs>
        <w:ind w:left="198" w:right="529"/>
      </w:pPr>
      <w:r>
        <w:rPr>
          <w:u w:val="single"/>
        </w:rPr>
        <w:t> </w:t>
        <w:tab/>
      </w:r>
      <w:r>
        <w:rPr/>
        <w:t>No, nuca he fumado (pase a la siguiente</w:t>
      </w:r>
      <w:r>
        <w:rPr>
          <w:spacing w:val="-8"/>
        </w:rPr>
        <w:t> </w:t>
      </w:r>
      <w:r>
        <w:rPr/>
        <w:t>pregunta)</w:t>
      </w:r>
    </w:p>
    <w:p>
      <w:pPr>
        <w:pStyle w:val="BodyText"/>
        <w:tabs>
          <w:tab w:pos="613" w:val="left" w:leader="none"/>
        </w:tabs>
        <w:ind w:left="198" w:right="529"/>
      </w:pPr>
      <w:r>
        <w:rPr>
          <w:u w:val="single"/>
        </w:rPr>
        <w:t> </w:t>
        <w:tab/>
      </w:r>
      <w:r>
        <w:rPr/>
        <w:t>Si fume, pero actualmente </w:t>
      </w:r>
      <w:r>
        <w:rPr>
          <w:spacing w:val="-3"/>
        </w:rPr>
        <w:t>ya </w:t>
      </w:r>
      <w:r>
        <w:rPr/>
        <w:t>no</w:t>
      </w:r>
    </w:p>
    <w:p>
      <w:pPr>
        <w:pStyle w:val="BodyText"/>
        <w:tabs>
          <w:tab w:pos="613" w:val="left" w:leader="none"/>
        </w:tabs>
        <w:ind w:left="198" w:right="529"/>
      </w:pPr>
      <w:r>
        <w:rPr>
          <w:u w:val="single"/>
        </w:rPr>
        <w:t> </w:t>
        <w:tab/>
      </w:r>
      <w:r>
        <w:rPr/>
        <w:t>Si, y actualmente</w:t>
      </w:r>
      <w:r>
        <w:rPr>
          <w:spacing w:val="-5"/>
        </w:rPr>
        <w:t> </w:t>
      </w:r>
      <w:r>
        <w:rPr/>
        <w:t>fumo</w:t>
      </w:r>
    </w:p>
    <w:p>
      <w:pPr>
        <w:pStyle w:val="BodyText"/>
        <w:tabs>
          <w:tab w:pos="4545" w:val="left" w:leader="none"/>
        </w:tabs>
        <w:ind w:left="198" w:right="529"/>
      </w:pPr>
      <w:r>
        <w:rPr/>
        <w:t>¿Cuántos cigarros fuma al</w:t>
      </w:r>
      <w:r>
        <w:rPr>
          <w:spacing w:val="-6"/>
        </w:rPr>
        <w:t> </w:t>
      </w:r>
      <w:r>
        <w:rPr/>
        <w:t>día?</w:t>
      </w:r>
      <w:r>
        <w:rPr>
          <w:u w:val="single"/>
        </w:rPr>
        <w:t> </w:t>
        <w:tab/>
      </w:r>
    </w:p>
    <w:p>
      <w:pPr>
        <w:pStyle w:val="BodyText"/>
        <w:spacing w:before="4"/>
        <w:rPr>
          <w:sz w:val="18"/>
        </w:rPr>
      </w:pPr>
    </w:p>
    <w:p>
      <w:pPr>
        <w:pStyle w:val="Heading3"/>
        <w:spacing w:line="274" w:lineRule="exact" w:before="70"/>
        <w:ind w:left="198" w:right="529"/>
        <w:jc w:val="left"/>
      </w:pPr>
      <w:r>
        <w:rPr/>
        <w:t>ALCOHOL</w:t>
      </w:r>
    </w:p>
    <w:p>
      <w:pPr>
        <w:pStyle w:val="BodyText"/>
        <w:ind w:left="198"/>
      </w:pPr>
      <w:r>
        <w:rPr/>
        <w:t>Marque con una </w:t>
      </w:r>
      <w:r>
        <w:rPr>
          <w:b/>
        </w:rPr>
        <w:t>“X” </w:t>
      </w:r>
      <w:r>
        <w:rPr/>
        <w:t>¿La última vez que tomó algún tipo de bebida alcohólica, cuántas copas se tomó?</w:t>
      </w:r>
    </w:p>
    <w:p>
      <w:pPr>
        <w:pStyle w:val="BodyText"/>
        <w:spacing w:after="31"/>
        <w:ind w:left="198" w:right="529"/>
      </w:pPr>
      <w:r>
        <w:rPr/>
        <w:t>Nunca he tomado una bebida alcohólica □</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20"/>
        <w:gridCol w:w="2252"/>
        <w:gridCol w:w="2344"/>
        <w:gridCol w:w="2344"/>
      </w:tblGrid>
      <w:tr>
        <w:trPr>
          <w:trHeight w:val="258" w:hRule="exact"/>
        </w:trPr>
        <w:tc>
          <w:tcPr>
            <w:tcW w:w="2220" w:type="dxa"/>
          </w:tcPr>
          <w:p>
            <w:pPr>
              <w:pStyle w:val="TableParagraph"/>
              <w:tabs>
                <w:tab w:pos="1831" w:val="left" w:leader="none"/>
              </w:tabs>
              <w:spacing w:line="245" w:lineRule="exact"/>
              <w:ind w:left="200"/>
              <w:rPr>
                <w:sz w:val="24"/>
              </w:rPr>
            </w:pPr>
            <w:r>
              <w:rPr>
                <w:sz w:val="24"/>
              </w:rPr>
              <w:t>Una</w:t>
            </w:r>
            <w:r>
              <w:rPr>
                <w:spacing w:val="-3"/>
                <w:sz w:val="24"/>
              </w:rPr>
              <w:t> </w:t>
            </w:r>
            <w:r>
              <w:rPr>
                <w:sz w:val="24"/>
              </w:rPr>
              <w:t>copa</w:t>
              <w:tab/>
              <w:t>□</w:t>
            </w:r>
          </w:p>
        </w:tc>
        <w:tc>
          <w:tcPr>
            <w:tcW w:w="2252" w:type="dxa"/>
          </w:tcPr>
          <w:p>
            <w:pPr>
              <w:pStyle w:val="TableParagraph"/>
              <w:tabs>
                <w:tab w:pos="1617" w:val="left" w:leader="none"/>
              </w:tabs>
              <w:spacing w:line="245" w:lineRule="exact"/>
              <w:ind w:right="38"/>
              <w:jc w:val="center"/>
              <w:rPr>
                <w:sz w:val="24"/>
              </w:rPr>
            </w:pPr>
            <w:r>
              <w:rPr>
                <w:sz w:val="24"/>
              </w:rPr>
              <w:t>Cuatro</w:t>
            </w:r>
            <w:r>
              <w:rPr>
                <w:spacing w:val="-2"/>
                <w:sz w:val="24"/>
              </w:rPr>
              <w:t> </w:t>
            </w:r>
            <w:r>
              <w:rPr>
                <w:sz w:val="24"/>
              </w:rPr>
              <w:t>copas</w:t>
              <w:tab/>
              <w:t>□</w:t>
            </w:r>
          </w:p>
        </w:tc>
        <w:tc>
          <w:tcPr>
            <w:tcW w:w="2344" w:type="dxa"/>
          </w:tcPr>
          <w:p>
            <w:pPr>
              <w:pStyle w:val="TableParagraph"/>
              <w:tabs>
                <w:tab w:pos="1864" w:val="left" w:leader="none"/>
              </w:tabs>
              <w:spacing w:line="245" w:lineRule="exact"/>
              <w:ind w:right="115"/>
              <w:jc w:val="right"/>
              <w:rPr>
                <w:sz w:val="24"/>
              </w:rPr>
            </w:pPr>
            <w:r>
              <w:rPr>
                <w:sz w:val="24"/>
              </w:rPr>
              <w:t>Siete</w:t>
            </w:r>
            <w:r>
              <w:rPr>
                <w:spacing w:val="-2"/>
                <w:sz w:val="24"/>
              </w:rPr>
              <w:t> </w:t>
            </w:r>
            <w:r>
              <w:rPr>
                <w:sz w:val="24"/>
              </w:rPr>
              <w:t>copas</w:t>
              <w:tab/>
              <w:t>□</w:t>
            </w:r>
          </w:p>
        </w:tc>
        <w:tc>
          <w:tcPr>
            <w:tcW w:w="2344" w:type="dxa"/>
          </w:tcPr>
          <w:p>
            <w:pPr>
              <w:pStyle w:val="TableParagraph"/>
              <w:tabs>
                <w:tab w:pos="1998" w:val="left" w:leader="none"/>
              </w:tabs>
              <w:spacing w:line="245" w:lineRule="exact"/>
              <w:ind w:left="117"/>
              <w:rPr>
                <w:sz w:val="24"/>
              </w:rPr>
            </w:pPr>
            <w:r>
              <w:rPr>
                <w:sz w:val="24"/>
              </w:rPr>
              <w:t>Mas de</w:t>
            </w:r>
            <w:r>
              <w:rPr>
                <w:spacing w:val="-32"/>
                <w:sz w:val="24"/>
              </w:rPr>
              <w:t> </w:t>
            </w:r>
            <w:r>
              <w:rPr>
                <w:sz w:val="24"/>
              </w:rPr>
              <w:t>15</w:t>
            </w:r>
            <w:r>
              <w:rPr>
                <w:spacing w:val="-16"/>
                <w:sz w:val="24"/>
              </w:rPr>
              <w:t> </w:t>
            </w:r>
            <w:r>
              <w:rPr>
                <w:sz w:val="24"/>
              </w:rPr>
              <w:t>copas</w:t>
              <w:tab/>
              <w:t>□</w:t>
            </w:r>
          </w:p>
        </w:tc>
      </w:tr>
      <w:tr>
        <w:trPr>
          <w:trHeight w:val="276" w:hRule="exact"/>
        </w:trPr>
        <w:tc>
          <w:tcPr>
            <w:tcW w:w="2220" w:type="dxa"/>
          </w:tcPr>
          <w:p>
            <w:pPr>
              <w:pStyle w:val="TableParagraph"/>
              <w:tabs>
                <w:tab w:pos="1850" w:val="left" w:leader="none"/>
              </w:tabs>
              <w:spacing w:line="263" w:lineRule="exact"/>
              <w:ind w:left="200"/>
              <w:rPr>
                <w:sz w:val="24"/>
              </w:rPr>
            </w:pPr>
            <w:r>
              <w:rPr>
                <w:sz w:val="24"/>
              </w:rPr>
              <w:t>Dos</w:t>
            </w:r>
            <w:r>
              <w:rPr>
                <w:spacing w:val="-1"/>
                <w:sz w:val="24"/>
              </w:rPr>
              <w:t> </w:t>
            </w:r>
            <w:r>
              <w:rPr>
                <w:sz w:val="24"/>
              </w:rPr>
              <w:t>copas</w:t>
              <w:tab/>
              <w:t>□</w:t>
            </w:r>
          </w:p>
        </w:tc>
        <w:tc>
          <w:tcPr>
            <w:tcW w:w="2252" w:type="dxa"/>
          </w:tcPr>
          <w:p>
            <w:pPr>
              <w:pStyle w:val="TableParagraph"/>
              <w:tabs>
                <w:tab w:pos="1657" w:val="left" w:leader="none"/>
              </w:tabs>
              <w:spacing w:line="263" w:lineRule="exact"/>
              <w:jc w:val="center"/>
              <w:rPr>
                <w:sz w:val="24"/>
              </w:rPr>
            </w:pPr>
            <w:r>
              <w:rPr>
                <w:sz w:val="24"/>
              </w:rPr>
              <w:t>Cinco</w:t>
            </w:r>
            <w:r>
              <w:rPr>
                <w:spacing w:val="-1"/>
                <w:sz w:val="24"/>
              </w:rPr>
              <w:t> </w:t>
            </w:r>
            <w:r>
              <w:rPr>
                <w:sz w:val="24"/>
              </w:rPr>
              <w:t>copas</w:t>
              <w:tab/>
              <w:t>□</w:t>
            </w:r>
          </w:p>
        </w:tc>
        <w:tc>
          <w:tcPr>
            <w:tcW w:w="2344" w:type="dxa"/>
          </w:tcPr>
          <w:p>
            <w:pPr>
              <w:pStyle w:val="TableParagraph"/>
              <w:tabs>
                <w:tab w:pos="1886" w:val="left" w:leader="none"/>
              </w:tabs>
              <w:spacing w:line="263" w:lineRule="exact"/>
              <w:ind w:right="93"/>
              <w:jc w:val="right"/>
              <w:rPr>
                <w:sz w:val="24"/>
              </w:rPr>
            </w:pPr>
            <w:r>
              <w:rPr>
                <w:sz w:val="24"/>
              </w:rPr>
              <w:t>De 8 a</w:t>
            </w:r>
            <w:r>
              <w:rPr>
                <w:spacing w:val="-4"/>
                <w:sz w:val="24"/>
              </w:rPr>
              <w:t> </w:t>
            </w:r>
            <w:r>
              <w:rPr>
                <w:sz w:val="24"/>
              </w:rPr>
              <w:t>10</w:t>
            </w:r>
            <w:r>
              <w:rPr>
                <w:spacing w:val="-1"/>
                <w:sz w:val="24"/>
              </w:rPr>
              <w:t> </w:t>
            </w:r>
            <w:r>
              <w:rPr>
                <w:sz w:val="24"/>
              </w:rPr>
              <w:t>copas</w:t>
              <w:tab/>
              <w:t>□</w:t>
            </w:r>
          </w:p>
        </w:tc>
        <w:tc>
          <w:tcPr>
            <w:tcW w:w="2344" w:type="dxa"/>
          </w:tcPr>
          <w:p>
            <w:pPr/>
          </w:p>
        </w:tc>
      </w:tr>
      <w:tr>
        <w:trPr>
          <w:trHeight w:val="258" w:hRule="exact"/>
        </w:trPr>
        <w:tc>
          <w:tcPr>
            <w:tcW w:w="2220" w:type="dxa"/>
          </w:tcPr>
          <w:p>
            <w:pPr>
              <w:pStyle w:val="TableParagraph"/>
              <w:tabs>
                <w:tab w:pos="1831" w:val="left" w:leader="none"/>
              </w:tabs>
              <w:spacing w:line="263" w:lineRule="exact"/>
              <w:ind w:left="200"/>
              <w:rPr>
                <w:sz w:val="24"/>
              </w:rPr>
            </w:pPr>
            <w:r>
              <w:rPr>
                <w:sz w:val="24"/>
              </w:rPr>
              <w:t>Tres</w:t>
            </w:r>
            <w:r>
              <w:rPr>
                <w:spacing w:val="-2"/>
                <w:sz w:val="24"/>
              </w:rPr>
              <w:t> </w:t>
            </w:r>
            <w:r>
              <w:rPr>
                <w:sz w:val="24"/>
              </w:rPr>
              <w:t>copas</w:t>
              <w:tab/>
              <w:t>□</w:t>
            </w:r>
          </w:p>
        </w:tc>
        <w:tc>
          <w:tcPr>
            <w:tcW w:w="2252" w:type="dxa"/>
          </w:tcPr>
          <w:p>
            <w:pPr>
              <w:pStyle w:val="TableParagraph"/>
              <w:tabs>
                <w:tab w:pos="1672" w:val="left" w:leader="none"/>
              </w:tabs>
              <w:spacing w:line="263" w:lineRule="exact"/>
              <w:ind w:left="7"/>
              <w:jc w:val="center"/>
              <w:rPr>
                <w:sz w:val="24"/>
              </w:rPr>
            </w:pPr>
            <w:r>
              <w:rPr>
                <w:sz w:val="24"/>
              </w:rPr>
              <w:t>Seis</w:t>
            </w:r>
            <w:r>
              <w:rPr>
                <w:spacing w:val="-1"/>
                <w:sz w:val="24"/>
              </w:rPr>
              <w:t> </w:t>
            </w:r>
            <w:r>
              <w:rPr>
                <w:sz w:val="24"/>
              </w:rPr>
              <w:t>copas</w:t>
              <w:tab/>
              <w:t>□</w:t>
            </w:r>
          </w:p>
        </w:tc>
        <w:tc>
          <w:tcPr>
            <w:tcW w:w="2344" w:type="dxa"/>
          </w:tcPr>
          <w:p>
            <w:pPr>
              <w:pStyle w:val="TableParagraph"/>
              <w:tabs>
                <w:tab w:pos="1886" w:val="left" w:leader="none"/>
              </w:tabs>
              <w:spacing w:line="263" w:lineRule="exact"/>
              <w:ind w:right="93"/>
              <w:jc w:val="right"/>
              <w:rPr>
                <w:sz w:val="24"/>
              </w:rPr>
            </w:pPr>
            <w:r>
              <w:rPr>
                <w:sz w:val="24"/>
              </w:rPr>
              <w:t>De 11 a</w:t>
            </w:r>
            <w:r>
              <w:rPr>
                <w:spacing w:val="-4"/>
                <w:sz w:val="24"/>
              </w:rPr>
              <w:t> </w:t>
            </w:r>
            <w:r>
              <w:rPr>
                <w:sz w:val="24"/>
              </w:rPr>
              <w:t>15</w:t>
            </w:r>
            <w:r>
              <w:rPr>
                <w:spacing w:val="-1"/>
                <w:sz w:val="24"/>
              </w:rPr>
              <w:t> </w:t>
            </w:r>
            <w:r>
              <w:rPr>
                <w:sz w:val="24"/>
              </w:rPr>
              <w:t>copas</w:t>
              <w:tab/>
              <w:t>□</w:t>
            </w:r>
          </w:p>
        </w:tc>
        <w:tc>
          <w:tcPr>
            <w:tcW w:w="2344" w:type="dxa"/>
          </w:tcPr>
          <w:p>
            <w:pPr/>
          </w:p>
        </w:tc>
      </w:tr>
    </w:tbl>
    <w:p>
      <w:pPr>
        <w:pStyle w:val="BodyText"/>
        <w:spacing w:before="9"/>
        <w:rPr>
          <w:sz w:val="18"/>
        </w:rPr>
      </w:pPr>
    </w:p>
    <w:p>
      <w:pPr>
        <w:pStyle w:val="Heading3"/>
        <w:spacing w:before="69"/>
        <w:ind w:left="198" w:right="529"/>
        <w:jc w:val="left"/>
      </w:pPr>
      <w:r>
        <w:rPr/>
        <w:t>UNICAMENT SEXO FEMENINO</w:t>
      </w:r>
    </w:p>
    <w:p>
      <w:pPr>
        <w:spacing w:after="0"/>
        <w:jc w:val="left"/>
        <w:sectPr>
          <w:pgSz w:w="11910" w:h="16840"/>
          <w:pgMar w:header="731" w:footer="0" w:top="960" w:bottom="280" w:left="1220" w:right="1160"/>
        </w:sectPr>
      </w:pPr>
    </w:p>
    <w:p>
      <w:pPr>
        <w:pStyle w:val="BodyText"/>
        <w:rPr>
          <w:b/>
          <w:sz w:val="20"/>
        </w:rPr>
      </w:pPr>
    </w:p>
    <w:p>
      <w:pPr>
        <w:pStyle w:val="BodyText"/>
        <w:tabs>
          <w:tab w:pos="2425" w:val="left" w:leader="none"/>
          <w:tab w:pos="3428" w:val="left" w:leader="none"/>
        </w:tabs>
        <w:spacing w:before="209"/>
        <w:ind w:left="198" w:right="529"/>
      </w:pPr>
      <w:r>
        <w:rPr/>
        <w:t>¿Estás</w:t>
      </w:r>
      <w:r>
        <w:rPr>
          <w:spacing w:val="-2"/>
        </w:rPr>
        <w:t> </w:t>
      </w:r>
      <w:r>
        <w:rPr/>
        <w:t>embarazada?</w:t>
        <w:tab/>
        <w:t>Si</w:t>
      </w:r>
      <w:r>
        <w:rPr>
          <w:spacing w:val="-2"/>
        </w:rPr>
        <w:t> </w:t>
      </w:r>
      <w:r>
        <w:rPr/>
        <w:t>□</w:t>
        <w:tab/>
        <w:t>No</w:t>
      </w:r>
      <w:r>
        <w:rPr>
          <w:spacing w:val="-1"/>
        </w:rPr>
        <w:t> </w:t>
      </w:r>
      <w:r>
        <w:rPr/>
        <w:t>□</w:t>
      </w:r>
    </w:p>
    <w:p>
      <w:pPr>
        <w:pStyle w:val="BodyText"/>
        <w:tabs>
          <w:tab w:pos="7159" w:val="left" w:leader="none"/>
        </w:tabs>
        <w:ind w:left="198" w:right="529"/>
      </w:pPr>
      <w:r>
        <w:rPr/>
        <w:t>Fecha de última</w:t>
      </w:r>
      <w:r>
        <w:rPr>
          <w:spacing w:val="-6"/>
        </w:rPr>
        <w:t> </w:t>
      </w:r>
      <w:r>
        <w:rPr/>
        <w:t>menstruación</w:t>
      </w:r>
      <w:r>
        <w:rPr>
          <w:spacing w:val="-1"/>
        </w:rPr>
        <w:t> </w:t>
      </w:r>
      <w:r>
        <w:rPr>
          <w:u w:val="single"/>
        </w:rPr>
        <w:t> </w:t>
        <w:tab/>
      </w:r>
    </w:p>
    <w:p>
      <w:pPr>
        <w:pStyle w:val="BodyText"/>
        <w:spacing w:before="11"/>
        <w:rPr>
          <w:sz w:val="17"/>
        </w:rPr>
      </w:pPr>
    </w:p>
    <w:p>
      <w:pPr>
        <w:pStyle w:val="BodyText"/>
        <w:tabs>
          <w:tab w:pos="8786" w:val="left" w:leader="none"/>
        </w:tabs>
        <w:spacing w:before="69"/>
        <w:ind w:left="198" w:right="529"/>
      </w:pPr>
      <w:r>
        <w:rPr/>
        <w:t>Si usted padece de otra enfermedad que no se  mencione  en  el  formato,  por  favor  especifique</w:t>
      </w:r>
      <w:r>
        <w:rPr>
          <w:u w:val="single"/>
        </w:rPr>
        <w:t> </w:t>
        <w:tab/>
      </w:r>
    </w:p>
    <w:p>
      <w:pPr>
        <w:pStyle w:val="BodyText"/>
        <w:rPr>
          <w:sz w:val="20"/>
        </w:rPr>
      </w:pPr>
    </w:p>
    <w:p>
      <w:pPr>
        <w:pStyle w:val="BodyText"/>
        <w:spacing w:before="4"/>
        <w:rPr>
          <w:sz w:val="22"/>
        </w:rPr>
      </w:pPr>
    </w:p>
    <w:p>
      <w:pPr>
        <w:pStyle w:val="Heading3"/>
        <w:spacing w:before="70"/>
        <w:ind w:left="198" w:right="529"/>
        <w:jc w:val="left"/>
      </w:pPr>
      <w:r>
        <w:rPr/>
        <w:t>REGISTRO DE RESULTADOS DE LABORATORIO Y SOMATOMETRÍA</w:t>
      </w:r>
    </w:p>
    <w:p>
      <w:pPr>
        <w:pStyle w:val="BodyText"/>
        <w:rPr>
          <w:b/>
        </w:rPr>
      </w:pPr>
    </w:p>
    <w:p>
      <w:pPr>
        <w:spacing w:before="0" w:after="10"/>
        <w:ind w:left="198" w:right="529" w:firstLine="0"/>
        <w:jc w:val="left"/>
        <w:rPr>
          <w:b/>
          <w:sz w:val="24"/>
        </w:rPr>
      </w:pPr>
      <w:r>
        <w:rPr/>
        <w:pict>
          <v:rect style="position:absolute;margin-left:142.440002pt;margin-top:17.903114pt;width:114.72pt;height:12.48pt;mso-position-horizontal-relative:page;mso-position-vertical-relative:paragraph;z-index:-106768" filled="false" stroked="true" strokeweight=".72pt" strokecolor="#000000">
            <w10:wrap type="none"/>
          </v:rect>
        </w:pict>
      </w:r>
      <w:r>
        <w:rPr/>
        <w:pict>
          <v:rect style="position:absolute;margin-left:143.039993pt;margin-top:36.743114pt;width:115.2pt;height:12.6pt;mso-position-horizontal-relative:page;mso-position-vertical-relative:paragraph;z-index:-106744" filled="false" stroked="true" strokeweight=".72pt" strokecolor="#000000">
            <w10:wrap type="none"/>
          </v:rect>
        </w:pict>
      </w:r>
      <w:r>
        <w:rPr/>
        <w:pict>
          <v:rect style="position:absolute;margin-left:362.640015pt;margin-top:14.663116pt;width:114.6pt;height:12.48pt;mso-position-horizontal-relative:page;mso-position-vertical-relative:paragraph;z-index:-106696" filled="false" stroked="true" strokeweight=".72pt" strokecolor="#000000">
            <w10:wrap type="none"/>
          </v:rect>
        </w:pict>
      </w:r>
      <w:r>
        <w:rPr/>
        <w:pict>
          <v:rect style="position:absolute;margin-left:363.119995pt;margin-top:34.463116pt;width:115.2pt;height:12.48pt;mso-position-horizontal-relative:page;mso-position-vertical-relative:paragraph;z-index:-106672" filled="false" stroked="true" strokeweight=".72pt" strokecolor="#000000">
            <w10:wrap type="none"/>
          </v:rect>
        </w:pict>
      </w:r>
      <w:r>
        <w:rPr>
          <w:b/>
          <w:sz w:val="24"/>
        </w:rPr>
        <w:t>Séricos</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95"/>
        <w:gridCol w:w="4581"/>
      </w:tblGrid>
      <w:tr>
        <w:trPr>
          <w:trHeight w:val="322" w:hRule="exact"/>
        </w:trPr>
        <w:tc>
          <w:tcPr>
            <w:tcW w:w="4595" w:type="dxa"/>
          </w:tcPr>
          <w:p>
            <w:pPr>
              <w:pStyle w:val="TableParagraph"/>
              <w:tabs>
                <w:tab w:pos="3790" w:val="left" w:leader="none"/>
              </w:tabs>
              <w:spacing w:before="40"/>
              <w:ind w:left="77"/>
              <w:jc w:val="center"/>
              <w:rPr>
                <w:sz w:val="24"/>
              </w:rPr>
            </w:pPr>
            <w:r>
              <w:rPr>
                <w:sz w:val="24"/>
              </w:rPr>
              <w:t>Glucosa</w:t>
              <w:tab/>
              <w:t>mg/dl</w:t>
            </w:r>
          </w:p>
        </w:tc>
        <w:tc>
          <w:tcPr>
            <w:tcW w:w="4581" w:type="dxa"/>
          </w:tcPr>
          <w:p>
            <w:pPr>
              <w:pStyle w:val="TableParagraph"/>
              <w:tabs>
                <w:tab w:pos="3816" w:val="left" w:leader="none"/>
              </w:tabs>
              <w:spacing w:line="261" w:lineRule="exact"/>
              <w:ind w:left="108"/>
              <w:rPr>
                <w:sz w:val="24"/>
              </w:rPr>
            </w:pPr>
            <w:r>
              <w:rPr>
                <w:sz w:val="24"/>
              </w:rPr>
              <w:t>Colesterol</w:t>
              <w:tab/>
              <w:t>mg/dl</w:t>
            </w:r>
          </w:p>
        </w:tc>
      </w:tr>
      <w:tr>
        <w:trPr>
          <w:trHeight w:val="127" w:hRule="exact"/>
        </w:trPr>
        <w:tc>
          <w:tcPr>
            <w:tcW w:w="4595" w:type="dxa"/>
          </w:tcPr>
          <w:p>
            <w:pPr/>
          </w:p>
        </w:tc>
        <w:tc>
          <w:tcPr>
            <w:tcW w:w="4581" w:type="dxa"/>
          </w:tcPr>
          <w:p>
            <w:pPr/>
          </w:p>
        </w:tc>
      </w:tr>
      <w:tr>
        <w:trPr>
          <w:trHeight w:val="252" w:hRule="exact"/>
        </w:trPr>
        <w:tc>
          <w:tcPr>
            <w:tcW w:w="4595" w:type="dxa"/>
          </w:tcPr>
          <w:p>
            <w:pPr>
              <w:pStyle w:val="TableParagraph"/>
              <w:tabs>
                <w:tab w:pos="3816" w:val="left" w:leader="none"/>
              </w:tabs>
              <w:spacing w:line="268" w:lineRule="exact"/>
              <w:ind w:left="91"/>
              <w:jc w:val="center"/>
              <w:rPr>
                <w:sz w:val="24"/>
              </w:rPr>
            </w:pPr>
            <w:r>
              <w:rPr>
                <w:sz w:val="24"/>
              </w:rPr>
              <w:t>HDL</w:t>
              <w:tab/>
              <w:t>mg/dl</w:t>
            </w:r>
          </w:p>
        </w:tc>
        <w:tc>
          <w:tcPr>
            <w:tcW w:w="4581" w:type="dxa"/>
          </w:tcPr>
          <w:p>
            <w:pPr>
              <w:pStyle w:val="TableParagraph"/>
              <w:tabs>
                <w:tab w:pos="3821" w:val="left" w:leader="none"/>
              </w:tabs>
              <w:spacing w:line="268" w:lineRule="exact"/>
              <w:ind w:left="108"/>
              <w:rPr>
                <w:sz w:val="24"/>
              </w:rPr>
            </w:pPr>
            <w:r>
              <w:rPr>
                <w:sz w:val="24"/>
              </w:rPr>
              <w:t>Ácido</w:t>
            </w:r>
            <w:r>
              <w:rPr>
                <w:spacing w:val="-9"/>
                <w:sz w:val="24"/>
              </w:rPr>
              <w:t> </w:t>
            </w:r>
            <w:r>
              <w:rPr>
                <w:sz w:val="24"/>
              </w:rPr>
              <w:t>úrico</w:t>
              <w:tab/>
              <w:t>mg/dl</w:t>
            </w:r>
          </w:p>
        </w:tc>
      </w:tr>
      <w:tr>
        <w:trPr>
          <w:trHeight w:val="139" w:hRule="exact"/>
        </w:trPr>
        <w:tc>
          <w:tcPr>
            <w:tcW w:w="4595" w:type="dxa"/>
          </w:tcPr>
          <w:p>
            <w:pPr/>
          </w:p>
        </w:tc>
        <w:tc>
          <w:tcPr>
            <w:tcW w:w="4581" w:type="dxa"/>
          </w:tcPr>
          <w:p>
            <w:pPr/>
          </w:p>
        </w:tc>
      </w:tr>
      <w:tr>
        <w:trPr>
          <w:trHeight w:val="300" w:hRule="exact"/>
        </w:trPr>
        <w:tc>
          <w:tcPr>
            <w:tcW w:w="4595" w:type="dxa"/>
          </w:tcPr>
          <w:p>
            <w:pPr>
              <w:pStyle w:val="TableParagraph"/>
              <w:tabs>
                <w:tab w:pos="3814" w:val="left" w:leader="none"/>
              </w:tabs>
              <w:spacing w:line="266" w:lineRule="exact"/>
              <w:ind w:left="90"/>
              <w:jc w:val="center"/>
              <w:rPr>
                <w:sz w:val="24"/>
              </w:rPr>
            </w:pPr>
            <w:r>
              <w:rPr>
                <w:sz w:val="24"/>
              </w:rPr>
              <w:t>Triglicéridos</w:t>
              <w:tab/>
              <w:t>mg/dl</w:t>
            </w:r>
          </w:p>
        </w:tc>
        <w:tc>
          <w:tcPr>
            <w:tcW w:w="4581" w:type="dxa"/>
          </w:tcPr>
          <w:p>
            <w:pPr>
              <w:pStyle w:val="TableParagraph"/>
              <w:tabs>
                <w:tab w:pos="3816" w:val="left" w:leader="none"/>
              </w:tabs>
              <w:spacing w:before="9"/>
              <w:ind w:left="108"/>
              <w:rPr>
                <w:sz w:val="24"/>
              </w:rPr>
            </w:pPr>
            <w:r>
              <w:rPr>
                <w:sz w:val="24"/>
              </w:rPr>
              <w:t>HbA1c</w:t>
              <w:tab/>
              <w:t>mg/dl</w:t>
            </w:r>
          </w:p>
        </w:tc>
      </w:tr>
    </w:tbl>
    <w:p>
      <w:pPr>
        <w:pStyle w:val="BodyText"/>
        <w:rPr>
          <w:b/>
          <w:sz w:val="20"/>
        </w:rPr>
      </w:pPr>
    </w:p>
    <w:p>
      <w:pPr>
        <w:pStyle w:val="BodyText"/>
        <w:spacing w:before="2"/>
        <w:rPr>
          <w:b/>
          <w:sz w:val="27"/>
        </w:rPr>
      </w:pPr>
    </w:p>
    <w:p>
      <w:pPr>
        <w:spacing w:before="69"/>
        <w:ind w:left="198" w:right="529" w:firstLine="0"/>
        <w:jc w:val="left"/>
        <w:rPr>
          <w:b/>
          <w:sz w:val="24"/>
        </w:rPr>
      </w:pPr>
      <w:r>
        <w:rPr/>
        <w:pict>
          <v:rect style="position:absolute;margin-left:143.520004pt;margin-top:-39.996857pt;width:115.2pt;height:12.48pt;mso-position-horizontal-relative:page;mso-position-vertical-relative:paragraph;z-index:-106720" filled="false" stroked="true" strokeweight=".72pt" strokecolor="#000000">
            <w10:wrap type="none"/>
          </v:rect>
        </w:pict>
      </w:r>
      <w:r>
        <w:rPr/>
        <w:pict>
          <v:rect style="position:absolute;margin-left:363.600006pt;margin-top:-42.156857pt;width:115.2pt;height:12.48pt;mso-position-horizontal-relative:page;mso-position-vertical-relative:paragraph;z-index:-106648" filled="false" stroked="true" strokeweight=".72pt" strokecolor="#000000">
            <w10:wrap type="none"/>
          </v:rect>
        </w:pict>
      </w:r>
      <w:r>
        <w:rPr>
          <w:b/>
          <w:sz w:val="24"/>
        </w:rPr>
        <w:t>Saliva</w:t>
      </w:r>
    </w:p>
    <w:p>
      <w:pPr>
        <w:pStyle w:val="BodyText"/>
        <w:spacing w:before="6"/>
        <w:rPr>
          <w:b/>
          <w:sz w:val="23"/>
        </w:rPr>
      </w:pPr>
    </w:p>
    <w:p>
      <w:pPr>
        <w:pStyle w:val="BodyText"/>
        <w:ind w:left="198" w:right="529"/>
      </w:pPr>
      <w:r>
        <w:rPr/>
        <w:pict>
          <v:rect style="position:absolute;margin-left:143.279999pt;margin-top:-.486874pt;width:77.4pt;height:12.48pt;mso-position-horizontal-relative:page;mso-position-vertical-relative:paragraph;z-index:1528" filled="false" stroked="true" strokeweight=".72pt" strokecolor="#000000">
            <w10:wrap type="none"/>
          </v:rect>
        </w:pict>
      </w:r>
      <w:r>
        <w:rPr/>
        <w:t>Interleucina 6</w:t>
      </w:r>
    </w:p>
    <w:p>
      <w:pPr>
        <w:pStyle w:val="BodyText"/>
        <w:spacing w:before="4"/>
      </w:pPr>
    </w:p>
    <w:p>
      <w:pPr>
        <w:pStyle w:val="Heading3"/>
        <w:spacing w:before="1"/>
        <w:ind w:left="198" w:right="529"/>
        <w:jc w:val="left"/>
      </w:pPr>
      <w:r>
        <w:rPr/>
        <w:t>Tensión arterial (mm/Hg)</w:t>
      </w:r>
    </w:p>
    <w:p>
      <w:pPr>
        <w:pStyle w:val="BodyText"/>
        <w:spacing w:before="6"/>
        <w:rPr>
          <w:b/>
          <w:sz w:val="23"/>
        </w:rPr>
      </w:pPr>
    </w:p>
    <w:p>
      <w:pPr>
        <w:pStyle w:val="BodyText"/>
        <w:tabs>
          <w:tab w:pos="2078" w:val="left" w:leader="none"/>
        </w:tabs>
        <w:ind w:left="198" w:right="529"/>
      </w:pPr>
      <w:r>
        <w:rPr/>
        <w:pict>
          <v:rect style="position:absolute;margin-left:104.400002pt;margin-top:2.873114pt;width:50.28pt;height:12.48pt;mso-position-horizontal-relative:page;mso-position-vertical-relative:paragraph;z-index:-106600" filled="false" stroked="true" strokeweight=".72pt" strokecolor="#000000">
            <w10:wrap type="none"/>
          </v:rect>
        </w:pict>
      </w:r>
      <w:r>
        <w:rPr/>
        <w:pict>
          <v:rect style="position:absolute;margin-left:185.399994pt;margin-top:2.873114pt;width:49.68pt;height:12.48pt;mso-position-horizontal-relative:page;mso-position-vertical-relative:paragraph;z-index:1576" filled="false" stroked="true" strokeweight=".72pt" strokecolor="#000000">
            <w10:wrap type="none"/>
          </v:rect>
        </w:pict>
      </w:r>
      <w:r>
        <w:rPr/>
        <w:t>TA</w:t>
        <w:tab/>
        <w:t>/</w:t>
      </w:r>
    </w:p>
    <w:p>
      <w:pPr>
        <w:pStyle w:val="BodyText"/>
      </w:pPr>
    </w:p>
    <w:p>
      <w:pPr>
        <w:pStyle w:val="BodyText"/>
        <w:tabs>
          <w:tab w:pos="2370" w:val="left" w:leader="none"/>
          <w:tab w:pos="2905" w:val="left" w:leader="none"/>
          <w:tab w:pos="4798" w:val="left" w:leader="none"/>
        </w:tabs>
        <w:ind w:left="198" w:right="529"/>
      </w:pPr>
      <w:r>
        <w:rPr/>
        <w:pict>
          <v:rect style="position:absolute;margin-left:104.400002pt;margin-top:-.126862pt;width:71.16pt;height:16.32pt;mso-position-horizontal-relative:page;mso-position-vertical-relative:paragraph;z-index:-106552" filled="false" stroked="true" strokeweight=".72pt" strokecolor="#000000">
            <w10:wrap type="none"/>
          </v:rect>
        </w:pict>
      </w:r>
      <w:r>
        <w:rPr/>
        <w:pict>
          <v:rect style="position:absolute;margin-left:235.080002pt;margin-top:-3.726861pt;width:63.72pt;height:19.920pt;mso-position-horizontal-relative:page;mso-position-vertical-relative:paragraph;z-index:-106528" filled="false" stroked="true" strokeweight=".72pt" strokecolor="#000000">
            <w10:wrap type="none"/>
          </v:rect>
        </w:pict>
      </w:r>
      <w:r>
        <w:rPr/>
        <w:t>Talla</w:t>
        <w:tab/>
        <w:t>cm</w:t>
        <w:tab/>
        <w:t>Peso</w:t>
        <w:tab/>
        <w:t>kg</w:t>
      </w:r>
    </w:p>
    <w:p>
      <w:pPr>
        <w:pStyle w:val="BodyText"/>
      </w:pPr>
    </w:p>
    <w:p>
      <w:pPr>
        <w:pStyle w:val="BodyText"/>
        <w:tabs>
          <w:tab w:pos="4618" w:val="left" w:leader="none"/>
        </w:tabs>
        <w:spacing w:line="480" w:lineRule="auto"/>
        <w:ind w:left="198" w:right="4614"/>
      </w:pPr>
      <w:r>
        <w:rPr/>
        <w:pict>
          <v:rect style="position:absolute;margin-left:208.559998pt;margin-top:-1.466887pt;width:78.48pt;height:18.72pt;mso-position-horizontal-relative:page;mso-position-vertical-relative:paragraph;z-index:-106504" filled="false" stroked="true" strokeweight=".72pt" strokecolor="#000000">
            <w10:wrap type="none"/>
          </v:rect>
        </w:pict>
      </w:r>
      <w:r>
        <w:rPr/>
        <w:pict>
          <v:rect style="position:absolute;margin-left:104.400002pt;margin-top:53.733112pt;width:58.68pt;height:16.32pt;mso-position-horizontal-relative:page;mso-position-vertical-relative:paragraph;z-index:-106480" filled="false" stroked="true" strokeweight=".72pt" strokecolor="#000000">
            <w10:wrap type="none"/>
          </v:rect>
        </w:pict>
      </w:r>
      <w:r>
        <w:rPr/>
        <w:pict>
          <v:rect style="position:absolute;margin-left:230.039993pt;margin-top:29.253113pt;width:78.36pt;height:18.72pt;mso-position-horizontal-relative:page;mso-position-vertical-relative:paragraph;z-index:-106456" filled="false" stroked="true" strokeweight=".72pt" strokecolor="#000000">
            <w10:wrap type="none"/>
          </v:rect>
        </w:pict>
      </w:r>
      <w:r>
        <w:rPr/>
        <w:t>Circunferencia</w:t>
      </w:r>
      <w:r>
        <w:rPr>
          <w:spacing w:val="-2"/>
        </w:rPr>
        <w:t> </w:t>
      </w:r>
      <w:r>
        <w:rPr/>
        <w:t>de</w:t>
      </w:r>
      <w:r>
        <w:rPr>
          <w:spacing w:val="-3"/>
        </w:rPr>
        <w:t> </w:t>
      </w:r>
      <w:r>
        <w:rPr/>
        <w:t>cintura</w:t>
        <w:tab/>
        <w:t>cm Porcentaje de grasa</w:t>
      </w:r>
      <w:r>
        <w:rPr>
          <w:spacing w:val="-5"/>
        </w:rPr>
        <w:t> </w:t>
      </w:r>
      <w:r>
        <w:rPr/>
        <w:t>abdominal</w:t>
      </w:r>
    </w:p>
    <w:p>
      <w:pPr>
        <w:pStyle w:val="BodyText"/>
        <w:spacing w:before="10"/>
        <w:ind w:left="198" w:right="529"/>
      </w:pPr>
      <w:r>
        <w:rPr/>
        <w:t>IMC</w:t>
      </w:r>
    </w:p>
    <w:p>
      <w:pPr>
        <w:spacing w:after="0"/>
        <w:sectPr>
          <w:pgSz w:w="11910" w:h="16840"/>
          <w:pgMar w:header="731" w:footer="0" w:top="960" w:bottom="280" w:left="122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BodyText"/>
        <w:tabs>
          <w:tab w:pos="6999" w:val="left" w:leader="none"/>
          <w:tab w:pos="9249" w:val="left" w:leader="none"/>
        </w:tabs>
        <w:spacing w:before="70"/>
        <w:ind w:left="878"/>
      </w:pPr>
      <w:r>
        <w:rPr/>
        <w:t>Técnica</w:t>
      </w:r>
      <w:r>
        <w:rPr>
          <w:spacing w:val="-3"/>
        </w:rPr>
        <w:t> </w:t>
      </w:r>
      <w:r>
        <w:rPr/>
        <w:t>de</w:t>
      </w:r>
      <w:r>
        <w:rPr>
          <w:spacing w:val="-2"/>
        </w:rPr>
        <w:t> </w:t>
      </w:r>
      <w:r>
        <w:rPr/>
        <w:t>cepillado</w:t>
      </w:r>
      <w:r>
        <w:rPr>
          <w:u w:val="single"/>
        </w:rPr>
        <w:tab/>
      </w:r>
      <w:r>
        <w:rPr/>
        <w:t>Frecuencia</w:t>
      </w:r>
      <w:r>
        <w:rPr>
          <w:u w:val="single"/>
        </w:rPr>
        <w:t> </w:t>
        <w:tab/>
      </w:r>
    </w:p>
    <w:p>
      <w:pPr>
        <w:pStyle w:val="BodyText"/>
        <w:tabs>
          <w:tab w:pos="3986" w:val="left" w:leader="none"/>
          <w:tab w:pos="5992" w:val="left" w:leader="none"/>
          <w:tab w:pos="6297" w:val="left" w:leader="none"/>
          <w:tab w:pos="9119" w:val="left" w:leader="none"/>
        </w:tabs>
        <w:ind w:left="878"/>
      </w:pPr>
      <w:r>
        <w:rPr/>
        <w:t>Hilo</w:t>
      </w:r>
      <w:r>
        <w:rPr>
          <w:spacing w:val="-1"/>
        </w:rPr>
        <w:t> </w:t>
      </w:r>
      <w:r>
        <w:rPr/>
        <w:t>dental</w:t>
      </w:r>
      <w:r>
        <w:rPr>
          <w:u w:val="single"/>
        </w:rPr>
        <w:tab/>
      </w:r>
      <w:r>
        <w:rPr/>
        <w:t>Palillo</w:t>
      </w:r>
      <w:r>
        <w:rPr>
          <w:u w:val="single"/>
        </w:rPr>
        <w:t> </w:t>
        <w:tab/>
      </w:r>
      <w:r>
        <w:rPr/>
        <w:tab/>
        <w:t>Enjuague</w:t>
      </w:r>
      <w:r>
        <w:rPr>
          <w:spacing w:val="-1"/>
        </w:rPr>
        <w:t> </w:t>
      </w:r>
      <w:r>
        <w:rPr>
          <w:u w:val="single"/>
        </w:rPr>
        <w:t> </w:t>
        <w:tab/>
      </w:r>
    </w:p>
    <w:p>
      <w:pPr>
        <w:pStyle w:val="BodyText"/>
        <w:rPr>
          <w:sz w:val="20"/>
        </w:rPr>
      </w:pPr>
    </w:p>
    <w:p>
      <w:pPr>
        <w:pStyle w:val="BodyText"/>
        <w:rPr>
          <w:sz w:val="20"/>
        </w:rPr>
      </w:pPr>
    </w:p>
    <w:p>
      <w:pPr>
        <w:pStyle w:val="BodyText"/>
        <w:spacing w:before="4"/>
        <w:rPr>
          <w:sz w:val="26"/>
        </w:rPr>
      </w:pPr>
    </w:p>
    <w:p>
      <w:pPr>
        <w:pStyle w:val="Heading3"/>
        <w:spacing w:before="70"/>
        <w:ind w:left="878"/>
        <w:jc w:val="left"/>
      </w:pPr>
      <w:r>
        <w:rPr/>
        <w:t>CÉDULA DE REGISTRO DEL ÍNDICE PERIODONTAL COMUNITARIO (IPC)</w:t>
      </w:r>
    </w:p>
    <w:p>
      <w:pPr>
        <w:pStyle w:val="BodyText"/>
        <w:rPr>
          <w:b/>
        </w:rPr>
      </w:pPr>
    </w:p>
    <w:p>
      <w:pPr>
        <w:pStyle w:val="BodyText"/>
        <w:spacing w:before="7"/>
        <w:rPr>
          <w:b/>
          <w:sz w:val="23"/>
        </w:rPr>
      </w:pPr>
    </w:p>
    <w:p>
      <w:pPr>
        <w:pStyle w:val="BodyText"/>
        <w:ind w:left="1238"/>
      </w:pPr>
      <w:r>
        <w:rPr/>
        <w:t>0= Sano</w:t>
      </w:r>
    </w:p>
    <w:p>
      <w:pPr>
        <w:pStyle w:val="BodyText"/>
        <w:ind w:left="1238"/>
      </w:pPr>
      <w:r>
        <w:rPr/>
        <w:t>1= Hemorragia</w:t>
      </w:r>
    </w:p>
    <w:p>
      <w:pPr>
        <w:pStyle w:val="BodyText"/>
        <w:ind w:left="1238"/>
      </w:pPr>
      <w:r>
        <w:rPr/>
        <w:pict>
          <v:shape style="position:absolute;margin-left:290.470001pt;margin-top:1.307016pt;width:138.3pt;height:54.85pt;mso-position-horizontal-relative:page;mso-position-vertical-relative:paragraph;z-index:17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7"/>
                    <w:gridCol w:w="917"/>
                    <w:gridCol w:w="917"/>
                  </w:tblGrid>
                  <w:tr>
                    <w:trPr>
                      <w:trHeight w:val="258" w:hRule="exact"/>
                    </w:trPr>
                    <w:tc>
                      <w:tcPr>
                        <w:tcW w:w="917" w:type="dxa"/>
                        <w:tcBorders>
                          <w:bottom w:val="single" w:sz="4" w:space="0" w:color="000000"/>
                        </w:tcBorders>
                      </w:tcPr>
                      <w:p>
                        <w:pPr>
                          <w:pStyle w:val="TableParagraph"/>
                          <w:spacing w:line="245" w:lineRule="exact"/>
                          <w:ind w:left="110"/>
                          <w:rPr>
                            <w:sz w:val="24"/>
                          </w:rPr>
                        </w:pPr>
                        <w:r>
                          <w:rPr>
                            <w:sz w:val="24"/>
                          </w:rPr>
                          <w:t>17/16</w:t>
                        </w:r>
                      </w:p>
                    </w:tc>
                    <w:tc>
                      <w:tcPr>
                        <w:tcW w:w="917" w:type="dxa"/>
                        <w:tcBorders>
                          <w:bottom w:val="single" w:sz="4" w:space="0" w:color="000000"/>
                        </w:tcBorders>
                      </w:tcPr>
                      <w:p>
                        <w:pPr>
                          <w:pStyle w:val="TableParagraph"/>
                          <w:spacing w:line="245" w:lineRule="exact"/>
                          <w:ind w:left="108"/>
                          <w:rPr>
                            <w:sz w:val="24"/>
                          </w:rPr>
                        </w:pPr>
                        <w:r>
                          <w:rPr>
                            <w:sz w:val="24"/>
                          </w:rPr>
                          <w:t>11</w:t>
                        </w:r>
                      </w:p>
                    </w:tc>
                    <w:tc>
                      <w:tcPr>
                        <w:tcW w:w="917" w:type="dxa"/>
                        <w:tcBorders>
                          <w:bottom w:val="single" w:sz="4" w:space="0" w:color="000000"/>
                        </w:tcBorders>
                      </w:tcPr>
                      <w:p>
                        <w:pPr>
                          <w:pStyle w:val="TableParagraph"/>
                          <w:spacing w:line="245" w:lineRule="exact"/>
                          <w:ind w:left="106"/>
                          <w:rPr>
                            <w:sz w:val="24"/>
                          </w:rPr>
                        </w:pPr>
                        <w:r>
                          <w:rPr>
                            <w:sz w:val="24"/>
                          </w:rPr>
                          <w:t>26/27</w:t>
                        </w:r>
                      </w:p>
                    </w:tc>
                  </w:tr>
                  <w:tr>
                    <w:trPr>
                      <w:trHeight w:val="286" w:hRule="exact"/>
                    </w:trPr>
                    <w:tc>
                      <w:tcPr>
                        <w:tcW w:w="917" w:type="dxa"/>
                        <w:tcBorders>
                          <w:top w:val="single" w:sz="4" w:space="0" w:color="000000"/>
                          <w:left w:val="single" w:sz="4" w:space="0" w:color="000000"/>
                          <w:bottom w:val="single" w:sz="4" w:space="0" w:color="000000"/>
                          <w:right w:val="single" w:sz="4" w:space="0" w:color="000000"/>
                        </w:tcBorders>
                      </w:tcPr>
                      <w:p>
                        <w:pPr/>
                      </w:p>
                    </w:tc>
                    <w:tc>
                      <w:tcPr>
                        <w:tcW w:w="917" w:type="dxa"/>
                        <w:tcBorders>
                          <w:top w:val="single" w:sz="4" w:space="0" w:color="000000"/>
                          <w:left w:val="single" w:sz="4" w:space="0" w:color="000000"/>
                          <w:bottom w:val="single" w:sz="4" w:space="0" w:color="000000"/>
                          <w:right w:val="single" w:sz="4" w:space="0" w:color="000000"/>
                        </w:tcBorders>
                      </w:tcPr>
                      <w:p>
                        <w:pPr/>
                      </w:p>
                    </w:tc>
                    <w:tc>
                      <w:tcPr>
                        <w:tcW w:w="917" w:type="dxa"/>
                        <w:tcBorders>
                          <w:top w:val="single" w:sz="4" w:space="0" w:color="000000"/>
                          <w:left w:val="single" w:sz="4" w:space="0" w:color="000000"/>
                          <w:bottom w:val="single" w:sz="4" w:space="0" w:color="000000"/>
                          <w:right w:val="single" w:sz="4" w:space="0" w:color="000000"/>
                        </w:tcBorders>
                      </w:tcPr>
                      <w:p>
                        <w:pPr/>
                      </w:p>
                    </w:tc>
                  </w:tr>
                  <w:tr>
                    <w:trPr>
                      <w:trHeight w:val="286" w:hRule="exact"/>
                    </w:trPr>
                    <w:tc>
                      <w:tcPr>
                        <w:tcW w:w="917" w:type="dxa"/>
                        <w:tcBorders>
                          <w:top w:val="single" w:sz="4" w:space="0" w:color="000000"/>
                          <w:left w:val="single" w:sz="4" w:space="0" w:color="000000"/>
                          <w:bottom w:val="single" w:sz="4" w:space="0" w:color="000000"/>
                          <w:right w:val="single" w:sz="4" w:space="0" w:color="000000"/>
                        </w:tcBorders>
                      </w:tcPr>
                      <w:p>
                        <w:pPr/>
                      </w:p>
                    </w:tc>
                    <w:tc>
                      <w:tcPr>
                        <w:tcW w:w="917" w:type="dxa"/>
                        <w:tcBorders>
                          <w:top w:val="single" w:sz="4" w:space="0" w:color="000000"/>
                          <w:left w:val="single" w:sz="4" w:space="0" w:color="000000"/>
                          <w:bottom w:val="single" w:sz="4" w:space="0" w:color="000000"/>
                          <w:right w:val="single" w:sz="4" w:space="0" w:color="000000"/>
                        </w:tcBorders>
                      </w:tcPr>
                      <w:p>
                        <w:pPr/>
                      </w:p>
                    </w:tc>
                    <w:tc>
                      <w:tcPr>
                        <w:tcW w:w="917" w:type="dxa"/>
                        <w:tcBorders>
                          <w:top w:val="single" w:sz="4" w:space="0" w:color="000000"/>
                          <w:left w:val="single" w:sz="4" w:space="0" w:color="000000"/>
                          <w:bottom w:val="single" w:sz="4" w:space="0" w:color="000000"/>
                          <w:right w:val="single" w:sz="4" w:space="0" w:color="000000"/>
                        </w:tcBorders>
                      </w:tcPr>
                      <w:p>
                        <w:pPr/>
                      </w:p>
                    </w:tc>
                  </w:tr>
                  <w:tr>
                    <w:trPr>
                      <w:trHeight w:val="268" w:hRule="exact"/>
                    </w:trPr>
                    <w:tc>
                      <w:tcPr>
                        <w:tcW w:w="917" w:type="dxa"/>
                        <w:tcBorders>
                          <w:top w:val="single" w:sz="4" w:space="0" w:color="000000"/>
                        </w:tcBorders>
                      </w:tcPr>
                      <w:p>
                        <w:pPr>
                          <w:pStyle w:val="TableParagraph"/>
                          <w:spacing w:line="268" w:lineRule="exact"/>
                          <w:ind w:left="110"/>
                          <w:rPr>
                            <w:sz w:val="24"/>
                          </w:rPr>
                        </w:pPr>
                        <w:r>
                          <w:rPr>
                            <w:sz w:val="24"/>
                          </w:rPr>
                          <w:t>47/46</w:t>
                        </w:r>
                      </w:p>
                    </w:tc>
                    <w:tc>
                      <w:tcPr>
                        <w:tcW w:w="917" w:type="dxa"/>
                        <w:tcBorders>
                          <w:top w:val="single" w:sz="4" w:space="0" w:color="000000"/>
                        </w:tcBorders>
                      </w:tcPr>
                      <w:p>
                        <w:pPr>
                          <w:pStyle w:val="TableParagraph"/>
                          <w:spacing w:line="268" w:lineRule="exact"/>
                          <w:ind w:left="108"/>
                          <w:rPr>
                            <w:sz w:val="24"/>
                          </w:rPr>
                        </w:pPr>
                        <w:r>
                          <w:rPr>
                            <w:sz w:val="24"/>
                          </w:rPr>
                          <w:t>31</w:t>
                        </w:r>
                      </w:p>
                    </w:tc>
                    <w:tc>
                      <w:tcPr>
                        <w:tcW w:w="917" w:type="dxa"/>
                        <w:tcBorders>
                          <w:top w:val="single" w:sz="4" w:space="0" w:color="000000"/>
                        </w:tcBorders>
                      </w:tcPr>
                      <w:p>
                        <w:pPr>
                          <w:pStyle w:val="TableParagraph"/>
                          <w:spacing w:line="268" w:lineRule="exact"/>
                          <w:ind w:left="106"/>
                          <w:rPr>
                            <w:sz w:val="24"/>
                          </w:rPr>
                        </w:pPr>
                        <w:r>
                          <w:rPr>
                            <w:sz w:val="24"/>
                          </w:rPr>
                          <w:t>36/37</w:t>
                        </w:r>
                      </w:p>
                    </w:tc>
                  </w:tr>
                </w:tbl>
                <w:p>
                  <w:pPr>
                    <w:pStyle w:val="BodyText"/>
                  </w:pPr>
                </w:p>
              </w:txbxContent>
            </v:textbox>
            <w10:wrap type="none"/>
          </v:shape>
        </w:pict>
      </w:r>
      <w:r>
        <w:rPr/>
        <w:t>2 =Cálculo</w:t>
      </w:r>
    </w:p>
    <w:p>
      <w:pPr>
        <w:pStyle w:val="BodyText"/>
        <w:ind w:left="1238"/>
      </w:pPr>
      <w:r>
        <w:rPr/>
        <w:t>3= Bolsas de 4-5 mm</w:t>
      </w:r>
    </w:p>
    <w:p>
      <w:pPr>
        <w:pStyle w:val="BodyText"/>
        <w:ind w:left="1238" w:right="7436"/>
      </w:pPr>
      <w:r>
        <w:rPr/>
        <w:t>4= Bolsas 6 mm o más X= Sextante incluido 9= No registrado</w:t>
      </w:r>
    </w:p>
    <w:p>
      <w:pPr>
        <w:pStyle w:val="BodyText"/>
        <w:rPr>
          <w:sz w:val="20"/>
        </w:rPr>
      </w:pPr>
    </w:p>
    <w:p>
      <w:pPr>
        <w:pStyle w:val="BodyText"/>
        <w:spacing w:before="9"/>
        <w:rPr>
          <w:sz w:val="25"/>
        </w:rPr>
      </w:pPr>
      <w:r>
        <w:rPr/>
        <w:drawing>
          <wp:anchor distT="0" distB="0" distL="0" distR="0" allowOverlap="1" layoutInCell="1" locked="0" behindDoc="0" simplePos="0" relativeHeight="1720">
            <wp:simplePos x="0" y="0"/>
            <wp:positionH relativeFrom="page">
              <wp:posOffset>413004</wp:posOffset>
            </wp:positionH>
            <wp:positionV relativeFrom="paragraph">
              <wp:posOffset>213553</wp:posOffset>
            </wp:positionV>
            <wp:extent cx="6759492" cy="2927794"/>
            <wp:effectExtent l="0" t="0" r="0" b="0"/>
            <wp:wrapTopAndBottom/>
            <wp:docPr id="15" name="image5.jpeg" descr=""/>
            <wp:cNvGraphicFramePr>
              <a:graphicFrameLocks noChangeAspect="1"/>
            </wp:cNvGraphicFramePr>
            <a:graphic>
              <a:graphicData uri="http://schemas.openxmlformats.org/drawingml/2006/picture">
                <pic:pic>
                  <pic:nvPicPr>
                    <pic:cNvPr id="16" name="image5.jpeg"/>
                    <pic:cNvPicPr/>
                  </pic:nvPicPr>
                  <pic:blipFill>
                    <a:blip r:embed="rId27" cstate="print"/>
                    <a:stretch>
                      <a:fillRect/>
                    </a:stretch>
                  </pic:blipFill>
                  <pic:spPr>
                    <a:xfrm>
                      <a:off x="0" y="0"/>
                      <a:ext cx="6759492" cy="2927794"/>
                    </a:xfrm>
                    <a:prstGeom prst="rect">
                      <a:avLst/>
                    </a:prstGeom>
                  </pic:spPr>
                </pic:pic>
              </a:graphicData>
            </a:graphic>
          </wp:anchor>
        </w:drawing>
      </w:r>
    </w:p>
    <w:sectPr>
      <w:pgSz w:w="11910" w:h="16840"/>
      <w:pgMar w:header="731" w:footer="0" w:top="960" w:bottom="280" w:left="540" w:right="4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020020pt;margin-top:35.543915pt;width:10pt;height:14pt;mso-position-horizontal-relative:page;mso-position-vertical-relative:page;z-index:-1071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35.543915pt;width:16pt;height:14pt;mso-position-horizontal-relative:page;mso-position-vertical-relative:page;z-index:-107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7.099976pt;margin-top:35.543922pt;width:16pt;height:14pt;mso-position-horizontal-relative:page;mso-position-vertical-relative:page;z-index:-1070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35.543915pt;width:16pt;height:14pt;mso-position-horizontal-relative:page;mso-position-vertical-relative:page;z-index:-1070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7.179993pt;margin-top:35.543915pt;width:16pt;height:14pt;mso-position-horizontal-relative:page;mso-position-vertical-relative:page;z-index:-1070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66</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19971pt;margin-top:35.5439pt;width:16pt;height:14pt;mso-position-horizontal-relative:page;mso-position-vertical-relative:page;z-index:-1070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69</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55"/>
      <w:numFmt w:val="decimal"/>
      <w:lvlText w:val="%1."/>
      <w:lvlJc w:val="left"/>
      <w:pPr>
        <w:ind w:left="118" w:hanging="404"/>
        <w:jc w:val="left"/>
      </w:pPr>
      <w:rPr>
        <w:rFonts w:hint="default" w:ascii="Times New Roman" w:hAnsi="Times New Roman" w:eastAsia="Times New Roman" w:cs="Times New Roman"/>
        <w:spacing w:val="-18"/>
        <w:w w:val="99"/>
        <w:sz w:val="24"/>
        <w:szCs w:val="24"/>
      </w:rPr>
    </w:lvl>
    <w:lvl w:ilvl="1">
      <w:start w:val="1"/>
      <w:numFmt w:val="bullet"/>
      <w:lvlText w:val="•"/>
      <w:lvlJc w:val="left"/>
      <w:pPr>
        <w:ind w:left="1052" w:hanging="404"/>
      </w:pPr>
      <w:rPr>
        <w:rFonts w:hint="default"/>
      </w:rPr>
    </w:lvl>
    <w:lvl w:ilvl="2">
      <w:start w:val="1"/>
      <w:numFmt w:val="bullet"/>
      <w:lvlText w:val="•"/>
      <w:lvlJc w:val="left"/>
      <w:pPr>
        <w:ind w:left="1985" w:hanging="404"/>
      </w:pPr>
      <w:rPr>
        <w:rFonts w:hint="default"/>
      </w:rPr>
    </w:lvl>
    <w:lvl w:ilvl="3">
      <w:start w:val="1"/>
      <w:numFmt w:val="bullet"/>
      <w:lvlText w:val="•"/>
      <w:lvlJc w:val="left"/>
      <w:pPr>
        <w:ind w:left="2917" w:hanging="404"/>
      </w:pPr>
      <w:rPr>
        <w:rFonts w:hint="default"/>
      </w:rPr>
    </w:lvl>
    <w:lvl w:ilvl="4">
      <w:start w:val="1"/>
      <w:numFmt w:val="bullet"/>
      <w:lvlText w:val="•"/>
      <w:lvlJc w:val="left"/>
      <w:pPr>
        <w:ind w:left="3850" w:hanging="404"/>
      </w:pPr>
      <w:rPr>
        <w:rFonts w:hint="default"/>
      </w:rPr>
    </w:lvl>
    <w:lvl w:ilvl="5">
      <w:start w:val="1"/>
      <w:numFmt w:val="bullet"/>
      <w:lvlText w:val="•"/>
      <w:lvlJc w:val="left"/>
      <w:pPr>
        <w:ind w:left="4783" w:hanging="404"/>
      </w:pPr>
      <w:rPr>
        <w:rFonts w:hint="default"/>
      </w:rPr>
    </w:lvl>
    <w:lvl w:ilvl="6">
      <w:start w:val="1"/>
      <w:numFmt w:val="bullet"/>
      <w:lvlText w:val="•"/>
      <w:lvlJc w:val="left"/>
      <w:pPr>
        <w:ind w:left="5715" w:hanging="404"/>
      </w:pPr>
      <w:rPr>
        <w:rFonts w:hint="default"/>
      </w:rPr>
    </w:lvl>
    <w:lvl w:ilvl="7">
      <w:start w:val="1"/>
      <w:numFmt w:val="bullet"/>
      <w:lvlText w:val="•"/>
      <w:lvlJc w:val="left"/>
      <w:pPr>
        <w:ind w:left="6648" w:hanging="404"/>
      </w:pPr>
      <w:rPr>
        <w:rFonts w:hint="default"/>
      </w:rPr>
    </w:lvl>
    <w:lvl w:ilvl="8">
      <w:start w:val="1"/>
      <w:numFmt w:val="bullet"/>
      <w:lvlText w:val="•"/>
      <w:lvlJc w:val="left"/>
      <w:pPr>
        <w:ind w:left="7581" w:hanging="404"/>
      </w:pPr>
      <w:rPr>
        <w:rFonts w:hint="default"/>
      </w:rPr>
    </w:lvl>
  </w:abstractNum>
  <w:abstractNum w:abstractNumId="22">
    <w:multiLevelType w:val="hybridMultilevel"/>
    <w:lvl w:ilvl="0">
      <w:start w:val="38"/>
      <w:numFmt w:val="decimal"/>
      <w:lvlText w:val="%1."/>
      <w:lvlJc w:val="left"/>
      <w:pPr>
        <w:ind w:left="118" w:hanging="379"/>
        <w:jc w:val="left"/>
      </w:pPr>
      <w:rPr>
        <w:rFonts w:hint="default" w:ascii="Times New Roman" w:hAnsi="Times New Roman" w:eastAsia="Times New Roman" w:cs="Times New Roman"/>
        <w:w w:val="100"/>
        <w:sz w:val="24"/>
        <w:szCs w:val="24"/>
      </w:rPr>
    </w:lvl>
    <w:lvl w:ilvl="1">
      <w:start w:val="1"/>
      <w:numFmt w:val="bullet"/>
      <w:lvlText w:val="•"/>
      <w:lvlJc w:val="left"/>
      <w:pPr>
        <w:ind w:left="1052" w:hanging="379"/>
      </w:pPr>
      <w:rPr>
        <w:rFonts w:hint="default"/>
      </w:rPr>
    </w:lvl>
    <w:lvl w:ilvl="2">
      <w:start w:val="1"/>
      <w:numFmt w:val="bullet"/>
      <w:lvlText w:val="•"/>
      <w:lvlJc w:val="left"/>
      <w:pPr>
        <w:ind w:left="1985" w:hanging="379"/>
      </w:pPr>
      <w:rPr>
        <w:rFonts w:hint="default"/>
      </w:rPr>
    </w:lvl>
    <w:lvl w:ilvl="3">
      <w:start w:val="1"/>
      <w:numFmt w:val="bullet"/>
      <w:lvlText w:val="•"/>
      <w:lvlJc w:val="left"/>
      <w:pPr>
        <w:ind w:left="2917" w:hanging="379"/>
      </w:pPr>
      <w:rPr>
        <w:rFonts w:hint="default"/>
      </w:rPr>
    </w:lvl>
    <w:lvl w:ilvl="4">
      <w:start w:val="1"/>
      <w:numFmt w:val="bullet"/>
      <w:lvlText w:val="•"/>
      <w:lvlJc w:val="left"/>
      <w:pPr>
        <w:ind w:left="3850" w:hanging="379"/>
      </w:pPr>
      <w:rPr>
        <w:rFonts w:hint="default"/>
      </w:rPr>
    </w:lvl>
    <w:lvl w:ilvl="5">
      <w:start w:val="1"/>
      <w:numFmt w:val="bullet"/>
      <w:lvlText w:val="•"/>
      <w:lvlJc w:val="left"/>
      <w:pPr>
        <w:ind w:left="4783" w:hanging="379"/>
      </w:pPr>
      <w:rPr>
        <w:rFonts w:hint="default"/>
      </w:rPr>
    </w:lvl>
    <w:lvl w:ilvl="6">
      <w:start w:val="1"/>
      <w:numFmt w:val="bullet"/>
      <w:lvlText w:val="•"/>
      <w:lvlJc w:val="left"/>
      <w:pPr>
        <w:ind w:left="5715" w:hanging="379"/>
      </w:pPr>
      <w:rPr>
        <w:rFonts w:hint="default"/>
      </w:rPr>
    </w:lvl>
    <w:lvl w:ilvl="7">
      <w:start w:val="1"/>
      <w:numFmt w:val="bullet"/>
      <w:lvlText w:val="•"/>
      <w:lvlJc w:val="left"/>
      <w:pPr>
        <w:ind w:left="6648" w:hanging="379"/>
      </w:pPr>
      <w:rPr>
        <w:rFonts w:hint="default"/>
      </w:rPr>
    </w:lvl>
    <w:lvl w:ilvl="8">
      <w:start w:val="1"/>
      <w:numFmt w:val="bullet"/>
      <w:lvlText w:val="•"/>
      <w:lvlJc w:val="left"/>
      <w:pPr>
        <w:ind w:left="7581" w:hanging="379"/>
      </w:pPr>
      <w:rPr>
        <w:rFonts w:hint="default"/>
      </w:rPr>
    </w:lvl>
  </w:abstractNum>
  <w:abstractNum w:abstractNumId="21">
    <w:multiLevelType w:val="hybridMultilevel"/>
    <w:lvl w:ilvl="0">
      <w:start w:val="1"/>
      <w:numFmt w:val="decimal"/>
      <w:lvlText w:val="%1."/>
      <w:lvlJc w:val="left"/>
      <w:pPr>
        <w:ind w:left="118" w:hanging="267"/>
        <w:jc w:val="left"/>
      </w:pPr>
      <w:rPr>
        <w:rFonts w:hint="default" w:ascii="Times New Roman" w:hAnsi="Times New Roman" w:eastAsia="Times New Roman" w:cs="Times New Roman"/>
        <w:w w:val="100"/>
        <w:sz w:val="24"/>
        <w:szCs w:val="24"/>
      </w:rPr>
    </w:lvl>
    <w:lvl w:ilvl="1">
      <w:start w:val="1"/>
      <w:numFmt w:val="bullet"/>
      <w:lvlText w:val="•"/>
      <w:lvlJc w:val="left"/>
      <w:pPr>
        <w:ind w:left="1052" w:hanging="267"/>
      </w:pPr>
      <w:rPr>
        <w:rFonts w:hint="default"/>
      </w:rPr>
    </w:lvl>
    <w:lvl w:ilvl="2">
      <w:start w:val="1"/>
      <w:numFmt w:val="bullet"/>
      <w:lvlText w:val="•"/>
      <w:lvlJc w:val="left"/>
      <w:pPr>
        <w:ind w:left="1985" w:hanging="267"/>
      </w:pPr>
      <w:rPr>
        <w:rFonts w:hint="default"/>
      </w:rPr>
    </w:lvl>
    <w:lvl w:ilvl="3">
      <w:start w:val="1"/>
      <w:numFmt w:val="bullet"/>
      <w:lvlText w:val="•"/>
      <w:lvlJc w:val="left"/>
      <w:pPr>
        <w:ind w:left="2917" w:hanging="267"/>
      </w:pPr>
      <w:rPr>
        <w:rFonts w:hint="default"/>
      </w:rPr>
    </w:lvl>
    <w:lvl w:ilvl="4">
      <w:start w:val="1"/>
      <w:numFmt w:val="bullet"/>
      <w:lvlText w:val="•"/>
      <w:lvlJc w:val="left"/>
      <w:pPr>
        <w:ind w:left="3850" w:hanging="267"/>
      </w:pPr>
      <w:rPr>
        <w:rFonts w:hint="default"/>
      </w:rPr>
    </w:lvl>
    <w:lvl w:ilvl="5">
      <w:start w:val="1"/>
      <w:numFmt w:val="bullet"/>
      <w:lvlText w:val="•"/>
      <w:lvlJc w:val="left"/>
      <w:pPr>
        <w:ind w:left="4783" w:hanging="267"/>
      </w:pPr>
      <w:rPr>
        <w:rFonts w:hint="default"/>
      </w:rPr>
    </w:lvl>
    <w:lvl w:ilvl="6">
      <w:start w:val="1"/>
      <w:numFmt w:val="bullet"/>
      <w:lvlText w:val="•"/>
      <w:lvlJc w:val="left"/>
      <w:pPr>
        <w:ind w:left="5715" w:hanging="267"/>
      </w:pPr>
      <w:rPr>
        <w:rFonts w:hint="default"/>
      </w:rPr>
    </w:lvl>
    <w:lvl w:ilvl="7">
      <w:start w:val="1"/>
      <w:numFmt w:val="bullet"/>
      <w:lvlText w:val="•"/>
      <w:lvlJc w:val="left"/>
      <w:pPr>
        <w:ind w:left="6648" w:hanging="267"/>
      </w:pPr>
      <w:rPr>
        <w:rFonts w:hint="default"/>
      </w:rPr>
    </w:lvl>
    <w:lvl w:ilvl="8">
      <w:start w:val="1"/>
      <w:numFmt w:val="bullet"/>
      <w:lvlText w:val="•"/>
      <w:lvlJc w:val="left"/>
      <w:pPr>
        <w:ind w:left="7581" w:hanging="267"/>
      </w:pPr>
      <w:rPr>
        <w:rFonts w:hint="default"/>
      </w:rPr>
    </w:lvl>
  </w:abstractNum>
  <w:abstractNum w:abstractNumId="20">
    <w:multiLevelType w:val="hybridMultilevel"/>
    <w:lvl w:ilvl="0">
      <w:start w:val="1"/>
      <w:numFmt w:val="decimal"/>
      <w:lvlText w:val="%1."/>
      <w:lvlJc w:val="left"/>
      <w:pPr>
        <w:ind w:left="102" w:hanging="238"/>
        <w:jc w:val="right"/>
      </w:pPr>
      <w:rPr>
        <w:rFonts w:hint="default" w:ascii="Times New Roman" w:hAnsi="Times New Roman" w:eastAsia="Times New Roman" w:cs="Times New Roman"/>
        <w:w w:val="100"/>
        <w:sz w:val="24"/>
        <w:szCs w:val="24"/>
      </w:rPr>
    </w:lvl>
    <w:lvl w:ilvl="1">
      <w:start w:val="8"/>
      <w:numFmt w:val="decimal"/>
      <w:lvlText w:val="%2."/>
      <w:lvlJc w:val="left"/>
      <w:pPr>
        <w:ind w:left="903" w:hanging="425"/>
        <w:jc w:val="left"/>
      </w:pPr>
      <w:rPr>
        <w:rFonts w:hint="default" w:ascii="Times New Roman" w:hAnsi="Times New Roman" w:eastAsia="Times New Roman" w:cs="Times New Roman"/>
        <w:b/>
        <w:bCs/>
        <w:w w:val="99"/>
        <w:sz w:val="26"/>
        <w:szCs w:val="26"/>
      </w:rPr>
    </w:lvl>
    <w:lvl w:ilvl="2">
      <w:start w:val="1"/>
      <w:numFmt w:val="decimal"/>
      <w:lvlText w:val="%2.%3."/>
      <w:lvlJc w:val="left"/>
      <w:pPr>
        <w:ind w:left="898" w:hanging="420"/>
        <w:jc w:val="right"/>
      </w:pPr>
      <w:rPr>
        <w:rFonts w:hint="default" w:ascii="Times New Roman" w:hAnsi="Times New Roman" w:eastAsia="Times New Roman" w:cs="Times New Roman"/>
        <w:b/>
        <w:bCs/>
        <w:w w:val="100"/>
        <w:sz w:val="24"/>
        <w:szCs w:val="24"/>
      </w:rPr>
    </w:lvl>
    <w:lvl w:ilvl="3">
      <w:start w:val="1"/>
      <w:numFmt w:val="bullet"/>
      <w:lvlText w:val="•"/>
      <w:lvlJc w:val="left"/>
      <w:pPr>
        <w:ind w:left="2713" w:hanging="420"/>
      </w:pPr>
      <w:rPr>
        <w:rFonts w:hint="default"/>
      </w:rPr>
    </w:lvl>
    <w:lvl w:ilvl="4">
      <w:start w:val="1"/>
      <w:numFmt w:val="bullet"/>
      <w:lvlText w:val="•"/>
      <w:lvlJc w:val="left"/>
      <w:pPr>
        <w:ind w:left="3620" w:hanging="420"/>
      </w:pPr>
      <w:rPr>
        <w:rFonts w:hint="default"/>
      </w:rPr>
    </w:lvl>
    <w:lvl w:ilvl="5">
      <w:start w:val="1"/>
      <w:numFmt w:val="bullet"/>
      <w:lvlText w:val="•"/>
      <w:lvlJc w:val="left"/>
      <w:pPr>
        <w:ind w:left="4526" w:hanging="420"/>
      </w:pPr>
      <w:rPr>
        <w:rFonts w:hint="default"/>
      </w:rPr>
    </w:lvl>
    <w:lvl w:ilvl="6">
      <w:start w:val="1"/>
      <w:numFmt w:val="bullet"/>
      <w:lvlText w:val="•"/>
      <w:lvlJc w:val="left"/>
      <w:pPr>
        <w:ind w:left="5433" w:hanging="420"/>
      </w:pPr>
      <w:rPr>
        <w:rFonts w:hint="default"/>
      </w:rPr>
    </w:lvl>
    <w:lvl w:ilvl="7">
      <w:start w:val="1"/>
      <w:numFmt w:val="bullet"/>
      <w:lvlText w:val="•"/>
      <w:lvlJc w:val="left"/>
      <w:pPr>
        <w:ind w:left="6340" w:hanging="420"/>
      </w:pPr>
      <w:rPr>
        <w:rFonts w:hint="default"/>
      </w:rPr>
    </w:lvl>
    <w:lvl w:ilvl="8">
      <w:start w:val="1"/>
      <w:numFmt w:val="bullet"/>
      <w:lvlText w:val="•"/>
      <w:lvlJc w:val="left"/>
      <w:pPr>
        <w:ind w:left="7246" w:hanging="420"/>
      </w:pPr>
      <w:rPr>
        <w:rFonts w:hint="default"/>
      </w:rPr>
    </w:lvl>
  </w:abstractNum>
  <w:abstractNum w:abstractNumId="19">
    <w:multiLevelType w:val="hybridMultilevel"/>
    <w:lvl w:ilvl="0">
      <w:start w:val="7"/>
      <w:numFmt w:val="decimal"/>
      <w:lvlText w:val="%1"/>
      <w:lvlJc w:val="left"/>
      <w:pPr>
        <w:ind w:left="102" w:hanging="540"/>
        <w:jc w:val="left"/>
      </w:pPr>
      <w:rPr>
        <w:rFonts w:hint="default"/>
      </w:rPr>
    </w:lvl>
    <w:lvl w:ilvl="1">
      <w:start w:val="1"/>
      <w:numFmt w:val="decimal"/>
      <w:lvlText w:val="%1.%2"/>
      <w:lvlJc w:val="left"/>
      <w:pPr>
        <w:ind w:left="102" w:hanging="540"/>
        <w:jc w:val="left"/>
      </w:pPr>
      <w:rPr>
        <w:rFonts w:hint="default"/>
      </w:rPr>
    </w:lvl>
    <w:lvl w:ilvl="2">
      <w:start w:val="8"/>
      <w:numFmt w:val="decimal"/>
      <w:lvlText w:val="%1.%2.%3"/>
      <w:lvlJc w:val="left"/>
      <w:pPr>
        <w:ind w:left="102" w:hanging="540"/>
        <w:jc w:val="left"/>
      </w:pPr>
      <w:rPr>
        <w:rFonts w:hint="default" w:ascii="Times New Roman" w:hAnsi="Times New Roman" w:eastAsia="Times New Roman" w:cs="Times New Roman"/>
        <w:b/>
        <w:bCs/>
        <w:w w:val="100"/>
        <w:sz w:val="24"/>
        <w:szCs w:val="24"/>
      </w:rPr>
    </w:lvl>
    <w:lvl w:ilvl="3">
      <w:start w:val="1"/>
      <w:numFmt w:val="bullet"/>
      <w:lvlText w:val="•"/>
      <w:lvlJc w:val="left"/>
      <w:pPr>
        <w:ind w:left="2788" w:hanging="540"/>
      </w:pPr>
      <w:rPr>
        <w:rFonts w:hint="default"/>
      </w:rPr>
    </w:lvl>
    <w:lvl w:ilvl="4">
      <w:start w:val="1"/>
      <w:numFmt w:val="bullet"/>
      <w:lvlText w:val="•"/>
      <w:lvlJc w:val="left"/>
      <w:pPr>
        <w:ind w:left="3684" w:hanging="540"/>
      </w:pPr>
      <w:rPr>
        <w:rFonts w:hint="default"/>
      </w:rPr>
    </w:lvl>
    <w:lvl w:ilvl="5">
      <w:start w:val="1"/>
      <w:numFmt w:val="bullet"/>
      <w:lvlText w:val="•"/>
      <w:lvlJc w:val="left"/>
      <w:pPr>
        <w:ind w:left="4580" w:hanging="540"/>
      </w:pPr>
      <w:rPr>
        <w:rFonts w:hint="default"/>
      </w:rPr>
    </w:lvl>
    <w:lvl w:ilvl="6">
      <w:start w:val="1"/>
      <w:numFmt w:val="bullet"/>
      <w:lvlText w:val="•"/>
      <w:lvlJc w:val="left"/>
      <w:pPr>
        <w:ind w:left="5476" w:hanging="540"/>
      </w:pPr>
      <w:rPr>
        <w:rFonts w:hint="default"/>
      </w:rPr>
    </w:lvl>
    <w:lvl w:ilvl="7">
      <w:start w:val="1"/>
      <w:numFmt w:val="bullet"/>
      <w:lvlText w:val="•"/>
      <w:lvlJc w:val="left"/>
      <w:pPr>
        <w:ind w:left="6372" w:hanging="540"/>
      </w:pPr>
      <w:rPr>
        <w:rFonts w:hint="default"/>
      </w:rPr>
    </w:lvl>
    <w:lvl w:ilvl="8">
      <w:start w:val="1"/>
      <w:numFmt w:val="bullet"/>
      <w:lvlText w:val="•"/>
      <w:lvlJc w:val="left"/>
      <w:pPr>
        <w:ind w:left="7268" w:hanging="540"/>
      </w:pPr>
      <w:rPr>
        <w:rFonts w:hint="default"/>
      </w:rPr>
    </w:lvl>
  </w:abstractNum>
  <w:abstractNum w:abstractNumId="18">
    <w:multiLevelType w:val="hybridMultilevel"/>
    <w:lvl w:ilvl="0">
      <w:start w:val="7"/>
      <w:numFmt w:val="decimal"/>
      <w:lvlText w:val="%1"/>
      <w:lvlJc w:val="left"/>
      <w:pPr>
        <w:ind w:left="102" w:hanging="600"/>
        <w:jc w:val="left"/>
      </w:pPr>
      <w:rPr>
        <w:rFonts w:hint="default"/>
      </w:rPr>
    </w:lvl>
    <w:lvl w:ilvl="1">
      <w:start w:val="1"/>
      <w:numFmt w:val="decimal"/>
      <w:lvlText w:val="%1.%2"/>
      <w:lvlJc w:val="left"/>
      <w:pPr>
        <w:ind w:left="102" w:hanging="600"/>
        <w:jc w:val="left"/>
      </w:pPr>
      <w:rPr>
        <w:rFonts w:hint="default"/>
      </w:rPr>
    </w:lvl>
    <w:lvl w:ilvl="2">
      <w:start w:val="7"/>
      <w:numFmt w:val="decimal"/>
      <w:lvlText w:val="%1.%2.%3."/>
      <w:lvlJc w:val="left"/>
      <w:pPr>
        <w:ind w:left="102" w:hanging="600"/>
        <w:jc w:val="left"/>
      </w:pPr>
      <w:rPr>
        <w:rFonts w:hint="default" w:ascii="Times New Roman" w:hAnsi="Times New Roman" w:eastAsia="Times New Roman" w:cs="Times New Roman"/>
        <w:b/>
        <w:bCs/>
        <w:w w:val="100"/>
        <w:sz w:val="24"/>
        <w:szCs w:val="24"/>
      </w:rPr>
    </w:lvl>
    <w:lvl w:ilvl="3">
      <w:start w:val="1"/>
      <w:numFmt w:val="bullet"/>
      <w:lvlText w:val="•"/>
      <w:lvlJc w:val="left"/>
      <w:pPr>
        <w:ind w:left="2788" w:hanging="600"/>
      </w:pPr>
      <w:rPr>
        <w:rFonts w:hint="default"/>
      </w:rPr>
    </w:lvl>
    <w:lvl w:ilvl="4">
      <w:start w:val="1"/>
      <w:numFmt w:val="bullet"/>
      <w:lvlText w:val="•"/>
      <w:lvlJc w:val="left"/>
      <w:pPr>
        <w:ind w:left="3684" w:hanging="600"/>
      </w:pPr>
      <w:rPr>
        <w:rFonts w:hint="default"/>
      </w:rPr>
    </w:lvl>
    <w:lvl w:ilvl="5">
      <w:start w:val="1"/>
      <w:numFmt w:val="bullet"/>
      <w:lvlText w:val="•"/>
      <w:lvlJc w:val="left"/>
      <w:pPr>
        <w:ind w:left="4580" w:hanging="600"/>
      </w:pPr>
      <w:rPr>
        <w:rFonts w:hint="default"/>
      </w:rPr>
    </w:lvl>
    <w:lvl w:ilvl="6">
      <w:start w:val="1"/>
      <w:numFmt w:val="bullet"/>
      <w:lvlText w:val="•"/>
      <w:lvlJc w:val="left"/>
      <w:pPr>
        <w:ind w:left="5476" w:hanging="600"/>
      </w:pPr>
      <w:rPr>
        <w:rFonts w:hint="default"/>
      </w:rPr>
    </w:lvl>
    <w:lvl w:ilvl="7">
      <w:start w:val="1"/>
      <w:numFmt w:val="bullet"/>
      <w:lvlText w:val="•"/>
      <w:lvlJc w:val="left"/>
      <w:pPr>
        <w:ind w:left="6372" w:hanging="600"/>
      </w:pPr>
      <w:rPr>
        <w:rFonts w:hint="default"/>
      </w:rPr>
    </w:lvl>
    <w:lvl w:ilvl="8">
      <w:start w:val="1"/>
      <w:numFmt w:val="bullet"/>
      <w:lvlText w:val="•"/>
      <w:lvlJc w:val="left"/>
      <w:pPr>
        <w:ind w:left="7268" w:hanging="600"/>
      </w:pPr>
      <w:rPr>
        <w:rFonts w:hint="default"/>
      </w:rPr>
    </w:lvl>
  </w:abstractNum>
  <w:abstractNum w:abstractNumId="17">
    <w:multiLevelType w:val="hybridMultilevel"/>
    <w:lvl w:ilvl="0">
      <w:start w:val="7"/>
      <w:numFmt w:val="decimal"/>
      <w:lvlText w:val="%1"/>
      <w:lvlJc w:val="left"/>
      <w:pPr>
        <w:ind w:left="102" w:hanging="540"/>
        <w:jc w:val="left"/>
      </w:pPr>
      <w:rPr>
        <w:rFonts w:hint="default"/>
      </w:rPr>
    </w:lvl>
    <w:lvl w:ilvl="1">
      <w:start w:val="1"/>
      <w:numFmt w:val="decimal"/>
      <w:lvlText w:val="%1.%2"/>
      <w:lvlJc w:val="left"/>
      <w:pPr>
        <w:ind w:left="102" w:hanging="540"/>
        <w:jc w:val="left"/>
      </w:pPr>
      <w:rPr>
        <w:rFonts w:hint="default"/>
      </w:rPr>
    </w:lvl>
    <w:lvl w:ilvl="2">
      <w:start w:val="6"/>
      <w:numFmt w:val="decimal"/>
      <w:lvlText w:val="%1.%2.%3"/>
      <w:lvlJc w:val="left"/>
      <w:pPr>
        <w:ind w:left="102" w:hanging="540"/>
        <w:jc w:val="left"/>
      </w:pPr>
      <w:rPr>
        <w:rFonts w:hint="default" w:ascii="Times New Roman" w:hAnsi="Times New Roman" w:eastAsia="Times New Roman" w:cs="Times New Roman"/>
        <w:b/>
        <w:bCs/>
        <w:w w:val="100"/>
        <w:sz w:val="24"/>
        <w:szCs w:val="24"/>
      </w:rPr>
    </w:lvl>
    <w:lvl w:ilvl="3">
      <w:start w:val="1"/>
      <w:numFmt w:val="bullet"/>
      <w:lvlText w:val="•"/>
      <w:lvlJc w:val="left"/>
      <w:pPr>
        <w:ind w:left="2788" w:hanging="540"/>
      </w:pPr>
      <w:rPr>
        <w:rFonts w:hint="default"/>
      </w:rPr>
    </w:lvl>
    <w:lvl w:ilvl="4">
      <w:start w:val="1"/>
      <w:numFmt w:val="bullet"/>
      <w:lvlText w:val="•"/>
      <w:lvlJc w:val="left"/>
      <w:pPr>
        <w:ind w:left="3684" w:hanging="540"/>
      </w:pPr>
      <w:rPr>
        <w:rFonts w:hint="default"/>
      </w:rPr>
    </w:lvl>
    <w:lvl w:ilvl="5">
      <w:start w:val="1"/>
      <w:numFmt w:val="bullet"/>
      <w:lvlText w:val="•"/>
      <w:lvlJc w:val="left"/>
      <w:pPr>
        <w:ind w:left="4580" w:hanging="540"/>
      </w:pPr>
      <w:rPr>
        <w:rFonts w:hint="default"/>
      </w:rPr>
    </w:lvl>
    <w:lvl w:ilvl="6">
      <w:start w:val="1"/>
      <w:numFmt w:val="bullet"/>
      <w:lvlText w:val="•"/>
      <w:lvlJc w:val="left"/>
      <w:pPr>
        <w:ind w:left="5476" w:hanging="540"/>
      </w:pPr>
      <w:rPr>
        <w:rFonts w:hint="default"/>
      </w:rPr>
    </w:lvl>
    <w:lvl w:ilvl="7">
      <w:start w:val="1"/>
      <w:numFmt w:val="bullet"/>
      <w:lvlText w:val="•"/>
      <w:lvlJc w:val="left"/>
      <w:pPr>
        <w:ind w:left="6372" w:hanging="540"/>
      </w:pPr>
      <w:rPr>
        <w:rFonts w:hint="default"/>
      </w:rPr>
    </w:lvl>
    <w:lvl w:ilvl="8">
      <w:start w:val="1"/>
      <w:numFmt w:val="bullet"/>
      <w:lvlText w:val="•"/>
      <w:lvlJc w:val="left"/>
      <w:pPr>
        <w:ind w:left="7268" w:hanging="540"/>
      </w:pPr>
      <w:rPr>
        <w:rFonts w:hint="default"/>
      </w:rPr>
    </w:lvl>
  </w:abstractNum>
  <w:abstractNum w:abstractNumId="16">
    <w:multiLevelType w:val="hybridMultilevel"/>
    <w:lvl w:ilvl="0">
      <w:start w:val="7"/>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1410" w:hanging="60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3117" w:hanging="600"/>
      </w:pPr>
      <w:rPr>
        <w:rFonts w:hint="default"/>
      </w:rPr>
    </w:lvl>
    <w:lvl w:ilvl="4">
      <w:start w:val="1"/>
      <w:numFmt w:val="bullet"/>
      <w:lvlText w:val="•"/>
      <w:lvlJc w:val="left"/>
      <w:pPr>
        <w:ind w:left="3966" w:hanging="600"/>
      </w:pPr>
      <w:rPr>
        <w:rFonts w:hint="default"/>
      </w:rPr>
    </w:lvl>
    <w:lvl w:ilvl="5">
      <w:start w:val="1"/>
      <w:numFmt w:val="bullet"/>
      <w:lvlText w:val="•"/>
      <w:lvlJc w:val="left"/>
      <w:pPr>
        <w:ind w:left="4815" w:hanging="600"/>
      </w:pPr>
      <w:rPr>
        <w:rFonts w:hint="default"/>
      </w:rPr>
    </w:lvl>
    <w:lvl w:ilvl="6">
      <w:start w:val="1"/>
      <w:numFmt w:val="bullet"/>
      <w:lvlText w:val="•"/>
      <w:lvlJc w:val="left"/>
      <w:pPr>
        <w:ind w:left="5664" w:hanging="600"/>
      </w:pPr>
      <w:rPr>
        <w:rFonts w:hint="default"/>
      </w:rPr>
    </w:lvl>
    <w:lvl w:ilvl="7">
      <w:start w:val="1"/>
      <w:numFmt w:val="bullet"/>
      <w:lvlText w:val="•"/>
      <w:lvlJc w:val="left"/>
      <w:pPr>
        <w:ind w:left="6513" w:hanging="600"/>
      </w:pPr>
      <w:rPr>
        <w:rFonts w:hint="default"/>
      </w:rPr>
    </w:lvl>
    <w:lvl w:ilvl="8">
      <w:start w:val="1"/>
      <w:numFmt w:val="bullet"/>
      <w:lvlText w:val="•"/>
      <w:lvlJc w:val="left"/>
      <w:pPr>
        <w:ind w:left="7362" w:hanging="600"/>
      </w:pPr>
      <w:rPr>
        <w:rFonts w:hint="default"/>
      </w:rPr>
    </w:lvl>
  </w:abstractNum>
  <w:abstractNum w:abstractNumId="15">
    <w:multiLevelType w:val="hybridMultilevel"/>
    <w:lvl w:ilvl="0">
      <w:start w:val="6"/>
      <w:numFmt w:val="decimal"/>
      <w:lvlText w:val="%1"/>
      <w:lvlJc w:val="left"/>
      <w:pPr>
        <w:ind w:left="490" w:hanging="389"/>
        <w:jc w:val="left"/>
      </w:pPr>
      <w:rPr>
        <w:rFonts w:hint="default"/>
      </w:rPr>
    </w:lvl>
    <w:lvl w:ilvl="1">
      <w:start w:val="5"/>
      <w:numFmt w:val="decimal"/>
      <w:lvlText w:val="%1.%2"/>
      <w:lvlJc w:val="left"/>
      <w:pPr>
        <w:ind w:left="490" w:hanging="389"/>
        <w:jc w:val="left"/>
      </w:pPr>
      <w:rPr>
        <w:rFonts w:hint="default" w:ascii="Times New Roman" w:hAnsi="Times New Roman" w:eastAsia="Times New Roman" w:cs="Times New Roman"/>
        <w:b/>
        <w:bCs/>
        <w:w w:val="99"/>
        <w:sz w:val="26"/>
        <w:szCs w:val="26"/>
      </w:rPr>
    </w:lvl>
    <w:lvl w:ilvl="2">
      <w:start w:val="1"/>
      <w:numFmt w:val="bullet"/>
      <w:lvlText w:val="•"/>
      <w:lvlJc w:val="left"/>
      <w:pPr>
        <w:ind w:left="2212" w:hanging="389"/>
      </w:pPr>
      <w:rPr>
        <w:rFonts w:hint="default"/>
      </w:rPr>
    </w:lvl>
    <w:lvl w:ilvl="3">
      <w:start w:val="1"/>
      <w:numFmt w:val="bullet"/>
      <w:lvlText w:val="•"/>
      <w:lvlJc w:val="left"/>
      <w:pPr>
        <w:ind w:left="3068" w:hanging="389"/>
      </w:pPr>
      <w:rPr>
        <w:rFonts w:hint="default"/>
      </w:rPr>
    </w:lvl>
    <w:lvl w:ilvl="4">
      <w:start w:val="1"/>
      <w:numFmt w:val="bullet"/>
      <w:lvlText w:val="•"/>
      <w:lvlJc w:val="left"/>
      <w:pPr>
        <w:ind w:left="3924" w:hanging="389"/>
      </w:pPr>
      <w:rPr>
        <w:rFonts w:hint="default"/>
      </w:rPr>
    </w:lvl>
    <w:lvl w:ilvl="5">
      <w:start w:val="1"/>
      <w:numFmt w:val="bullet"/>
      <w:lvlText w:val="•"/>
      <w:lvlJc w:val="left"/>
      <w:pPr>
        <w:ind w:left="4780" w:hanging="389"/>
      </w:pPr>
      <w:rPr>
        <w:rFonts w:hint="default"/>
      </w:rPr>
    </w:lvl>
    <w:lvl w:ilvl="6">
      <w:start w:val="1"/>
      <w:numFmt w:val="bullet"/>
      <w:lvlText w:val="•"/>
      <w:lvlJc w:val="left"/>
      <w:pPr>
        <w:ind w:left="5636" w:hanging="389"/>
      </w:pPr>
      <w:rPr>
        <w:rFonts w:hint="default"/>
      </w:rPr>
    </w:lvl>
    <w:lvl w:ilvl="7">
      <w:start w:val="1"/>
      <w:numFmt w:val="bullet"/>
      <w:lvlText w:val="•"/>
      <w:lvlJc w:val="left"/>
      <w:pPr>
        <w:ind w:left="6492" w:hanging="389"/>
      </w:pPr>
      <w:rPr>
        <w:rFonts w:hint="default"/>
      </w:rPr>
    </w:lvl>
    <w:lvl w:ilvl="8">
      <w:start w:val="1"/>
      <w:numFmt w:val="bullet"/>
      <w:lvlText w:val="•"/>
      <w:lvlJc w:val="left"/>
      <w:pPr>
        <w:ind w:left="7348" w:hanging="389"/>
      </w:pPr>
      <w:rPr>
        <w:rFonts w:hint="default"/>
      </w:rPr>
    </w:lvl>
  </w:abstractNum>
  <w:abstractNum w:abstractNumId="14">
    <w:multiLevelType w:val="hybridMultilevel"/>
    <w:lvl w:ilvl="0">
      <w:start w:val="1"/>
      <w:numFmt w:val="bullet"/>
      <w:lvlText w:val=""/>
      <w:lvlJc w:val="left"/>
      <w:pPr>
        <w:ind w:left="278" w:hanging="284"/>
      </w:pPr>
      <w:rPr>
        <w:rFonts w:hint="default" w:ascii="Symbol" w:hAnsi="Symbol" w:eastAsia="Symbol" w:cs="Symbol"/>
        <w:w w:val="100"/>
        <w:sz w:val="24"/>
        <w:szCs w:val="24"/>
      </w:rPr>
    </w:lvl>
    <w:lvl w:ilvl="1">
      <w:start w:val="1"/>
      <w:numFmt w:val="bullet"/>
      <w:lvlText w:val="•"/>
      <w:lvlJc w:val="left"/>
      <w:pPr>
        <w:ind w:left="463" w:hanging="284"/>
      </w:pPr>
      <w:rPr>
        <w:rFonts w:hint="default"/>
      </w:rPr>
    </w:lvl>
    <w:lvl w:ilvl="2">
      <w:start w:val="1"/>
      <w:numFmt w:val="bullet"/>
      <w:lvlText w:val="•"/>
      <w:lvlJc w:val="left"/>
      <w:pPr>
        <w:ind w:left="647" w:hanging="284"/>
      </w:pPr>
      <w:rPr>
        <w:rFonts w:hint="default"/>
      </w:rPr>
    </w:lvl>
    <w:lvl w:ilvl="3">
      <w:start w:val="1"/>
      <w:numFmt w:val="bullet"/>
      <w:lvlText w:val="•"/>
      <w:lvlJc w:val="left"/>
      <w:pPr>
        <w:ind w:left="831" w:hanging="284"/>
      </w:pPr>
      <w:rPr>
        <w:rFonts w:hint="default"/>
      </w:rPr>
    </w:lvl>
    <w:lvl w:ilvl="4">
      <w:start w:val="1"/>
      <w:numFmt w:val="bullet"/>
      <w:lvlText w:val="•"/>
      <w:lvlJc w:val="left"/>
      <w:pPr>
        <w:ind w:left="1014" w:hanging="284"/>
      </w:pPr>
      <w:rPr>
        <w:rFonts w:hint="default"/>
      </w:rPr>
    </w:lvl>
    <w:lvl w:ilvl="5">
      <w:start w:val="1"/>
      <w:numFmt w:val="bullet"/>
      <w:lvlText w:val="•"/>
      <w:lvlJc w:val="left"/>
      <w:pPr>
        <w:ind w:left="1198" w:hanging="284"/>
      </w:pPr>
      <w:rPr>
        <w:rFonts w:hint="default"/>
      </w:rPr>
    </w:lvl>
    <w:lvl w:ilvl="6">
      <w:start w:val="1"/>
      <w:numFmt w:val="bullet"/>
      <w:lvlText w:val="•"/>
      <w:lvlJc w:val="left"/>
      <w:pPr>
        <w:ind w:left="1382" w:hanging="284"/>
      </w:pPr>
      <w:rPr>
        <w:rFonts w:hint="default"/>
      </w:rPr>
    </w:lvl>
    <w:lvl w:ilvl="7">
      <w:start w:val="1"/>
      <w:numFmt w:val="bullet"/>
      <w:lvlText w:val="•"/>
      <w:lvlJc w:val="left"/>
      <w:pPr>
        <w:ind w:left="1566" w:hanging="284"/>
      </w:pPr>
      <w:rPr>
        <w:rFonts w:hint="default"/>
      </w:rPr>
    </w:lvl>
    <w:lvl w:ilvl="8">
      <w:start w:val="1"/>
      <w:numFmt w:val="bullet"/>
      <w:lvlText w:val="•"/>
      <w:lvlJc w:val="left"/>
      <w:pPr>
        <w:ind w:left="1749" w:hanging="284"/>
      </w:pPr>
      <w:rPr>
        <w:rFonts w:hint="default"/>
      </w:rPr>
    </w:lvl>
  </w:abstractNum>
  <w:abstractNum w:abstractNumId="13">
    <w:multiLevelType w:val="hybridMultilevel"/>
    <w:lvl w:ilvl="0">
      <w:start w:val="6"/>
      <w:numFmt w:val="decimal"/>
      <w:lvlText w:val="%1"/>
      <w:lvlJc w:val="left"/>
      <w:pPr>
        <w:ind w:left="526" w:hanging="425"/>
        <w:jc w:val="left"/>
      </w:pPr>
      <w:rPr>
        <w:rFonts w:hint="default"/>
      </w:rPr>
    </w:lvl>
    <w:lvl w:ilvl="1">
      <w:start w:val="4"/>
      <w:numFmt w:val="decimal"/>
      <w:lvlText w:val="%1.%2"/>
      <w:lvlJc w:val="left"/>
      <w:pPr>
        <w:ind w:left="526" w:hanging="425"/>
        <w:jc w:val="left"/>
      </w:pPr>
      <w:rPr>
        <w:rFonts w:hint="default" w:ascii="Times New Roman" w:hAnsi="Times New Roman" w:eastAsia="Times New Roman" w:cs="Times New Roman"/>
        <w:b/>
        <w:bCs/>
        <w:w w:val="99"/>
        <w:sz w:val="26"/>
        <w:szCs w:val="26"/>
      </w:rPr>
    </w:lvl>
    <w:lvl w:ilvl="2">
      <w:start w:val="1"/>
      <w:numFmt w:val="decimal"/>
      <w:lvlText w:val="%1.%2.%3"/>
      <w:lvlJc w:val="left"/>
      <w:pPr>
        <w:ind w:left="644" w:hanging="543"/>
        <w:jc w:val="left"/>
      </w:pPr>
      <w:rPr>
        <w:rFonts w:hint="default" w:ascii="Times New Roman" w:hAnsi="Times New Roman" w:eastAsia="Times New Roman" w:cs="Times New Roman"/>
        <w:w w:val="100"/>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12">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6"/>
      <w:numFmt w:val="decimal"/>
      <w:lvlText w:val="%1"/>
      <w:lvlJc w:val="left"/>
      <w:pPr>
        <w:ind w:left="462" w:hanging="360"/>
        <w:jc w:val="left"/>
      </w:pPr>
      <w:rPr>
        <w:rFonts w:hint="default"/>
      </w:rPr>
    </w:lvl>
    <w:lvl w:ilvl="1">
      <w:start w:val="3"/>
      <w:numFmt w:val="decimal"/>
      <w:lvlText w:val="%1.%2"/>
      <w:lvlJc w:val="left"/>
      <w:pPr>
        <w:ind w:left="462" w:hanging="360"/>
        <w:jc w:val="left"/>
      </w:pPr>
      <w:rPr>
        <w:rFonts w:hint="default" w:ascii="Times New Roman" w:hAnsi="Times New Roman" w:eastAsia="Times New Roman" w:cs="Times New Roman"/>
        <w:b/>
        <w:bCs/>
        <w:w w:val="99"/>
        <w:sz w:val="26"/>
        <w:szCs w:val="26"/>
      </w:rPr>
    </w:lvl>
    <w:lvl w:ilvl="2">
      <w:start w:val="1"/>
      <w:numFmt w:val="decimal"/>
      <w:lvlText w:val="%1.%2.%3"/>
      <w:lvlJc w:val="left"/>
      <w:pPr>
        <w:ind w:left="148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3164" w:hanging="540"/>
      </w:pPr>
      <w:rPr>
        <w:rFonts w:hint="default"/>
      </w:rPr>
    </w:lvl>
    <w:lvl w:ilvl="4">
      <w:start w:val="1"/>
      <w:numFmt w:val="bullet"/>
      <w:lvlText w:val="•"/>
      <w:lvlJc w:val="left"/>
      <w:pPr>
        <w:ind w:left="4006" w:hanging="540"/>
      </w:pPr>
      <w:rPr>
        <w:rFonts w:hint="default"/>
      </w:rPr>
    </w:lvl>
    <w:lvl w:ilvl="5">
      <w:start w:val="1"/>
      <w:numFmt w:val="bullet"/>
      <w:lvlText w:val="•"/>
      <w:lvlJc w:val="left"/>
      <w:pPr>
        <w:ind w:left="4848" w:hanging="540"/>
      </w:pPr>
      <w:rPr>
        <w:rFonts w:hint="default"/>
      </w:rPr>
    </w:lvl>
    <w:lvl w:ilvl="6">
      <w:start w:val="1"/>
      <w:numFmt w:val="bullet"/>
      <w:lvlText w:val="•"/>
      <w:lvlJc w:val="left"/>
      <w:pPr>
        <w:ind w:left="5691" w:hanging="540"/>
      </w:pPr>
      <w:rPr>
        <w:rFonts w:hint="default"/>
      </w:rPr>
    </w:lvl>
    <w:lvl w:ilvl="7">
      <w:start w:val="1"/>
      <w:numFmt w:val="bullet"/>
      <w:lvlText w:val="•"/>
      <w:lvlJc w:val="left"/>
      <w:pPr>
        <w:ind w:left="6533" w:hanging="540"/>
      </w:pPr>
      <w:rPr>
        <w:rFonts w:hint="default"/>
      </w:rPr>
    </w:lvl>
    <w:lvl w:ilvl="8">
      <w:start w:val="1"/>
      <w:numFmt w:val="bullet"/>
      <w:lvlText w:val="•"/>
      <w:lvlJc w:val="left"/>
      <w:pPr>
        <w:ind w:left="7375" w:hanging="540"/>
      </w:pPr>
      <w:rPr>
        <w:rFonts w:hint="default"/>
      </w:rPr>
    </w:lvl>
  </w:abstractNum>
  <w:abstractNum w:abstractNumId="10">
    <w:multiLevelType w:val="hybridMultilevel"/>
    <w:lvl w:ilvl="0">
      <w:start w:val="6"/>
      <w:numFmt w:val="decimal"/>
      <w:lvlText w:val="%1"/>
      <w:lvlJc w:val="left"/>
      <w:pPr>
        <w:ind w:left="490" w:hanging="389"/>
        <w:jc w:val="left"/>
      </w:pPr>
      <w:rPr>
        <w:rFonts w:hint="default"/>
      </w:rPr>
    </w:lvl>
    <w:lvl w:ilvl="1">
      <w:start w:val="2"/>
      <w:numFmt w:val="decimal"/>
      <w:lvlText w:val="%1.%2"/>
      <w:lvlJc w:val="left"/>
      <w:pPr>
        <w:ind w:left="490" w:hanging="389"/>
        <w:jc w:val="left"/>
      </w:pPr>
      <w:rPr>
        <w:rFonts w:hint="default" w:ascii="Times New Roman" w:hAnsi="Times New Roman" w:eastAsia="Times New Roman" w:cs="Times New Roman"/>
        <w:b/>
        <w:bCs/>
        <w:w w:val="99"/>
        <w:sz w:val="26"/>
        <w:szCs w:val="26"/>
      </w:rPr>
    </w:lvl>
    <w:lvl w:ilvl="2">
      <w:start w:val="1"/>
      <w:numFmt w:val="decimal"/>
      <w:lvlText w:val="%1.%2.%3"/>
      <w:lvlJc w:val="left"/>
      <w:pPr>
        <w:ind w:left="642" w:hanging="540"/>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1542" w:hanging="360"/>
      </w:pPr>
      <w:rPr>
        <w:rFonts w:hint="default" w:ascii="Symbol" w:hAnsi="Symbol" w:eastAsia="Symbol" w:cs="Symbol"/>
        <w:w w:val="100"/>
        <w:sz w:val="24"/>
        <w:szCs w:val="24"/>
      </w:rPr>
    </w:lvl>
    <w:lvl w:ilvl="4">
      <w:start w:val="1"/>
      <w:numFmt w:val="bullet"/>
      <w:lvlText w:val="•"/>
      <w:lvlJc w:val="left"/>
      <w:pPr>
        <w:ind w:left="2614" w:hanging="360"/>
      </w:pPr>
      <w:rPr>
        <w:rFonts w:hint="default"/>
      </w:rPr>
    </w:lvl>
    <w:lvl w:ilvl="5">
      <w:start w:val="1"/>
      <w:numFmt w:val="bullet"/>
      <w:lvlText w:val="•"/>
      <w:lvlJc w:val="left"/>
      <w:pPr>
        <w:ind w:left="3688" w:hanging="360"/>
      </w:pPr>
      <w:rPr>
        <w:rFonts w:hint="default"/>
      </w:rPr>
    </w:lvl>
    <w:lvl w:ilvl="6">
      <w:start w:val="1"/>
      <w:numFmt w:val="bullet"/>
      <w:lvlText w:val="•"/>
      <w:lvlJc w:val="left"/>
      <w:pPr>
        <w:ind w:left="4762" w:hanging="360"/>
      </w:pPr>
      <w:rPr>
        <w:rFonts w:hint="default"/>
      </w:rPr>
    </w:lvl>
    <w:lvl w:ilvl="7">
      <w:start w:val="1"/>
      <w:numFmt w:val="bullet"/>
      <w:lvlText w:val="•"/>
      <w:lvlJc w:val="left"/>
      <w:pPr>
        <w:ind w:left="5837" w:hanging="360"/>
      </w:pPr>
      <w:rPr>
        <w:rFonts w:hint="default"/>
      </w:rPr>
    </w:lvl>
    <w:lvl w:ilvl="8">
      <w:start w:val="1"/>
      <w:numFmt w:val="bullet"/>
      <w:lvlText w:val="•"/>
      <w:lvlJc w:val="left"/>
      <w:pPr>
        <w:ind w:left="6911" w:hanging="360"/>
      </w:pPr>
      <w:rPr>
        <w:rFonts w:hint="default"/>
      </w:rPr>
    </w:lvl>
  </w:abstractNum>
  <w:abstractNum w:abstractNumId="9">
    <w:multiLevelType w:val="hybridMultilevel"/>
    <w:lvl w:ilvl="0">
      <w:start w:val="6"/>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ascii="Times New Roman" w:hAnsi="Times New Roman" w:eastAsia="Times New Roman" w:cs="Times New Roman"/>
        <w:b/>
        <w:bCs/>
        <w:spacing w:val="-1"/>
        <w:w w:val="99"/>
        <w:sz w:val="24"/>
        <w:szCs w:val="24"/>
      </w:rPr>
    </w:lvl>
    <w:lvl w:ilvl="3">
      <w:start w:val="1"/>
      <w:numFmt w:val="decimal"/>
      <w:lvlText w:val="%4."/>
      <w:lvlJc w:val="left"/>
      <w:pPr>
        <w:ind w:left="822" w:hanging="360"/>
        <w:jc w:val="left"/>
      </w:pPr>
      <w:rPr>
        <w:rFonts w:hint="default" w:ascii="Times New Roman" w:hAnsi="Times New Roman" w:eastAsia="Times New Roman" w:cs="Times New Roman"/>
        <w:spacing w:val="-3"/>
        <w:w w:val="99"/>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8">
    <w:multiLevelType w:val="hybridMultilevel"/>
    <w:lvl w:ilvl="0">
      <w:start w:val="1"/>
      <w:numFmt w:val="bullet"/>
      <w:lvlText w:val=""/>
      <w:lvlJc w:val="left"/>
      <w:pPr>
        <w:ind w:left="1062" w:hanging="360"/>
      </w:pPr>
      <w:rPr>
        <w:rFonts w:hint="default" w:ascii="Symbol" w:hAnsi="Symbol" w:eastAsia="Symbol" w:cs="Symbol"/>
        <w:w w:val="100"/>
        <w:sz w:val="24"/>
        <w:szCs w:val="24"/>
      </w:rPr>
    </w:lvl>
    <w:lvl w:ilvl="1">
      <w:start w:val="1"/>
      <w:numFmt w:val="bullet"/>
      <w:lvlText w:val="•"/>
      <w:lvlJc w:val="left"/>
      <w:pPr>
        <w:ind w:left="1848" w:hanging="360"/>
      </w:pPr>
      <w:rPr>
        <w:rFonts w:hint="default"/>
      </w:rPr>
    </w:lvl>
    <w:lvl w:ilvl="2">
      <w:start w:val="1"/>
      <w:numFmt w:val="bullet"/>
      <w:lvlText w:val="•"/>
      <w:lvlJc w:val="left"/>
      <w:pPr>
        <w:ind w:left="2636" w:hanging="360"/>
      </w:pPr>
      <w:rPr>
        <w:rFonts w:hint="default"/>
      </w:rPr>
    </w:lvl>
    <w:lvl w:ilvl="3">
      <w:start w:val="1"/>
      <w:numFmt w:val="bullet"/>
      <w:lvlText w:val="•"/>
      <w:lvlJc w:val="left"/>
      <w:pPr>
        <w:ind w:left="3424" w:hanging="360"/>
      </w:pPr>
      <w:rPr>
        <w:rFonts w:hint="default"/>
      </w:rPr>
    </w:lvl>
    <w:lvl w:ilvl="4">
      <w:start w:val="1"/>
      <w:numFmt w:val="bullet"/>
      <w:lvlText w:val="•"/>
      <w:lvlJc w:val="left"/>
      <w:pPr>
        <w:ind w:left="4212"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576" w:hanging="360"/>
      </w:pPr>
      <w:rPr>
        <w:rFonts w:hint="default"/>
      </w:rPr>
    </w:lvl>
    <w:lvl w:ilvl="8">
      <w:start w:val="1"/>
      <w:numFmt w:val="bullet"/>
      <w:lvlText w:val="•"/>
      <w:lvlJc w:val="left"/>
      <w:pPr>
        <w:ind w:left="7364" w:hanging="360"/>
      </w:pPr>
      <w:rPr>
        <w:rFonts w:hint="default"/>
      </w:rPr>
    </w:lvl>
  </w:abstractNum>
  <w:abstractNum w:abstractNumId="7">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6">
    <w:multiLevelType w:val="hybridMultilevel"/>
    <w:lvl w:ilvl="0">
      <w:start w:val="1"/>
      <w:numFmt w:val="bullet"/>
      <w:lvlText w:val=""/>
      <w:lvlJc w:val="left"/>
      <w:pPr>
        <w:ind w:left="702" w:hanging="360"/>
      </w:pPr>
      <w:rPr>
        <w:rFonts w:hint="default" w:ascii="Wingdings" w:hAnsi="Wingdings" w:eastAsia="Wingdings" w:cs="Wingdings"/>
        <w:w w:val="99"/>
        <w:position w:val="2"/>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5">
    <w:multiLevelType w:val="hybridMultilevel"/>
    <w:lvl w:ilvl="0">
      <w:start w:val="1"/>
      <w:numFmt w:val="bullet"/>
      <w:lvlText w:val=""/>
      <w:lvlJc w:val="left"/>
      <w:pPr>
        <w:ind w:left="822" w:hanging="360"/>
      </w:pPr>
      <w:rPr>
        <w:rFonts w:hint="default" w:ascii="Symbol" w:hAnsi="Symbol" w:eastAsia="Symbol" w:cs="Symbol"/>
        <w:color w:val="4F81BC"/>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decimal"/>
      <w:lvlText w:val="%1"/>
      <w:lvlJc w:val="left"/>
      <w:pPr>
        <w:ind w:left="582" w:hanging="480"/>
        <w:jc w:val="left"/>
      </w:pPr>
      <w:rPr>
        <w:rFonts w:hint="default"/>
      </w:rPr>
    </w:lvl>
    <w:lvl w:ilvl="1">
      <w:start w:val="2"/>
      <w:numFmt w:val="decimal"/>
      <w:lvlText w:val="%1.%2"/>
      <w:lvlJc w:val="left"/>
      <w:pPr>
        <w:ind w:left="582" w:hanging="48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822" w:hanging="720"/>
        <w:jc w:val="left"/>
      </w:pPr>
      <w:rPr>
        <w:rFonts w:hint="default" w:ascii="Times New Roman" w:hAnsi="Times New Roman" w:eastAsia="Times New Roman" w:cs="Times New Roman"/>
        <w:b/>
        <w:bCs/>
        <w:spacing w:val="-1"/>
        <w:w w:val="99"/>
        <w:sz w:val="24"/>
        <w:szCs w:val="24"/>
      </w:rPr>
    </w:lvl>
    <w:lvl w:ilvl="3">
      <w:start w:val="1"/>
      <w:numFmt w:val="bullet"/>
      <w:lvlText w:val=""/>
      <w:lvlJc w:val="left"/>
      <w:pPr>
        <w:ind w:left="822" w:hanging="360"/>
      </w:pPr>
      <w:rPr>
        <w:rFonts w:hint="default"/>
        <w:w w:val="100"/>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3">
    <w:multiLevelType w:val="hybridMultilevel"/>
    <w:lvl w:ilvl="0">
      <w:start w:val="1"/>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rPr>
    </w:lvl>
    <w:lvl w:ilvl="2">
      <w:start w:val="5"/>
      <w:numFmt w:val="decimal"/>
      <w:lvlText w:val="%1.%2.%3"/>
      <w:lvlJc w:val="left"/>
      <w:pPr>
        <w:ind w:left="822" w:hanging="720"/>
        <w:jc w:val="left"/>
      </w:pPr>
      <w:rPr>
        <w:rFonts w:hint="default"/>
      </w:rPr>
    </w:lvl>
    <w:lvl w:ilvl="3">
      <w:start w:val="1"/>
      <w:numFmt w:val="decimal"/>
      <w:lvlText w:val="%1.%2.%3.%4"/>
      <w:lvlJc w:val="left"/>
      <w:pPr>
        <w:ind w:left="822" w:hanging="720"/>
        <w:jc w:val="left"/>
      </w:pPr>
      <w:rPr>
        <w:rFonts w:hint="default" w:ascii="Times New Roman" w:hAnsi="Times New Roman" w:eastAsia="Times New Roman" w:cs="Times New Roman"/>
        <w:b/>
        <w:bCs/>
        <w:spacing w:val="-4"/>
        <w:w w:val="99"/>
        <w:sz w:val="24"/>
        <w:szCs w:val="24"/>
      </w:rPr>
    </w:lvl>
    <w:lvl w:ilvl="4">
      <w:start w:val="1"/>
      <w:numFmt w:val="bullet"/>
      <w:lvlText w:val=""/>
      <w:lvlJc w:val="left"/>
      <w:pPr>
        <w:ind w:left="822" w:hanging="360"/>
      </w:pPr>
      <w:rPr>
        <w:rFonts w:hint="default" w:ascii="Symbol" w:hAnsi="Symbol" w:eastAsia="Symbol" w:cs="Symbol"/>
        <w:w w:val="100"/>
        <w:sz w:val="24"/>
        <w:szCs w:val="24"/>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
      <w:numFmt w:val="decimal"/>
      <w:lvlText w:val="%1."/>
      <w:lvlJc w:val="left"/>
      <w:pPr>
        <w:ind w:left="382" w:hanging="281"/>
        <w:jc w:val="right"/>
      </w:pPr>
      <w:rPr>
        <w:rFonts w:hint="default"/>
        <w:b/>
        <w:bCs/>
        <w:w w:val="100"/>
      </w:rPr>
    </w:lvl>
    <w:lvl w:ilvl="1">
      <w:start w:val="1"/>
      <w:numFmt w:val="decimal"/>
      <w:lvlText w:val="%1.%2"/>
      <w:lvlJc w:val="left"/>
      <w:pPr>
        <w:ind w:left="1378" w:hanging="360"/>
        <w:jc w:val="left"/>
      </w:pPr>
      <w:rPr>
        <w:rFonts w:hint="default"/>
        <w:b/>
        <w:bCs/>
        <w:w w:val="99"/>
      </w:rPr>
    </w:lvl>
    <w:lvl w:ilvl="2">
      <w:start w:val="2"/>
      <w:numFmt w:val="decimal"/>
      <w:lvlText w:val="%1.%2.%3"/>
      <w:lvlJc w:val="left"/>
      <w:pPr>
        <w:ind w:left="642" w:hanging="360"/>
        <w:jc w:val="left"/>
      </w:pPr>
      <w:rPr>
        <w:rFonts w:hint="default" w:ascii="Times New Roman" w:hAnsi="Times New Roman" w:eastAsia="Times New Roman" w:cs="Times New Roman"/>
        <w:b/>
        <w:bCs/>
        <w:spacing w:val="-3"/>
        <w:w w:val="99"/>
        <w:sz w:val="24"/>
        <w:szCs w:val="24"/>
      </w:rPr>
    </w:lvl>
    <w:lvl w:ilvl="3">
      <w:start w:val="1"/>
      <w:numFmt w:val="lowerLetter"/>
      <w:lvlText w:val="%4."/>
      <w:lvlJc w:val="left"/>
      <w:pPr>
        <w:ind w:left="822" w:hanging="360"/>
        <w:jc w:val="left"/>
      </w:pPr>
      <w:rPr>
        <w:rFonts w:hint="default" w:ascii="Times New Roman" w:hAnsi="Times New Roman" w:eastAsia="Times New Roman" w:cs="Times New Roman"/>
        <w:b/>
        <w:bCs/>
        <w:spacing w:val="-4"/>
        <w:w w:val="99"/>
        <w:sz w:val="24"/>
        <w:szCs w:val="24"/>
      </w:rPr>
    </w:lvl>
    <w:lvl w:ilvl="4">
      <w:start w:val="1"/>
      <w:numFmt w:val="bullet"/>
      <w:lvlText w:val="•"/>
      <w:lvlJc w:val="left"/>
      <w:pPr>
        <w:ind w:left="820" w:hanging="360"/>
      </w:pPr>
      <w:rPr>
        <w:rFonts w:hint="default"/>
      </w:rPr>
    </w:lvl>
    <w:lvl w:ilvl="5">
      <w:start w:val="1"/>
      <w:numFmt w:val="bullet"/>
      <w:lvlText w:val="•"/>
      <w:lvlJc w:val="left"/>
      <w:pPr>
        <w:ind w:left="1380" w:hanging="360"/>
      </w:pPr>
      <w:rPr>
        <w:rFonts w:hint="default"/>
      </w:rPr>
    </w:lvl>
    <w:lvl w:ilvl="6">
      <w:start w:val="1"/>
      <w:numFmt w:val="bullet"/>
      <w:lvlText w:val="•"/>
      <w:lvlJc w:val="left"/>
      <w:pPr>
        <w:ind w:left="2892" w:hanging="360"/>
      </w:pPr>
      <w:rPr>
        <w:rFonts w:hint="default"/>
      </w:rPr>
    </w:lvl>
    <w:lvl w:ilvl="7">
      <w:start w:val="1"/>
      <w:numFmt w:val="bullet"/>
      <w:lvlText w:val="•"/>
      <w:lvlJc w:val="left"/>
      <w:pPr>
        <w:ind w:left="4404" w:hanging="360"/>
      </w:pPr>
      <w:rPr>
        <w:rFonts w:hint="default"/>
      </w:rPr>
    </w:lvl>
    <w:lvl w:ilvl="8">
      <w:start w:val="1"/>
      <w:numFmt w:val="bullet"/>
      <w:lvlText w:val="•"/>
      <w:lvlJc w:val="left"/>
      <w:pPr>
        <w:ind w:left="5916" w:hanging="360"/>
      </w:pPr>
      <w:rPr>
        <w:rFonts w:hint="default"/>
      </w:rPr>
    </w:lvl>
  </w:abstractNum>
  <w:abstractNum w:abstractNumId="0">
    <w:multiLevelType w:val="hybridMultilevel"/>
    <w:lvl w:ilvl="0">
      <w:start w:val="8"/>
      <w:numFmt w:val="decimal"/>
      <w:lvlText w:val="%1."/>
      <w:lvlJc w:val="left"/>
      <w:pPr>
        <w:ind w:left="736" w:hanging="627"/>
        <w:jc w:val="left"/>
      </w:pPr>
      <w:rPr>
        <w:rFonts w:hint="default" w:ascii="Times New Roman" w:hAnsi="Times New Roman" w:eastAsia="Times New Roman" w:cs="Times New Roman"/>
        <w:w w:val="99"/>
        <w:sz w:val="25"/>
        <w:szCs w:val="25"/>
      </w:rPr>
    </w:lvl>
    <w:lvl w:ilvl="1">
      <w:start w:val="8"/>
      <w:numFmt w:val="decimal"/>
      <w:lvlText w:val="%2."/>
      <w:lvlJc w:val="left"/>
      <w:pPr>
        <w:ind w:left="736" w:hanging="240"/>
        <w:jc w:val="right"/>
      </w:pPr>
      <w:rPr>
        <w:rFonts w:hint="default"/>
        <w:spacing w:val="-1"/>
        <w:w w:val="99"/>
        <w:position w:val="1"/>
      </w:rPr>
    </w:lvl>
    <w:lvl w:ilvl="2">
      <w:start w:val="2"/>
      <w:numFmt w:val="decimal"/>
      <w:lvlText w:val="%2.%3"/>
      <w:lvlJc w:val="left"/>
      <w:pPr>
        <w:ind w:left="2378" w:hanging="1643"/>
        <w:jc w:val="left"/>
      </w:pPr>
      <w:rPr>
        <w:rFonts w:hint="default"/>
        <w:w w:val="99"/>
      </w:rPr>
    </w:lvl>
    <w:lvl w:ilvl="3">
      <w:start w:val="1"/>
      <w:numFmt w:val="bullet"/>
      <w:lvlText w:val="•"/>
      <w:lvlJc w:val="left"/>
      <w:pPr>
        <w:ind w:left="3842" w:hanging="1643"/>
      </w:pPr>
      <w:rPr>
        <w:rFonts w:hint="default"/>
      </w:rPr>
    </w:lvl>
    <w:lvl w:ilvl="4">
      <w:start w:val="1"/>
      <w:numFmt w:val="bullet"/>
      <w:lvlText w:val="•"/>
      <w:lvlJc w:val="left"/>
      <w:pPr>
        <w:ind w:left="4573" w:hanging="1643"/>
      </w:pPr>
      <w:rPr>
        <w:rFonts w:hint="default"/>
      </w:rPr>
    </w:lvl>
    <w:lvl w:ilvl="5">
      <w:start w:val="1"/>
      <w:numFmt w:val="bullet"/>
      <w:lvlText w:val="•"/>
      <w:lvlJc w:val="left"/>
      <w:pPr>
        <w:ind w:left="5304" w:hanging="1643"/>
      </w:pPr>
      <w:rPr>
        <w:rFonts w:hint="default"/>
      </w:rPr>
    </w:lvl>
    <w:lvl w:ilvl="6">
      <w:start w:val="1"/>
      <w:numFmt w:val="bullet"/>
      <w:lvlText w:val="•"/>
      <w:lvlJc w:val="left"/>
      <w:pPr>
        <w:ind w:left="6035" w:hanging="1643"/>
      </w:pPr>
      <w:rPr>
        <w:rFonts w:hint="default"/>
      </w:rPr>
    </w:lvl>
    <w:lvl w:ilvl="7">
      <w:start w:val="1"/>
      <w:numFmt w:val="bullet"/>
      <w:lvlText w:val="•"/>
      <w:lvlJc w:val="left"/>
      <w:pPr>
        <w:ind w:left="6766" w:hanging="1643"/>
      </w:pPr>
      <w:rPr>
        <w:rFonts w:hint="default"/>
      </w:rPr>
    </w:lvl>
    <w:lvl w:ilvl="8">
      <w:start w:val="1"/>
      <w:numFmt w:val="bullet"/>
      <w:lvlText w:val="•"/>
      <w:lvlJc w:val="left"/>
      <w:pPr>
        <w:ind w:left="7497" w:hanging="1643"/>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7"/>
      <w:ind w:left="736" w:hanging="626"/>
    </w:pPr>
    <w:rPr>
      <w:rFonts w:ascii="Times New Roman" w:hAnsi="Times New Roman" w:eastAsia="Times New Roman" w:cs="Times New Roman"/>
      <w:sz w:val="25"/>
      <w:szCs w:val="25"/>
    </w:rPr>
  </w:style>
  <w:style w:styleId="TOC2" w:type="paragraph">
    <w:name w:val="TOC 2"/>
    <w:basedOn w:val="Normal"/>
    <w:uiPriority w:val="1"/>
    <w:qFormat/>
    <w:pPr>
      <w:spacing w:before="13"/>
      <w:ind w:left="736" w:hanging="626"/>
    </w:pPr>
    <w:rPr>
      <w:rFonts w:ascii="Times New Roman" w:hAnsi="Times New Roman" w:eastAsia="Times New Roman" w:cs="Times New Roman"/>
      <w:sz w:val="24"/>
      <w:szCs w:val="24"/>
    </w:rPr>
  </w:style>
  <w:style w:styleId="TOC3" w:type="paragraph">
    <w:name w:val="TOC 3"/>
    <w:basedOn w:val="Normal"/>
    <w:uiPriority w:val="1"/>
    <w:qFormat/>
    <w:pPr>
      <w:spacing w:before="4"/>
      <w:ind w:left="2378" w:hanging="1642"/>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213"/>
      <w:ind w:left="822" w:hanging="360"/>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217"/>
      <w:ind w:left="462" w:hanging="360"/>
      <w:outlineLvl w:val="2"/>
    </w:pPr>
    <w:rPr>
      <w:rFonts w:ascii="Times New Roman" w:hAnsi="Times New Roman" w:eastAsia="Times New Roman" w:cs="Times New Roman"/>
      <w:b/>
      <w:bCs/>
      <w:sz w:val="26"/>
      <w:szCs w:val="26"/>
    </w:rPr>
  </w:style>
  <w:style w:styleId="Heading3" w:type="paragraph">
    <w:name w:val="Heading 3"/>
    <w:basedOn w:val="Normal"/>
    <w:uiPriority w:val="1"/>
    <w:qFormat/>
    <w:pPr>
      <w:ind w:left="102"/>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yperlink" Target="mailto:dian_119@hotmail.com" TargetMode="External"/><Relationship Id="rId11" Type="http://schemas.openxmlformats.org/officeDocument/2006/relationships/hyperlink" Target="mailto:pcereceroa@uaemex.mx" TargetMode="External"/><Relationship Id="rId12" Type="http://schemas.openxmlformats.org/officeDocument/2006/relationships/hyperlink" Target="mailto:mv.flores.merino@gmail.com" TargetMode="External"/><Relationship Id="rId13" Type="http://schemas.openxmlformats.org/officeDocument/2006/relationships/hyperlink" Target="mailto:gfvazquezd@uaemex.mx" TargetMode="External"/><Relationship Id="rId14" Type="http://schemas.openxmlformats.org/officeDocument/2006/relationships/hyperlink" Target="mailto:bhp3@uw.edu" TargetMode="External"/><Relationship Id="rId15" Type="http://schemas.openxmlformats.org/officeDocument/2006/relationships/hyperlink" Target="mailto:jonnathangsb@yahoo.com.mx" TargetMode="External"/><Relationship Id="rId16" Type="http://schemas.openxmlformats.org/officeDocument/2006/relationships/hyperlink" Target="mailto:em.ohea.0.4f3d28.a59e4360@editorialmanager.com" TargetMode="External"/><Relationship Id="rId17" Type="http://schemas.openxmlformats.org/officeDocument/2006/relationships/hyperlink" Target="mailto:em@editorialmanager.com" TargetMode="External"/><Relationship Id="rId18" Type="http://schemas.openxmlformats.org/officeDocument/2006/relationships/hyperlink" Target="http://ohea.edmgr.com/" TargetMode="External"/><Relationship Id="rId19" Type="http://schemas.openxmlformats.org/officeDocument/2006/relationships/hyperlink" Target="http://www.biomedcentral.com/bmcoralhealth/" TargetMode="External"/><Relationship Id="rId20" Type="http://schemas.openxmlformats.org/officeDocument/2006/relationships/image" Target="media/image2.png"/><Relationship Id="rId21" Type="http://schemas.openxmlformats.org/officeDocument/2006/relationships/header" Target="header5.xml"/><Relationship Id="rId22" Type="http://schemas.openxmlformats.org/officeDocument/2006/relationships/header" Target="header6.xml"/><Relationship Id="rId23" Type="http://schemas.openxmlformats.org/officeDocument/2006/relationships/hyperlink" Target="http://www.epidemiologia.salud.gob.mx/dgae/infoepid/publicaciones2011.html" TargetMode="External"/><Relationship Id="rId24" Type="http://schemas.openxmlformats.org/officeDocument/2006/relationships/hyperlink" Target="http://www.redalyc.org/articulo.oa?id=48722325004" TargetMode="External"/><Relationship Id="rId25" Type="http://schemas.openxmlformats.org/officeDocument/2006/relationships/image" Target="media/image3.jpeg"/><Relationship Id="rId26" Type="http://schemas.openxmlformats.org/officeDocument/2006/relationships/image" Target="media/image4.png"/><Relationship Id="rId27" Type="http://schemas.openxmlformats.org/officeDocument/2006/relationships/image" Target="media/image5.jpeg"/><Relationship Id="rId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2017-05-26T17:27:36Z</dcterms:created>
  <dcterms:modified xsi:type="dcterms:W3CDTF">2017-05-26T17:27:36Z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