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76" w:lineRule="auto" w:before="47"/>
        <w:ind w:left="727" w:right="718" w:firstLine="0"/>
        <w:jc w:val="center"/>
        <w:rPr>
          <w:b/>
          <w:sz w:val="24"/>
        </w:rPr>
      </w:pPr>
      <w:r>
        <w:rPr>
          <w:b/>
          <w:sz w:val="24"/>
        </w:rPr>
        <w:t>UNIVERSIDAD AUTONÓMA DEL ESTADO DE MÉXICO FACULTAD DE MEDICINA</w:t>
      </w:r>
    </w:p>
    <w:p>
      <w:pPr>
        <w:spacing w:line="280" w:lineRule="auto" w:before="1"/>
        <w:ind w:left="728" w:right="718" w:firstLine="0"/>
        <w:jc w:val="center"/>
        <w:rPr>
          <w:b/>
          <w:sz w:val="24"/>
        </w:rPr>
      </w:pPr>
      <w:r>
        <w:rPr>
          <w:b/>
          <w:sz w:val="24"/>
        </w:rPr>
        <w:t>COORDINACIÓN DE INVESTIGACIÓN Y ESTUDIOS AVANZADOS DEPARTAMENTO DE ESTUDIOS AVANZADOS</w:t>
      </w:r>
    </w:p>
    <w:p>
      <w:pPr>
        <w:spacing w:line="276" w:lineRule="auto" w:before="0"/>
        <w:ind w:left="1340" w:right="1318" w:firstLine="0"/>
        <w:jc w:val="center"/>
        <w:rPr>
          <w:b/>
          <w:sz w:val="24"/>
        </w:rPr>
      </w:pPr>
      <w:r>
        <w:rPr>
          <w:b/>
          <w:sz w:val="24"/>
        </w:rPr>
        <w:t>COORDINACIÓN DE LA ESPECIALIDAD EN MEDICINA DE LA ACTIVIDAD FÍSICA Y EL DEPORTE DEPARTAMENTO DE EVALUACIÓN PROFESIONAL</w:t>
      </w:r>
    </w:p>
    <w:p>
      <w:pPr>
        <w:pStyle w:val="BodyText"/>
        <w:spacing w:before="11"/>
        <w:rPr>
          <w:b/>
        </w:rPr>
      </w:pPr>
      <w:r>
        <w:rPr/>
        <w:drawing>
          <wp:anchor distT="0" distB="0" distL="0" distR="0" allowOverlap="1" layoutInCell="1" locked="0" behindDoc="0" simplePos="0" relativeHeight="0">
            <wp:simplePos x="0" y="0"/>
            <wp:positionH relativeFrom="page">
              <wp:posOffset>3152774</wp:posOffset>
            </wp:positionH>
            <wp:positionV relativeFrom="paragraph">
              <wp:posOffset>207298</wp:posOffset>
            </wp:positionV>
            <wp:extent cx="1468121" cy="1246822"/>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68121" cy="1246822"/>
                    </a:xfrm>
                    <a:prstGeom prst="rect">
                      <a:avLst/>
                    </a:prstGeom>
                  </pic:spPr>
                </pic:pic>
              </a:graphicData>
            </a:graphic>
          </wp:anchor>
        </w:drawing>
      </w:r>
    </w:p>
    <w:p>
      <w:pPr>
        <w:pStyle w:val="BodyText"/>
        <w:rPr>
          <w:b/>
        </w:rPr>
      </w:pPr>
    </w:p>
    <w:p>
      <w:pPr>
        <w:pStyle w:val="BodyText"/>
        <w:rPr>
          <w:b/>
        </w:rPr>
      </w:pPr>
    </w:p>
    <w:p>
      <w:pPr>
        <w:spacing w:line="276" w:lineRule="auto" w:before="169"/>
        <w:ind w:left="115" w:right="101" w:firstLine="5"/>
        <w:jc w:val="center"/>
        <w:rPr>
          <w:b/>
          <w:sz w:val="24"/>
        </w:rPr>
      </w:pPr>
      <w:r>
        <w:rPr>
          <w:b/>
          <w:sz w:val="24"/>
        </w:rPr>
        <w:t>“ÍNDICE DE EFICIENCIA MIOCÁRDICA EN JUGADORES DE FÚTBOL ASOCIACIÓN EN PRETEMPORADA 2015 A 2600 METROS SOBRE EL NIVEL DEL MAR. TOLUCA, ESTADO DE MÉXICO”</w:t>
      </w:r>
    </w:p>
    <w:p>
      <w:pPr>
        <w:pStyle w:val="BodyText"/>
        <w:spacing w:before="6"/>
        <w:rPr>
          <w:b/>
          <w:sz w:val="27"/>
        </w:rPr>
      </w:pPr>
    </w:p>
    <w:p>
      <w:pPr>
        <w:spacing w:line="276" w:lineRule="auto" w:before="1"/>
        <w:ind w:left="687" w:right="661" w:firstLine="0"/>
        <w:jc w:val="center"/>
        <w:rPr>
          <w:b/>
          <w:sz w:val="24"/>
        </w:rPr>
      </w:pPr>
      <w:r>
        <w:rPr>
          <w:b/>
          <w:sz w:val="24"/>
        </w:rPr>
        <w:t>CENTRO DE MEDICINA DE LA ACTIVIDAD FÍSICA Y EL DEPORTE TESIS</w:t>
      </w:r>
    </w:p>
    <w:p>
      <w:pPr>
        <w:spacing w:line="271" w:lineRule="auto" w:before="202"/>
        <w:ind w:left="137" w:right="126" w:firstLine="0"/>
        <w:jc w:val="center"/>
        <w:rPr>
          <w:b/>
          <w:sz w:val="24"/>
        </w:rPr>
      </w:pPr>
      <w:r>
        <w:rPr>
          <w:b/>
          <w:sz w:val="24"/>
        </w:rPr>
        <w:t>QUE PARA OBTENER EL DIPLOMA DE POSGRADO DE LA ESPECIALIDAD EN MEDICINA DE LA ACTIVIDAD FÍSICA Y EL DEPORTE</w:t>
      </w:r>
    </w:p>
    <w:p>
      <w:pPr>
        <w:spacing w:before="213"/>
        <w:ind w:left="728" w:right="711" w:firstLine="0"/>
        <w:jc w:val="center"/>
        <w:rPr>
          <w:b/>
          <w:sz w:val="24"/>
        </w:rPr>
      </w:pPr>
      <w:r>
        <w:rPr>
          <w:b/>
          <w:sz w:val="24"/>
        </w:rPr>
        <w:t>PRESENTA:</w:t>
      </w:r>
    </w:p>
    <w:p>
      <w:pPr>
        <w:spacing w:before="41"/>
        <w:ind w:left="2627" w:right="464" w:firstLine="0"/>
        <w:jc w:val="left"/>
        <w:rPr>
          <w:b/>
          <w:sz w:val="24"/>
        </w:rPr>
      </w:pPr>
      <w:r>
        <w:rPr>
          <w:b/>
          <w:sz w:val="24"/>
        </w:rPr>
        <w:t>M.C. IVÁN RODRÍGUEZ PATIÑO</w:t>
      </w:r>
    </w:p>
    <w:p>
      <w:pPr>
        <w:pStyle w:val="BodyText"/>
        <w:spacing w:before="5"/>
        <w:rPr>
          <w:b/>
          <w:sz w:val="31"/>
        </w:rPr>
      </w:pPr>
    </w:p>
    <w:p>
      <w:pPr>
        <w:spacing w:before="1"/>
        <w:ind w:left="728" w:right="712" w:firstLine="0"/>
        <w:jc w:val="center"/>
        <w:rPr>
          <w:b/>
          <w:sz w:val="24"/>
        </w:rPr>
      </w:pPr>
      <w:r>
        <w:rPr>
          <w:b/>
          <w:sz w:val="24"/>
        </w:rPr>
        <w:t>DIRECTOR DE TESIS:</w:t>
      </w:r>
    </w:p>
    <w:p>
      <w:pPr>
        <w:spacing w:before="41"/>
        <w:ind w:left="2218" w:right="464" w:firstLine="0"/>
        <w:jc w:val="left"/>
        <w:rPr>
          <w:b/>
          <w:sz w:val="24"/>
        </w:rPr>
      </w:pPr>
      <w:r>
        <w:rPr>
          <w:b/>
          <w:sz w:val="24"/>
        </w:rPr>
        <w:t>M.S.P SALVADOR LÓPEZ RODRIGUEZ</w:t>
      </w:r>
    </w:p>
    <w:p>
      <w:pPr>
        <w:spacing w:before="41"/>
        <w:ind w:left="1547" w:right="464" w:firstLine="0"/>
        <w:jc w:val="left"/>
        <w:rPr>
          <w:b/>
          <w:sz w:val="24"/>
        </w:rPr>
      </w:pPr>
      <w:r>
        <w:rPr>
          <w:b/>
          <w:sz w:val="24"/>
        </w:rPr>
        <w:t>E.M.A.F. y D. JOSÉ ANTONIO AGUILAR BECERRIL</w:t>
      </w:r>
    </w:p>
    <w:p>
      <w:pPr>
        <w:pStyle w:val="BodyText"/>
        <w:rPr>
          <w:b/>
        </w:rPr>
      </w:pPr>
    </w:p>
    <w:p>
      <w:pPr>
        <w:pStyle w:val="BodyText"/>
        <w:spacing w:before="2"/>
        <w:rPr>
          <w:b/>
        </w:rPr>
      </w:pPr>
    </w:p>
    <w:p>
      <w:pPr>
        <w:spacing w:before="0"/>
        <w:ind w:left="725" w:right="718" w:firstLine="0"/>
        <w:jc w:val="center"/>
        <w:rPr>
          <w:b/>
          <w:sz w:val="24"/>
        </w:rPr>
      </w:pPr>
      <w:r>
        <w:rPr>
          <w:b/>
          <w:sz w:val="24"/>
        </w:rPr>
        <w:t>REVISORES DE TESIS:</w:t>
      </w:r>
    </w:p>
    <w:p>
      <w:pPr>
        <w:pStyle w:val="BodyText"/>
        <w:spacing w:before="5"/>
        <w:rPr>
          <w:b/>
          <w:sz w:val="21"/>
        </w:rPr>
      </w:pPr>
    </w:p>
    <w:p>
      <w:pPr>
        <w:spacing w:before="0"/>
        <w:ind w:left="2046" w:right="464" w:firstLine="0"/>
        <w:jc w:val="left"/>
        <w:rPr>
          <w:b/>
          <w:sz w:val="24"/>
        </w:rPr>
      </w:pPr>
      <w:r>
        <w:rPr>
          <w:b/>
          <w:sz w:val="24"/>
        </w:rPr>
        <w:t>E.M.D. MARIA LIZZETH MÁRQUEZ LÓPEZ</w:t>
      </w:r>
    </w:p>
    <w:p>
      <w:pPr>
        <w:spacing w:before="41"/>
        <w:ind w:left="2338" w:right="464" w:firstLine="0"/>
        <w:jc w:val="left"/>
        <w:rPr>
          <w:b/>
          <w:sz w:val="24"/>
        </w:rPr>
      </w:pPr>
      <w:r>
        <w:rPr>
          <w:b/>
          <w:sz w:val="24"/>
        </w:rPr>
        <w:t>E.M.D. SALOMÓN SÁNCHEZ GÓMEZ</w:t>
      </w:r>
    </w:p>
    <w:p>
      <w:pPr>
        <w:spacing w:line="547" w:lineRule="auto" w:before="41"/>
        <w:ind w:left="2324" w:right="464" w:hanging="788"/>
        <w:jc w:val="left"/>
        <w:rPr>
          <w:b/>
          <w:sz w:val="24"/>
        </w:rPr>
      </w:pPr>
      <w:r>
        <w:rPr>
          <w:b/>
          <w:sz w:val="24"/>
        </w:rPr>
        <w:t>M. en C.M.D. HÉCTOR MANUEL TLATOA RAMÍREZ TOLUCA; ESTADO DE MÉXICO, 2017</w:t>
      </w:r>
    </w:p>
    <w:p>
      <w:pPr>
        <w:spacing w:after="0" w:line="547" w:lineRule="auto"/>
        <w:jc w:val="left"/>
        <w:rPr>
          <w:sz w:val="24"/>
        </w:rPr>
        <w:sectPr>
          <w:type w:val="continuous"/>
          <w:pgSz w:w="12240" w:h="15840"/>
          <w:pgMar w:top="1360" w:bottom="280" w:left="1680" w:right="17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spacing w:line="360" w:lineRule="auto" w:before="69"/>
        <w:ind w:left="115" w:right="108" w:firstLine="12"/>
        <w:jc w:val="center"/>
        <w:rPr>
          <w:b/>
          <w:sz w:val="24"/>
        </w:rPr>
      </w:pPr>
      <w:r>
        <w:rPr>
          <w:b/>
          <w:sz w:val="24"/>
        </w:rPr>
        <w:t>“ÍNDICE DE EFICIENCIA MIOCÁRDICA EN JUGADORES DE FÚTBOL ASOCIACIÓN EN PRETEMPORADA 2015 A 2600 METROS SOBRE EL</w:t>
      </w:r>
      <w:r>
        <w:rPr>
          <w:b/>
          <w:spacing w:val="-27"/>
          <w:sz w:val="24"/>
        </w:rPr>
        <w:t> </w:t>
      </w:r>
      <w:r>
        <w:rPr>
          <w:b/>
          <w:sz w:val="24"/>
        </w:rPr>
        <w:t>NIVEL DEL MAR. TOLUCA, ESTADO DE</w:t>
      </w:r>
      <w:r>
        <w:rPr>
          <w:b/>
          <w:spacing w:val="-20"/>
          <w:sz w:val="24"/>
        </w:rPr>
        <w:t> </w:t>
      </w:r>
      <w:r>
        <w:rPr>
          <w:b/>
          <w:sz w:val="24"/>
        </w:rPr>
        <w:t>MÉXICO”</w:t>
      </w:r>
    </w:p>
    <w:p>
      <w:pPr>
        <w:spacing w:after="0" w:line="360" w:lineRule="auto"/>
        <w:jc w:val="center"/>
        <w:rPr>
          <w:sz w:val="24"/>
        </w:rPr>
        <w:sectPr>
          <w:pgSz w:w="12240" w:h="15840"/>
          <w:pgMar w:top="1500" w:bottom="280" w:left="1680" w:right="1700"/>
        </w:sectPr>
      </w:pPr>
    </w:p>
    <w:p>
      <w:pPr>
        <w:spacing w:before="42"/>
        <w:ind w:left="4111" w:right="4094" w:firstLine="0"/>
        <w:jc w:val="center"/>
        <w:rPr>
          <w:b/>
          <w:sz w:val="24"/>
        </w:rPr>
      </w:pPr>
      <w:r>
        <w:rPr>
          <w:b/>
          <w:sz w:val="24"/>
        </w:rPr>
        <w:t>ÍNDICE</w:t>
      </w:r>
    </w:p>
    <w:p>
      <w:pPr>
        <w:spacing w:after="0"/>
        <w:jc w:val="center"/>
        <w:rPr>
          <w:sz w:val="24"/>
        </w:rPr>
        <w:sectPr>
          <w:footerReference w:type="default" r:id="rId6"/>
          <w:pgSz w:w="12240" w:h="15840"/>
          <w:pgMar w:footer="1026" w:header="0" w:top="1360" w:bottom="1825" w:left="1580" w:right="1600"/>
          <w:pgNumType w:start="3"/>
        </w:sectPr>
      </w:pPr>
    </w:p>
    <w:sdt>
      <w:sdtPr>
        <w:docPartObj>
          <w:docPartGallery w:val="Table of Contents"/>
          <w:docPartUnique/>
        </w:docPartObj>
      </w:sdtPr>
      <w:sdtEndPr/>
      <w:sdtContent>
        <w:p>
          <w:pPr>
            <w:pStyle w:val="TOC1"/>
            <w:tabs>
              <w:tab w:pos="8786" w:val="left" w:leader="dot"/>
            </w:tabs>
            <w:spacing w:before="627"/>
          </w:pPr>
          <w:hyperlink w:history="true" w:anchor="_TOC_250005">
            <w:r>
              <w:rPr/>
              <w:t>Resumen</w:t>
            </w:r>
            <w:r>
              <w:rPr>
                <w:rFonts w:ascii="Times New Roman"/>
              </w:rPr>
              <w:tab/>
            </w:r>
            <w:r>
              <w:rPr/>
              <w:t>5</w:t>
            </w:r>
          </w:hyperlink>
        </w:p>
        <w:p>
          <w:pPr>
            <w:pStyle w:val="TOC1"/>
            <w:tabs>
              <w:tab w:pos="8811" w:val="left" w:leader="dot"/>
            </w:tabs>
            <w:spacing w:before="137"/>
          </w:pPr>
          <w:hyperlink w:history="true" w:anchor="_TOC_250004">
            <w:r>
              <w:rPr/>
              <w:t>Abstract…</w:t>
            </w:r>
            <w:r>
              <w:rPr>
                <w:rFonts w:ascii="Times New Roman" w:hAnsi="Times New Roman"/>
              </w:rPr>
              <w:tab/>
            </w:r>
            <w:r>
              <w:rPr/>
              <w:t>6</w:t>
            </w:r>
          </w:hyperlink>
        </w:p>
        <w:p>
          <w:pPr>
            <w:pStyle w:val="TOC1"/>
            <w:tabs>
              <w:tab w:pos="8815" w:val="left" w:leader="dot"/>
            </w:tabs>
            <w:spacing w:before="343"/>
          </w:pPr>
          <w:hyperlink w:history="true" w:anchor="_bookmark0">
            <w:r>
              <w:rPr/>
              <w:t>Introducción</w:t>
              <w:tab/>
              <w:t>7</w:t>
            </w:r>
          </w:hyperlink>
        </w:p>
        <w:p>
          <w:pPr>
            <w:pStyle w:val="TOC1"/>
            <w:numPr>
              <w:ilvl w:val="0"/>
              <w:numId w:val="1"/>
            </w:numPr>
            <w:tabs>
              <w:tab w:pos="322" w:val="left" w:leader="none"/>
              <w:tab w:pos="8815" w:val="left" w:leader="dot"/>
            </w:tabs>
            <w:spacing w:line="240" w:lineRule="auto" w:before="238" w:after="0"/>
            <w:ind w:left="321" w:right="0" w:hanging="202"/>
            <w:jc w:val="left"/>
          </w:pPr>
          <w:hyperlink w:history="true" w:anchor="_bookmark1">
            <w:r>
              <w:rPr/>
              <w:t>Marco</w:t>
            </w:r>
            <w:r>
              <w:rPr>
                <w:spacing w:val="-1"/>
              </w:rPr>
              <w:t> </w:t>
            </w:r>
            <w:r>
              <w:rPr/>
              <w:t>teórico</w:t>
              <w:tab/>
              <w:t>8</w:t>
            </w:r>
          </w:hyperlink>
        </w:p>
        <w:p>
          <w:pPr>
            <w:pStyle w:val="TOC1"/>
            <w:numPr>
              <w:ilvl w:val="0"/>
              <w:numId w:val="2"/>
            </w:numPr>
            <w:tabs>
              <w:tab w:pos="428" w:val="left" w:leader="none"/>
              <w:tab w:pos="8681" w:val="left" w:leader="dot"/>
            </w:tabs>
            <w:spacing w:line="240" w:lineRule="auto" w:before="237" w:after="0"/>
            <w:ind w:left="427" w:right="0" w:hanging="308"/>
            <w:jc w:val="left"/>
          </w:pPr>
          <w:hyperlink w:history="true" w:anchor="_bookmark2">
            <w:r>
              <w:rPr/>
              <w:t>Estructura</w:t>
            </w:r>
            <w:r>
              <w:rPr>
                <w:spacing w:val="-6"/>
              </w:rPr>
              <w:t> </w:t>
            </w:r>
            <w:r>
              <w:rPr/>
              <w:t>del</w:t>
            </w:r>
            <w:r>
              <w:rPr>
                <w:spacing w:val="2"/>
              </w:rPr>
              <w:t> </w:t>
            </w:r>
            <w:r>
              <w:rPr/>
              <w:t>corazón</w:t>
              <w:tab/>
              <w:t>10</w:t>
            </w:r>
          </w:hyperlink>
        </w:p>
        <w:p>
          <w:pPr>
            <w:pStyle w:val="TOC1"/>
            <w:numPr>
              <w:ilvl w:val="0"/>
              <w:numId w:val="2"/>
            </w:numPr>
            <w:tabs>
              <w:tab w:pos="428" w:val="left" w:leader="none"/>
              <w:tab w:pos="8681" w:val="left" w:leader="dot"/>
            </w:tabs>
            <w:spacing w:line="240" w:lineRule="auto" w:before="237" w:after="0"/>
            <w:ind w:left="427" w:right="0" w:hanging="308"/>
            <w:jc w:val="left"/>
          </w:pPr>
          <w:hyperlink w:history="true" w:anchor="_bookmark3">
            <w:r>
              <w:rPr/>
              <w:t>Fisiología cardiaca</w:t>
              <w:tab/>
              <w:t>11</w:t>
            </w:r>
          </w:hyperlink>
        </w:p>
        <w:p>
          <w:pPr>
            <w:pStyle w:val="TOC1"/>
            <w:numPr>
              <w:ilvl w:val="0"/>
              <w:numId w:val="2"/>
            </w:numPr>
            <w:tabs>
              <w:tab w:pos="442" w:val="left" w:leader="none"/>
              <w:tab w:pos="8681" w:val="left" w:leader="dot"/>
            </w:tabs>
            <w:spacing w:line="240" w:lineRule="auto" w:before="238" w:after="0"/>
            <w:ind w:left="441" w:right="0" w:hanging="322"/>
            <w:jc w:val="left"/>
          </w:pPr>
          <w:hyperlink w:history="true" w:anchor="_bookmark4">
            <w:r>
              <w:rPr/>
              <w:t>Necesidades fisiológicas</w:t>
            </w:r>
            <w:r>
              <w:rPr>
                <w:spacing w:val="-10"/>
              </w:rPr>
              <w:t> </w:t>
            </w:r>
            <w:r>
              <w:rPr/>
              <w:t>del</w:t>
            </w:r>
            <w:r>
              <w:rPr>
                <w:spacing w:val="1"/>
              </w:rPr>
              <w:t> </w:t>
            </w:r>
            <w:r>
              <w:rPr/>
              <w:t>corazón</w:t>
              <w:tab/>
              <w:t>13</w:t>
            </w:r>
          </w:hyperlink>
        </w:p>
        <w:p>
          <w:pPr>
            <w:pStyle w:val="TOC1"/>
            <w:numPr>
              <w:ilvl w:val="0"/>
              <w:numId w:val="2"/>
            </w:numPr>
            <w:tabs>
              <w:tab w:pos="442" w:val="left" w:leader="none"/>
              <w:tab w:pos="8681" w:val="left" w:leader="dot"/>
            </w:tabs>
            <w:spacing w:line="240" w:lineRule="auto" w:before="237" w:after="0"/>
            <w:ind w:left="441" w:right="0" w:hanging="322"/>
            <w:jc w:val="left"/>
          </w:pPr>
          <w:hyperlink w:history="true" w:anchor="_bookmark5">
            <w:r>
              <w:rPr/>
              <w:t>Presión</w:t>
            </w:r>
            <w:r>
              <w:rPr>
                <w:spacing w:val="-2"/>
              </w:rPr>
              <w:t> </w:t>
            </w:r>
            <w:r>
              <w:rPr/>
              <w:t>arterial</w:t>
            </w:r>
            <w:r>
              <w:rPr>
                <w:spacing w:val="1"/>
              </w:rPr>
              <w:t> </w:t>
            </w:r>
            <w:r>
              <w:rPr/>
              <w:t>sistémica</w:t>
              <w:tab/>
              <w:t>13</w:t>
            </w:r>
          </w:hyperlink>
        </w:p>
        <w:p>
          <w:pPr>
            <w:pStyle w:val="TOC1"/>
            <w:numPr>
              <w:ilvl w:val="0"/>
              <w:numId w:val="2"/>
            </w:numPr>
            <w:tabs>
              <w:tab w:pos="428" w:val="left" w:leader="none"/>
              <w:tab w:pos="8681" w:val="left" w:leader="dot"/>
            </w:tabs>
            <w:spacing w:line="240" w:lineRule="auto" w:before="237" w:after="0"/>
            <w:ind w:left="427" w:right="0" w:hanging="308"/>
            <w:jc w:val="left"/>
          </w:pPr>
          <w:hyperlink w:history="true" w:anchor="_bookmark6">
            <w:r>
              <w:rPr/>
              <w:t>Frecuencia</w:t>
            </w:r>
            <w:r>
              <w:rPr>
                <w:spacing w:val="-2"/>
              </w:rPr>
              <w:t> </w:t>
            </w:r>
            <w:r>
              <w:rPr/>
              <w:t>cardiaca</w:t>
              <w:tab/>
              <w:t>16</w:t>
            </w:r>
          </w:hyperlink>
        </w:p>
        <w:p>
          <w:pPr>
            <w:pStyle w:val="TOC1"/>
            <w:numPr>
              <w:ilvl w:val="0"/>
              <w:numId w:val="2"/>
            </w:numPr>
            <w:tabs>
              <w:tab w:pos="418" w:val="left" w:leader="none"/>
              <w:tab w:pos="8681" w:val="left" w:leader="dot"/>
            </w:tabs>
            <w:spacing w:line="240" w:lineRule="auto" w:before="238" w:after="0"/>
            <w:ind w:left="417" w:right="0" w:hanging="298"/>
            <w:jc w:val="left"/>
          </w:pPr>
          <w:hyperlink w:history="true" w:anchor="_bookmark7">
            <w:r>
              <w:rPr/>
              <w:t>Doble</w:t>
            </w:r>
            <w:r>
              <w:rPr>
                <w:spacing w:val="-6"/>
              </w:rPr>
              <w:t> </w:t>
            </w:r>
            <w:r>
              <w:rPr/>
              <w:t>producto</w:t>
              <w:tab/>
              <w:t>17</w:t>
            </w:r>
          </w:hyperlink>
        </w:p>
        <w:p>
          <w:pPr>
            <w:pStyle w:val="TOC1"/>
            <w:numPr>
              <w:ilvl w:val="0"/>
              <w:numId w:val="2"/>
            </w:numPr>
            <w:tabs>
              <w:tab w:pos="457" w:val="left" w:leader="none"/>
              <w:tab w:pos="8681" w:val="left" w:leader="dot"/>
            </w:tabs>
            <w:spacing w:line="240" w:lineRule="auto" w:before="237" w:after="0"/>
            <w:ind w:left="456" w:right="0" w:hanging="337"/>
            <w:jc w:val="left"/>
          </w:pPr>
          <w:hyperlink w:history="true" w:anchor="_bookmark8">
            <w:r>
              <w:rPr/>
              <w:t>Consumo </w:t>
            </w:r>
            <w:r>
              <w:rPr>
                <w:spacing w:val="-2"/>
              </w:rPr>
              <w:t>máximo</w:t>
            </w:r>
            <w:r>
              <w:rPr>
                <w:spacing w:val="2"/>
              </w:rPr>
              <w:t> </w:t>
            </w:r>
            <w:r>
              <w:rPr/>
              <w:t>de</w:t>
            </w:r>
            <w:r>
              <w:rPr>
                <w:spacing w:val="-2"/>
              </w:rPr>
              <w:t> </w:t>
            </w:r>
            <w:r>
              <w:rPr/>
              <w:t>oxigeno</w:t>
              <w:tab/>
              <w:t>18</w:t>
            </w:r>
          </w:hyperlink>
        </w:p>
        <w:p>
          <w:pPr>
            <w:pStyle w:val="TOC1"/>
            <w:numPr>
              <w:ilvl w:val="0"/>
              <w:numId w:val="2"/>
            </w:numPr>
            <w:tabs>
              <w:tab w:pos="442" w:val="left" w:leader="none"/>
              <w:tab w:pos="8681" w:val="left" w:leader="dot"/>
            </w:tabs>
            <w:spacing w:line="240" w:lineRule="auto" w:before="237" w:after="0"/>
            <w:ind w:left="441" w:right="0" w:hanging="322"/>
            <w:jc w:val="left"/>
          </w:pPr>
          <w:hyperlink w:history="true" w:anchor="_bookmark9">
            <w:r>
              <w:rPr/>
              <w:t>Factores</w:t>
            </w:r>
            <w:r>
              <w:rPr>
                <w:spacing w:val="-3"/>
              </w:rPr>
              <w:t> </w:t>
            </w:r>
            <w:r>
              <w:rPr/>
              <w:t>mayores:</w:t>
              <w:tab/>
              <w:t>18</w:t>
            </w:r>
          </w:hyperlink>
        </w:p>
        <w:p>
          <w:pPr>
            <w:pStyle w:val="TOC1"/>
            <w:numPr>
              <w:ilvl w:val="0"/>
              <w:numId w:val="2"/>
            </w:numPr>
            <w:tabs>
              <w:tab w:pos="337" w:val="left" w:leader="none"/>
              <w:tab w:pos="8681" w:val="left" w:leader="dot"/>
            </w:tabs>
            <w:spacing w:line="240" w:lineRule="auto" w:before="238" w:after="0"/>
            <w:ind w:left="336" w:right="0" w:hanging="217"/>
            <w:jc w:val="left"/>
          </w:pPr>
          <w:hyperlink w:history="true" w:anchor="_bookmark10">
            <w:r>
              <w:rPr/>
              <w:t>Factores</w:t>
            </w:r>
            <w:r>
              <w:rPr>
                <w:spacing w:val="-4"/>
              </w:rPr>
              <w:t> </w:t>
            </w:r>
            <w:r>
              <w:rPr/>
              <w:t>menores:</w:t>
              <w:tab/>
              <w:t>19</w:t>
            </w:r>
          </w:hyperlink>
        </w:p>
        <w:p>
          <w:pPr>
            <w:pStyle w:val="TOC1"/>
            <w:numPr>
              <w:ilvl w:val="0"/>
              <w:numId w:val="2"/>
            </w:numPr>
            <w:tabs>
              <w:tab w:pos="389" w:val="left" w:leader="none"/>
              <w:tab w:pos="8681" w:val="left" w:leader="dot"/>
            </w:tabs>
            <w:spacing w:line="240" w:lineRule="auto" w:before="237" w:after="0"/>
            <w:ind w:left="388" w:right="0" w:hanging="269"/>
            <w:jc w:val="left"/>
          </w:pPr>
          <w:hyperlink w:history="true" w:anchor="_bookmark11">
            <w:r>
              <w:rPr/>
              <w:t>Comportamiento cardiovascular en el</w:t>
            </w:r>
            <w:r>
              <w:rPr>
                <w:spacing w:val="-10"/>
              </w:rPr>
              <w:t> </w:t>
            </w:r>
            <w:r>
              <w:rPr/>
              <w:t>futbol</w:t>
            </w:r>
            <w:r>
              <w:rPr>
                <w:spacing w:val="-2"/>
              </w:rPr>
              <w:t> </w:t>
            </w:r>
            <w:r>
              <w:rPr/>
              <w:t>asociación</w:t>
              <w:tab/>
              <w:t>20</w:t>
            </w:r>
          </w:hyperlink>
        </w:p>
        <w:p>
          <w:pPr>
            <w:pStyle w:val="TOC1"/>
            <w:numPr>
              <w:ilvl w:val="0"/>
              <w:numId w:val="2"/>
            </w:numPr>
            <w:tabs>
              <w:tab w:pos="427" w:val="left" w:leader="none"/>
              <w:tab w:pos="8668" w:val="left" w:leader="dot"/>
            </w:tabs>
            <w:spacing w:line="240" w:lineRule="auto" w:before="237" w:after="0"/>
            <w:ind w:left="426" w:right="0" w:hanging="307"/>
            <w:jc w:val="left"/>
          </w:pPr>
          <w:hyperlink w:history="true" w:anchor="_TOC_250003">
            <w:r>
              <w:rPr/>
              <w:t>Índice de eficiencia miocárdica</w:t>
            </w:r>
            <w:r>
              <w:rPr>
                <w:spacing w:val="-11"/>
              </w:rPr>
              <w:t> </w:t>
            </w:r>
            <w:r>
              <w:rPr/>
              <w:t>en</w:t>
            </w:r>
            <w:r>
              <w:rPr>
                <w:spacing w:val="-3"/>
              </w:rPr>
              <w:t> </w:t>
            </w:r>
            <w:r>
              <w:rPr/>
              <w:t>futbolistas…</w:t>
            </w:r>
            <w:r>
              <w:rPr>
                <w:rFonts w:ascii="Times New Roman" w:hAnsi="Times New Roman"/>
              </w:rPr>
              <w:tab/>
            </w:r>
            <w:r>
              <w:rPr/>
              <w:t>23</w:t>
            </w:r>
          </w:hyperlink>
        </w:p>
        <w:p>
          <w:pPr>
            <w:pStyle w:val="TOC1"/>
            <w:numPr>
              <w:ilvl w:val="0"/>
              <w:numId w:val="2"/>
            </w:numPr>
            <w:tabs>
              <w:tab w:pos="404" w:val="left" w:leader="none"/>
              <w:tab w:pos="8681" w:val="left" w:leader="dot"/>
            </w:tabs>
            <w:spacing w:line="240" w:lineRule="auto" w:before="339" w:after="0"/>
            <w:ind w:left="403" w:right="0" w:hanging="284"/>
            <w:jc w:val="left"/>
          </w:pPr>
          <w:hyperlink w:history="true" w:anchor="_bookmark12">
            <w:r>
              <w:rPr/>
              <w:t>Fútbol asociación con altura de 2600 metros a nivel</w:t>
            </w:r>
            <w:r>
              <w:rPr>
                <w:spacing w:val="-19"/>
              </w:rPr>
              <w:t> </w:t>
            </w:r>
            <w:r>
              <w:rPr/>
              <w:t>del </w:t>
            </w:r>
            <w:r>
              <w:rPr>
                <w:spacing w:val="-3"/>
              </w:rPr>
              <w:t>mar</w:t>
              <w:tab/>
            </w:r>
            <w:r>
              <w:rPr/>
              <w:t>23</w:t>
            </w:r>
          </w:hyperlink>
        </w:p>
        <w:p>
          <w:pPr>
            <w:pStyle w:val="TOC1"/>
            <w:numPr>
              <w:ilvl w:val="0"/>
              <w:numId w:val="2"/>
            </w:numPr>
            <w:tabs>
              <w:tab w:pos="466" w:val="left" w:leader="none"/>
              <w:tab w:pos="8681" w:val="left" w:leader="dot"/>
            </w:tabs>
            <w:spacing w:line="240" w:lineRule="auto" w:before="242" w:after="0"/>
            <w:ind w:left="465" w:right="0" w:hanging="346"/>
            <w:jc w:val="left"/>
          </w:pPr>
          <w:hyperlink w:history="true" w:anchor="_bookmark13">
            <w:r>
              <w:rPr/>
              <w:t>Prueba</w:t>
            </w:r>
            <w:r>
              <w:rPr>
                <w:spacing w:val="-1"/>
              </w:rPr>
              <w:t> </w:t>
            </w:r>
            <w:r>
              <w:rPr/>
              <w:t>de</w:t>
            </w:r>
            <w:r>
              <w:rPr>
                <w:spacing w:val="-1"/>
              </w:rPr>
              <w:t> </w:t>
            </w:r>
            <w:r>
              <w:rPr/>
              <w:t>esfuerzo</w:t>
              <w:tab/>
              <w:t>26</w:t>
            </w:r>
          </w:hyperlink>
        </w:p>
        <w:p>
          <w:pPr>
            <w:pStyle w:val="TOC1"/>
            <w:numPr>
              <w:ilvl w:val="0"/>
              <w:numId w:val="2"/>
            </w:numPr>
            <w:tabs>
              <w:tab w:pos="442" w:val="left" w:leader="none"/>
              <w:tab w:pos="8681" w:val="left" w:leader="dot"/>
            </w:tabs>
            <w:spacing w:line="240" w:lineRule="auto" w:before="238" w:after="0"/>
            <w:ind w:left="441" w:right="0" w:hanging="322"/>
            <w:jc w:val="left"/>
          </w:pPr>
          <w:hyperlink w:history="true" w:anchor="_bookmark14">
            <w:r>
              <w:rPr/>
              <w:t>Pretemporada</w:t>
              <w:tab/>
              <w:t>28</w:t>
            </w:r>
          </w:hyperlink>
        </w:p>
        <w:p>
          <w:pPr>
            <w:pStyle w:val="TOC1"/>
            <w:numPr>
              <w:ilvl w:val="0"/>
              <w:numId w:val="1"/>
            </w:numPr>
            <w:tabs>
              <w:tab w:pos="389" w:val="left" w:leader="none"/>
              <w:tab w:pos="8681" w:val="left" w:leader="dot"/>
            </w:tabs>
            <w:spacing w:line="240" w:lineRule="auto" w:before="237" w:after="0"/>
            <w:ind w:left="388" w:right="0" w:hanging="269"/>
            <w:jc w:val="left"/>
          </w:pPr>
          <w:hyperlink w:history="true" w:anchor="_bookmark15">
            <w:r>
              <w:rPr/>
              <w:t>Planteamiento</w:t>
            </w:r>
            <w:r>
              <w:rPr>
                <w:spacing w:val="-4"/>
              </w:rPr>
              <w:t> </w:t>
            </w:r>
            <w:r>
              <w:rPr/>
              <w:t>del</w:t>
            </w:r>
            <w:r>
              <w:rPr>
                <w:spacing w:val="-6"/>
              </w:rPr>
              <w:t> </w:t>
            </w:r>
            <w:r>
              <w:rPr/>
              <w:t>problema</w:t>
              <w:tab/>
              <w:t>29</w:t>
            </w:r>
          </w:hyperlink>
        </w:p>
        <w:p>
          <w:pPr>
            <w:pStyle w:val="TOC1"/>
            <w:numPr>
              <w:ilvl w:val="0"/>
              <w:numId w:val="1"/>
            </w:numPr>
            <w:tabs>
              <w:tab w:pos="457" w:val="left" w:leader="none"/>
              <w:tab w:pos="8681" w:val="left" w:leader="dot"/>
            </w:tabs>
            <w:spacing w:line="240" w:lineRule="auto" w:before="237" w:after="0"/>
            <w:ind w:left="456" w:right="0" w:hanging="337"/>
            <w:jc w:val="left"/>
          </w:pPr>
          <w:hyperlink w:history="true" w:anchor="_bookmark16">
            <w:r>
              <w:rPr/>
              <w:t>Justificaciones</w:t>
              <w:tab/>
              <w:t>30</w:t>
            </w:r>
          </w:hyperlink>
        </w:p>
        <w:p>
          <w:pPr>
            <w:pStyle w:val="TOC1"/>
            <w:numPr>
              <w:ilvl w:val="0"/>
              <w:numId w:val="1"/>
            </w:numPr>
            <w:tabs>
              <w:tab w:pos="481" w:val="left" w:leader="none"/>
              <w:tab w:pos="8681" w:val="left" w:leader="dot"/>
            </w:tabs>
            <w:spacing w:line="240" w:lineRule="auto" w:before="238" w:after="0"/>
            <w:ind w:left="480" w:right="0" w:hanging="361"/>
            <w:jc w:val="left"/>
          </w:pPr>
          <w:hyperlink w:history="true" w:anchor="_bookmark17">
            <w:r>
              <w:rPr/>
              <w:t>Objetivos</w:t>
              <w:tab/>
              <w:t>31</w:t>
            </w:r>
          </w:hyperlink>
        </w:p>
        <w:p>
          <w:pPr>
            <w:pStyle w:val="TOC1"/>
            <w:numPr>
              <w:ilvl w:val="0"/>
              <w:numId w:val="1"/>
            </w:numPr>
            <w:tabs>
              <w:tab w:pos="413" w:val="left" w:leader="none"/>
              <w:tab w:pos="8681" w:val="left" w:leader="dot"/>
            </w:tabs>
            <w:spacing w:line="240" w:lineRule="auto" w:before="237" w:after="0"/>
            <w:ind w:left="412" w:right="0" w:hanging="293"/>
            <w:jc w:val="left"/>
          </w:pPr>
          <w:hyperlink w:history="true" w:anchor="_bookmark18">
            <w:r>
              <w:rPr/>
              <w:t>Material</w:t>
            </w:r>
            <w:r>
              <w:rPr>
                <w:spacing w:val="1"/>
              </w:rPr>
              <w:t> </w:t>
            </w:r>
            <w:r>
              <w:rPr/>
              <w:t>y</w:t>
            </w:r>
            <w:r>
              <w:rPr>
                <w:spacing w:val="-3"/>
              </w:rPr>
              <w:t> </w:t>
            </w:r>
            <w:r>
              <w:rPr/>
              <w:t>metodos</w:t>
            </w:r>
          </w:hyperlink>
          <w:r>
            <w:rPr/>
            <w:tab/>
            <w:t>32</w:t>
          </w:r>
        </w:p>
        <w:p>
          <w:pPr>
            <w:pStyle w:val="TOC1"/>
            <w:numPr>
              <w:ilvl w:val="0"/>
              <w:numId w:val="3"/>
            </w:numPr>
            <w:tabs>
              <w:tab w:pos="428" w:val="left" w:leader="none"/>
              <w:tab w:pos="8681" w:val="left" w:leader="dot"/>
            </w:tabs>
            <w:spacing w:line="240" w:lineRule="auto" w:before="237" w:after="0"/>
            <w:ind w:left="427" w:right="0" w:hanging="308"/>
            <w:jc w:val="left"/>
          </w:pPr>
          <w:hyperlink w:history="true" w:anchor="_bookmark19">
            <w:r>
              <w:rPr/>
              <w:t>Tipo</w:t>
            </w:r>
            <w:r>
              <w:rPr>
                <w:spacing w:val="1"/>
              </w:rPr>
              <w:t> </w:t>
            </w:r>
            <w:r>
              <w:rPr/>
              <w:t>de</w:t>
            </w:r>
            <w:r>
              <w:rPr>
                <w:spacing w:val="-4"/>
              </w:rPr>
              <w:t> </w:t>
            </w:r>
            <w:r>
              <w:rPr/>
              <w:t>estudio</w:t>
            </w:r>
          </w:hyperlink>
          <w:r>
            <w:rPr/>
            <w:tab/>
            <w:t>32</w:t>
          </w:r>
        </w:p>
        <w:p>
          <w:pPr>
            <w:pStyle w:val="TOC1"/>
            <w:numPr>
              <w:ilvl w:val="0"/>
              <w:numId w:val="3"/>
            </w:numPr>
            <w:tabs>
              <w:tab w:pos="428" w:val="left" w:leader="none"/>
              <w:tab w:pos="8681" w:val="left" w:leader="dot"/>
            </w:tabs>
            <w:spacing w:line="240" w:lineRule="auto" w:before="52" w:after="0"/>
            <w:ind w:left="427" w:right="0" w:hanging="308"/>
            <w:jc w:val="left"/>
          </w:pPr>
          <w:hyperlink w:history="true" w:anchor="_bookmark20">
            <w:r>
              <w:rPr/>
              <w:t>Operacionalización de</w:t>
            </w:r>
            <w:r>
              <w:rPr>
                <w:spacing w:val="-7"/>
              </w:rPr>
              <w:t> </w:t>
            </w:r>
            <w:r>
              <w:rPr/>
              <w:t>las</w:t>
            </w:r>
            <w:r>
              <w:rPr>
                <w:spacing w:val="-2"/>
              </w:rPr>
              <w:t> </w:t>
            </w:r>
            <w:r>
              <w:rPr/>
              <w:t>variables</w:t>
              <w:tab/>
              <w:t>3</w:t>
            </w:r>
          </w:hyperlink>
          <w:r>
            <w:rPr/>
            <w:t>2</w:t>
          </w:r>
        </w:p>
        <w:p>
          <w:pPr>
            <w:pStyle w:val="TOC1"/>
            <w:numPr>
              <w:ilvl w:val="0"/>
              <w:numId w:val="3"/>
            </w:numPr>
            <w:tabs>
              <w:tab w:pos="442" w:val="left" w:leader="none"/>
              <w:tab w:pos="8681" w:val="left" w:leader="dot"/>
            </w:tabs>
            <w:spacing w:line="240" w:lineRule="auto" w:before="237" w:after="0"/>
            <w:ind w:left="441" w:right="0" w:hanging="322"/>
            <w:jc w:val="left"/>
          </w:pPr>
          <w:hyperlink w:history="true" w:anchor="_bookmark21">
            <w:r>
              <w:rPr/>
              <w:t>Universo de trabajo</w:t>
            </w:r>
            <w:r>
              <w:rPr>
                <w:spacing w:val="-11"/>
              </w:rPr>
              <w:t> </w:t>
            </w:r>
            <w:r>
              <w:rPr/>
              <w:t>y</w:t>
            </w:r>
            <w:r>
              <w:rPr>
                <w:spacing w:val="1"/>
              </w:rPr>
              <w:t> </w:t>
            </w:r>
            <w:r>
              <w:rPr/>
              <w:t>muestra</w:t>
              <w:tab/>
              <w:t>33</w:t>
            </w:r>
          </w:hyperlink>
        </w:p>
        <w:p>
          <w:pPr>
            <w:pStyle w:val="TOC1"/>
            <w:tabs>
              <w:tab w:pos="8681" w:val="left" w:leader="dot"/>
            </w:tabs>
            <w:spacing w:before="238"/>
          </w:pPr>
          <w:hyperlink w:history="true" w:anchor="_bookmark22">
            <w:r>
              <w:rPr/>
              <w:t>Criterios de</w:t>
            </w:r>
            <w:r>
              <w:rPr>
                <w:spacing w:val="-4"/>
              </w:rPr>
              <w:t> </w:t>
            </w:r>
            <w:r>
              <w:rPr/>
              <w:t>inclusión</w:t>
              <w:tab/>
              <w:t>33</w:t>
            </w:r>
          </w:hyperlink>
        </w:p>
        <w:p>
          <w:pPr>
            <w:pStyle w:val="TOC1"/>
            <w:tabs>
              <w:tab w:pos="8681" w:val="left" w:leader="dot"/>
            </w:tabs>
          </w:pPr>
          <w:hyperlink w:history="true" w:anchor="_bookmark23">
            <w:r>
              <w:rPr/>
              <w:t>Criterios de</w:t>
            </w:r>
            <w:r>
              <w:rPr>
                <w:spacing w:val="-3"/>
              </w:rPr>
              <w:t> </w:t>
            </w:r>
            <w:r>
              <w:rPr/>
              <w:t>no</w:t>
            </w:r>
            <w:r>
              <w:rPr>
                <w:spacing w:val="-4"/>
              </w:rPr>
              <w:t> </w:t>
            </w:r>
            <w:r>
              <w:rPr/>
              <w:t>inclusión</w:t>
              <w:tab/>
              <w:t>33</w:t>
            </w:r>
          </w:hyperlink>
        </w:p>
        <w:p>
          <w:pPr>
            <w:pStyle w:val="TOC1"/>
            <w:tabs>
              <w:tab w:pos="8681" w:val="left" w:leader="dot"/>
            </w:tabs>
            <w:spacing w:before="242"/>
          </w:pPr>
          <w:hyperlink w:history="true" w:anchor="_bookmark24">
            <w:r>
              <w:rPr/>
              <w:t>Criterios de</w:t>
            </w:r>
            <w:r>
              <w:rPr>
                <w:spacing w:val="-4"/>
              </w:rPr>
              <w:t> </w:t>
            </w:r>
            <w:r>
              <w:rPr/>
              <w:t>eliminación</w:t>
              <w:tab/>
              <w:t>34</w:t>
            </w:r>
          </w:hyperlink>
        </w:p>
        <w:p>
          <w:pPr>
            <w:pStyle w:val="TOC1"/>
            <w:numPr>
              <w:ilvl w:val="0"/>
              <w:numId w:val="3"/>
            </w:numPr>
            <w:tabs>
              <w:tab w:pos="442" w:val="left" w:leader="none"/>
              <w:tab w:pos="8681" w:val="left" w:leader="dot"/>
            </w:tabs>
            <w:spacing w:line="240" w:lineRule="auto" w:before="238" w:after="0"/>
            <w:ind w:left="441" w:right="0" w:hanging="322"/>
            <w:jc w:val="left"/>
          </w:pPr>
          <w:hyperlink w:history="true" w:anchor="_bookmark25">
            <w:r>
              <w:rPr/>
              <w:t>Instrumento</w:t>
            </w:r>
            <w:r>
              <w:rPr>
                <w:spacing w:val="-2"/>
              </w:rPr>
              <w:t> </w:t>
            </w:r>
            <w:r>
              <w:rPr/>
              <w:t>de</w:t>
            </w:r>
            <w:r>
              <w:rPr>
                <w:spacing w:val="-6"/>
              </w:rPr>
              <w:t> </w:t>
            </w:r>
            <w:r>
              <w:rPr/>
              <w:t>investigación</w:t>
              <w:tab/>
              <w:t>34</w:t>
            </w:r>
          </w:hyperlink>
        </w:p>
        <w:p>
          <w:pPr>
            <w:pStyle w:val="TOC1"/>
            <w:numPr>
              <w:ilvl w:val="0"/>
              <w:numId w:val="3"/>
            </w:numPr>
            <w:tabs>
              <w:tab w:pos="428" w:val="left" w:leader="none"/>
              <w:tab w:pos="8681" w:val="left" w:leader="dot"/>
            </w:tabs>
            <w:spacing w:line="240" w:lineRule="auto" w:before="237" w:after="0"/>
            <w:ind w:left="427" w:right="0" w:hanging="308"/>
            <w:jc w:val="left"/>
          </w:pPr>
          <w:hyperlink w:history="true" w:anchor="_bookmark26">
            <w:r>
              <w:rPr/>
              <w:t>Desarrollo</w:t>
            </w:r>
            <w:r>
              <w:rPr>
                <w:spacing w:val="-5"/>
              </w:rPr>
              <w:t> </w:t>
            </w:r>
            <w:r>
              <w:rPr/>
              <w:t>de</w:t>
            </w:r>
            <w:r>
              <w:rPr>
                <w:spacing w:val="-1"/>
              </w:rPr>
              <w:t> </w:t>
            </w:r>
            <w:r>
              <w:rPr/>
              <w:t>proyecto</w:t>
              <w:tab/>
              <w:t>34</w:t>
            </w:r>
          </w:hyperlink>
        </w:p>
        <w:p>
          <w:pPr>
            <w:pStyle w:val="TOC1"/>
            <w:numPr>
              <w:ilvl w:val="0"/>
              <w:numId w:val="3"/>
            </w:numPr>
            <w:tabs>
              <w:tab w:pos="418" w:val="left" w:leader="none"/>
              <w:tab w:pos="8681" w:val="left" w:leader="dot"/>
            </w:tabs>
            <w:spacing w:line="240" w:lineRule="auto" w:before="238" w:after="0"/>
            <w:ind w:left="417" w:right="0" w:hanging="298"/>
            <w:jc w:val="left"/>
          </w:pPr>
          <w:hyperlink w:history="true" w:anchor="_bookmark27">
            <w:r>
              <w:rPr/>
              <w:t>Limite de tiempo</w:t>
            </w:r>
            <w:r>
              <w:rPr>
                <w:spacing w:val="-6"/>
              </w:rPr>
              <w:t> </w:t>
            </w:r>
            <w:r>
              <w:rPr/>
              <w:t>y</w:t>
            </w:r>
            <w:r>
              <w:rPr>
                <w:spacing w:val="-3"/>
              </w:rPr>
              <w:t> </w:t>
            </w:r>
            <w:r>
              <w:rPr/>
              <w:t>espacio</w:t>
              <w:tab/>
              <w:t>35</w:t>
            </w:r>
          </w:hyperlink>
        </w:p>
        <w:p>
          <w:pPr>
            <w:pStyle w:val="TOC1"/>
            <w:numPr>
              <w:ilvl w:val="0"/>
              <w:numId w:val="3"/>
            </w:numPr>
            <w:tabs>
              <w:tab w:pos="457" w:val="left" w:leader="none"/>
              <w:tab w:pos="8681" w:val="left" w:leader="dot"/>
            </w:tabs>
            <w:spacing w:line="240" w:lineRule="auto" w:before="237" w:after="0"/>
            <w:ind w:left="456" w:right="0" w:hanging="337"/>
            <w:jc w:val="left"/>
          </w:pPr>
          <w:hyperlink w:history="true" w:anchor="_bookmark28">
            <w:r>
              <w:rPr/>
              <w:t>Cronograma</w:t>
              <w:tab/>
              <w:t>35</w:t>
            </w:r>
          </w:hyperlink>
        </w:p>
        <w:p>
          <w:pPr>
            <w:pStyle w:val="TOC1"/>
            <w:numPr>
              <w:ilvl w:val="0"/>
              <w:numId w:val="3"/>
            </w:numPr>
            <w:tabs>
              <w:tab w:pos="442" w:val="left" w:leader="none"/>
              <w:tab w:pos="8681" w:val="left" w:leader="dot"/>
            </w:tabs>
            <w:spacing w:line="240" w:lineRule="auto" w:before="237" w:after="0"/>
            <w:ind w:left="441" w:right="0" w:hanging="322"/>
            <w:jc w:val="left"/>
          </w:pPr>
          <w:hyperlink w:history="true" w:anchor="_bookmark29">
            <w:r>
              <w:rPr/>
              <w:t>Diseño</w:t>
            </w:r>
            <w:r>
              <w:rPr>
                <w:spacing w:val="-1"/>
              </w:rPr>
              <w:t> </w:t>
            </w:r>
            <w:r>
              <w:rPr/>
              <w:t>de</w:t>
            </w:r>
            <w:r>
              <w:rPr>
                <w:spacing w:val="-5"/>
              </w:rPr>
              <w:t> </w:t>
            </w:r>
            <w:r>
              <w:rPr/>
              <w:t>análisis</w:t>
              <w:tab/>
              <w:t>36</w:t>
            </w:r>
          </w:hyperlink>
        </w:p>
        <w:p>
          <w:pPr>
            <w:pStyle w:val="TOC1"/>
            <w:numPr>
              <w:ilvl w:val="0"/>
              <w:numId w:val="1"/>
            </w:numPr>
            <w:tabs>
              <w:tab w:pos="481" w:val="left" w:leader="none"/>
              <w:tab w:pos="8681" w:val="left" w:leader="dot"/>
            </w:tabs>
            <w:spacing w:line="240" w:lineRule="auto" w:before="238" w:after="0"/>
            <w:ind w:left="480" w:right="0" w:hanging="361"/>
            <w:jc w:val="left"/>
          </w:pPr>
          <w:hyperlink w:history="true" w:anchor="_bookmark30">
            <w:r>
              <w:rPr/>
              <w:t>Implicaciones</w:t>
            </w:r>
            <w:r>
              <w:rPr>
                <w:spacing w:val="-3"/>
              </w:rPr>
              <w:t> </w:t>
            </w:r>
            <w:r>
              <w:rPr/>
              <w:t>eticas</w:t>
              <w:tab/>
              <w:t>37</w:t>
            </w:r>
          </w:hyperlink>
        </w:p>
        <w:p>
          <w:pPr>
            <w:pStyle w:val="TOC1"/>
            <w:numPr>
              <w:ilvl w:val="0"/>
              <w:numId w:val="1"/>
            </w:numPr>
            <w:tabs>
              <w:tab w:pos="548" w:val="left" w:leader="none"/>
              <w:tab w:pos="8681" w:val="left" w:leader="dot"/>
            </w:tabs>
            <w:spacing w:line="240" w:lineRule="auto" w:before="237" w:after="0"/>
            <w:ind w:left="547" w:right="0" w:hanging="428"/>
            <w:jc w:val="left"/>
          </w:pPr>
          <w:hyperlink w:history="true" w:anchor="_bookmark31">
            <w:r>
              <w:rPr/>
              <w:t>Organización</w:t>
              <w:tab/>
              <w:t>38</w:t>
            </w:r>
          </w:hyperlink>
        </w:p>
        <w:p>
          <w:pPr>
            <w:pStyle w:val="TOC1"/>
            <w:numPr>
              <w:ilvl w:val="0"/>
              <w:numId w:val="1"/>
            </w:numPr>
            <w:tabs>
              <w:tab w:pos="615" w:val="left" w:leader="none"/>
              <w:tab w:pos="8681" w:val="left" w:leader="dot"/>
            </w:tabs>
            <w:spacing w:line="240" w:lineRule="auto" w:before="237" w:after="0"/>
            <w:ind w:left="614" w:right="0" w:hanging="495"/>
            <w:jc w:val="left"/>
          </w:pPr>
          <w:hyperlink w:history="true" w:anchor="_bookmark32">
            <w:r>
              <w:rPr/>
              <w:t>Presupuesto</w:t>
            </w:r>
            <w:r>
              <w:rPr>
                <w:spacing w:val="-4"/>
              </w:rPr>
              <w:t> </w:t>
            </w:r>
            <w:r>
              <w:rPr/>
              <w:t>y</w:t>
            </w:r>
            <w:r>
              <w:rPr>
                <w:spacing w:val="-4"/>
              </w:rPr>
              <w:t> </w:t>
            </w:r>
            <w:r>
              <w:rPr/>
              <w:t>financiamiento</w:t>
              <w:tab/>
              <w:t>38</w:t>
            </w:r>
          </w:hyperlink>
        </w:p>
        <w:p>
          <w:pPr>
            <w:pStyle w:val="TOC1"/>
            <w:numPr>
              <w:ilvl w:val="0"/>
              <w:numId w:val="1"/>
            </w:numPr>
            <w:tabs>
              <w:tab w:pos="480" w:val="left" w:leader="none"/>
              <w:tab w:pos="8642" w:val="left" w:leader="dot"/>
            </w:tabs>
            <w:spacing w:line="240" w:lineRule="auto" w:before="238" w:after="0"/>
            <w:ind w:left="479" w:right="0" w:hanging="360"/>
            <w:jc w:val="left"/>
          </w:pPr>
          <w:hyperlink w:history="true" w:anchor="_TOC_250002">
            <w:r>
              <w:rPr/>
              <w:t>Resultados…</w:t>
              <w:tab/>
              <w:t>39</w:t>
            </w:r>
          </w:hyperlink>
        </w:p>
        <w:p>
          <w:pPr>
            <w:pStyle w:val="TOC1"/>
            <w:numPr>
              <w:ilvl w:val="0"/>
              <w:numId w:val="1"/>
            </w:numPr>
            <w:tabs>
              <w:tab w:pos="413" w:val="left" w:leader="none"/>
              <w:tab w:pos="8642" w:val="left" w:leader="dot"/>
            </w:tabs>
            <w:spacing w:line="240" w:lineRule="auto" w:before="233" w:after="0"/>
            <w:ind w:left="412" w:right="0" w:hanging="293"/>
            <w:jc w:val="left"/>
          </w:pPr>
          <w:r>
            <w:rPr/>
            <w:t>Conclusiónes</w:t>
            <w:tab/>
            <w:t>47</w:t>
          </w:r>
        </w:p>
        <w:p>
          <w:pPr>
            <w:pStyle w:val="TOC1"/>
            <w:numPr>
              <w:ilvl w:val="0"/>
              <w:numId w:val="1"/>
            </w:numPr>
            <w:tabs>
              <w:tab w:pos="479" w:val="left" w:leader="none"/>
              <w:tab w:pos="8655" w:val="left" w:leader="dot"/>
            </w:tabs>
            <w:spacing w:line="240" w:lineRule="auto" w:before="338" w:after="0"/>
            <w:ind w:left="478" w:right="0" w:hanging="359"/>
            <w:jc w:val="left"/>
          </w:pPr>
          <w:hyperlink w:history="true" w:anchor="_TOC_250001">
            <w:r>
              <w:rPr/>
              <w:t>Discusión</w:t>
            </w:r>
            <w:r>
              <w:rPr>
                <w:spacing w:val="-2"/>
              </w:rPr>
              <w:t> </w:t>
            </w:r>
            <w:r>
              <w:rPr/>
              <w:t>y</w:t>
            </w:r>
            <w:r>
              <w:rPr>
                <w:spacing w:val="-2"/>
              </w:rPr>
              <w:t> </w:t>
            </w:r>
            <w:r>
              <w:rPr/>
              <w:t>Sugerencias</w:t>
            </w:r>
            <w:r>
              <w:rPr>
                <w:rFonts w:ascii="Times New Roman" w:hAnsi="Times New Roman"/>
              </w:rPr>
              <w:tab/>
            </w:r>
            <w:r>
              <w:rPr/>
              <w:t>48</w:t>
            </w:r>
          </w:hyperlink>
        </w:p>
        <w:p>
          <w:pPr>
            <w:pStyle w:val="TOC1"/>
            <w:numPr>
              <w:ilvl w:val="0"/>
              <w:numId w:val="1"/>
            </w:numPr>
            <w:tabs>
              <w:tab w:pos="548" w:val="left" w:leader="none"/>
              <w:tab w:pos="8681" w:val="left" w:leader="dot"/>
            </w:tabs>
            <w:spacing w:line="240" w:lineRule="auto" w:before="344" w:after="0"/>
            <w:ind w:left="547" w:right="0" w:hanging="428"/>
            <w:jc w:val="left"/>
          </w:pPr>
          <w:hyperlink w:history="true" w:anchor="_bookmark33">
            <w:r>
              <w:rPr/>
              <w:t>Bibliografía</w:t>
            </w:r>
          </w:hyperlink>
          <w:r>
            <w:rPr/>
            <w:tab/>
            <w:t>51</w:t>
          </w:r>
        </w:p>
        <w:p>
          <w:pPr>
            <w:pStyle w:val="TOC1"/>
            <w:numPr>
              <w:ilvl w:val="0"/>
              <w:numId w:val="1"/>
            </w:numPr>
            <w:tabs>
              <w:tab w:pos="615" w:val="left" w:leader="none"/>
              <w:tab w:pos="8681" w:val="left" w:leader="dot"/>
            </w:tabs>
            <w:spacing w:line="240" w:lineRule="auto" w:before="237" w:after="0"/>
            <w:ind w:left="614" w:right="0" w:hanging="495"/>
            <w:jc w:val="left"/>
          </w:pPr>
          <w:hyperlink w:history="true" w:anchor="_bookmark34">
            <w:r>
              <w:rPr/>
              <w:t>Anexos</w:t>
            </w:r>
          </w:hyperlink>
          <w:r>
            <w:rPr/>
            <w:tab/>
            <w:t>56</w:t>
          </w:r>
        </w:p>
        <w:p>
          <w:pPr>
            <w:pStyle w:val="TOC1"/>
            <w:tabs>
              <w:tab w:pos="8681" w:val="left" w:leader="dot"/>
            </w:tabs>
          </w:pPr>
          <w:hyperlink w:history="true" w:anchor="_bookmark35">
            <w:r>
              <w:rPr/>
              <w:t>Anexo 1. Hoja</w:t>
            </w:r>
            <w:r>
              <w:rPr>
                <w:spacing w:val="-3"/>
              </w:rPr>
              <w:t> </w:t>
            </w:r>
            <w:r>
              <w:rPr/>
              <w:t>de</w:t>
            </w:r>
            <w:r>
              <w:rPr>
                <w:spacing w:val="-1"/>
              </w:rPr>
              <w:t> </w:t>
            </w:r>
            <w:r>
              <w:rPr/>
              <w:t>vaciado</w:t>
            </w:r>
          </w:hyperlink>
          <w:r>
            <w:rPr/>
            <w:tab/>
            <w:t>56</w:t>
          </w:r>
        </w:p>
        <w:p>
          <w:pPr>
            <w:pStyle w:val="TOC1"/>
            <w:tabs>
              <w:tab w:pos="8681" w:val="left" w:leader="dot"/>
            </w:tabs>
            <w:spacing w:before="238"/>
          </w:pPr>
          <w:hyperlink w:history="true" w:anchor="_bookmark36">
            <w:r>
              <w:rPr/>
              <w:t>Anexo 2.</w:t>
            </w:r>
            <w:r>
              <w:rPr>
                <w:spacing w:val="-5"/>
              </w:rPr>
              <w:t> </w:t>
            </w:r>
            <w:r>
              <w:rPr/>
              <w:t>Consentimiento</w:t>
            </w:r>
            <w:r>
              <w:rPr>
                <w:spacing w:val="-7"/>
              </w:rPr>
              <w:t> </w:t>
            </w:r>
            <w:r>
              <w:rPr/>
              <w:t>informado</w:t>
            </w:r>
          </w:hyperlink>
          <w:r>
            <w:rPr/>
            <w:tab/>
            <w:t>57</w:t>
          </w:r>
        </w:p>
        <w:p>
          <w:pPr>
            <w:pStyle w:val="TOC1"/>
            <w:tabs>
              <w:tab w:pos="8681" w:val="left" w:leader="dot"/>
            </w:tabs>
          </w:pPr>
          <w:hyperlink w:history="true" w:anchor="_bookmark37">
            <w:r>
              <w:rPr/>
              <w:t>Anexo 3.</w:t>
            </w:r>
            <w:r>
              <w:rPr>
                <w:spacing w:val="-4"/>
              </w:rPr>
              <w:t> </w:t>
            </w:r>
            <w:r>
              <w:rPr/>
              <w:t>Historia</w:t>
            </w:r>
            <w:r>
              <w:rPr>
                <w:spacing w:val="-2"/>
              </w:rPr>
              <w:t> </w:t>
            </w:r>
            <w:r>
              <w:rPr/>
              <w:t>clínica</w:t>
            </w:r>
          </w:hyperlink>
          <w:r>
            <w:rPr/>
            <w:tab/>
            <w:t>58</w:t>
          </w:r>
        </w:p>
        <w:p>
          <w:pPr>
            <w:pStyle w:val="TOC1"/>
            <w:tabs>
              <w:tab w:pos="8682" w:val="left" w:leader="dot"/>
            </w:tabs>
            <w:spacing w:before="233"/>
          </w:pPr>
          <w:hyperlink w:history="true" w:anchor="_TOC_250000">
            <w:r>
              <w:rPr/>
              <w:t>Anexo 4. Reporte prueba</w:t>
            </w:r>
            <w:r>
              <w:rPr>
                <w:spacing w:val="-4"/>
              </w:rPr>
              <w:t> </w:t>
            </w:r>
            <w:r>
              <w:rPr/>
              <w:t>de</w:t>
            </w:r>
            <w:r>
              <w:rPr>
                <w:spacing w:val="-2"/>
              </w:rPr>
              <w:t> </w:t>
            </w:r>
            <w:r>
              <w:rPr/>
              <w:t>esfuerzo</w:t>
            </w:r>
            <w:r>
              <w:rPr>
                <w:rFonts w:ascii="Times New Roman"/>
              </w:rPr>
              <w:tab/>
            </w:r>
            <w:r>
              <w:rPr/>
              <w:t>61</w:t>
            </w:r>
          </w:hyperlink>
        </w:p>
      </w:sdtContent>
    </w:sdt>
    <w:p>
      <w:pPr>
        <w:spacing w:after="0"/>
        <w:sectPr>
          <w:type w:val="continuous"/>
          <w:pgSz w:w="12240" w:h="15840"/>
          <w:pgMar w:top="1360" w:bottom="1825" w:left="1580" w:right="1600"/>
        </w:sectPr>
      </w:pPr>
    </w:p>
    <w:p>
      <w:pPr>
        <w:pStyle w:val="Heading1"/>
        <w:spacing w:before="42"/>
        <w:ind w:left="119"/>
        <w:jc w:val="both"/>
      </w:pPr>
      <w:bookmarkStart w:name="_TOC_250005" w:id="1"/>
      <w:bookmarkEnd w:id="1"/>
      <w:r>
        <w:rPr/>
        <w:t>Resumen</w:t>
      </w:r>
    </w:p>
    <w:p>
      <w:pPr>
        <w:pStyle w:val="BodyText"/>
        <w:spacing w:before="10"/>
        <w:rPr>
          <w:b/>
          <w:sz w:val="29"/>
        </w:rPr>
      </w:pPr>
    </w:p>
    <w:p>
      <w:pPr>
        <w:pStyle w:val="BodyText"/>
        <w:spacing w:line="362" w:lineRule="auto"/>
        <w:ind w:left="119" w:right="119"/>
        <w:jc w:val="both"/>
      </w:pPr>
      <w:r>
        <w:rPr>
          <w:b/>
        </w:rPr>
        <w:t>Objetivo</w:t>
      </w:r>
      <w:r>
        <w:rPr/>
        <w:t>. Determinar el índice de eficiencia miocárdica en jugadores de fútbol asociación en pretemporada 2015 a 2600 metros sobre el nivel del mar, Toluca, Estado de México.</w:t>
      </w:r>
    </w:p>
    <w:p>
      <w:pPr>
        <w:pStyle w:val="BodyText"/>
        <w:spacing w:line="362" w:lineRule="auto" w:before="153"/>
        <w:ind w:left="119" w:right="119"/>
        <w:jc w:val="both"/>
      </w:pPr>
      <w:r>
        <w:rPr>
          <w:b/>
        </w:rPr>
        <w:t>Material y métodos</w:t>
      </w:r>
      <w:r>
        <w:rPr/>
        <w:t>. Estudio observacional, descriptivo, transversal, retrospectivo de 25 jugadores de fútbol asociación a 2600 metros a nivel del mar en el manejo estadístico del estudio se utilizó estadística descriptiva: medidas de tendencia central (media, moda), medidas de dispersión como desviación estándar y coeficiente de variación para obtener el índice de eficiencia miocárdica en jugadores de fútbol asociación en pretemporada 2015 a 2600 metros sobre el nivel del mar.</w:t>
      </w:r>
    </w:p>
    <w:p>
      <w:pPr>
        <w:pStyle w:val="BodyText"/>
        <w:spacing w:line="362" w:lineRule="auto" w:before="153"/>
        <w:ind w:left="119" w:right="129"/>
        <w:jc w:val="both"/>
      </w:pPr>
      <w:r>
        <w:rPr>
          <w:b/>
        </w:rPr>
        <w:t>Resultados</w:t>
      </w:r>
      <w:r>
        <w:rPr/>
        <w:t>. Los hallazgos que se obtuvieron en la muestra fue que la media del índice de eficiencia miocárdica en jugadores de fútbol asociación en pretemporada 2015 a 2600 metros sobre el nivel del mar es de 5.5.</w:t>
      </w:r>
    </w:p>
    <w:p>
      <w:pPr>
        <w:pStyle w:val="BodyText"/>
        <w:spacing w:line="360" w:lineRule="auto" w:before="153"/>
        <w:ind w:left="119" w:right="114"/>
        <w:jc w:val="both"/>
      </w:pPr>
      <w:r>
        <w:rPr>
          <w:b/>
        </w:rPr>
        <w:t>Conclusiones</w:t>
      </w:r>
      <w:r>
        <w:rPr/>
        <w:t>. El índice de eficiencia miocárdica como un indicador que nos informa de la integridad cardiovascular del jugador es adecuado en todos los integrantes del grupo de estudio presentando un valor normal óptimo en una  media de 5.5, en rangos normales de acuerdo a las guías clínicas cardiológicas de Norteamérica. La presión arterial máxima y frecuencia cardiaca juega un papel un papel importante para determinar el índice de eficiencia miocárdica, ya que sus valores subestimados pueden arrojar cambios significativos al determinar este índice.</w:t>
      </w:r>
    </w:p>
    <w:p>
      <w:pPr>
        <w:spacing w:after="0" w:line="360" w:lineRule="auto"/>
        <w:jc w:val="both"/>
        <w:sectPr>
          <w:pgSz w:w="12240" w:h="15840"/>
          <w:pgMar w:header="0" w:footer="1026" w:top="1360" w:bottom="1220" w:left="1580" w:right="1580"/>
        </w:sectPr>
      </w:pPr>
    </w:p>
    <w:p>
      <w:pPr>
        <w:pStyle w:val="Heading1"/>
        <w:spacing w:before="42"/>
        <w:ind w:left="119"/>
        <w:jc w:val="both"/>
      </w:pPr>
      <w:bookmarkStart w:name="_TOC_250004" w:id="2"/>
      <w:bookmarkStart w:name="_bookmark0" w:id="3"/>
      <w:r>
        <w:rPr>
          <w:b w:val="0"/>
        </w:rPr>
      </w:r>
      <w:bookmarkEnd w:id="2"/>
      <w:r>
        <w:rPr/>
        <w:t>Abstract</w:t>
      </w:r>
    </w:p>
    <w:p>
      <w:pPr>
        <w:pStyle w:val="BodyText"/>
        <w:spacing w:before="10"/>
        <w:rPr>
          <w:b/>
          <w:sz w:val="29"/>
        </w:rPr>
      </w:pPr>
    </w:p>
    <w:p>
      <w:pPr>
        <w:pStyle w:val="BodyText"/>
        <w:spacing w:line="360" w:lineRule="auto"/>
        <w:ind w:left="119" w:right="129"/>
        <w:jc w:val="both"/>
        <w:rPr>
          <w:b/>
        </w:rPr>
      </w:pPr>
      <w:r>
        <w:rPr>
          <w:b/>
        </w:rPr>
        <w:t>Objective</w:t>
      </w:r>
      <w:r>
        <w:rPr/>
        <w:t>. Determine the rate of myocardial efficiency in association football players in preseason 2015 in 2600 meters above sea level, Toluca, State  of Mexico</w:t>
      </w:r>
      <w:r>
        <w:rPr>
          <w:b/>
        </w:rPr>
        <w:t>.</w:t>
      </w:r>
    </w:p>
    <w:p>
      <w:pPr>
        <w:pStyle w:val="BodyText"/>
        <w:spacing w:line="360" w:lineRule="auto" w:before="209"/>
        <w:ind w:left="119" w:right="115"/>
        <w:jc w:val="both"/>
      </w:pPr>
      <w:r>
        <w:rPr>
          <w:b/>
        </w:rPr>
        <w:t>Material and methods</w:t>
      </w:r>
      <w:r>
        <w:rPr/>
        <w:t>. measures of central tendency (mean, mode), measures of dispersion as standard deviation and coefficient: observational, descriptive, cross- sectional, retrospective study of 25 soccer players association to 2,600 meters above sea level in the statistical management study used descriptive statistics variation for the rate of myocardial efficiency in association football players in preseason 2015 in 2600 meters above sea level.</w:t>
      </w:r>
    </w:p>
    <w:p>
      <w:pPr>
        <w:pStyle w:val="BodyText"/>
        <w:spacing w:line="360" w:lineRule="auto" w:before="204"/>
        <w:ind w:left="119" w:right="117"/>
        <w:jc w:val="both"/>
      </w:pPr>
      <w:r>
        <w:rPr>
          <w:b/>
        </w:rPr>
        <w:t>Results</w:t>
      </w:r>
      <w:r>
        <w:rPr/>
        <w:t>. The findings obtained in the sample was that the average efficiency rate of myocardial association football players in preseason 2015-2600 meters above sea level is 5.5.</w:t>
      </w:r>
    </w:p>
    <w:p>
      <w:pPr>
        <w:pStyle w:val="BodyText"/>
        <w:spacing w:line="360" w:lineRule="auto" w:before="204"/>
        <w:ind w:left="119" w:right="127"/>
        <w:jc w:val="both"/>
      </w:pPr>
      <w:r>
        <w:rPr>
          <w:b/>
        </w:rPr>
        <w:t>Conclusions</w:t>
      </w:r>
      <w:r>
        <w:rPr/>
        <w:t>. The rate of myocardial efficiency as an indicator that informs us of cardiovascular integrity of the player is suitable for all members of the study group presented a normal optimal value at an average of 5.5 in normal ranges according to the cardiological clinical guidelines North America. The maximum heart rate and blood pressure plays a role an important role in determining the rate of myocardial efficiency, as their underrated values can produce significant changes in determining the index.</w:t>
      </w:r>
    </w:p>
    <w:p>
      <w:pPr>
        <w:spacing w:after="0" w:line="360" w:lineRule="auto"/>
        <w:jc w:val="both"/>
        <w:sectPr>
          <w:pgSz w:w="12240" w:h="15840"/>
          <w:pgMar w:header="0" w:footer="1026" w:top="1360" w:bottom="1220" w:left="1580" w:right="1580"/>
        </w:sectPr>
      </w:pPr>
    </w:p>
    <w:p>
      <w:pPr>
        <w:pStyle w:val="Heading1"/>
        <w:ind w:left="119"/>
        <w:jc w:val="both"/>
      </w:pPr>
      <w:r>
        <w:rPr/>
        <w:t>INTRODUCCIÓN</w:t>
      </w:r>
    </w:p>
    <w:p>
      <w:pPr>
        <w:pStyle w:val="BodyText"/>
        <w:rPr>
          <w:b/>
        </w:rPr>
      </w:pPr>
    </w:p>
    <w:p>
      <w:pPr>
        <w:pStyle w:val="BodyText"/>
        <w:spacing w:before="1"/>
        <w:rPr>
          <w:b/>
          <w:sz w:val="25"/>
        </w:rPr>
      </w:pPr>
    </w:p>
    <w:p>
      <w:pPr>
        <w:pStyle w:val="BodyText"/>
        <w:spacing w:line="360" w:lineRule="auto"/>
        <w:ind w:left="119" w:right="118"/>
        <w:jc w:val="both"/>
      </w:pPr>
      <w:r>
        <w:rPr/>
        <w:t>El presente trabajo tiene </w:t>
      </w:r>
      <w:r>
        <w:rPr>
          <w:spacing w:val="-4"/>
        </w:rPr>
        <w:t>como </w:t>
      </w:r>
      <w:r>
        <w:rPr/>
        <w:t>característica el determinar el índice de eficiencia miocárdica en jugadores profesionales de fútbol asociación, el cual es el deporte </w:t>
      </w:r>
      <w:r>
        <w:rPr>
          <w:spacing w:val="-3"/>
        </w:rPr>
        <w:t>más </w:t>
      </w:r>
      <w:r>
        <w:rPr/>
        <w:t>conocido y famoso del mundo. Donde existen datos de fallecimientos por enfermedad cardiovascular y si comentan en mayor número por ser el </w:t>
      </w:r>
      <w:r>
        <w:rPr>
          <w:spacing w:val="-3"/>
        </w:rPr>
        <w:t>más </w:t>
      </w:r>
      <w:r>
        <w:rPr/>
        <w:t>visto  en televisión y sobretodo recorren las imágenes a través de las redes sociales con gran rapidez e</w:t>
      </w:r>
      <w:r>
        <w:rPr>
          <w:spacing w:val="-6"/>
        </w:rPr>
        <w:t> </w:t>
      </w:r>
      <w:r>
        <w:rPr/>
        <w:t>impacto.</w:t>
      </w:r>
    </w:p>
    <w:p>
      <w:pPr>
        <w:pStyle w:val="BodyText"/>
        <w:spacing w:line="360" w:lineRule="auto" w:before="209"/>
        <w:ind w:left="119" w:right="117"/>
        <w:jc w:val="both"/>
      </w:pPr>
      <w:r>
        <w:rPr/>
        <w:t>El futbolista requiere de una gran integridad cardiovascular y pulmonar, por el tipo de movimientos, sprints, carreras y sobretodo las diferentes condiciones ambientales por las que atraviesa. En México esas condiciones son </w:t>
      </w:r>
      <w:r>
        <w:rPr>
          <w:spacing w:val="-3"/>
        </w:rPr>
        <w:t>muy </w:t>
      </w:r>
      <w:r>
        <w:rPr/>
        <w:t>variadas como: la temperatura, la humedad, la altura, etc. El </w:t>
      </w:r>
      <w:r>
        <w:rPr>
          <w:spacing w:val="-3"/>
        </w:rPr>
        <w:t>cual </w:t>
      </w:r>
      <w:r>
        <w:rPr/>
        <w:t>hace que el fútbol asociación en nuestro país, tenga condiciones variantes para su práctica profesional y sea de cuidado preventivo hacia los jugadores de este deporte y se tenga en cuenta la necesidad del control médico deportivo y que cada vez sea  </w:t>
      </w:r>
      <w:r>
        <w:rPr>
          <w:spacing w:val="-3"/>
        </w:rPr>
        <w:t>más </w:t>
      </w:r>
      <w:r>
        <w:rPr/>
        <w:t>solicitado por quienes practiquen este deporte no solo profesional sino también la población abierta que es </w:t>
      </w:r>
      <w:r>
        <w:rPr>
          <w:spacing w:val="-3"/>
        </w:rPr>
        <w:t>muy </w:t>
      </w:r>
      <w:r>
        <w:rPr/>
        <w:t>amplia en nuestro país y</w:t>
      </w:r>
      <w:r>
        <w:rPr>
          <w:spacing w:val="-9"/>
        </w:rPr>
        <w:t> </w:t>
      </w:r>
      <w:r>
        <w:rPr/>
        <w:t>Latinoamérica.</w:t>
      </w:r>
    </w:p>
    <w:p>
      <w:pPr>
        <w:pStyle w:val="BodyText"/>
        <w:spacing w:line="360" w:lineRule="auto" w:before="209"/>
        <w:ind w:left="119" w:right="119"/>
        <w:jc w:val="both"/>
      </w:pPr>
      <w:r>
        <w:rPr/>
        <w:t>La extensión del cuidado del futbolista profesional cada vez es mayor y profesional, por ello se deben aumentar los parámetros de medida preventiva de estos cuidados médicos para aumentar el costo-beneficio y para el futbolista y sobretodo llevarlo a una participación deportiva </w:t>
      </w:r>
      <w:r>
        <w:rPr>
          <w:spacing w:val="-3"/>
        </w:rPr>
        <w:t>más </w:t>
      </w:r>
      <w:r>
        <w:rPr/>
        <w:t>segura para su vida y sobretodo preventiva para proponer una actividad deportiva eficiente, consiente y adecuada.</w:t>
      </w:r>
    </w:p>
    <w:p>
      <w:pPr>
        <w:spacing w:after="0" w:line="360" w:lineRule="auto"/>
        <w:jc w:val="both"/>
        <w:sectPr>
          <w:pgSz w:w="12240" w:h="15840"/>
          <w:pgMar w:header="0" w:footer="1026" w:top="1360" w:bottom="1220" w:left="1580" w:right="1580"/>
        </w:sectPr>
      </w:pPr>
    </w:p>
    <w:p>
      <w:pPr>
        <w:pStyle w:val="BodyText"/>
        <w:spacing w:before="1"/>
        <w:rPr>
          <w:sz w:val="10"/>
        </w:rPr>
      </w:pPr>
    </w:p>
    <w:p>
      <w:pPr>
        <w:pStyle w:val="Heading1"/>
        <w:numPr>
          <w:ilvl w:val="0"/>
          <w:numId w:val="4"/>
        </w:numPr>
        <w:tabs>
          <w:tab w:pos="317" w:val="left" w:leader="none"/>
        </w:tabs>
        <w:spacing w:line="240" w:lineRule="auto" w:before="69" w:after="0"/>
        <w:ind w:left="316" w:right="0" w:hanging="197"/>
        <w:jc w:val="both"/>
      </w:pPr>
      <w:bookmarkStart w:name="_bookmark1" w:id="4"/>
      <w:bookmarkEnd w:id="4"/>
      <w:r>
        <w:rPr>
          <w:b w:val="0"/>
        </w:rPr>
      </w:r>
      <w:bookmarkStart w:name="_bookmark1" w:id="5"/>
      <w:bookmarkEnd w:id="5"/>
      <w:r>
        <w:rPr/>
        <w:t>M</w:t>
      </w:r>
      <w:r>
        <w:rPr/>
        <w:t>ARCO</w:t>
      </w:r>
      <w:r>
        <w:rPr>
          <w:spacing w:val="-1"/>
        </w:rPr>
        <w:t> </w:t>
      </w:r>
      <w:r>
        <w:rPr/>
        <w:t>TEÓRICO</w:t>
      </w:r>
    </w:p>
    <w:p>
      <w:pPr>
        <w:pStyle w:val="BodyText"/>
        <w:rPr>
          <w:b/>
        </w:rPr>
      </w:pPr>
    </w:p>
    <w:p>
      <w:pPr>
        <w:pStyle w:val="BodyText"/>
        <w:spacing w:before="1"/>
        <w:rPr>
          <w:b/>
          <w:sz w:val="30"/>
        </w:rPr>
      </w:pPr>
    </w:p>
    <w:p>
      <w:pPr>
        <w:pStyle w:val="BodyText"/>
        <w:spacing w:line="360" w:lineRule="auto"/>
        <w:ind w:left="119" w:right="117"/>
        <w:jc w:val="both"/>
      </w:pPr>
      <w:r>
        <w:rPr/>
        <w:t>Uno de los grandes riesgos en la práctica del deporte es el sistema cardiovascular; de ahí la importancia de realizar un tamizaje de los riesgos en el deportista, el contexto de una buena práctica de medicina del deporte es realizar la búsqueda intencionada de factores de riesgo o datos que vean alterada la integridad del deportista.</w:t>
      </w:r>
    </w:p>
    <w:p>
      <w:pPr>
        <w:pStyle w:val="BodyText"/>
        <w:spacing w:line="360" w:lineRule="auto" w:before="166"/>
        <w:ind w:left="119" w:right="126"/>
        <w:jc w:val="both"/>
      </w:pPr>
      <w:r>
        <w:rPr/>
        <w:t>A pesar de que la importancia de la búsqueda intencionada de los factores de riesgo no es muy aceptada por el deportista, entrenadores o dueños de los equipos, ya que el riesgo a veces se minimiza o no se observa un riesgo latente.</w:t>
      </w:r>
    </w:p>
    <w:p>
      <w:pPr>
        <w:pStyle w:val="BodyText"/>
        <w:spacing w:line="360" w:lineRule="auto" w:before="166"/>
        <w:ind w:left="119" w:right="118"/>
        <w:jc w:val="both"/>
      </w:pPr>
      <w:r>
        <w:rPr/>
        <w:t>En estudios publicados se desarrolla como acontecimientos precoces cardiovasculares los que ocurren antes o durante la quinta década de la vida en varones y la sexta en mujeres; sin embargo las lesiones ateroscleróticas iniciales que desembocan en los acontecimientos clínicos son mucho más precoces y pueden evidenciarse en la infancia. (1)</w:t>
      </w:r>
    </w:p>
    <w:p>
      <w:pPr>
        <w:pStyle w:val="BodyText"/>
        <w:spacing w:line="360" w:lineRule="auto" w:before="161"/>
        <w:ind w:left="119" w:right="118"/>
        <w:jc w:val="both"/>
      </w:pPr>
      <w:r>
        <w:rPr/>
        <w:t>Los factores de riesgo incluyendo la genética es parte del cuidado del deportista ya que esta carga no se puede disminuir pero los factores modificables son la  parte fundamental de </w:t>
      </w:r>
      <w:r>
        <w:rPr>
          <w:spacing w:val="-3"/>
        </w:rPr>
        <w:t>manejo </w:t>
      </w:r>
      <w:r>
        <w:rPr/>
        <w:t>preventivo en población sedentaria y deportistas sin menospreciar la edad en menores de 30 años de este grupo selecto de pacientes. La relación entre la presencia de factores de riesgo cardiovascular en la infancia y adolescencia y su mantenimiento en edad adulta, su detección y prevención debe iniciarse tan precozmente como sea</w:t>
      </w:r>
      <w:r>
        <w:rPr>
          <w:spacing w:val="-17"/>
        </w:rPr>
        <w:t> </w:t>
      </w:r>
      <w:r>
        <w:rPr/>
        <w:t>posible.</w:t>
      </w:r>
    </w:p>
    <w:p>
      <w:pPr>
        <w:pStyle w:val="BodyText"/>
        <w:spacing w:line="360" w:lineRule="auto" w:before="161"/>
        <w:ind w:left="119" w:right="120"/>
        <w:jc w:val="both"/>
      </w:pPr>
      <w:r>
        <w:rPr/>
        <w:t>En diversos estudios se manifiesta una correlación entre la morfología de las arterias obtenida en necropsias de niños y los factores de riesgo cardiovascular han permitido demostrar que después de la edad, la dislipidemia (ya sea en forma de aumento de colesterol unido a lipoproteínas de baja densidad o de disminución de colesterol unido a lipoproteínas de alta densidad) es un factor de gran importancia para el desarrollo de la arterioesclerosis entre la segunda y la tercera décadas y en edades posteriores de la vida (2). Esta importancia de los factores</w:t>
      </w:r>
    </w:p>
    <w:p>
      <w:pPr>
        <w:spacing w:after="0" w:line="360" w:lineRule="auto"/>
        <w:jc w:val="both"/>
        <w:sectPr>
          <w:pgSz w:w="12240" w:h="15840"/>
          <w:pgMar w:header="0" w:footer="1026" w:top="1500" w:bottom="1220" w:left="1580" w:right="1580"/>
        </w:sectPr>
      </w:pPr>
    </w:p>
    <w:p>
      <w:pPr>
        <w:pStyle w:val="BodyText"/>
        <w:spacing w:line="362" w:lineRule="auto" w:before="52"/>
        <w:ind w:left="119" w:right="113"/>
        <w:jc w:val="both"/>
      </w:pPr>
      <w:r>
        <w:rPr/>
        <w:t>de riesgo cardiovascular se detalla en diferentes trabajos, epidemiológicos o de intervención, han demostrado que practicar actividad física de forma regular aumenta las concentraciones de cHDL y disminuye las de cLDL y triglicéridos. (3)</w:t>
      </w:r>
    </w:p>
    <w:p>
      <w:pPr>
        <w:pStyle w:val="BodyText"/>
        <w:spacing w:line="360" w:lineRule="auto" w:before="158"/>
        <w:ind w:left="119" w:right="113"/>
        <w:jc w:val="both"/>
      </w:pPr>
      <w:r>
        <w:rPr/>
        <w:t>La relación existente en futbolistas profesionales en múltiples ocasiones los hábitos de salud no se llevan a cabo o no tienen la importancia de ahí que  el riesgo cardiovascular en futbolistas es de importancia preventiva, </w:t>
      </w:r>
      <w:r>
        <w:rPr>
          <w:spacing w:val="-3"/>
        </w:rPr>
        <w:t>ya </w:t>
      </w:r>
      <w:r>
        <w:rPr/>
        <w:t>que la relación entre resistencia vasculares periféricas pueden aumentar sus cifras de presión arterial así como efecto en la frecuencia cardiaca por causas externas al deporte.</w:t>
      </w:r>
    </w:p>
    <w:p>
      <w:pPr>
        <w:pStyle w:val="BodyText"/>
        <w:spacing w:line="360" w:lineRule="auto" w:before="166"/>
        <w:ind w:left="119" w:right="119"/>
        <w:jc w:val="both"/>
      </w:pPr>
      <w:r>
        <w:rPr/>
        <w:t>En México la evaluación morfofuncional generalmente existe solo para el futbolista de primera división de la FEMEXFUT, las demás categorías no tienen la prevención, seguimiento y control médico deportivo esto con lleva a la importancia de conocer los factores de riesgo de los futbolistas porque indiscutiblemente falta de estos datos genera un peligro para la práctica del deporte de alto rendimiento.</w:t>
      </w:r>
    </w:p>
    <w:p>
      <w:pPr>
        <w:pStyle w:val="BodyText"/>
        <w:spacing w:line="360" w:lineRule="auto" w:before="166"/>
        <w:ind w:left="119" w:right="115"/>
        <w:jc w:val="both"/>
      </w:pPr>
      <w:r>
        <w:rPr/>
        <w:t>En nuestro país no hemos desarrollo una cultura cardiovascular en el deportista y desafortunadamente se han producido accidentes cardiovasculares  probablemente prevenibles en el desarrollo de la actividad física y deporte, se han demostrado a través de publicaciones que la patología cardiovascular, al igual que en la población que no practica deporte, es la causa </w:t>
      </w:r>
      <w:r>
        <w:rPr>
          <w:spacing w:val="-3"/>
        </w:rPr>
        <w:t>más </w:t>
      </w:r>
      <w:r>
        <w:rPr/>
        <w:t>frecuente de muerte súbita. Entre el 74% y el 94% de las muertes no traumáticas ocurridas durante la práctica deportiva se deben a causas cardiovasculares.</w:t>
      </w:r>
      <w:r>
        <w:rPr>
          <w:spacing w:val="-16"/>
        </w:rPr>
        <w:t> </w:t>
      </w:r>
      <w:r>
        <w:rPr/>
        <w:t>(4)</w:t>
      </w:r>
    </w:p>
    <w:p>
      <w:pPr>
        <w:pStyle w:val="BodyText"/>
        <w:spacing w:line="360" w:lineRule="auto" w:before="166"/>
        <w:ind w:left="119" w:right="114"/>
        <w:jc w:val="both"/>
      </w:pPr>
      <w:r>
        <w:rPr/>
        <w:t>Un reto mayor de conocer los factores de riesgo en el futbol profesional en México, es el inicio tan temprano de los jugadores ya que se presentan en condiciones de edad alrededor de los 3 y 4 años de edad y de ahí sin tener un control médico en ocasiones hasta las edades de la adolescencia y si el equipo tiene a bien realizar pruebas intencionadas para realizar un tamizaje cardiovascular  principalmente para la prevención y búsqueda de anomalías cardiovasculares. Un dato importante únicamente en muerte súbita relacionada con la edad mencionan artículos que la prevalencia de la muerte súbita durante la actividad deportiva y en los menores de 35 años el riesgo es excepcionalmente pequeño y se estima una incidencia de</w:t>
      </w:r>
    </w:p>
    <w:p>
      <w:pPr>
        <w:spacing w:after="0" w:line="360" w:lineRule="auto"/>
        <w:jc w:val="both"/>
        <w:sectPr>
          <w:footerReference w:type="default" r:id="rId7"/>
          <w:pgSz w:w="12240" w:h="15840"/>
          <w:pgMar w:footer="966" w:header="0" w:top="1360" w:bottom="1160" w:left="1580" w:right="1580"/>
          <w:pgNumType w:start="9"/>
        </w:sectPr>
      </w:pPr>
    </w:p>
    <w:p>
      <w:pPr>
        <w:pStyle w:val="BodyText"/>
        <w:spacing w:line="360" w:lineRule="auto" w:before="52"/>
        <w:ind w:left="119" w:right="131"/>
        <w:jc w:val="both"/>
      </w:pPr>
      <w:r>
        <w:rPr/>
        <w:t>1/200,000/año, mientras que en los mayores de 35 años el riesgo de sufrir una muerte súbita se estima en 1/18,000/año. (5)</w:t>
      </w:r>
    </w:p>
    <w:p>
      <w:pPr>
        <w:pStyle w:val="BodyText"/>
        <w:spacing w:line="360" w:lineRule="auto" w:before="166"/>
        <w:ind w:left="119" w:right="119"/>
        <w:jc w:val="both"/>
      </w:pPr>
      <w:r>
        <w:rPr/>
        <w:t>En los últimos 30 años se ha demostrado que la enfermedad coronaria y sus complicaciones se asocian con una variedad de marcadores de riesgo. En el estudio de Framingham se detallan después de su realización los factores de riesgos primarios y secundarios para la enfermedad coronaria. Dentro de estos se reconocen factores:</w:t>
      </w:r>
    </w:p>
    <w:p>
      <w:pPr>
        <w:pStyle w:val="ListParagraph"/>
        <w:numPr>
          <w:ilvl w:val="1"/>
          <w:numId w:val="4"/>
        </w:numPr>
        <w:tabs>
          <w:tab w:pos="841" w:val="left" w:leader="none"/>
        </w:tabs>
        <w:spacing w:line="240" w:lineRule="auto" w:before="166" w:after="0"/>
        <w:ind w:left="840" w:right="0" w:hanging="360"/>
        <w:jc w:val="left"/>
        <w:rPr>
          <w:sz w:val="24"/>
        </w:rPr>
      </w:pPr>
      <w:r>
        <w:rPr>
          <w:sz w:val="24"/>
        </w:rPr>
        <w:t>Factores genéticos (no modificables): herencia, edad, sexo,</w:t>
      </w:r>
      <w:r>
        <w:rPr>
          <w:spacing w:val="-30"/>
          <w:sz w:val="24"/>
        </w:rPr>
        <w:t> </w:t>
      </w:r>
      <w:r>
        <w:rPr>
          <w:sz w:val="24"/>
        </w:rPr>
        <w:t>etc.</w:t>
      </w:r>
    </w:p>
    <w:p>
      <w:pPr>
        <w:pStyle w:val="ListParagraph"/>
        <w:numPr>
          <w:ilvl w:val="1"/>
          <w:numId w:val="4"/>
        </w:numPr>
        <w:tabs>
          <w:tab w:pos="841" w:val="left" w:leader="none"/>
        </w:tabs>
        <w:spacing w:line="360" w:lineRule="auto" w:before="137" w:after="0"/>
        <w:ind w:left="840" w:right="127" w:hanging="360"/>
        <w:jc w:val="left"/>
        <w:rPr>
          <w:sz w:val="24"/>
        </w:rPr>
      </w:pPr>
      <w:r>
        <w:rPr>
          <w:sz w:val="24"/>
        </w:rPr>
        <w:t>Factores del comportamiento (modificables): alimentación, tabaquismo, vida sedentaria,</w:t>
      </w:r>
      <w:r>
        <w:rPr>
          <w:spacing w:val="-3"/>
          <w:sz w:val="24"/>
        </w:rPr>
        <w:t> </w:t>
      </w:r>
      <w:r>
        <w:rPr>
          <w:sz w:val="24"/>
        </w:rPr>
        <w:t>etc.</w:t>
      </w:r>
    </w:p>
    <w:p>
      <w:pPr>
        <w:pStyle w:val="BodyText"/>
        <w:tabs>
          <w:tab w:pos="1981" w:val="left" w:leader="none"/>
          <w:tab w:pos="3645" w:val="left" w:leader="none"/>
          <w:tab w:pos="5342" w:val="left" w:leader="none"/>
          <w:tab w:pos="6924" w:val="left" w:leader="none"/>
          <w:tab w:pos="7945" w:val="left" w:leader="none"/>
        </w:tabs>
        <w:spacing w:line="360" w:lineRule="auto" w:before="2"/>
        <w:ind w:left="825" w:right="121"/>
      </w:pPr>
      <w:r>
        <w:rPr/>
        <w:t>Factores</w:t>
        <w:tab/>
        <w:t>aterogénicos:</w:t>
        <w:tab/>
        <w:t>Dislipidemias,</w:t>
        <w:tab/>
        <w:t>Hipertensión</w:t>
        <w:tab/>
        <w:t>arterial,</w:t>
        <w:tab/>
      </w:r>
      <w:r>
        <w:rPr>
          <w:spacing w:val="-1"/>
        </w:rPr>
        <w:t>Diabetes, </w:t>
      </w:r>
      <w:r>
        <w:rPr/>
        <w:t>Obesidad,</w:t>
      </w:r>
      <w:r>
        <w:rPr>
          <w:spacing w:val="-3"/>
        </w:rPr>
        <w:t> </w:t>
      </w:r>
      <w:r>
        <w:rPr/>
        <w:t>etc.</w:t>
      </w:r>
    </w:p>
    <w:p>
      <w:pPr>
        <w:pStyle w:val="BodyText"/>
      </w:pPr>
    </w:p>
    <w:p>
      <w:pPr>
        <w:pStyle w:val="BodyText"/>
      </w:pPr>
    </w:p>
    <w:p>
      <w:pPr>
        <w:pStyle w:val="BodyText"/>
        <w:spacing w:before="9"/>
        <w:rPr>
          <w:sz w:val="22"/>
        </w:rPr>
      </w:pPr>
    </w:p>
    <w:p>
      <w:pPr>
        <w:pStyle w:val="Heading1"/>
        <w:numPr>
          <w:ilvl w:val="0"/>
          <w:numId w:val="5"/>
        </w:numPr>
        <w:tabs>
          <w:tab w:pos="437" w:val="left" w:leader="none"/>
        </w:tabs>
        <w:spacing w:line="240" w:lineRule="auto" w:before="0" w:after="0"/>
        <w:ind w:left="437" w:right="0" w:hanging="318"/>
        <w:jc w:val="both"/>
      </w:pPr>
      <w:bookmarkStart w:name="_bookmark2" w:id="6"/>
      <w:bookmarkEnd w:id="6"/>
      <w:r>
        <w:rPr>
          <w:b w:val="0"/>
        </w:rPr>
      </w:r>
      <w:bookmarkStart w:name="_bookmark2" w:id="7"/>
      <w:bookmarkEnd w:id="7"/>
      <w:r>
        <w:rPr/>
        <w:t>E</w:t>
      </w:r>
      <w:r>
        <w:rPr/>
        <w:t>structura del</w:t>
      </w:r>
      <w:r>
        <w:rPr>
          <w:spacing w:val="-10"/>
        </w:rPr>
        <w:t> </w:t>
      </w:r>
      <w:r>
        <w:rPr/>
        <w:t>corazón.</w:t>
      </w:r>
    </w:p>
    <w:p>
      <w:pPr>
        <w:pStyle w:val="BodyText"/>
        <w:spacing w:line="360" w:lineRule="auto" w:before="45"/>
        <w:ind w:left="119" w:right="122"/>
        <w:jc w:val="both"/>
      </w:pPr>
      <w:r>
        <w:rPr/>
        <w:t>Es de suma importancia conocer la estructura del corazón, ya que el ejercicio predominantemente aeróbico presenta cambios en las paredes del mismo el cual está dado por las principales leyes fisiológicas que rigen la fisiología cardiaca: la ley de Frank-Starling y la ley de la Laplace que mejoran la  eficiencia cardiovascular a quien realiza ejercicio y por consiguiente sufren cambios a nivel de la estructura del corazón.</w:t>
      </w:r>
    </w:p>
    <w:p>
      <w:pPr>
        <w:pStyle w:val="BodyText"/>
        <w:spacing w:line="355" w:lineRule="auto" w:before="209"/>
        <w:ind w:left="119" w:right="118"/>
        <w:jc w:val="both"/>
      </w:pPr>
      <w:r>
        <w:rPr/>
        <w:t>De acuerdo a la bibliografía y estudiado el corazón </w:t>
      </w:r>
      <w:r>
        <w:rPr>
          <w:spacing w:val="3"/>
        </w:rPr>
        <w:t>de </w:t>
      </w:r>
      <w:r>
        <w:rPr/>
        <w:t>adentro hacia fuera presenta las siguientes</w:t>
      </w:r>
      <w:r>
        <w:rPr>
          <w:spacing w:val="-12"/>
        </w:rPr>
        <w:t> </w:t>
      </w:r>
      <w:r>
        <w:rPr/>
        <w:t>etapas:</w:t>
      </w:r>
    </w:p>
    <w:p>
      <w:pPr>
        <w:pStyle w:val="BodyText"/>
        <w:spacing w:line="360" w:lineRule="auto" w:before="215"/>
        <w:ind w:left="119" w:right="117"/>
        <w:jc w:val="both"/>
      </w:pPr>
      <w:r>
        <w:rPr/>
        <w:t>El endocardio, una membrana serosa de endotelio y tejido conectivo de revestimiento interno, con la cual entra en contacto con la sangre, incluye fibras musculares especializadas, las cuales se denominan fibras de Purkinje. En su estructura encontramos las trabéculas carnosas, que dan resistencia para aumentar la contracción del corazón.</w:t>
      </w:r>
    </w:p>
    <w:p>
      <w:pPr>
        <w:spacing w:after="0" w:line="360" w:lineRule="auto"/>
        <w:jc w:val="both"/>
        <w:sectPr>
          <w:pgSz w:w="12240" w:h="15840"/>
          <w:pgMar w:header="0" w:footer="966" w:top="1360" w:bottom="1220" w:left="1580" w:right="1580"/>
        </w:sectPr>
      </w:pPr>
    </w:p>
    <w:p>
      <w:pPr>
        <w:pStyle w:val="BodyText"/>
        <w:spacing w:line="360" w:lineRule="auto" w:before="52"/>
        <w:ind w:left="119" w:right="107"/>
        <w:jc w:val="both"/>
      </w:pPr>
      <w:r>
        <w:rPr/>
        <w:t>El miocardio, una masa muscular contráctil, es el musculo cardiaco propiamente dicho; encargado de impulsar la sangre por el cuerpo mediante la contracción. Encontramos capa de tejido conectivo, capilares sanguíneos, capilares linfáticos y fibras nerviosas. El miocardio está compuesto por células especializadas que cuentan con una capacidad que no tiene ningún otro tipo de tejido muscular del resto del cuerpo. (6)</w:t>
      </w:r>
    </w:p>
    <w:p>
      <w:pPr>
        <w:pStyle w:val="BodyText"/>
        <w:spacing w:line="360" w:lineRule="auto" w:before="209"/>
        <w:ind w:left="119" w:right="100"/>
        <w:jc w:val="both"/>
      </w:pPr>
      <w:r>
        <w:rPr/>
        <w:t>El musculo cardíaco, como otros músculos, llevan a cabo un potencial de acción (conducción eléctrica) similar al de las neuronas. Algunas de las células tienen la capacidad de generar un potencial de acción, conocido como automaticidad del musculo cardíaco. La irrigación sanguínea del miocardio es llevada a cabo por las arterias coronarias, ya que el corazón no puede nutrirse directamente de la sangre que circula a través de él a gran velocidad.</w:t>
      </w:r>
    </w:p>
    <w:p>
      <w:pPr>
        <w:pStyle w:val="BodyText"/>
        <w:spacing w:line="360" w:lineRule="auto" w:before="204"/>
        <w:ind w:left="119" w:right="110"/>
        <w:jc w:val="both"/>
      </w:pPr>
      <w:r>
        <w:rPr/>
        <w:t>El epicardio, es una capa fina serosa mesotelial que envuelve al corazón llevando consigo capilares y fibras nerviosas. Esta capa se considera como parte del pericardio seroso. (7)</w:t>
      </w:r>
    </w:p>
    <w:p>
      <w:pPr>
        <w:pStyle w:val="BodyText"/>
      </w:pPr>
    </w:p>
    <w:p>
      <w:pPr>
        <w:pStyle w:val="BodyText"/>
      </w:pPr>
    </w:p>
    <w:p>
      <w:pPr>
        <w:pStyle w:val="Heading1"/>
        <w:numPr>
          <w:ilvl w:val="0"/>
          <w:numId w:val="5"/>
        </w:numPr>
        <w:tabs>
          <w:tab w:pos="442" w:val="left" w:leader="none"/>
        </w:tabs>
        <w:spacing w:line="240" w:lineRule="auto" w:before="166" w:after="0"/>
        <w:ind w:left="441" w:right="0" w:hanging="322"/>
        <w:jc w:val="both"/>
      </w:pPr>
      <w:bookmarkStart w:name="_bookmark3" w:id="8"/>
      <w:bookmarkEnd w:id="8"/>
      <w:r>
        <w:rPr/>
        <w:t>F</w:t>
      </w:r>
      <w:r>
        <w:rPr/>
        <w:t>isiología</w:t>
      </w:r>
      <w:r>
        <w:rPr>
          <w:spacing w:val="-7"/>
        </w:rPr>
        <w:t> </w:t>
      </w:r>
      <w:r>
        <w:rPr/>
        <w:t>cardiaca</w:t>
      </w:r>
    </w:p>
    <w:p>
      <w:pPr>
        <w:pStyle w:val="BodyText"/>
        <w:spacing w:line="360" w:lineRule="auto" w:before="50"/>
        <w:ind w:left="119" w:right="99"/>
        <w:jc w:val="both"/>
      </w:pPr>
      <w:r>
        <w:rPr/>
        <w:t>La importancia de conocer el proceso de la fisiología cardiaca es imaginar el funcionamiento del corazón en movimiento del mismo y aunado a un proceso que es el ejercicio más las sumas de todas las cargas metabólicas y neurológicas que bien se conoce conceptos en el ejercicio de una tormenta o catástrofe metabólica que muchos de los deportistas de alto rendimiento lo experimentan.</w:t>
      </w:r>
    </w:p>
    <w:p>
      <w:pPr>
        <w:pStyle w:val="BodyText"/>
        <w:spacing w:line="360" w:lineRule="auto" w:before="209"/>
        <w:ind w:left="119" w:right="98"/>
        <w:jc w:val="both"/>
      </w:pPr>
      <w:r>
        <w:rPr/>
        <w:t>El músculo cardiaco es miogénico. Necesita de un estímulo consiente o reflejo, el músculo cardiaco presenta excitación autónoma. Las contracciones son rítmicas y se producen espontáneamente, así como su frecuencia puede ser afectada por influencias nerviosas u hormonales, ocasionadas por estímulos como el ejercicio físico o la percepción de peligro o la relación de muerte eminente esta llamada atención de los procesos cardiovasculares se maneja por la relación de una acción o podríamos decir que es la activación de todo un sistema.</w:t>
      </w:r>
    </w:p>
    <w:p>
      <w:pPr>
        <w:spacing w:after="0" w:line="360" w:lineRule="auto"/>
        <w:jc w:val="both"/>
        <w:sectPr>
          <w:pgSz w:w="12240" w:h="15840"/>
          <w:pgMar w:header="0" w:footer="966" w:top="1360" w:bottom="1220" w:left="1580" w:right="1600"/>
        </w:sectPr>
      </w:pPr>
    </w:p>
    <w:p>
      <w:pPr>
        <w:pStyle w:val="BodyText"/>
        <w:spacing w:line="360" w:lineRule="auto" w:before="52"/>
        <w:ind w:left="119" w:right="123"/>
        <w:jc w:val="both"/>
      </w:pPr>
      <w:r>
        <w:rPr/>
        <w:t>La estimulación del corazón está coordinado por el sistema nervioso autónomo, tanto por parte del sistema nervioso simpático (cronotropismo e inotropismo positivo) como el parasimpático (cronotropismo e inotropismo negativo). (8)</w:t>
      </w:r>
    </w:p>
    <w:p>
      <w:pPr>
        <w:pStyle w:val="BodyText"/>
        <w:spacing w:line="360" w:lineRule="auto" w:before="209"/>
        <w:ind w:left="119" w:right="114"/>
        <w:jc w:val="both"/>
      </w:pPr>
      <w:r>
        <w:rPr/>
        <w:t>La secuencia de las contracciones está producida por la despolarización del nodo sinusal o nodo de Keith-Flack, situado en la pared superior de la aurícula derecha. La corriente eléctrica producida </w:t>
      </w:r>
      <w:r>
        <w:rPr>
          <w:spacing w:val="-3"/>
        </w:rPr>
        <w:t>se </w:t>
      </w:r>
      <w:r>
        <w:rPr/>
        <w:t>transmite a lo largo de las aurículas y pasa a  los ventrículos por el nodo auriculoventricular situado en la unión entre los dos ventrículos, formado por fibras especializadas. El nodo auriculo ventricular </w:t>
      </w:r>
      <w:r>
        <w:rPr>
          <w:spacing w:val="3"/>
        </w:rPr>
        <w:t>sirve </w:t>
      </w:r>
      <w:r>
        <w:rPr/>
        <w:t>para filtrar la actividad demasiado rápida de las aurículas. Del nodo auriculoventricular se transmite la corriente al fascículo de HIS, que se distribuye a los dos ventrículos.</w:t>
      </w:r>
      <w:r>
        <w:rPr>
          <w:spacing w:val="-5"/>
        </w:rPr>
        <w:t> </w:t>
      </w:r>
      <w:r>
        <w:rPr/>
        <w:t>(9)</w:t>
      </w:r>
    </w:p>
    <w:p>
      <w:pPr>
        <w:pStyle w:val="BodyText"/>
        <w:spacing w:line="360" w:lineRule="auto" w:before="209"/>
        <w:ind w:left="119" w:right="121"/>
        <w:jc w:val="both"/>
      </w:pPr>
      <w:r>
        <w:rPr/>
        <w:t>El musculo cardiaco tiene cuatro propiedades fundamentales: automatismo o cronotropismo, conductibilidad o dromotropismo, excitabilidad o bathmotropismo y contractilidad o ionotropismo. Estas propiedades dependen del metabolismo aeróbico y emergentemente anaeróbico con la consiguiente transferencia de iones a través de la fibra miocárdica, durante sus estados de acción, recuperación y reposo. Las diversas concentraciones de iones se producen en uno y otro lado de la membrana de la fibra miocárdica, con las consiguientes diferencias de potencial eléctrico, conocido como potencial transmemebrana, que tiene tres fases sucesivas: el potencial de reposo, el de acción y el de recuperación, correspondiendo el primero a la diástole y los otros a la sístole.</w:t>
      </w:r>
    </w:p>
    <w:p>
      <w:pPr>
        <w:pStyle w:val="BodyText"/>
        <w:spacing w:line="360" w:lineRule="auto" w:before="209"/>
        <w:ind w:left="119" w:right="114"/>
        <w:jc w:val="both"/>
      </w:pPr>
      <w:r>
        <w:rPr/>
        <w:t>El corazón es el órgano que impulsa la sangre por el sistema circulatorio. </w:t>
      </w:r>
      <w:r>
        <w:rPr>
          <w:spacing w:val="4"/>
        </w:rPr>
        <w:t>Cada </w:t>
      </w:r>
      <w:r>
        <w:rPr/>
        <w:t>una de las partes de que consta, desempeña un papel especial en la producción y la utilización de su contracción. En su accionar mecánico hay sendas de bombas impelentes en paralelo, una para la circulación sistémica, la izquierda y otra para  la circulación pulmonar.</w:t>
      </w:r>
      <w:r>
        <w:rPr>
          <w:spacing w:val="-8"/>
        </w:rPr>
        <w:t> </w:t>
      </w:r>
      <w:r>
        <w:rPr/>
        <w:t>(10)</w:t>
      </w:r>
    </w:p>
    <w:p>
      <w:pPr>
        <w:spacing w:after="0" w:line="360" w:lineRule="auto"/>
        <w:jc w:val="both"/>
        <w:sectPr>
          <w:pgSz w:w="12240" w:h="15840"/>
          <w:pgMar w:header="0" w:footer="966" w:top="1360" w:bottom="1220" w:left="1580" w:right="1580"/>
        </w:sectPr>
      </w:pPr>
    </w:p>
    <w:p>
      <w:pPr>
        <w:pStyle w:val="Heading1"/>
        <w:numPr>
          <w:ilvl w:val="0"/>
          <w:numId w:val="5"/>
        </w:numPr>
        <w:tabs>
          <w:tab w:pos="442" w:val="left" w:leader="none"/>
        </w:tabs>
        <w:spacing w:line="240" w:lineRule="auto" w:before="47" w:after="0"/>
        <w:ind w:left="441" w:right="0" w:hanging="322"/>
        <w:jc w:val="both"/>
      </w:pPr>
      <w:bookmarkStart w:name="_bookmark4" w:id="9"/>
      <w:bookmarkEnd w:id="9"/>
      <w:r>
        <w:rPr>
          <w:b w:val="0"/>
        </w:rPr>
      </w:r>
      <w:bookmarkStart w:name="_bookmark4" w:id="10"/>
      <w:bookmarkEnd w:id="10"/>
      <w:r>
        <w:rPr/>
        <w:t>Ne</w:t>
      </w:r>
      <w:r>
        <w:rPr/>
        <w:t>cesidades fisiológicas del</w:t>
      </w:r>
      <w:r>
        <w:rPr>
          <w:spacing w:val="-23"/>
        </w:rPr>
        <w:t> </w:t>
      </w:r>
      <w:r>
        <w:rPr/>
        <w:t>corazón</w:t>
      </w:r>
    </w:p>
    <w:p>
      <w:pPr>
        <w:pStyle w:val="BodyText"/>
        <w:spacing w:line="360" w:lineRule="auto" w:before="45"/>
        <w:ind w:left="119" w:right="120"/>
        <w:jc w:val="both"/>
      </w:pPr>
      <w:r>
        <w:rPr/>
        <w:t>El corazón mantiene contracciones continuadas y rítmicas en condiciones específicas, de ahí el líquido de perfusión debe contener oxígeno, mantener una temperatura corporal y tener una presión arterial definida. El consumo de oxigeno por hora del corazón aislado es de aproximadamente 3.24 ml/g del órgano en condiciones similares a las existentes en reposo. Temperaturas más elevadas un ejemplo el ejercicio se tolera y pueden causar variaciones proporcionales en el ritmo cardiaco.</w:t>
      </w:r>
    </w:p>
    <w:p>
      <w:pPr>
        <w:pStyle w:val="BodyText"/>
        <w:spacing w:line="360" w:lineRule="auto" w:before="209"/>
        <w:ind w:left="119" w:right="117"/>
        <w:jc w:val="both"/>
      </w:pPr>
      <w:r>
        <w:rPr/>
        <w:t>Es importante la composición del líquido para mantener el corazón vivo. El calcio en exceso o en concentración normal, pero con ausencia de potasio, aumenta la duración de la sístole y detiene al corazón en esta fase conocido como rigor cálcico. </w:t>
      </w:r>
      <w:r>
        <w:rPr>
          <w:spacing w:val="-4"/>
        </w:rPr>
        <w:t>El </w:t>
      </w:r>
      <w:r>
        <w:rPr/>
        <w:t>potasio en exceso o en concentración normal, en ausencia de calcio, aumenta la duración de la diástole y posteriormente detiene al corazón en esta fase conocida como inhibición potásica. Un aumento en la alcalinidad actúa igual a un exceso de potasio. Como la concentración de sodio resulta indispensable en el líquido de perfusión se debe tener que haya una perfecta relación entre el calcio,  el potasio y el sodio para que se mantenga en buen funcionamiento el miocardio. El dióxido de carbono tiene una acción compleja el donde </w:t>
      </w:r>
      <w:r>
        <w:rPr>
          <w:spacing w:val="-3"/>
        </w:rPr>
        <w:t>si </w:t>
      </w:r>
      <w:r>
        <w:rPr/>
        <w:t>tiene un exceso de dióxido de carbono actúa sobre el miocardio deprimiendo el automatismo y la conductibilidad por el contrario, una concentración insuficiente tiende a acortar la diástole, hacerla incompleta y disminuir el gasto cardiaco.</w:t>
      </w:r>
      <w:r>
        <w:rPr>
          <w:spacing w:val="-16"/>
        </w:rPr>
        <w:t> </w:t>
      </w:r>
      <w:r>
        <w:rPr/>
        <w:t>(11)</w:t>
      </w:r>
    </w:p>
    <w:p>
      <w:pPr>
        <w:pStyle w:val="BodyText"/>
      </w:pPr>
    </w:p>
    <w:p>
      <w:pPr>
        <w:pStyle w:val="BodyText"/>
      </w:pPr>
    </w:p>
    <w:p>
      <w:pPr>
        <w:pStyle w:val="Heading1"/>
        <w:numPr>
          <w:ilvl w:val="0"/>
          <w:numId w:val="5"/>
        </w:numPr>
        <w:tabs>
          <w:tab w:pos="442" w:val="left" w:leader="none"/>
        </w:tabs>
        <w:spacing w:line="240" w:lineRule="auto" w:before="166" w:after="0"/>
        <w:ind w:left="441" w:right="0" w:hanging="322"/>
        <w:jc w:val="both"/>
      </w:pPr>
      <w:bookmarkStart w:name="_bookmark5" w:id="11"/>
      <w:bookmarkEnd w:id="11"/>
      <w:r>
        <w:rPr>
          <w:b w:val="0"/>
        </w:rPr>
      </w:r>
      <w:bookmarkStart w:name="_bookmark5" w:id="12"/>
      <w:bookmarkEnd w:id="12"/>
      <w:r>
        <w:rPr/>
        <w:t>P</w:t>
      </w:r>
      <w:r>
        <w:rPr/>
        <w:t>resión arterial</w:t>
      </w:r>
      <w:r>
        <w:rPr>
          <w:spacing w:val="-12"/>
        </w:rPr>
        <w:t> </w:t>
      </w:r>
      <w:r>
        <w:rPr/>
        <w:t>sistémica</w:t>
      </w:r>
    </w:p>
    <w:p>
      <w:pPr>
        <w:pStyle w:val="BodyText"/>
        <w:spacing w:line="360" w:lineRule="auto" w:before="46"/>
        <w:ind w:left="119" w:right="123"/>
        <w:jc w:val="both"/>
      </w:pPr>
      <w:r>
        <w:rPr/>
        <w:t>El sistema arterial se encuentra constituido por todo el conjunto de arterias y arteriolas, tanto en la circulación sistémica como en la pulmonar  sus características estructurales de las arterias permiten su adaptación a la presión ventricular. La presión ejercida por el ventrículo izquierdo durante la sístole se transmite a todo el árbol circulatorio prácticamente sin decremento y se denomina presión sistólica o máxima.</w:t>
      </w:r>
    </w:p>
    <w:p>
      <w:pPr>
        <w:spacing w:after="0" w:line="360" w:lineRule="auto"/>
        <w:jc w:val="both"/>
        <w:sectPr>
          <w:pgSz w:w="12240" w:h="15840"/>
          <w:pgMar w:header="0" w:footer="966" w:top="1360" w:bottom="1220" w:left="1580" w:right="1580"/>
        </w:sectPr>
      </w:pPr>
    </w:p>
    <w:p>
      <w:pPr>
        <w:pStyle w:val="BodyText"/>
        <w:spacing w:line="360" w:lineRule="auto" w:before="52"/>
        <w:ind w:left="119" w:right="125"/>
        <w:jc w:val="both"/>
      </w:pPr>
      <w:r>
        <w:rPr/>
        <w:t>La estructura histológica de los vasos explica las características viscoelasticas de la circulación de la sangre por la red de vasos que constituyen tanto el sistema de alta presión como el de baja presión. (12)</w:t>
      </w:r>
    </w:p>
    <w:p>
      <w:pPr>
        <w:pStyle w:val="BodyText"/>
        <w:spacing w:line="357" w:lineRule="auto" w:before="209"/>
        <w:ind w:left="119" w:right="117"/>
        <w:jc w:val="both"/>
      </w:pPr>
      <w:r>
        <w:rPr/>
        <w:t>La capa media está constituida por decenas de láminas elásticas en disposición concéntrica mezcladas con fibras de colágeno y fibras musculares lisas, la proporción de tejido muscular elástico explica la capacidad de mantener la presión constante a lo largo del sistema arterial.</w:t>
      </w:r>
    </w:p>
    <w:p>
      <w:pPr>
        <w:pStyle w:val="BodyText"/>
        <w:spacing w:line="360" w:lineRule="auto" w:before="212"/>
        <w:ind w:left="119" w:right="122"/>
        <w:jc w:val="both"/>
      </w:pPr>
      <w:r>
        <w:rPr/>
        <w:t>La onda de presión arterial en la circulación mayor tiene una rama ascendente y otra descendente, que presenta una “melladura” denominada incisura dícrota y que corresponde al cierre de la válvula</w:t>
      </w:r>
      <w:r>
        <w:rPr>
          <w:spacing w:val="-22"/>
        </w:rPr>
        <w:t> </w:t>
      </w:r>
      <w:r>
        <w:rPr/>
        <w:t>aórtica.</w:t>
      </w:r>
    </w:p>
    <w:p>
      <w:pPr>
        <w:pStyle w:val="BodyText"/>
        <w:spacing w:line="360" w:lineRule="auto" w:before="209"/>
        <w:ind w:left="119" w:right="114"/>
        <w:jc w:val="both"/>
      </w:pPr>
      <w:r>
        <w:rPr/>
        <w:t>La diferencia entre ambos parámetros se denomina “la presión del pulso” mientras que el valor medio es la presión media. La presión media se calcula integrando el área de la curva de presión en relación al intervalo de tiempo. La onda del pulso, tiene carácter sinusoidal y puede analizarse mediante el “análisis de Fourier” que consiste en la descomposición de la onda en múltiples ondas de amplitud, frecuencia y fase. (13)</w:t>
      </w:r>
    </w:p>
    <w:p>
      <w:pPr>
        <w:pStyle w:val="BodyText"/>
        <w:spacing w:line="360" w:lineRule="auto" w:before="209"/>
        <w:ind w:left="119" w:right="129"/>
        <w:jc w:val="both"/>
      </w:pPr>
      <w:r>
        <w:rPr/>
        <w:t>La aplicación a la ley de la Laplace a los vasos sanguíneos, determina que la tensión en la pared es igual a la presión que tiende a distender el vaso  multiplicado por el radio del mismo, los vasos sanguíneos no son absolutamente elásticos, se </w:t>
      </w:r>
      <w:r>
        <w:rPr>
          <w:spacing w:val="-3"/>
        </w:rPr>
        <w:t>forma </w:t>
      </w:r>
      <w:r>
        <w:rPr/>
        <w:t>una distorsión de la onda del pulso, esto es por las presencias de elasticidad-distensibilidad no</w:t>
      </w:r>
      <w:r>
        <w:rPr>
          <w:spacing w:val="-17"/>
        </w:rPr>
        <w:t> </w:t>
      </w:r>
      <w:r>
        <w:rPr/>
        <w:t>uniforme.</w:t>
      </w:r>
    </w:p>
    <w:p>
      <w:pPr>
        <w:pStyle w:val="BodyText"/>
        <w:spacing w:line="360" w:lineRule="auto" w:before="209"/>
        <w:ind w:left="119" w:right="114"/>
        <w:jc w:val="both"/>
      </w:pPr>
      <w:r>
        <w:rPr/>
        <w:t>La determinación de la presión arterial </w:t>
      </w:r>
      <w:r>
        <w:rPr>
          <w:spacing w:val="-3"/>
        </w:rPr>
        <w:t>se </w:t>
      </w:r>
      <w:r>
        <w:rPr/>
        <w:t>realiza por métodos directos e  indirectos. El método directo consiste en introducir un catéter en las arterias conectado a traductores de presión mecánicos o eléctricos, el método indirecto consiste en la localización de una arteria periférica, de preferencia la arterial humeral en ambos brazos y mediante un brazalete o manguito, que rodea el brazo que se ejerce presión a través de un sistema neumático que introduce aire en el interior   del   mismo  y  realiza  mediciones  al   contacto  y  golpe  de  los    </w:t>
      </w:r>
      <w:r>
        <w:rPr>
          <w:spacing w:val="2"/>
        </w:rPr>
        <w:t> </w:t>
      </w:r>
      <w:r>
        <w:rPr/>
        <w:t>vasos</w:t>
      </w:r>
    </w:p>
    <w:p>
      <w:pPr>
        <w:spacing w:after="0" w:line="360" w:lineRule="auto"/>
        <w:jc w:val="both"/>
        <w:sectPr>
          <w:pgSz w:w="12240" w:h="15840"/>
          <w:pgMar w:header="0" w:footer="966" w:top="1360" w:bottom="1220" w:left="1580" w:right="1580"/>
        </w:sectPr>
      </w:pPr>
    </w:p>
    <w:p>
      <w:pPr>
        <w:pStyle w:val="BodyText"/>
        <w:spacing w:line="355" w:lineRule="auto" w:before="52"/>
        <w:ind w:left="119" w:right="121"/>
        <w:jc w:val="both"/>
      </w:pPr>
      <w:r>
        <w:rPr/>
        <w:t>sanguíneos creando un resistencia vascular periférica artificial este proceso amerita entrenamiento para la mejor técnica a realizar.</w:t>
      </w:r>
    </w:p>
    <w:p>
      <w:pPr>
        <w:pStyle w:val="BodyText"/>
        <w:spacing w:before="215"/>
        <w:ind w:left="119"/>
        <w:jc w:val="both"/>
      </w:pPr>
      <w:r>
        <w:rPr/>
        <w:t>Los valores de presión normal registradas son de 120 mmHg para la sistólica y  de</w:t>
      </w:r>
    </w:p>
    <w:p>
      <w:pPr>
        <w:pStyle w:val="BodyText"/>
        <w:spacing w:line="355" w:lineRule="auto" w:before="141"/>
        <w:ind w:left="119" w:right="114"/>
        <w:jc w:val="both"/>
      </w:pPr>
      <w:r>
        <w:rPr/>
        <w:t>80 mmHg para la presión diastólica, la variabilidad de los valores de presión arterial </w:t>
      </w:r>
      <w:r>
        <w:rPr>
          <w:spacing w:val="-3"/>
        </w:rPr>
        <w:t>se </w:t>
      </w:r>
      <w:r>
        <w:rPr/>
        <w:t>determina por los siguientes</w:t>
      </w:r>
      <w:r>
        <w:rPr>
          <w:spacing w:val="-10"/>
        </w:rPr>
        <w:t> </w:t>
      </w:r>
      <w:r>
        <w:rPr/>
        <w:t>factores:</w:t>
      </w:r>
    </w:p>
    <w:p>
      <w:pPr>
        <w:pStyle w:val="BodyText"/>
        <w:spacing w:line="360" w:lineRule="auto" w:before="215"/>
        <w:ind w:left="119" w:right="118"/>
        <w:jc w:val="both"/>
      </w:pPr>
      <w:r>
        <w:rPr/>
        <w:t>La edad. Aproximadamente los recién nacidos presentan valores de 80 y  50 mmHg para los valores máximo y mínimo, alrededor de los 6 años los valores son de 100/60 mmHg, desde la edad adulta hasta la vejez aumentan tanto los valores de presión máxima y mínima, la sistólica 1 mm/hg/año y la diastólica 0.4 mmHg/año y posterior a los 60 años de edad se presentan fenómenos que aíslan los datos de cifras de presión arterial sistólica y diastólica.</w:t>
      </w:r>
    </w:p>
    <w:p>
      <w:pPr>
        <w:pStyle w:val="BodyText"/>
        <w:spacing w:line="360" w:lineRule="auto" w:before="209"/>
        <w:ind w:left="119" w:right="125"/>
        <w:jc w:val="both"/>
      </w:pPr>
      <w:r>
        <w:rPr/>
        <w:t>El sexo: los valores de presión arterial son menores en las mujeres que en los hombres, sin embargo alrededor de los 40 años los valores de presión arterial aumenta por una relación hormonal propias de la mujer al cursar la etapa del climaterio y menopausia.</w:t>
      </w:r>
    </w:p>
    <w:p>
      <w:pPr>
        <w:pStyle w:val="BodyText"/>
        <w:spacing w:line="360" w:lineRule="auto" w:before="209"/>
        <w:ind w:left="119" w:right="124"/>
        <w:jc w:val="both"/>
      </w:pPr>
      <w:r>
        <w:rPr/>
        <w:t>Existen factores centrales y periféricos que determina los valores presentes de la presión arterial y se pueden clasifican </w:t>
      </w:r>
      <w:r>
        <w:rPr>
          <w:spacing w:val="-3"/>
        </w:rPr>
        <w:t>como </w:t>
      </w:r>
      <w:r>
        <w:rPr/>
        <w:t>antes se menciona, los factores centrales dependen de la actividad de la </w:t>
      </w:r>
      <w:r>
        <w:rPr>
          <w:spacing w:val="-3"/>
        </w:rPr>
        <w:t>bomba </w:t>
      </w:r>
      <w:r>
        <w:rPr/>
        <w:t>cardiaca, </w:t>
      </w:r>
      <w:r>
        <w:rPr>
          <w:spacing w:val="2"/>
        </w:rPr>
        <w:t>cuanto </w:t>
      </w:r>
      <w:r>
        <w:rPr/>
        <w:t>mayor es el volumen de eyección, mayor es el volumen de la presión arterial media, lo opuesto sucede cuando el volumen de eyección desciende, sin embargo, ya que la presión máxima alcanzada en la circulación sistémica depende de la presión ejercida por el ventrículo izquierdo, el incremento de la presión arterial media </w:t>
      </w:r>
      <w:r>
        <w:rPr>
          <w:spacing w:val="-3"/>
        </w:rPr>
        <w:t>se </w:t>
      </w:r>
      <w:r>
        <w:rPr/>
        <w:t>debe al aumento de la presión sistólica.</w:t>
      </w:r>
      <w:r>
        <w:rPr>
          <w:spacing w:val="-11"/>
        </w:rPr>
        <w:t> </w:t>
      </w:r>
      <w:r>
        <w:rPr/>
        <w:t>(13)</w:t>
      </w:r>
    </w:p>
    <w:p>
      <w:pPr>
        <w:pStyle w:val="BodyText"/>
        <w:spacing w:line="360" w:lineRule="auto" w:before="209"/>
        <w:ind w:left="119" w:right="122"/>
        <w:jc w:val="both"/>
      </w:pPr>
      <w:r>
        <w:rPr/>
        <w:t>Los valores periféricos dependen de la distensibilidad arterial, de las  características mecánicas de los vasos arteriales, </w:t>
      </w:r>
      <w:r>
        <w:rPr>
          <w:spacing w:val="-3"/>
        </w:rPr>
        <w:t>si </w:t>
      </w:r>
      <w:r>
        <w:rPr/>
        <w:t>el volumen de eyección se incrementa pero las arterias se vuelven </w:t>
      </w:r>
      <w:r>
        <w:rPr>
          <w:spacing w:val="-3"/>
        </w:rPr>
        <w:t>más </w:t>
      </w:r>
      <w:r>
        <w:rPr/>
        <w:t>rígidas, se produce un aumento de la presión sistólica, la presión diastólica será </w:t>
      </w:r>
      <w:r>
        <w:rPr>
          <w:spacing w:val="-3"/>
        </w:rPr>
        <w:t>más </w:t>
      </w:r>
      <w:r>
        <w:rPr/>
        <w:t>baja, de manera que la presión del pulso aumentara. </w:t>
      </w:r>
      <w:r>
        <w:rPr>
          <w:spacing w:val="-4"/>
        </w:rPr>
        <w:t>El </w:t>
      </w:r>
      <w:r>
        <w:rPr/>
        <w:t>grado de vasoconstricción/vasodilatación de las arteriolas de todos</w:t>
      </w:r>
      <w:r>
        <w:rPr>
          <w:spacing w:val="34"/>
        </w:rPr>
        <w:t> </w:t>
      </w:r>
      <w:r>
        <w:rPr/>
        <w:t>los</w:t>
      </w:r>
      <w:r>
        <w:rPr>
          <w:spacing w:val="34"/>
        </w:rPr>
        <w:t> </w:t>
      </w:r>
      <w:r>
        <w:rPr/>
        <w:t>territorios</w:t>
      </w:r>
      <w:r>
        <w:rPr>
          <w:spacing w:val="34"/>
        </w:rPr>
        <w:t> </w:t>
      </w:r>
      <w:r>
        <w:rPr/>
        <w:t>afectan</w:t>
      </w:r>
      <w:r>
        <w:rPr>
          <w:spacing w:val="34"/>
        </w:rPr>
        <w:t> </w:t>
      </w:r>
      <w:r>
        <w:rPr/>
        <w:t>a</w:t>
      </w:r>
      <w:r>
        <w:rPr>
          <w:spacing w:val="34"/>
        </w:rPr>
        <w:t> </w:t>
      </w:r>
      <w:r>
        <w:rPr/>
        <w:t>los</w:t>
      </w:r>
      <w:r>
        <w:rPr>
          <w:spacing w:val="34"/>
        </w:rPr>
        <w:t> </w:t>
      </w:r>
      <w:r>
        <w:rPr/>
        <w:t>valores</w:t>
      </w:r>
      <w:r>
        <w:rPr>
          <w:spacing w:val="34"/>
        </w:rPr>
        <w:t> </w:t>
      </w:r>
      <w:r>
        <w:rPr/>
        <w:t>de</w:t>
      </w:r>
      <w:r>
        <w:rPr>
          <w:spacing w:val="30"/>
        </w:rPr>
        <w:t> </w:t>
      </w:r>
      <w:r>
        <w:rPr/>
        <w:t>presión</w:t>
      </w:r>
      <w:r>
        <w:rPr>
          <w:spacing w:val="34"/>
        </w:rPr>
        <w:t> </w:t>
      </w:r>
      <w:r>
        <w:rPr/>
        <w:t>arterial,</w:t>
      </w:r>
      <w:r>
        <w:rPr>
          <w:spacing w:val="29"/>
        </w:rPr>
        <w:t> </w:t>
      </w:r>
      <w:r>
        <w:rPr/>
        <w:t>la</w:t>
      </w:r>
      <w:r>
        <w:rPr>
          <w:spacing w:val="34"/>
        </w:rPr>
        <w:t> </w:t>
      </w:r>
      <w:r>
        <w:rPr/>
        <w:t>regulación</w:t>
      </w:r>
      <w:r>
        <w:rPr>
          <w:spacing w:val="34"/>
        </w:rPr>
        <w:t> </w:t>
      </w:r>
      <w:r>
        <w:rPr/>
        <w:t>de</w:t>
      </w:r>
      <w:r>
        <w:rPr>
          <w:spacing w:val="34"/>
        </w:rPr>
        <w:t> </w:t>
      </w:r>
      <w:r>
        <w:rPr/>
        <w:t>la</w:t>
      </w:r>
    </w:p>
    <w:p>
      <w:pPr>
        <w:spacing w:after="0" w:line="360" w:lineRule="auto"/>
        <w:jc w:val="both"/>
        <w:sectPr>
          <w:pgSz w:w="12240" w:h="15840"/>
          <w:pgMar w:header="0" w:footer="966" w:top="1360" w:bottom="1220" w:left="1580" w:right="1580"/>
        </w:sectPr>
      </w:pPr>
    </w:p>
    <w:p>
      <w:pPr>
        <w:pStyle w:val="BodyText"/>
        <w:spacing w:line="355" w:lineRule="auto" w:before="52"/>
        <w:ind w:left="119" w:right="124"/>
        <w:jc w:val="both"/>
      </w:pPr>
      <w:r>
        <w:rPr/>
        <w:t>contracción de la musculatura lisa arteriolar se encuentra bajo un doble sistema de control, la autorregulación y la acción del sistema nerviosa vegetativo. (13)</w:t>
      </w:r>
    </w:p>
    <w:p>
      <w:pPr>
        <w:pStyle w:val="BodyText"/>
        <w:spacing w:line="360" w:lineRule="auto" w:before="215"/>
        <w:ind w:left="119" w:right="114"/>
        <w:jc w:val="both"/>
      </w:pPr>
      <w:r>
        <w:rPr/>
        <w:t>A nivel de la presión arterial se produce un incremento de la diastólica cuando predomina la vasoconstricción, al incrementarse las resistencias periféricas  totales, cuando existe un predominio de la vasodilatación la presión diastólica tiende a descender, ya que se produce una disminución de las resistencias periféricas</w:t>
      </w:r>
      <w:r>
        <w:rPr>
          <w:spacing w:val="-5"/>
        </w:rPr>
        <w:t> </w:t>
      </w:r>
      <w:r>
        <w:rPr/>
        <w:t>totales.</w:t>
      </w:r>
    </w:p>
    <w:p>
      <w:pPr>
        <w:pStyle w:val="BodyText"/>
      </w:pPr>
    </w:p>
    <w:p>
      <w:pPr>
        <w:pStyle w:val="BodyText"/>
      </w:pPr>
    </w:p>
    <w:p>
      <w:pPr>
        <w:pStyle w:val="Heading1"/>
        <w:numPr>
          <w:ilvl w:val="0"/>
          <w:numId w:val="5"/>
        </w:numPr>
        <w:tabs>
          <w:tab w:pos="428" w:val="left" w:leader="none"/>
        </w:tabs>
        <w:spacing w:line="240" w:lineRule="auto" w:before="166" w:after="0"/>
        <w:ind w:left="427" w:right="0" w:hanging="308"/>
        <w:jc w:val="both"/>
      </w:pPr>
      <w:bookmarkStart w:name="_bookmark6" w:id="13"/>
      <w:bookmarkEnd w:id="13"/>
      <w:r>
        <w:rPr>
          <w:b w:val="0"/>
        </w:rPr>
      </w:r>
      <w:bookmarkStart w:name="_bookmark6" w:id="14"/>
      <w:bookmarkEnd w:id="14"/>
      <w:r>
        <w:rPr/>
        <w:t>F</w:t>
      </w:r>
      <w:r>
        <w:rPr/>
        <w:t>recuencia</w:t>
      </w:r>
      <w:r>
        <w:rPr>
          <w:spacing w:val="-5"/>
        </w:rPr>
        <w:t> </w:t>
      </w:r>
      <w:r>
        <w:rPr/>
        <w:t>cardiaca</w:t>
      </w:r>
    </w:p>
    <w:p>
      <w:pPr>
        <w:pStyle w:val="BodyText"/>
        <w:spacing w:line="360" w:lineRule="auto" w:before="50"/>
        <w:ind w:left="119" w:right="114"/>
        <w:jc w:val="both"/>
      </w:pPr>
      <w:r>
        <w:rPr/>
        <w:t>En el miocardio el potencial de acción es de mayor duración que el de la célula muscular esquelética y el proceso de relajación de igual forma es más complejo y depende de otros factores además de los niveles de calcio, depende de la naturaleza de la carga, concentración de calcio, propiedades de las proteínas contráctiles. (14)</w:t>
      </w:r>
    </w:p>
    <w:p>
      <w:pPr>
        <w:pStyle w:val="BodyText"/>
        <w:spacing w:line="360" w:lineRule="auto" w:before="209"/>
        <w:ind w:left="119" w:right="116"/>
        <w:jc w:val="both"/>
      </w:pPr>
      <w:r>
        <w:rPr/>
        <w:t>El gasto cardiaco es el volumen total de sangre bombeada por los ventrículos por minuto o simplemente el producto de la frecuencia cardiaca por el volumen sistólico, el volumen sistólico en reposo en posición supina es en promedio de 60  a 80 </w:t>
      </w:r>
      <w:r>
        <w:rPr>
          <w:spacing w:val="-4"/>
        </w:rPr>
        <w:t>ml </w:t>
      </w:r>
      <w:r>
        <w:rPr/>
        <w:t>de sangre en la mayoría de los adultos. Con frecuencia cardiaca  en reposo de 80 latidos/minuto el gasto cardiaco oscilara entre 4,8 y 6,4 L/min.</w:t>
      </w:r>
      <w:r>
        <w:rPr>
          <w:spacing w:val="-22"/>
        </w:rPr>
        <w:t> </w:t>
      </w:r>
      <w:r>
        <w:rPr/>
        <w:t>(15)</w:t>
      </w:r>
    </w:p>
    <w:p>
      <w:pPr>
        <w:pStyle w:val="BodyText"/>
        <w:spacing w:line="360" w:lineRule="auto" w:before="209"/>
        <w:ind w:left="119" w:right="121"/>
        <w:jc w:val="both"/>
      </w:pPr>
      <w:r>
        <w:rPr/>
        <w:t>La regulación de la frecuencia cardiaca participa el sistema  nervioso autónomo que es involuntario y se encarga de los procesos corporales que no necesita un control consiente para que se produzcan, este presenta un control cardiovascular situado es el bulbo raquídeo, en el encéfalo y recibe instrucciones de otros centros superiores. La parte simpática del sistema nervioso autónomo influye sobre los procesos que estimulan la frecuencia cardiaca mediante estimulación nerviosa, hasta el nodo sinoauricular, nodo auriculoventricular y miocardio con la secreción de noradrenalina, el cual provoca incremento en la velocidad de descarga, mayor entrada de calcio y contractilidad. También la parte simpática se encarga de la</w:t>
      </w:r>
    </w:p>
    <w:p>
      <w:pPr>
        <w:spacing w:after="0" w:line="360" w:lineRule="auto"/>
        <w:jc w:val="both"/>
        <w:sectPr>
          <w:pgSz w:w="12240" w:h="15840"/>
          <w:pgMar w:header="0" w:footer="966" w:top="1360" w:bottom="1220" w:left="1580" w:right="1580"/>
        </w:sectPr>
      </w:pPr>
    </w:p>
    <w:p>
      <w:pPr>
        <w:pStyle w:val="BodyText"/>
        <w:spacing w:line="355" w:lineRule="auto" w:before="52"/>
        <w:ind w:left="119" w:right="130"/>
        <w:jc w:val="both"/>
      </w:pPr>
      <w:r>
        <w:rPr/>
        <w:t>reducción de la frecuencia cardiaca mediante la inervación vagal con liberación de acetilcolina.</w:t>
      </w:r>
    </w:p>
    <w:p>
      <w:pPr>
        <w:pStyle w:val="BodyText"/>
        <w:spacing w:line="360" w:lineRule="auto" w:before="215"/>
        <w:ind w:left="119" w:right="122"/>
        <w:jc w:val="both"/>
      </w:pPr>
      <w:r>
        <w:rPr/>
        <w:t>Las catecolaminas adrenalina y noradrenalina estimulan la frecuencia cardiaca, liberadas en glándulas suprarrenales antes y durante la actividad física, en stress, excitación, etc. También pueden aumentar la frecuencia cardiaca las hormonas tiroideas, otros factores que influyen en la frecuencia cardiaca son la edad, el sexo, condición física, temperatura corporal, etc.</w:t>
      </w:r>
      <w:r>
        <w:rPr>
          <w:spacing w:val="-17"/>
        </w:rPr>
        <w:t> </w:t>
      </w:r>
      <w:r>
        <w:rPr/>
        <w:t>(16)</w:t>
      </w:r>
    </w:p>
    <w:p>
      <w:pPr>
        <w:pStyle w:val="BodyText"/>
      </w:pPr>
    </w:p>
    <w:p>
      <w:pPr>
        <w:pStyle w:val="BodyText"/>
      </w:pPr>
    </w:p>
    <w:p>
      <w:pPr>
        <w:pStyle w:val="BodyText"/>
        <w:spacing w:before="2"/>
        <w:rPr>
          <w:sz w:val="23"/>
        </w:rPr>
      </w:pPr>
    </w:p>
    <w:p>
      <w:pPr>
        <w:pStyle w:val="Heading1"/>
        <w:numPr>
          <w:ilvl w:val="0"/>
          <w:numId w:val="5"/>
        </w:numPr>
        <w:tabs>
          <w:tab w:pos="418" w:val="left" w:leader="none"/>
        </w:tabs>
        <w:spacing w:line="240" w:lineRule="auto" w:before="1" w:after="0"/>
        <w:ind w:left="417" w:right="0" w:hanging="298"/>
        <w:jc w:val="both"/>
      </w:pPr>
      <w:bookmarkStart w:name="_bookmark7" w:id="15"/>
      <w:bookmarkEnd w:id="15"/>
      <w:r>
        <w:rPr>
          <w:b w:val="0"/>
        </w:rPr>
      </w:r>
      <w:bookmarkStart w:name="_bookmark7" w:id="16"/>
      <w:bookmarkEnd w:id="16"/>
      <w:r>
        <w:rPr/>
        <w:t>D</w:t>
      </w:r>
      <w:r>
        <w:rPr/>
        <w:t>oble</w:t>
      </w:r>
      <w:r>
        <w:rPr>
          <w:spacing w:val="-14"/>
        </w:rPr>
        <w:t> </w:t>
      </w:r>
      <w:r>
        <w:rPr/>
        <w:t>producto</w:t>
      </w:r>
    </w:p>
    <w:p>
      <w:pPr>
        <w:pStyle w:val="BodyText"/>
        <w:spacing w:line="360" w:lineRule="auto" w:before="45"/>
        <w:ind w:left="119" w:right="116"/>
        <w:jc w:val="both"/>
      </w:pPr>
      <w:r>
        <w:rPr/>
        <w:t>El doble producto es un parámetro que se evalúa durante la prueba de esfuerzo, se obtiene por la multiplicación de la presión arterial sistólica máxima por la frecuencia cardiaca máxima. El valor del doble producto expresa el consumo miocárdico de oxígeno, lo que representa </w:t>
      </w:r>
      <w:r>
        <w:rPr>
          <w:spacing w:val="-5"/>
        </w:rPr>
        <w:t>como </w:t>
      </w:r>
      <w:r>
        <w:rPr/>
        <w:t>tal el gasto energético del corazón ante un ejercicio físico o una actividad con determinada intensidad.</w:t>
      </w:r>
      <w:r>
        <w:rPr>
          <w:spacing w:val="-27"/>
        </w:rPr>
        <w:t> </w:t>
      </w:r>
      <w:r>
        <w:rPr/>
        <w:t>(17)</w:t>
      </w:r>
    </w:p>
    <w:p>
      <w:pPr>
        <w:pStyle w:val="BodyText"/>
        <w:spacing w:line="360" w:lineRule="auto" w:before="209"/>
        <w:ind w:left="119" w:right="121"/>
        <w:jc w:val="both"/>
      </w:pPr>
      <w:r>
        <w:rPr/>
        <w:t>Los resultados con valores altos se observan </w:t>
      </w:r>
      <w:r>
        <w:rPr>
          <w:spacing w:val="-3"/>
        </w:rPr>
        <w:t>más </w:t>
      </w:r>
      <w:r>
        <w:rPr/>
        <w:t>en personas que sufren una cardiopatía en las etapas iniciales de la prueba de esfuerzo y viceversa con pacientes sanos o deportistas de alto rendimiento. Esta es una referencia que a mayor doble producto </w:t>
      </w:r>
      <w:r>
        <w:rPr>
          <w:spacing w:val="-3"/>
        </w:rPr>
        <w:t>máximo </w:t>
      </w:r>
      <w:r>
        <w:rPr/>
        <w:t>alcanzado hay una mayor capacidad de  rendimiento cardiaco al ejercicio.</w:t>
      </w:r>
      <w:r>
        <w:rPr>
          <w:spacing w:val="-10"/>
        </w:rPr>
        <w:t> </w:t>
      </w:r>
      <w:r>
        <w:rPr/>
        <w:t>(18)</w:t>
      </w:r>
    </w:p>
    <w:p>
      <w:pPr>
        <w:pStyle w:val="BodyText"/>
        <w:spacing w:line="360" w:lineRule="auto" w:before="209"/>
        <w:ind w:left="119" w:right="113"/>
        <w:jc w:val="both"/>
      </w:pPr>
      <w:r>
        <w:rPr/>
        <w:t>Tomando en cuenta las frecuencias normales de 60 a 99 latidos por minuto y  cifras sistólicas de tensión arterial entre 110 y 129 mmHg, los márgenes del doble producto serán normales cuando se encuentren entre 6,600 y 11,050 en reposo. (17)</w:t>
      </w:r>
    </w:p>
    <w:p>
      <w:pPr>
        <w:pStyle w:val="BodyText"/>
        <w:spacing w:line="357" w:lineRule="auto" w:before="209"/>
        <w:ind w:left="119" w:right="116"/>
        <w:jc w:val="both"/>
      </w:pPr>
      <w:r>
        <w:rPr/>
        <w:t>El sistema simpático por medio de una acción vasoconstrictora va a mantener un tono arteriolar coronario semejante a su acción sobre otros territorios vasculares e incluso se cree que hace participar a los vasos coronarios en el reflejo de barorreptores. (19)</w:t>
      </w:r>
    </w:p>
    <w:p>
      <w:pPr>
        <w:spacing w:after="0" w:line="357" w:lineRule="auto"/>
        <w:jc w:val="both"/>
        <w:sectPr>
          <w:pgSz w:w="12240" w:h="15840"/>
          <w:pgMar w:header="0" w:footer="966" w:top="1360" w:bottom="1220" w:left="1580" w:right="1580"/>
        </w:sectPr>
      </w:pPr>
    </w:p>
    <w:p>
      <w:pPr>
        <w:pStyle w:val="BodyText"/>
        <w:spacing w:line="360" w:lineRule="auto" w:before="52"/>
        <w:ind w:left="119" w:right="113"/>
        <w:jc w:val="both"/>
      </w:pPr>
      <w:r>
        <w:rPr/>
        <w:t>El sistema parasimpático, se le ha descubierto una acción vasodilatadora  coronaria cuando </w:t>
      </w:r>
      <w:r>
        <w:rPr>
          <w:spacing w:val="-3"/>
        </w:rPr>
        <w:t>se </w:t>
      </w:r>
      <w:r>
        <w:rPr/>
        <w:t>estimula. Se desconoce la magnitud de la importancia de estos efectos a nivel fisiológico. La mayor presión tisular desarrollada por el musculo subendocárdico durante la sístole, comprime los vasos de esa región, obligándoles durante la diástole a dilatarse y a mantener un flujo adecuado a esa área. La reserva coronaria subendocárdica es entonces menor que la de otras capas miocárdicas ventriculares y se explica así la tendencia a la isquemia subendocárdica cuando aumenta el metabolismo cardiaco disminuye la presión aortica o el </w:t>
      </w:r>
      <w:r>
        <w:rPr>
          <w:spacing w:val="-3"/>
        </w:rPr>
        <w:t>tiempo </w:t>
      </w:r>
      <w:r>
        <w:rPr/>
        <w:t>de la diástole. La situación es crítica cuando existe  una  oclusión coronaria parcial por ateroma; en este caso puede que el endocardio utilice toda su reserva coronaria para mantener un flujo adecuado. Un aumento en el metabolismo cardiaco durante el ejercicio corporal, puede fácilmente desencadenar la isquemia del territorio subendocárdico de estas circunstancias. (20)</w:t>
      </w:r>
    </w:p>
    <w:p>
      <w:pPr>
        <w:pStyle w:val="BodyText"/>
      </w:pPr>
    </w:p>
    <w:p>
      <w:pPr>
        <w:pStyle w:val="BodyText"/>
      </w:pPr>
    </w:p>
    <w:p>
      <w:pPr>
        <w:pStyle w:val="BodyText"/>
        <w:spacing w:before="2"/>
        <w:rPr>
          <w:sz w:val="23"/>
        </w:rPr>
      </w:pPr>
    </w:p>
    <w:p>
      <w:pPr>
        <w:pStyle w:val="ListParagraph"/>
        <w:numPr>
          <w:ilvl w:val="0"/>
          <w:numId w:val="5"/>
        </w:numPr>
        <w:tabs>
          <w:tab w:pos="457" w:val="left" w:leader="none"/>
        </w:tabs>
        <w:spacing w:line="240" w:lineRule="auto" w:before="0" w:after="0"/>
        <w:ind w:left="456" w:right="0" w:hanging="337"/>
        <w:jc w:val="both"/>
        <w:rPr>
          <w:b/>
          <w:sz w:val="24"/>
        </w:rPr>
      </w:pPr>
      <w:bookmarkStart w:name="_bookmark8" w:id="17"/>
      <w:bookmarkEnd w:id="17"/>
      <w:r>
        <w:rPr/>
      </w:r>
      <w:bookmarkStart w:name="_bookmark8" w:id="18"/>
      <w:bookmarkEnd w:id="18"/>
      <w:r>
        <w:rPr>
          <w:b/>
          <w:sz w:val="24"/>
        </w:rPr>
        <w:t>C</w:t>
      </w:r>
      <w:r>
        <w:rPr>
          <w:b/>
          <w:sz w:val="24"/>
        </w:rPr>
        <w:t>onsumo máximo de</w:t>
      </w:r>
      <w:r>
        <w:rPr>
          <w:b/>
          <w:spacing w:val="-13"/>
          <w:sz w:val="24"/>
        </w:rPr>
        <w:t> </w:t>
      </w:r>
      <w:r>
        <w:rPr>
          <w:b/>
          <w:sz w:val="24"/>
        </w:rPr>
        <w:t>oxígeno</w:t>
      </w:r>
    </w:p>
    <w:p>
      <w:pPr>
        <w:pStyle w:val="BodyText"/>
        <w:spacing w:line="360" w:lineRule="auto" w:before="46"/>
        <w:ind w:left="119" w:right="118"/>
        <w:jc w:val="both"/>
      </w:pPr>
      <w:r>
        <w:rPr/>
        <w:t>El consumo máximo de oxigeno se puede expresar como el producto del flujo coronario y de la diferencia arteriovenosa de oxigeno del corazón, un aumento en los requerimientos de oxigeno por el miocardio, podría aumentar o generarse por un aumento de cualquiera de los dos factores de este producto. La diferencia arterioveniosa de oxigeno puede aumentar muy escasamente debido a que en el individuo en reposo la extracción de oxígeno por el miocardio es casi máxima.</w:t>
      </w:r>
    </w:p>
    <w:p>
      <w:pPr>
        <w:pStyle w:val="BodyText"/>
        <w:spacing w:line="360" w:lineRule="auto" w:before="204"/>
        <w:ind w:left="119" w:right="115"/>
        <w:jc w:val="both"/>
      </w:pPr>
      <w:r>
        <w:rPr/>
        <w:t>Así este parámetro está determinado por el funcionamiento mecánico del órgano. El producto del desarrollo de presión en el ventrículo izquierdo y la frecuencia cardiaca pueden explicar totalmente el consumo miocárdico de oxígeno y la utilización de energía por el corazón está determinada por factores mayores y menores. (21)</w:t>
      </w:r>
    </w:p>
    <w:p>
      <w:pPr>
        <w:pStyle w:val="Heading1"/>
        <w:numPr>
          <w:ilvl w:val="0"/>
          <w:numId w:val="5"/>
        </w:numPr>
        <w:tabs>
          <w:tab w:pos="442" w:val="left" w:leader="none"/>
        </w:tabs>
        <w:spacing w:line="240" w:lineRule="auto" w:before="204" w:after="0"/>
        <w:ind w:left="441" w:right="0" w:hanging="322"/>
        <w:jc w:val="both"/>
      </w:pPr>
      <w:bookmarkStart w:name="_bookmark9" w:id="19"/>
      <w:bookmarkEnd w:id="19"/>
      <w:r>
        <w:rPr>
          <w:b w:val="0"/>
        </w:rPr>
      </w:r>
      <w:bookmarkStart w:name="_bookmark9" w:id="20"/>
      <w:bookmarkEnd w:id="20"/>
      <w:r>
        <w:rPr/>
        <w:t>F</w:t>
      </w:r>
      <w:r>
        <w:rPr/>
        <w:t>actores</w:t>
      </w:r>
      <w:r>
        <w:rPr>
          <w:spacing w:val="-13"/>
        </w:rPr>
        <w:t> </w:t>
      </w:r>
      <w:r>
        <w:rPr/>
        <w:t>mayores:</w:t>
      </w:r>
    </w:p>
    <w:p>
      <w:pPr>
        <w:pStyle w:val="ListParagraph"/>
        <w:numPr>
          <w:ilvl w:val="1"/>
          <w:numId w:val="5"/>
        </w:numPr>
        <w:tabs>
          <w:tab w:pos="840" w:val="left" w:leader="none"/>
          <w:tab w:pos="841" w:val="left" w:leader="none"/>
        </w:tabs>
        <w:spacing w:line="355" w:lineRule="auto" w:before="43" w:after="0"/>
        <w:ind w:left="840" w:right="128" w:hanging="360"/>
        <w:jc w:val="left"/>
        <w:rPr>
          <w:sz w:val="24"/>
        </w:rPr>
      </w:pPr>
      <w:r>
        <w:rPr>
          <w:sz w:val="24"/>
        </w:rPr>
        <w:t>Tensión intramiocardica: determinada por la presión ventricular, el volumen intraventricular y la masa del miocardio. Es el trabajo del corazón  </w:t>
      </w:r>
      <w:r>
        <w:rPr>
          <w:spacing w:val="23"/>
          <w:sz w:val="24"/>
        </w:rPr>
        <w:t> </w:t>
      </w:r>
      <w:r>
        <w:rPr>
          <w:sz w:val="24"/>
        </w:rPr>
        <w:t>derivado</w:t>
      </w:r>
    </w:p>
    <w:p>
      <w:pPr>
        <w:spacing w:after="0" w:line="355" w:lineRule="auto"/>
        <w:jc w:val="left"/>
        <w:rPr>
          <w:sz w:val="24"/>
        </w:rPr>
        <w:sectPr>
          <w:pgSz w:w="12240" w:h="15840"/>
          <w:pgMar w:header="0" w:footer="966" w:top="1360" w:bottom="1220" w:left="1580" w:right="1580"/>
        </w:sectPr>
      </w:pPr>
    </w:p>
    <w:p>
      <w:pPr>
        <w:pStyle w:val="BodyText"/>
        <w:spacing w:line="360" w:lineRule="auto" w:before="52"/>
        <w:ind w:left="840" w:right="119"/>
        <w:jc w:val="both"/>
      </w:pPr>
      <w:r>
        <w:rPr/>
        <w:t>de la presión del volumen. Al final de la diástole, el volumen es máximo e influye sobre la presión de llenado y la distensión de la fibra durante esa fase y durante la fase isométrica de la contracción, la fibra esta distendida y se inicia el proceso de contracción antes de la apertura de las válvulas y de la fase sistólica de la expulsión. La postcarga es un ejemplo de la presión arterial a mayor presión mayor postcarga y esto conlleva a mayor consumo de oxígeno y viceversa.</w:t>
      </w:r>
    </w:p>
    <w:p>
      <w:pPr>
        <w:pStyle w:val="ListParagraph"/>
        <w:numPr>
          <w:ilvl w:val="1"/>
          <w:numId w:val="5"/>
        </w:numPr>
        <w:tabs>
          <w:tab w:pos="841" w:val="left" w:leader="none"/>
        </w:tabs>
        <w:spacing w:line="357" w:lineRule="auto" w:before="1" w:after="0"/>
        <w:ind w:left="840" w:right="118" w:hanging="360"/>
        <w:jc w:val="both"/>
        <w:rPr>
          <w:sz w:val="24"/>
        </w:rPr>
      </w:pPr>
      <w:r>
        <w:rPr>
          <w:sz w:val="24"/>
        </w:rPr>
        <w:t>Estado contráctil (inotropismo): a mayor inotropopismo miocárdico, mayor aumento de la energía de la contracción ventricular, mejorando el gasto por latido y disminuyendo la presión diastólica final del ventrículo izquierdo, aunque aumenta al </w:t>
      </w:r>
      <w:r>
        <w:rPr>
          <w:spacing w:val="-3"/>
          <w:sz w:val="24"/>
        </w:rPr>
        <w:t>mismo </w:t>
      </w:r>
      <w:r>
        <w:rPr>
          <w:sz w:val="24"/>
        </w:rPr>
        <w:t>tiempo el consumo miocárdico de</w:t>
      </w:r>
      <w:r>
        <w:rPr>
          <w:spacing w:val="4"/>
          <w:sz w:val="24"/>
        </w:rPr>
        <w:t> </w:t>
      </w:r>
      <w:r>
        <w:rPr>
          <w:sz w:val="24"/>
        </w:rPr>
        <w:t>oxígeno.</w:t>
      </w:r>
    </w:p>
    <w:p>
      <w:pPr>
        <w:pStyle w:val="ListParagraph"/>
        <w:numPr>
          <w:ilvl w:val="1"/>
          <w:numId w:val="5"/>
        </w:numPr>
        <w:tabs>
          <w:tab w:pos="841" w:val="left" w:leader="none"/>
        </w:tabs>
        <w:spacing w:line="355" w:lineRule="auto" w:before="3" w:after="0"/>
        <w:ind w:left="840" w:right="122" w:hanging="360"/>
        <w:jc w:val="both"/>
        <w:rPr>
          <w:sz w:val="24"/>
        </w:rPr>
      </w:pPr>
      <w:r>
        <w:rPr>
          <w:sz w:val="24"/>
        </w:rPr>
        <w:t>Frecuencia cardiaca (cronotropismo): existe una relación directamente proporcional entre el aumento de la frecuencia y el del consumo miocárdico de oxigeno de </w:t>
      </w:r>
      <w:r>
        <w:rPr>
          <w:spacing w:val="-3"/>
          <w:sz w:val="24"/>
        </w:rPr>
        <w:t>forma </w:t>
      </w:r>
      <w:r>
        <w:rPr>
          <w:sz w:val="24"/>
        </w:rPr>
        <w:t>lineal.</w:t>
      </w:r>
      <w:r>
        <w:rPr>
          <w:spacing w:val="9"/>
          <w:sz w:val="24"/>
        </w:rPr>
        <w:t> </w:t>
      </w:r>
      <w:r>
        <w:rPr>
          <w:sz w:val="24"/>
        </w:rPr>
        <w:t>(22)</w:t>
      </w:r>
    </w:p>
    <w:p>
      <w:pPr>
        <w:pStyle w:val="Heading1"/>
        <w:numPr>
          <w:ilvl w:val="0"/>
          <w:numId w:val="5"/>
        </w:numPr>
        <w:tabs>
          <w:tab w:pos="332" w:val="left" w:leader="none"/>
        </w:tabs>
        <w:spacing w:line="240" w:lineRule="auto" w:before="209" w:after="0"/>
        <w:ind w:left="331" w:right="0" w:hanging="212"/>
        <w:jc w:val="both"/>
      </w:pPr>
      <w:bookmarkStart w:name="_bookmark10" w:id="21"/>
      <w:bookmarkEnd w:id="21"/>
      <w:r>
        <w:rPr>
          <w:b w:val="0"/>
        </w:rPr>
      </w:r>
      <w:bookmarkStart w:name="_bookmark10" w:id="22"/>
      <w:bookmarkEnd w:id="22"/>
      <w:r>
        <w:rPr/>
        <w:t>F</w:t>
      </w:r>
      <w:r>
        <w:rPr/>
        <w:t>actores</w:t>
      </w:r>
      <w:r>
        <w:rPr>
          <w:spacing w:val="-8"/>
        </w:rPr>
        <w:t> </w:t>
      </w:r>
      <w:r>
        <w:rPr/>
        <w:t>menores:</w:t>
      </w:r>
    </w:p>
    <w:p>
      <w:pPr>
        <w:pStyle w:val="ListParagraph"/>
        <w:numPr>
          <w:ilvl w:val="1"/>
          <w:numId w:val="5"/>
        </w:numPr>
        <w:tabs>
          <w:tab w:pos="841" w:val="left" w:leader="none"/>
        </w:tabs>
        <w:spacing w:line="357" w:lineRule="auto" w:before="44" w:after="0"/>
        <w:ind w:left="840" w:right="114" w:hanging="360"/>
        <w:jc w:val="both"/>
        <w:rPr>
          <w:sz w:val="24"/>
        </w:rPr>
      </w:pPr>
      <w:r>
        <w:rPr>
          <w:sz w:val="24"/>
        </w:rPr>
        <w:t>Trabajo externo: cuando el trabajo cardiaco se incrementa, el consumo miocárdico de oxigeno tiende a ser mayor. La contracción isométrica del ventrículo izquierdo absorbe un 15% de las demandas del consumo de oxigeno por el</w:t>
      </w:r>
      <w:r>
        <w:rPr>
          <w:spacing w:val="-2"/>
          <w:sz w:val="24"/>
        </w:rPr>
        <w:t> </w:t>
      </w:r>
      <w:r>
        <w:rPr>
          <w:sz w:val="24"/>
        </w:rPr>
        <w:t>miocardio.</w:t>
      </w:r>
    </w:p>
    <w:p>
      <w:pPr>
        <w:pStyle w:val="ListParagraph"/>
        <w:numPr>
          <w:ilvl w:val="1"/>
          <w:numId w:val="5"/>
        </w:numPr>
        <w:tabs>
          <w:tab w:pos="841" w:val="left" w:leader="none"/>
        </w:tabs>
        <w:spacing w:line="357" w:lineRule="auto" w:before="3" w:after="0"/>
        <w:ind w:left="840" w:right="115" w:hanging="360"/>
        <w:jc w:val="both"/>
        <w:rPr>
          <w:sz w:val="24"/>
        </w:rPr>
      </w:pPr>
      <w:r>
        <w:rPr>
          <w:sz w:val="24"/>
        </w:rPr>
        <w:t>Energía de actividad eléctrica: es en promedio 1% del total del oxígeno requerido en el corazón con trabajo normal (2ml/O2/min/100 gr de  ventrículo</w:t>
      </w:r>
      <w:r>
        <w:rPr>
          <w:spacing w:val="-2"/>
          <w:sz w:val="24"/>
        </w:rPr>
        <w:t> </w:t>
      </w:r>
      <w:r>
        <w:rPr>
          <w:sz w:val="24"/>
        </w:rPr>
        <w:t>izquierdo).</w:t>
      </w:r>
    </w:p>
    <w:p>
      <w:pPr>
        <w:pStyle w:val="ListParagraph"/>
        <w:numPr>
          <w:ilvl w:val="1"/>
          <w:numId w:val="5"/>
        </w:numPr>
        <w:tabs>
          <w:tab w:pos="840" w:val="left" w:leader="none"/>
          <w:tab w:pos="841" w:val="left" w:leader="none"/>
        </w:tabs>
        <w:spacing w:line="240" w:lineRule="auto" w:before="8" w:after="0"/>
        <w:ind w:left="840" w:right="0" w:hanging="360"/>
        <w:jc w:val="left"/>
        <w:rPr>
          <w:sz w:val="24"/>
        </w:rPr>
      </w:pPr>
      <w:r>
        <w:rPr>
          <w:sz w:val="24"/>
        </w:rPr>
        <w:t>Metabolismo basal o de reposo.</w:t>
      </w:r>
      <w:r>
        <w:rPr>
          <w:spacing w:val="-12"/>
          <w:sz w:val="24"/>
        </w:rPr>
        <w:t> </w:t>
      </w:r>
      <w:r>
        <w:rPr>
          <w:sz w:val="24"/>
        </w:rPr>
        <w:t>(22)</w:t>
      </w:r>
    </w:p>
    <w:p>
      <w:pPr>
        <w:pStyle w:val="BodyText"/>
        <w:spacing w:before="3"/>
        <w:rPr>
          <w:sz w:val="29"/>
        </w:rPr>
      </w:pPr>
    </w:p>
    <w:p>
      <w:pPr>
        <w:pStyle w:val="BodyText"/>
        <w:spacing w:line="360" w:lineRule="auto"/>
        <w:ind w:left="119" w:right="130"/>
        <w:jc w:val="both"/>
      </w:pPr>
      <w:r>
        <w:rPr/>
        <w:t>Lo que mencionamos es que el doble producto en atletas estará en correlación directa al nivel de entrenamiento. No hay estudios que confirmen esta apreciación ya que la mayoría están relacionados con el consumo miocárdico de oxigeno de pacientes cardiópatas y poder hablar de un doble producto ideal como límite normal en atletas o estandarización del mismo para la optimización en el entrenamiento.</w:t>
      </w:r>
    </w:p>
    <w:p>
      <w:pPr>
        <w:spacing w:after="0" w:line="360" w:lineRule="auto"/>
        <w:jc w:val="both"/>
        <w:sectPr>
          <w:pgSz w:w="12240" w:h="15840"/>
          <w:pgMar w:header="0" w:footer="966" w:top="1360" w:bottom="1220" w:left="1580" w:right="1580"/>
        </w:sectPr>
      </w:pPr>
    </w:p>
    <w:p>
      <w:pPr>
        <w:pStyle w:val="BodyText"/>
        <w:spacing w:line="360" w:lineRule="auto" w:before="52"/>
        <w:ind w:left="119" w:right="116"/>
        <w:jc w:val="both"/>
      </w:pPr>
      <w:r>
        <w:rPr/>
        <w:t>En general debido a la gran capacidad cardiovascular que desarrollan los deportistas se considera que ellos deben de tener un doble producto con un valor alto, sobre todo con deportistas de predomino aeróbico (23) y por consiguiente tener un mejor consumo miocárdico de oxígeno, de ahí mantener este marco teórico ya que el futbol asociación es prácticamente anaeróbico.</w:t>
      </w:r>
    </w:p>
    <w:p>
      <w:pPr>
        <w:pStyle w:val="BodyText"/>
      </w:pPr>
    </w:p>
    <w:p>
      <w:pPr>
        <w:pStyle w:val="BodyText"/>
      </w:pPr>
    </w:p>
    <w:p>
      <w:pPr>
        <w:pStyle w:val="BodyText"/>
        <w:spacing w:before="2"/>
        <w:rPr>
          <w:sz w:val="23"/>
        </w:rPr>
      </w:pPr>
    </w:p>
    <w:p>
      <w:pPr>
        <w:pStyle w:val="ListParagraph"/>
        <w:numPr>
          <w:ilvl w:val="0"/>
          <w:numId w:val="5"/>
        </w:numPr>
        <w:tabs>
          <w:tab w:pos="404" w:val="left" w:leader="none"/>
        </w:tabs>
        <w:spacing w:line="240" w:lineRule="auto" w:before="0" w:after="0"/>
        <w:ind w:left="403" w:right="0" w:hanging="284"/>
        <w:jc w:val="both"/>
        <w:rPr>
          <w:b/>
          <w:sz w:val="24"/>
        </w:rPr>
      </w:pPr>
      <w:bookmarkStart w:name="_bookmark11" w:id="23"/>
      <w:bookmarkEnd w:id="23"/>
      <w:r>
        <w:rPr/>
      </w:r>
      <w:bookmarkStart w:name="_bookmark11" w:id="24"/>
      <w:bookmarkEnd w:id="24"/>
      <w:r>
        <w:rPr>
          <w:b/>
          <w:sz w:val="24"/>
        </w:rPr>
        <w:t>C</w:t>
      </w:r>
      <w:r>
        <w:rPr>
          <w:b/>
          <w:sz w:val="24"/>
        </w:rPr>
        <w:t>omportamiento cardiovascular en el fútbol</w:t>
      </w:r>
      <w:r>
        <w:rPr>
          <w:b/>
          <w:spacing w:val="-28"/>
          <w:sz w:val="24"/>
        </w:rPr>
        <w:t> </w:t>
      </w:r>
      <w:r>
        <w:rPr>
          <w:b/>
          <w:sz w:val="24"/>
        </w:rPr>
        <w:t>asociación</w:t>
      </w:r>
    </w:p>
    <w:p>
      <w:pPr>
        <w:pStyle w:val="BodyText"/>
        <w:spacing w:line="360" w:lineRule="auto" w:before="45"/>
        <w:ind w:left="119" w:right="123"/>
        <w:jc w:val="both"/>
      </w:pPr>
      <w:r>
        <w:rPr/>
        <w:t>El fútbol asociación es el deporte más mencionado y practicado en el mundo además de ser el más visto en el mundo es jugado por millones de personas en el mundo así mismo el fútbol está considerado una actividad intermitente de alta intensidad o mixta. (24)</w:t>
      </w:r>
    </w:p>
    <w:p>
      <w:pPr>
        <w:pStyle w:val="BodyText"/>
        <w:spacing w:line="357" w:lineRule="auto" w:before="209"/>
        <w:ind w:left="119" w:right="121"/>
        <w:jc w:val="both"/>
      </w:pPr>
      <w:r>
        <w:rPr/>
        <w:t>Lo importante del fútbol asociación son los diferentes patrones de juego en las posiciones y se caracteriza por carreras de corta duración de grande velocidad, saltos, cabeceo y disputas por el balón, además de otros gestos, deportivos como trotes y caminatas de baja intensidad. (25)</w:t>
      </w:r>
    </w:p>
    <w:p>
      <w:pPr>
        <w:pStyle w:val="BodyText"/>
        <w:spacing w:line="360" w:lineRule="auto" w:before="212"/>
        <w:ind w:left="119" w:right="115"/>
        <w:jc w:val="both"/>
      </w:pPr>
      <w:r>
        <w:rPr/>
        <w:t>Los requerimientos deportivos en el fútbol asociación han sido reportados y estudiados mencionando que la intensidad a la que el jugador de fútbol se compone en promedio en un partido completo reportando en una distancia  cubierta total de 10 Kilómetros (26) porcentaje del consumo de oxígeno en 75% de VO2 </w:t>
      </w:r>
      <w:r>
        <w:rPr>
          <w:spacing w:val="-3"/>
        </w:rPr>
        <w:t>Max, </w:t>
      </w:r>
      <w:r>
        <w:rPr/>
        <w:t>concentración de lactato 12 </w:t>
      </w:r>
      <w:r>
        <w:rPr>
          <w:spacing w:val="-3"/>
        </w:rPr>
        <w:t>mM, </w:t>
      </w:r>
      <w:r>
        <w:rPr/>
        <w:t>velocidad promedio de carrera 7,5 Km/H y porcentaje de la frecuencia cardiaca máxima 85%.</w:t>
      </w:r>
      <w:r>
        <w:rPr>
          <w:spacing w:val="-21"/>
        </w:rPr>
        <w:t> </w:t>
      </w:r>
      <w:r>
        <w:rPr/>
        <w:t>(27)</w:t>
      </w:r>
    </w:p>
    <w:p>
      <w:pPr>
        <w:pStyle w:val="BodyText"/>
        <w:spacing w:line="357" w:lineRule="auto" w:before="209"/>
        <w:ind w:left="119" w:right="119"/>
        <w:jc w:val="both"/>
      </w:pPr>
      <w:r>
        <w:rPr/>
        <w:t>Entre los parámetros mostrados usados en el fútbol asociación para determinar la intensidad, la frecuencia cardiaca se presenta como la variable más factible y practica para determinar la producción de energía aeróbica (28), por eso la prueba de esfuerzo nos indica parámetros favorables para determinar su consumo de oxígeno y consumo miocárdico de oxígeno.</w:t>
      </w:r>
    </w:p>
    <w:p>
      <w:pPr>
        <w:pStyle w:val="BodyText"/>
        <w:spacing w:line="362" w:lineRule="auto" w:before="212"/>
        <w:ind w:left="119" w:right="115"/>
        <w:jc w:val="both"/>
      </w:pPr>
      <w:r>
        <w:rPr/>
        <w:t>Puede estimarse el VO2 de un partido de futbol a partir de la relación frecuencia cardiaca y consumo </w:t>
      </w:r>
      <w:r>
        <w:rPr>
          <w:spacing w:val="-2"/>
        </w:rPr>
        <w:t>máximo </w:t>
      </w:r>
      <w:r>
        <w:rPr/>
        <w:t>de oxígeno, este VO2 aún puede utilizarse para expresar la intensidad por medio del múltiplo de la tasa </w:t>
      </w:r>
      <w:r>
        <w:rPr>
          <w:spacing w:val="-3"/>
        </w:rPr>
        <w:t>del </w:t>
      </w:r>
      <w:r>
        <w:rPr/>
        <w:t>equivalente</w:t>
      </w:r>
      <w:r>
        <w:rPr>
          <w:spacing w:val="51"/>
        </w:rPr>
        <w:t> </w:t>
      </w:r>
      <w:r>
        <w:rPr/>
        <w:t>metabólico</w:t>
      </w:r>
    </w:p>
    <w:p>
      <w:pPr>
        <w:spacing w:after="0" w:line="362" w:lineRule="auto"/>
        <w:jc w:val="both"/>
        <w:sectPr>
          <w:pgSz w:w="12240" w:h="15840"/>
          <w:pgMar w:header="0" w:footer="966" w:top="1360" w:bottom="1220" w:left="1580" w:right="1580"/>
        </w:sectPr>
      </w:pPr>
    </w:p>
    <w:p>
      <w:pPr>
        <w:pStyle w:val="BodyText"/>
        <w:spacing w:line="360" w:lineRule="auto" w:before="52"/>
        <w:ind w:left="219" w:right="162"/>
        <w:jc w:val="both"/>
      </w:pPr>
      <w:r>
        <w:rPr/>
        <w:t>basal llamado MET. Este parámetro puede variar entre 1 met, que es el VO2 mínimo de una persona en reposo, hasta 18 mets que representan 18 veces </w:t>
      </w:r>
      <w:r>
        <w:rPr>
          <w:spacing w:val="-3"/>
        </w:rPr>
        <w:t>más </w:t>
      </w:r>
      <w:r>
        <w:rPr/>
        <w:t>el VO2 comparado a la </w:t>
      </w:r>
      <w:r>
        <w:rPr>
          <w:spacing w:val="-3"/>
        </w:rPr>
        <w:t>misma </w:t>
      </w:r>
      <w:r>
        <w:rPr/>
        <w:t>persona cuando está en actividad (29). Otro parámetro de la intensidad que también puede inferirse de esa </w:t>
      </w:r>
      <w:r>
        <w:rPr>
          <w:spacing w:val="-3"/>
        </w:rPr>
        <w:t>misma </w:t>
      </w:r>
      <w:r>
        <w:rPr/>
        <w:t>relación frecuencia cardiaca y consumo de oxigeno es el gasto energético durante un partido de fútbol asociación.</w:t>
      </w:r>
      <w:r>
        <w:rPr>
          <w:spacing w:val="-13"/>
        </w:rPr>
        <w:t> </w:t>
      </w:r>
      <w:r>
        <w:rPr/>
        <w:t>(30)</w:t>
      </w:r>
    </w:p>
    <w:p>
      <w:pPr>
        <w:pStyle w:val="BodyText"/>
        <w:spacing w:line="360" w:lineRule="auto" w:before="209"/>
        <w:ind w:left="219" w:right="154"/>
        <w:jc w:val="both"/>
      </w:pPr>
      <w:r>
        <w:rPr/>
        <w:t>La cantidad de oxígeno ofrecida a los tejidos por minuto, es decir el transporte de oxígeno sistémico estará entonces determinado por la cantidad de oxígeno en cada unidad de volumen de sangre (arterial de oxígeno) y el número de unidades (litro) de sangre enviadas al corazón de cada minuto (volumen latido).</w:t>
      </w:r>
      <w:r>
        <w:rPr>
          <w:spacing w:val="-26"/>
        </w:rPr>
        <w:t> </w:t>
      </w:r>
      <w:r>
        <w:rPr/>
        <w:t>(31)</w:t>
      </w:r>
    </w:p>
    <w:p>
      <w:pPr>
        <w:pStyle w:val="BodyText"/>
        <w:rPr>
          <w:sz w:val="20"/>
        </w:rPr>
      </w:pPr>
    </w:p>
    <w:p>
      <w:pPr>
        <w:pStyle w:val="BodyText"/>
        <w:rPr>
          <w:sz w:val="20"/>
        </w:rPr>
      </w:pPr>
    </w:p>
    <w:p>
      <w:pPr>
        <w:pStyle w:val="BodyText"/>
        <w:rPr>
          <w:sz w:val="20"/>
        </w:rPr>
      </w:pPr>
    </w:p>
    <w:p>
      <w:pPr>
        <w:pStyle w:val="BodyText"/>
        <w:spacing w:before="11"/>
        <w:rPr>
          <w:sz w:val="11"/>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85"/>
      </w:tblGrid>
      <w:tr>
        <w:trPr>
          <w:trHeight w:val="389" w:hRule="exact"/>
        </w:trPr>
        <w:tc>
          <w:tcPr>
            <w:tcW w:w="8985" w:type="dxa"/>
          </w:tcPr>
          <w:p>
            <w:pPr>
              <w:pStyle w:val="TableParagraph"/>
              <w:spacing w:before="0"/>
              <w:ind w:left="105" w:right="0"/>
              <w:jc w:val="left"/>
              <w:rPr>
                <w:rFonts w:ascii="Arial" w:hAnsi="Arial"/>
                <w:sz w:val="22"/>
              </w:rPr>
            </w:pPr>
            <w:r>
              <w:rPr>
                <w:rFonts w:ascii="Arial" w:hAnsi="Arial"/>
                <w:sz w:val="22"/>
              </w:rPr>
              <w:t>Consumo de oxígeno requerido para la práctica de fútbol asociación</w:t>
            </w:r>
          </w:p>
        </w:tc>
      </w:tr>
      <w:tr>
        <w:trPr>
          <w:trHeight w:val="389" w:hRule="exact"/>
        </w:trPr>
        <w:tc>
          <w:tcPr>
            <w:tcW w:w="8985" w:type="dxa"/>
          </w:tcPr>
          <w:p>
            <w:pPr>
              <w:pStyle w:val="TableParagraph"/>
              <w:tabs>
                <w:tab w:pos="4576" w:val="left" w:leader="none"/>
              </w:tabs>
              <w:spacing w:before="0"/>
              <w:ind w:left="105" w:right="0"/>
              <w:jc w:val="left"/>
              <w:rPr>
                <w:rFonts w:ascii="Arial"/>
                <w:sz w:val="22"/>
              </w:rPr>
            </w:pPr>
            <w:r>
              <w:rPr>
                <w:rFonts w:ascii="Arial"/>
                <w:sz w:val="22"/>
              </w:rPr>
              <w:t>Deficiente</w:t>
              <w:tab/>
              <w:t>menor 50</w:t>
            </w:r>
            <w:r>
              <w:rPr>
                <w:rFonts w:ascii="Arial"/>
                <w:spacing w:val="-15"/>
                <w:sz w:val="22"/>
              </w:rPr>
              <w:t> </w:t>
            </w:r>
            <w:r>
              <w:rPr>
                <w:rFonts w:ascii="Arial"/>
                <w:sz w:val="22"/>
              </w:rPr>
              <w:t>ml/kg/min</w:t>
            </w:r>
          </w:p>
        </w:tc>
      </w:tr>
      <w:tr>
        <w:trPr>
          <w:trHeight w:val="389" w:hRule="exact"/>
        </w:trPr>
        <w:tc>
          <w:tcPr>
            <w:tcW w:w="8985" w:type="dxa"/>
          </w:tcPr>
          <w:p>
            <w:pPr>
              <w:pStyle w:val="TableParagraph"/>
              <w:tabs>
                <w:tab w:pos="4585" w:val="left" w:leader="none"/>
              </w:tabs>
              <w:spacing w:before="0"/>
              <w:ind w:left="105" w:right="0"/>
              <w:jc w:val="left"/>
              <w:rPr>
                <w:rFonts w:ascii="Arial" w:hAnsi="Arial"/>
                <w:sz w:val="22"/>
              </w:rPr>
            </w:pPr>
            <w:r>
              <w:rPr>
                <w:rFonts w:ascii="Arial" w:hAnsi="Arial"/>
                <w:sz w:val="22"/>
              </w:rPr>
              <w:t>Adecuado</w:t>
              <w:tab/>
              <w:t>50 – 54</w:t>
            </w:r>
            <w:r>
              <w:rPr>
                <w:rFonts w:ascii="Arial" w:hAnsi="Arial"/>
                <w:spacing w:val="-14"/>
                <w:sz w:val="22"/>
              </w:rPr>
              <w:t> </w:t>
            </w:r>
            <w:r>
              <w:rPr>
                <w:rFonts w:ascii="Arial" w:hAnsi="Arial"/>
                <w:sz w:val="22"/>
              </w:rPr>
              <w:t>ml/kg/min</w:t>
            </w:r>
          </w:p>
        </w:tc>
      </w:tr>
      <w:tr>
        <w:trPr>
          <w:trHeight w:val="389" w:hRule="exact"/>
        </w:trPr>
        <w:tc>
          <w:tcPr>
            <w:tcW w:w="8985" w:type="dxa"/>
          </w:tcPr>
          <w:p>
            <w:pPr>
              <w:pStyle w:val="TableParagraph"/>
              <w:tabs>
                <w:tab w:pos="4595" w:val="left" w:leader="none"/>
              </w:tabs>
              <w:spacing w:before="0"/>
              <w:ind w:left="105" w:right="0"/>
              <w:jc w:val="left"/>
              <w:rPr>
                <w:rFonts w:ascii="Arial" w:hAnsi="Arial"/>
                <w:sz w:val="22"/>
              </w:rPr>
            </w:pPr>
            <w:r>
              <w:rPr>
                <w:rFonts w:ascii="Arial" w:hAnsi="Arial"/>
                <w:sz w:val="22"/>
              </w:rPr>
              <w:t>Bueno</w:t>
              <w:tab/>
              <w:t>55 – 59</w:t>
            </w:r>
            <w:r>
              <w:rPr>
                <w:rFonts w:ascii="Arial" w:hAnsi="Arial"/>
                <w:spacing w:val="-10"/>
                <w:sz w:val="22"/>
              </w:rPr>
              <w:t> </w:t>
            </w:r>
            <w:r>
              <w:rPr>
                <w:rFonts w:ascii="Arial" w:hAnsi="Arial"/>
                <w:sz w:val="22"/>
              </w:rPr>
              <w:t>ml/kg/min</w:t>
            </w:r>
          </w:p>
        </w:tc>
      </w:tr>
      <w:tr>
        <w:trPr>
          <w:trHeight w:val="394" w:hRule="exact"/>
        </w:trPr>
        <w:tc>
          <w:tcPr>
            <w:tcW w:w="8985" w:type="dxa"/>
          </w:tcPr>
          <w:p>
            <w:pPr>
              <w:pStyle w:val="TableParagraph"/>
              <w:tabs>
                <w:tab w:pos="4557" w:val="left" w:leader="none"/>
              </w:tabs>
              <w:spacing w:before="5"/>
              <w:ind w:left="105" w:right="0"/>
              <w:jc w:val="left"/>
              <w:rPr>
                <w:rFonts w:ascii="Arial" w:hAnsi="Arial"/>
                <w:sz w:val="22"/>
              </w:rPr>
            </w:pPr>
            <w:r>
              <w:rPr>
                <w:rFonts w:ascii="Arial" w:hAnsi="Arial"/>
                <w:sz w:val="22"/>
              </w:rPr>
              <w:t>Excelente</w:t>
              <w:tab/>
              <w:t>60 – 64</w:t>
            </w:r>
            <w:r>
              <w:rPr>
                <w:rFonts w:ascii="Arial" w:hAnsi="Arial"/>
                <w:spacing w:val="-9"/>
                <w:sz w:val="22"/>
              </w:rPr>
              <w:t> </w:t>
            </w:r>
            <w:r>
              <w:rPr>
                <w:rFonts w:ascii="Arial" w:hAnsi="Arial"/>
                <w:sz w:val="22"/>
              </w:rPr>
              <w:t>ml/kg/min</w:t>
            </w:r>
          </w:p>
        </w:tc>
      </w:tr>
      <w:tr>
        <w:trPr>
          <w:trHeight w:val="389" w:hRule="exact"/>
        </w:trPr>
        <w:tc>
          <w:tcPr>
            <w:tcW w:w="8985" w:type="dxa"/>
          </w:tcPr>
          <w:p>
            <w:pPr>
              <w:pStyle w:val="TableParagraph"/>
              <w:tabs>
                <w:tab w:pos="4571" w:val="left" w:leader="none"/>
              </w:tabs>
              <w:spacing w:before="0"/>
              <w:ind w:left="105" w:right="0"/>
              <w:jc w:val="left"/>
              <w:rPr>
                <w:rFonts w:ascii="Arial"/>
                <w:sz w:val="22"/>
              </w:rPr>
            </w:pPr>
            <w:r>
              <w:rPr>
                <w:rFonts w:ascii="Arial"/>
                <w:sz w:val="22"/>
              </w:rPr>
              <w:t>Elite</w:t>
              <w:tab/>
              <w:t>mayor de 65</w:t>
            </w:r>
            <w:r>
              <w:rPr>
                <w:rFonts w:ascii="Arial"/>
                <w:spacing w:val="-13"/>
                <w:sz w:val="22"/>
              </w:rPr>
              <w:t> </w:t>
            </w:r>
            <w:r>
              <w:rPr>
                <w:rFonts w:ascii="Arial"/>
                <w:sz w:val="22"/>
              </w:rPr>
              <w:t>ml/kg/min</w:t>
            </w:r>
          </w:p>
        </w:tc>
      </w:tr>
    </w:tbl>
    <w:p>
      <w:pPr>
        <w:spacing w:line="357" w:lineRule="auto" w:before="0"/>
        <w:ind w:left="219" w:right="171" w:firstLine="0"/>
        <w:jc w:val="both"/>
        <w:rPr>
          <w:sz w:val="16"/>
        </w:rPr>
      </w:pPr>
      <w:r>
        <w:rPr>
          <w:sz w:val="16"/>
        </w:rPr>
        <w:t>*Reilly Thomas Aspectos Fisiológicos del Fútbol. Centro de Ciencias del Deporte y del Ejercicio. Universidad John Moore, Liverpool, Inglaterra. 2006. (32)</w:t>
      </w:r>
    </w:p>
    <w:p>
      <w:pPr>
        <w:pStyle w:val="BodyText"/>
        <w:rPr>
          <w:sz w:val="16"/>
        </w:rPr>
      </w:pPr>
    </w:p>
    <w:p>
      <w:pPr>
        <w:pStyle w:val="BodyText"/>
        <w:rPr>
          <w:sz w:val="16"/>
        </w:rPr>
      </w:pPr>
    </w:p>
    <w:p>
      <w:pPr>
        <w:pStyle w:val="BodyText"/>
        <w:rPr>
          <w:sz w:val="16"/>
        </w:rPr>
      </w:pPr>
    </w:p>
    <w:p>
      <w:pPr>
        <w:pStyle w:val="BodyText"/>
        <w:spacing w:before="10"/>
        <w:rPr>
          <w:sz w:val="22"/>
        </w:rPr>
      </w:pPr>
    </w:p>
    <w:p>
      <w:pPr>
        <w:pStyle w:val="BodyText"/>
        <w:spacing w:line="360" w:lineRule="auto"/>
        <w:ind w:left="219" w:right="158"/>
        <w:jc w:val="both"/>
      </w:pPr>
      <w:r>
        <w:rPr/>
        <w:t>Uno de los puntos claves es si el atleta en fútbol asociación tiene cambios realmente a nivel cardiovascular los cambios morfológicos en el corazón del deportista ocurren en individuos sometidos a entrenamientos de elevada intensidad, frecuentes, de duración prolongada y realización de esfuerzos que involucran grandes masas musculares. (33)</w:t>
      </w:r>
    </w:p>
    <w:p>
      <w:pPr>
        <w:pStyle w:val="BodyText"/>
        <w:spacing w:line="360" w:lineRule="auto" w:before="209"/>
        <w:ind w:left="219" w:right="155"/>
        <w:jc w:val="both"/>
      </w:pPr>
      <w:r>
        <w:rPr/>
        <w:t>Como se mencionó anteriormente el fútbol asociación es un deporte considerado de componentes dinámicos y estáticos elevados, por lo que se encuentran involucrados metabolismos energéticos de tipo aeróbico y anaeróbico. La práctica del fútbol produce modificaciones fisiológicas cardiorrespiratorias y metabólicas.</w:t>
      </w:r>
    </w:p>
    <w:p>
      <w:pPr>
        <w:spacing w:after="0" w:line="360" w:lineRule="auto"/>
        <w:jc w:val="both"/>
        <w:sectPr>
          <w:pgSz w:w="12240" w:h="15840"/>
          <w:pgMar w:header="0" w:footer="966" w:top="1360" w:bottom="1220" w:left="1480" w:right="1540"/>
        </w:sectPr>
      </w:pPr>
    </w:p>
    <w:p>
      <w:pPr>
        <w:pStyle w:val="BodyText"/>
        <w:spacing w:line="360" w:lineRule="auto" w:before="52"/>
        <w:ind w:left="119" w:right="113"/>
        <w:jc w:val="both"/>
      </w:pPr>
      <w:r>
        <w:rPr/>
        <w:t>La ventilación del deportista puede llegar a 40 L/min o más. El futbolista suele sostener frecuencias cardiacas de 150 a 190 latidos por minuto durante la mayor parte del partido. Esto corresponde con un 70% del consumo máximo de oxígeno, elevando la concentración de lactato en sangre hasta 10 o más mmol/L. El 70% de la distancia que se recorre durante un partido de fútbol se lleva a cabo en carreras de diferentes velocidades de desplazamiento y con cambios bruscos de movimientos. (33, 34).</w:t>
      </w:r>
    </w:p>
    <w:p>
      <w:pPr>
        <w:pStyle w:val="BodyText"/>
        <w:spacing w:line="357" w:lineRule="auto" w:before="209"/>
        <w:ind w:left="119" w:right="117"/>
        <w:jc w:val="both"/>
      </w:pPr>
      <w:r>
        <w:rPr/>
        <w:t>Dependiendo la posición de juego las características del gesto deportivo desarrollan aspectos fisiológicos diferentes mostrando que el portero tiene características fisiológicas anaeróbicas explosivas y aeróbicas de baja intensidad, recorriendo aproximadamente cuatro kilómetros por partido.</w:t>
      </w:r>
    </w:p>
    <w:p>
      <w:pPr>
        <w:pStyle w:val="BodyText"/>
        <w:spacing w:line="360" w:lineRule="auto" w:before="212"/>
        <w:ind w:left="119" w:right="127"/>
        <w:jc w:val="both"/>
      </w:pPr>
      <w:r>
        <w:rPr/>
        <w:t>Los defensas y los delanteros recorren distancias mayores que los arqueros pero significativamente menores que los volantes o medio campistas, aproximadamente de 6 a 8 kilómetros y son de características energéticas aeróbicas de moderada intensidad y anaeróbicas explosivas.</w:t>
      </w:r>
    </w:p>
    <w:p>
      <w:pPr>
        <w:pStyle w:val="BodyText"/>
        <w:spacing w:line="360" w:lineRule="auto" w:before="209"/>
        <w:ind w:left="119" w:right="122"/>
        <w:jc w:val="both"/>
      </w:pPr>
      <w:r>
        <w:rPr/>
        <w:t>Los medios tiene características aeróbicas de moderada a alta intensidad y anaeróbicas explosivas, recorriendo por la función que desempeñan de traslado y rotación en el equipo distancias durante el partido comprendidas entre los 10 y 12 kilómetros.</w:t>
      </w:r>
    </w:p>
    <w:p>
      <w:pPr>
        <w:pStyle w:val="BodyText"/>
        <w:spacing w:line="360" w:lineRule="auto" w:before="205"/>
        <w:ind w:left="119" w:right="119"/>
        <w:jc w:val="both"/>
      </w:pPr>
      <w:r>
        <w:rPr/>
        <w:t>Los jugadores corren más durante la primera mitad de un partido, pero la distancia cubierta en carrera a gran velocidad es la misma en ambos tiempos. Los medios efectúan más carrera de baja velocidad que los delanteros y los defensores, pero los de alta intensidad son similares para los tres grupos.</w:t>
      </w:r>
    </w:p>
    <w:p>
      <w:pPr>
        <w:pStyle w:val="BodyText"/>
        <w:spacing w:line="355" w:lineRule="auto" w:before="209"/>
        <w:ind w:left="119" w:right="122"/>
        <w:jc w:val="both"/>
      </w:pPr>
      <w:r>
        <w:rPr/>
        <w:t>La distribución de la actividad física del futbolista durante el desarrollo de un partido de futbol consiste en:</w:t>
      </w:r>
    </w:p>
    <w:p>
      <w:pPr>
        <w:pStyle w:val="ListParagraph"/>
        <w:numPr>
          <w:ilvl w:val="1"/>
          <w:numId w:val="5"/>
        </w:numPr>
        <w:tabs>
          <w:tab w:pos="840" w:val="left" w:leader="none"/>
          <w:tab w:pos="841" w:val="left" w:leader="none"/>
        </w:tabs>
        <w:spacing w:line="240" w:lineRule="auto" w:before="213" w:after="0"/>
        <w:ind w:left="840" w:right="0" w:hanging="360"/>
        <w:jc w:val="left"/>
        <w:rPr>
          <w:sz w:val="24"/>
        </w:rPr>
      </w:pPr>
      <w:r>
        <w:rPr>
          <w:sz w:val="24"/>
        </w:rPr>
        <w:t>Permanecer de pie:</w:t>
      </w:r>
      <w:r>
        <w:rPr>
          <w:spacing w:val="-6"/>
          <w:sz w:val="24"/>
        </w:rPr>
        <w:t> </w:t>
      </w:r>
      <w:r>
        <w:rPr>
          <w:sz w:val="24"/>
        </w:rPr>
        <w:t>17%</w:t>
      </w:r>
    </w:p>
    <w:p>
      <w:pPr>
        <w:pStyle w:val="ListParagraph"/>
        <w:numPr>
          <w:ilvl w:val="1"/>
          <w:numId w:val="5"/>
        </w:numPr>
        <w:tabs>
          <w:tab w:pos="840" w:val="left" w:leader="none"/>
          <w:tab w:pos="841" w:val="left" w:leader="none"/>
        </w:tabs>
        <w:spacing w:line="240" w:lineRule="auto" w:before="138" w:after="0"/>
        <w:ind w:left="840" w:right="0" w:hanging="360"/>
        <w:jc w:val="left"/>
        <w:rPr>
          <w:sz w:val="24"/>
        </w:rPr>
      </w:pPr>
      <w:r>
        <w:rPr>
          <w:sz w:val="24"/>
        </w:rPr>
        <w:t>Caminar:</w:t>
      </w:r>
      <w:r>
        <w:rPr>
          <w:spacing w:val="-3"/>
          <w:sz w:val="24"/>
        </w:rPr>
        <w:t> </w:t>
      </w:r>
      <w:r>
        <w:rPr>
          <w:sz w:val="24"/>
        </w:rPr>
        <w:t>40%</w:t>
      </w:r>
    </w:p>
    <w:p>
      <w:pPr>
        <w:pStyle w:val="ListParagraph"/>
        <w:numPr>
          <w:ilvl w:val="1"/>
          <w:numId w:val="5"/>
        </w:numPr>
        <w:tabs>
          <w:tab w:pos="840" w:val="left" w:leader="none"/>
          <w:tab w:pos="841" w:val="left" w:leader="none"/>
        </w:tabs>
        <w:spacing w:line="240" w:lineRule="auto" w:before="133" w:after="0"/>
        <w:ind w:left="840" w:right="0" w:hanging="360"/>
        <w:jc w:val="left"/>
        <w:rPr>
          <w:sz w:val="24"/>
        </w:rPr>
      </w:pPr>
      <w:r>
        <w:rPr>
          <w:sz w:val="24"/>
        </w:rPr>
        <w:t>Trote, carrera de baja y mediana velocidad:</w:t>
      </w:r>
      <w:r>
        <w:rPr>
          <w:spacing w:val="-26"/>
          <w:sz w:val="24"/>
        </w:rPr>
        <w:t> </w:t>
      </w:r>
      <w:r>
        <w:rPr>
          <w:sz w:val="24"/>
        </w:rPr>
        <w:t>35%</w:t>
      </w:r>
    </w:p>
    <w:p>
      <w:pPr>
        <w:spacing w:after="0" w:line="240" w:lineRule="auto"/>
        <w:jc w:val="left"/>
        <w:rPr>
          <w:sz w:val="24"/>
        </w:rPr>
        <w:sectPr>
          <w:pgSz w:w="12240" w:h="15840"/>
          <w:pgMar w:header="0" w:footer="966" w:top="1360" w:bottom="1220" w:left="1580" w:right="1580"/>
        </w:sectPr>
      </w:pPr>
    </w:p>
    <w:p>
      <w:pPr>
        <w:pStyle w:val="ListParagraph"/>
        <w:numPr>
          <w:ilvl w:val="1"/>
          <w:numId w:val="5"/>
        </w:numPr>
        <w:tabs>
          <w:tab w:pos="840" w:val="left" w:leader="none"/>
          <w:tab w:pos="841" w:val="left" w:leader="none"/>
        </w:tabs>
        <w:spacing w:line="240" w:lineRule="auto" w:before="30" w:after="0"/>
        <w:ind w:left="840" w:right="0" w:hanging="360"/>
        <w:jc w:val="left"/>
        <w:rPr>
          <w:sz w:val="24"/>
        </w:rPr>
      </w:pPr>
      <w:r>
        <w:rPr>
          <w:sz w:val="24"/>
        </w:rPr>
        <w:t>Carrera de alta velocidad:</w:t>
      </w:r>
      <w:r>
        <w:rPr>
          <w:spacing w:val="-11"/>
          <w:sz w:val="24"/>
        </w:rPr>
        <w:t> </w:t>
      </w:r>
      <w:r>
        <w:rPr>
          <w:sz w:val="24"/>
        </w:rPr>
        <w:t>7.4%</w:t>
      </w:r>
    </w:p>
    <w:p>
      <w:pPr>
        <w:pStyle w:val="ListParagraph"/>
        <w:numPr>
          <w:ilvl w:val="1"/>
          <w:numId w:val="5"/>
        </w:numPr>
        <w:tabs>
          <w:tab w:pos="840" w:val="left" w:leader="none"/>
          <w:tab w:pos="841" w:val="left" w:leader="none"/>
        </w:tabs>
        <w:spacing w:line="240" w:lineRule="auto" w:before="138" w:after="0"/>
        <w:ind w:left="840" w:right="0" w:hanging="360"/>
        <w:jc w:val="left"/>
        <w:rPr>
          <w:sz w:val="24"/>
        </w:rPr>
      </w:pPr>
      <w:r>
        <w:rPr>
          <w:sz w:val="24"/>
        </w:rPr>
        <w:t>Sprint:</w:t>
      </w:r>
      <w:r>
        <w:rPr>
          <w:spacing w:val="-2"/>
          <w:sz w:val="24"/>
        </w:rPr>
        <w:t> </w:t>
      </w:r>
      <w:r>
        <w:rPr>
          <w:sz w:val="24"/>
        </w:rPr>
        <w:t>0,6%</w:t>
      </w:r>
    </w:p>
    <w:p>
      <w:pPr>
        <w:pStyle w:val="BodyText"/>
        <w:spacing w:before="3"/>
        <w:rPr>
          <w:sz w:val="29"/>
        </w:rPr>
      </w:pPr>
    </w:p>
    <w:p>
      <w:pPr>
        <w:pStyle w:val="BodyText"/>
        <w:spacing w:line="360" w:lineRule="auto"/>
        <w:ind w:left="119" w:right="116"/>
        <w:jc w:val="both"/>
      </w:pPr>
      <w:r>
        <w:rPr/>
        <w:t>En la actividad física del futbolista durante un partido se efectúan aproximadamente 1,100 cambios de ritmo, con posesión de la pelota por 0,3 a 3,1 minutos por vez. (27)</w:t>
      </w:r>
    </w:p>
    <w:p>
      <w:pPr>
        <w:pStyle w:val="BodyText"/>
      </w:pPr>
    </w:p>
    <w:p>
      <w:pPr>
        <w:pStyle w:val="BodyText"/>
      </w:pPr>
    </w:p>
    <w:p>
      <w:pPr>
        <w:pStyle w:val="Heading1"/>
        <w:numPr>
          <w:ilvl w:val="0"/>
          <w:numId w:val="5"/>
        </w:numPr>
        <w:tabs>
          <w:tab w:pos="442" w:val="left" w:leader="none"/>
        </w:tabs>
        <w:spacing w:line="240" w:lineRule="auto" w:before="166" w:after="0"/>
        <w:ind w:left="441" w:right="0" w:hanging="322"/>
        <w:jc w:val="both"/>
      </w:pPr>
      <w:bookmarkStart w:name="_TOC_250003" w:id="25"/>
      <w:r>
        <w:rPr/>
        <w:t>Índice de eficiencia miocárdica en</w:t>
      </w:r>
      <w:r>
        <w:rPr>
          <w:spacing w:val="-22"/>
        </w:rPr>
        <w:t> </w:t>
      </w:r>
      <w:bookmarkEnd w:id="25"/>
      <w:r>
        <w:rPr/>
        <w:t>futbolistas</w:t>
      </w:r>
    </w:p>
    <w:p>
      <w:pPr>
        <w:pStyle w:val="BodyText"/>
        <w:spacing w:line="360" w:lineRule="auto" w:before="45"/>
        <w:ind w:left="119" w:right="117"/>
        <w:jc w:val="both"/>
      </w:pPr>
      <w:r>
        <w:rPr/>
        <w:t>El índice de eficiencia miocárdica (I.E.M.) proporciona información del estado hemodinámico que dependerá del balance entre el aporte miocárdico de oxígeno y sus variaciones mecánicas del mismo, donde se requiere una integridad cardiovascular por ser un sistema anaeróbico en el fútbol asociación y relacionado al trabajo que este realiza para abastecer el sistema en jugadores de fútbol asociación. La fórmula para calcular el IEM es:</w:t>
      </w:r>
    </w:p>
    <w:p>
      <w:pPr>
        <w:pStyle w:val="ListParagraph"/>
        <w:numPr>
          <w:ilvl w:val="1"/>
          <w:numId w:val="5"/>
        </w:numPr>
        <w:tabs>
          <w:tab w:pos="840" w:val="left" w:leader="none"/>
          <w:tab w:pos="841" w:val="left" w:leader="none"/>
        </w:tabs>
        <w:spacing w:line="240" w:lineRule="auto" w:before="207" w:after="0"/>
        <w:ind w:left="840" w:right="0" w:hanging="360"/>
        <w:jc w:val="left"/>
        <w:rPr>
          <w:sz w:val="24"/>
        </w:rPr>
      </w:pPr>
      <w:r>
        <w:rPr>
          <w:sz w:val="24"/>
        </w:rPr>
        <w:t>Índice de eficiencia miocárdica con la fórmula: MVO2/VO2 real x</w:t>
      </w:r>
      <w:r>
        <w:rPr>
          <w:spacing w:val="-26"/>
          <w:sz w:val="24"/>
        </w:rPr>
        <w:t> </w:t>
      </w:r>
      <w:r>
        <w:rPr>
          <w:sz w:val="24"/>
        </w:rPr>
        <w:t>10.</w:t>
      </w:r>
    </w:p>
    <w:p>
      <w:pPr>
        <w:pStyle w:val="BodyText"/>
        <w:spacing w:line="360" w:lineRule="auto" w:before="135"/>
        <w:ind w:left="840" w:right="130"/>
      </w:pPr>
      <w:r>
        <w:rPr/>
        <w:t>Dónde MVO2 corresponde al consumo miocárdico de oxígeno y VO2 real corresponde al consumo máximo de oxígeno.</w:t>
      </w:r>
    </w:p>
    <w:p>
      <w:pPr>
        <w:pStyle w:val="ListParagraph"/>
        <w:numPr>
          <w:ilvl w:val="1"/>
          <w:numId w:val="5"/>
        </w:numPr>
        <w:tabs>
          <w:tab w:pos="840" w:val="left" w:leader="none"/>
          <w:tab w:pos="841" w:val="left" w:leader="none"/>
        </w:tabs>
        <w:spacing w:line="350" w:lineRule="auto" w:before="5" w:after="0"/>
        <w:ind w:left="840" w:right="120" w:hanging="360"/>
        <w:jc w:val="left"/>
        <w:rPr>
          <w:sz w:val="24"/>
        </w:rPr>
      </w:pPr>
      <w:r>
        <w:rPr>
          <w:sz w:val="24"/>
        </w:rPr>
        <w:t>Determinación de consumo miocárdico de oxígeno en prueba de esfuerzo con la fórmula: (doble producto </w:t>
      </w:r>
      <w:r>
        <w:rPr>
          <w:spacing w:val="-2"/>
          <w:sz w:val="24"/>
        </w:rPr>
        <w:t>máximo </w:t>
      </w:r>
      <w:r>
        <w:rPr>
          <w:sz w:val="24"/>
        </w:rPr>
        <w:t>x 0.14 x 0.01) – (6.3) =</w:t>
      </w:r>
      <w:r>
        <w:rPr>
          <w:spacing w:val="-5"/>
          <w:sz w:val="24"/>
        </w:rPr>
        <w:t> </w:t>
      </w:r>
      <w:r>
        <w:rPr>
          <w:sz w:val="24"/>
        </w:rPr>
        <w:t>MVO2.</w:t>
      </w:r>
    </w:p>
    <w:p>
      <w:pPr>
        <w:pStyle w:val="ListParagraph"/>
        <w:numPr>
          <w:ilvl w:val="1"/>
          <w:numId w:val="5"/>
        </w:numPr>
        <w:tabs>
          <w:tab w:pos="840" w:val="left" w:leader="none"/>
          <w:tab w:pos="841" w:val="left" w:leader="none"/>
        </w:tabs>
        <w:spacing w:line="355" w:lineRule="auto" w:before="12" w:after="0"/>
        <w:ind w:left="840" w:right="123" w:hanging="360"/>
        <w:jc w:val="left"/>
        <w:rPr>
          <w:sz w:val="24"/>
        </w:rPr>
      </w:pPr>
      <w:r>
        <w:rPr>
          <w:sz w:val="24"/>
        </w:rPr>
        <w:t>Doble producto máximo con la fórmula: (frecuencia cardiaca máxima x presión arterial</w:t>
      </w:r>
      <w:r>
        <w:rPr>
          <w:spacing w:val="-10"/>
          <w:sz w:val="24"/>
        </w:rPr>
        <w:t> </w:t>
      </w:r>
      <w:r>
        <w:rPr>
          <w:sz w:val="24"/>
        </w:rPr>
        <w:t>máxima).</w:t>
      </w:r>
    </w:p>
    <w:p>
      <w:pPr>
        <w:pStyle w:val="BodyText"/>
        <w:spacing w:line="360" w:lineRule="auto" w:before="8"/>
        <w:ind w:left="119" w:right="125"/>
        <w:jc w:val="both"/>
      </w:pPr>
      <w:r>
        <w:rPr/>
        <w:t>Este índice que relaciona el consumo miocárdico de oxígeno con el consumo de oxígeno global es normal cuando es menor a 10, si es superior a 10 indica trabajo excesivo miocárdico, una mala respuesta cardiaca con elevación exagerada de la presión arterial y frecuencia cardiaca. (52)</w:t>
      </w:r>
    </w:p>
    <w:p>
      <w:pPr>
        <w:pStyle w:val="BodyText"/>
      </w:pPr>
    </w:p>
    <w:p>
      <w:pPr>
        <w:pStyle w:val="BodyText"/>
        <w:spacing w:before="3"/>
        <w:rPr>
          <w:sz w:val="29"/>
        </w:rPr>
      </w:pPr>
    </w:p>
    <w:p>
      <w:pPr>
        <w:pStyle w:val="Heading1"/>
        <w:numPr>
          <w:ilvl w:val="0"/>
          <w:numId w:val="5"/>
        </w:numPr>
        <w:tabs>
          <w:tab w:pos="418" w:val="left" w:leader="none"/>
        </w:tabs>
        <w:spacing w:line="240" w:lineRule="auto" w:before="0" w:after="0"/>
        <w:ind w:left="417" w:right="0" w:hanging="298"/>
        <w:jc w:val="both"/>
      </w:pPr>
      <w:bookmarkStart w:name="_bookmark12" w:id="26"/>
      <w:bookmarkEnd w:id="26"/>
      <w:r>
        <w:rPr>
          <w:b w:val="0"/>
        </w:rPr>
      </w:r>
      <w:bookmarkStart w:name="_bookmark12" w:id="27"/>
      <w:bookmarkEnd w:id="27"/>
      <w:r>
        <w:rPr/>
        <w:t>F</w:t>
      </w:r>
      <w:r>
        <w:rPr/>
        <w:t>útbol asociación con altura de 2600 metros a nivel del</w:t>
      </w:r>
      <w:r>
        <w:rPr>
          <w:spacing w:val="-36"/>
        </w:rPr>
        <w:t> </w:t>
      </w:r>
      <w:r>
        <w:rPr/>
        <w:t>mar</w:t>
      </w:r>
    </w:p>
    <w:p>
      <w:pPr>
        <w:pStyle w:val="BodyText"/>
        <w:spacing w:line="362" w:lineRule="auto" w:before="45"/>
        <w:ind w:left="119" w:right="122"/>
        <w:jc w:val="both"/>
      </w:pPr>
      <w:r>
        <w:rPr/>
        <w:t>Los partidos internacionales de fútbol jugados a altitud alta, son muy comunes en Sudamérica, donde los partidos son frecuentemente realizados arriba de los  2500</w:t>
      </w:r>
    </w:p>
    <w:p>
      <w:pPr>
        <w:spacing w:after="0" w:line="362" w:lineRule="auto"/>
        <w:jc w:val="both"/>
        <w:sectPr>
          <w:pgSz w:w="12240" w:h="15840"/>
          <w:pgMar w:header="0" w:footer="966" w:top="1380" w:bottom="1220" w:left="1580" w:right="1580"/>
        </w:sectPr>
      </w:pPr>
    </w:p>
    <w:p>
      <w:pPr>
        <w:pStyle w:val="BodyText"/>
        <w:spacing w:line="355" w:lineRule="auto" w:before="52"/>
        <w:ind w:left="119" w:right="133"/>
        <w:jc w:val="both"/>
      </w:pPr>
      <w:r>
        <w:rPr/>
        <w:t>metros, ejemplos La Paz, Bolivia a 3600 metros, Oruro, Bolivia 3800 metros, Cuzco, Perú, 3300 metros y Quito, Ecuador, 2800 metros.</w:t>
      </w:r>
    </w:p>
    <w:p>
      <w:pPr>
        <w:pStyle w:val="BodyText"/>
        <w:spacing w:line="360" w:lineRule="auto" w:before="215"/>
        <w:ind w:left="119" w:right="114"/>
        <w:jc w:val="both"/>
      </w:pPr>
      <w:r>
        <w:rPr/>
        <w:t>Por estas alturas a nivel del Mar se mencionó antes de la ronda clasificatoria sudamericana para la copa del mundo en 1998, la comisión de medicina deportiva de la Federación Internacional de Asociaciones de Fútbol recomendó que los partidos de fútbol que fueran a ser jugados arriba de 3000 metros, deben ser jugados solo con la condición de que un periodo de a climatización de 10 días sea respetado”. Esto relacionado al efecto fisiológico de la exposición aguda a la altura sobre el rendimiento del ejercicio, sumado a la conocida disminución del máximo consumo de oxígeno (35) para un nivel dado de consumo de oxígeno submáximo comparado con el nivel del mar, el stress general del ejercicio en hipoxia documentado por una menor saturación arterial de oxígeno (36) una mayor frecuencia cardiaca, mayor equivalente ventilatorio para el oxígeno (37, 38) un incremento en la producción de lactato (39, 40) y mayores niveles de catecolaminas circulantes. (41, 42)</w:t>
      </w:r>
    </w:p>
    <w:p>
      <w:pPr>
        <w:pStyle w:val="BodyText"/>
        <w:spacing w:line="360" w:lineRule="auto" w:before="209"/>
        <w:ind w:left="119" w:right="130"/>
        <w:jc w:val="both"/>
      </w:pPr>
      <w:r>
        <w:rPr/>
        <w:t>El trabajo deportivo en altura pueden presentar síntomas de la enfermedad aguda de la montaña durante los primeros días de la exposición a altura moderada los cuales incluyen cefalea, anorexia, nausea, astenia, adinamia, disnea y mareo (43).</w:t>
      </w:r>
    </w:p>
    <w:p>
      <w:pPr>
        <w:pStyle w:val="BodyText"/>
        <w:spacing w:line="360" w:lineRule="auto" w:before="209"/>
        <w:ind w:left="119" w:right="120"/>
        <w:jc w:val="both"/>
      </w:pPr>
      <w:r>
        <w:rPr/>
        <w:t>En mayo de 2007 le toco a Bolivia el 3er veto de jugar partidos eliminatorios en la ciudad de La Paz, a la altura de 3600 metros, después de un primer veto en 1996, estos detalles para Bolivia fueron cruciales con prohibiciones de partidos eliminatorios en alturas por encima de 2500 metros a nivel del mar. En el año 1996 los investigadores del Instituto Boliviano de Biología de Altura habían realizado un trabajo de investigación que comparo jugadores aclimatados a la altura de La Paz con jugadores que venían de una altura cercana a nivel del mar publicado en el año 2000 ya que ninguna revista internacional se interesaba en el rendimiento de jugadores de futbol en altura. (44)</w:t>
      </w:r>
    </w:p>
    <w:p>
      <w:pPr>
        <w:pStyle w:val="BodyText"/>
        <w:spacing w:line="362" w:lineRule="auto" w:before="204"/>
        <w:ind w:left="119" w:right="119"/>
        <w:jc w:val="both"/>
      </w:pPr>
      <w:r>
        <w:rPr/>
        <w:t>Con estas situaciones grandes estudios se desarrollaron el cual el no realizarlos los países afectados hubieran sido Bolivia, Ecuador y Colombia; así como otras</w:t>
      </w:r>
    </w:p>
    <w:p>
      <w:pPr>
        <w:spacing w:after="0" w:line="362" w:lineRule="auto"/>
        <w:jc w:val="both"/>
        <w:sectPr>
          <w:pgSz w:w="12240" w:h="15840"/>
          <w:pgMar w:header="0" w:footer="966" w:top="1360" w:bottom="1220" w:left="1580" w:right="1580"/>
        </w:sectPr>
      </w:pPr>
    </w:p>
    <w:p>
      <w:pPr>
        <w:pStyle w:val="BodyText"/>
        <w:spacing w:line="360" w:lineRule="auto" w:before="52"/>
        <w:ind w:left="119" w:right="125"/>
        <w:jc w:val="both"/>
      </w:pPr>
      <w:r>
        <w:rPr/>
        <w:t>ciudades en Chile, Perú, México. Por esta razón la FIFA aumento las alturas en  las cuales estaría permitido realizar partidos eliminatorios para campeonatos mundiales de la FIFA hasta 2900 metros a nivel del </w:t>
      </w:r>
      <w:r>
        <w:rPr>
          <w:spacing w:val="-3"/>
        </w:rPr>
        <w:t>mar </w:t>
      </w:r>
      <w:r>
        <w:rPr/>
        <w:t>pero decidió que el límite definitivamente debería estar por debajo de los 3000 metros, dejando a Bolivia como la única nación</w:t>
      </w:r>
      <w:r>
        <w:rPr>
          <w:spacing w:val="-11"/>
        </w:rPr>
        <w:t> </w:t>
      </w:r>
      <w:r>
        <w:rPr/>
        <w:t>afectada.</w:t>
      </w:r>
    </w:p>
    <w:p>
      <w:pPr>
        <w:pStyle w:val="BodyText"/>
        <w:spacing w:line="360" w:lineRule="auto" w:before="209"/>
        <w:ind w:left="119" w:right="125"/>
        <w:jc w:val="both"/>
      </w:pPr>
      <w:r>
        <w:rPr/>
        <w:t>La FIFA recomienda a los equipos que ascienden del nivel del </w:t>
      </w:r>
      <w:r>
        <w:rPr>
          <w:spacing w:val="-3"/>
        </w:rPr>
        <w:t>mar </w:t>
      </w:r>
      <w:r>
        <w:rPr/>
        <w:t>a gran altura  un tiempo mínimo aclimatación de dos semanas para alcanzar un óptimo desempeño (45) el cual no avanzo esta determinación por los tiempos de los jugadores, equipos y gastos que conllevan a esa</w:t>
      </w:r>
      <w:r>
        <w:rPr>
          <w:spacing w:val="-17"/>
        </w:rPr>
        <w:t> </w:t>
      </w:r>
      <w:r>
        <w:rPr/>
        <w:t>determinación.</w:t>
      </w:r>
    </w:p>
    <w:p>
      <w:pPr>
        <w:pStyle w:val="BodyText"/>
        <w:spacing w:line="360" w:lineRule="auto" w:before="209"/>
        <w:ind w:left="119" w:right="117"/>
        <w:jc w:val="both"/>
      </w:pPr>
      <w:r>
        <w:rPr/>
        <w:t>Es conocida la disminución de la capacidad aeróbica (consumo máximo de oxigeno) paralela a una estadía permanente o transitoria en un ambiente donde la presión de oxígeno ambiental o inspiratoria es menor, es decir que todos los futbolistas tanto del llano como residentes de altura, pierden algo de su capacidad normalmente observada cuando son evaluados en altura. Esta pérdida  </w:t>
      </w:r>
      <w:r>
        <w:rPr>
          <w:spacing w:val="61"/>
        </w:rPr>
        <w:t> </w:t>
      </w:r>
      <w:r>
        <w:rPr/>
        <w:t>depende:</w:t>
      </w:r>
    </w:p>
    <w:p>
      <w:pPr>
        <w:pStyle w:val="BodyText"/>
        <w:spacing w:line="357" w:lineRule="auto" w:before="2"/>
        <w:ind w:left="119" w:right="122"/>
        <w:jc w:val="both"/>
      </w:pPr>
      <w:r>
        <w:rPr/>
        <w:t>a) de la presión barométrica, del nivel de altura en el que </w:t>
      </w:r>
      <w:r>
        <w:rPr>
          <w:spacing w:val="-3"/>
        </w:rPr>
        <w:t>se </w:t>
      </w:r>
      <w:r>
        <w:rPr/>
        <w:t>efectúa la evaluación a mayor altura menor consumo de oxígeno para el deportista y el grado de entrenamiento de los jugadores de fútbol asociación.</w:t>
      </w:r>
      <w:r>
        <w:rPr>
          <w:spacing w:val="-17"/>
        </w:rPr>
        <w:t> </w:t>
      </w:r>
      <w:r>
        <w:rPr/>
        <w:t>(46)</w:t>
      </w:r>
    </w:p>
    <w:p>
      <w:pPr>
        <w:pStyle w:val="BodyText"/>
        <w:spacing w:line="360" w:lineRule="auto" w:before="212"/>
        <w:ind w:left="119" w:right="114"/>
        <w:jc w:val="both"/>
      </w:pPr>
      <w:r>
        <w:rPr/>
        <w:t>En relación al tiempo de aclimatación a la altura previo al partido de fútbol o valoración morfofuncional existe una vasta experiencia de cerca de los años 80, publicada en forma de estadísticas bien respaldadas (47) y análisis paralelos del tema (48), que de una forma muy objetiva muestran que no es conveniente jugar inmediatamente o realizar pruebas de esfuerzo a las pocas horas después de haber llegado al lugar en altura aun por más de 2500 metros a nivel del mar.</w:t>
      </w:r>
    </w:p>
    <w:p>
      <w:pPr>
        <w:pStyle w:val="BodyText"/>
        <w:spacing w:line="360" w:lineRule="auto" w:before="204"/>
        <w:ind w:left="119" w:right="119"/>
        <w:jc w:val="both"/>
      </w:pPr>
      <w:r>
        <w:rPr/>
        <w:t>Menciona un estudio el cual se dedicó a comprobar que las cifras del consumo máximo de oxígeno no mejoran en periodos más largos de 2 semanas, tiempo mínimo de aclimatación que recomienda la FIFA para obtener un rendimiento óptimo (49), todavía faltan estudios que nos relacionen el consumo miocárdico de oxígeno y el consumo de oxígeno en jugadores de fútbol asociación para ver si</w:t>
      </w:r>
    </w:p>
    <w:p>
      <w:pPr>
        <w:spacing w:after="0" w:line="360" w:lineRule="auto"/>
        <w:jc w:val="both"/>
        <w:sectPr>
          <w:pgSz w:w="12240" w:h="15840"/>
          <w:pgMar w:header="0" w:footer="966" w:top="1360" w:bottom="1220" w:left="1580" w:right="1580"/>
        </w:sectPr>
      </w:pPr>
    </w:p>
    <w:p>
      <w:pPr>
        <w:pStyle w:val="BodyText"/>
        <w:spacing w:line="355" w:lineRule="auto" w:before="52"/>
        <w:ind w:left="119" w:right="113"/>
        <w:jc w:val="both"/>
      </w:pPr>
      <w:r>
        <w:rPr/>
        <w:t>existe una relación el cual puedan generar cambios significativos en sus valoraciones morfofuncionales o durante una prueba de esfuerzo controlada.</w:t>
      </w:r>
    </w:p>
    <w:p>
      <w:pPr>
        <w:pStyle w:val="BodyText"/>
      </w:pPr>
    </w:p>
    <w:p>
      <w:pPr>
        <w:pStyle w:val="BodyText"/>
      </w:pPr>
    </w:p>
    <w:p>
      <w:pPr>
        <w:pStyle w:val="BodyText"/>
        <w:spacing w:before="8"/>
        <w:rPr>
          <w:sz w:val="23"/>
        </w:rPr>
      </w:pPr>
    </w:p>
    <w:p>
      <w:pPr>
        <w:pStyle w:val="Heading1"/>
        <w:numPr>
          <w:ilvl w:val="0"/>
          <w:numId w:val="5"/>
        </w:numPr>
        <w:tabs>
          <w:tab w:pos="466" w:val="left" w:leader="none"/>
        </w:tabs>
        <w:spacing w:line="240" w:lineRule="auto" w:before="0" w:after="0"/>
        <w:ind w:left="465" w:right="0" w:hanging="346"/>
        <w:jc w:val="both"/>
      </w:pPr>
      <w:bookmarkStart w:name="_bookmark13" w:id="28"/>
      <w:bookmarkEnd w:id="28"/>
      <w:r>
        <w:rPr>
          <w:b w:val="0"/>
        </w:rPr>
      </w:r>
      <w:bookmarkStart w:name="_bookmark13" w:id="29"/>
      <w:bookmarkEnd w:id="29"/>
      <w:r>
        <w:rPr/>
        <w:t>P</w:t>
      </w:r>
      <w:r>
        <w:rPr/>
        <w:t>rueba de</w:t>
      </w:r>
      <w:r>
        <w:rPr>
          <w:spacing w:val="-10"/>
        </w:rPr>
        <w:t> </w:t>
      </w:r>
      <w:r>
        <w:rPr/>
        <w:t>esfuerzo</w:t>
      </w:r>
    </w:p>
    <w:p>
      <w:pPr>
        <w:pStyle w:val="BodyText"/>
        <w:spacing w:line="360" w:lineRule="auto" w:before="45"/>
        <w:ind w:left="119" w:right="129"/>
        <w:jc w:val="both"/>
      </w:pPr>
      <w:r>
        <w:rPr/>
        <w:t>La prueba de esfuerzo o ergometría, es una exploración objetiva que nos permite valorar como es la respuesta del organismo ante una situación de sobrecarga metabólica </w:t>
      </w:r>
      <w:r>
        <w:rPr>
          <w:spacing w:val="-4"/>
        </w:rPr>
        <w:t>como </w:t>
      </w:r>
      <w:r>
        <w:rPr/>
        <w:t>es el ejercicio. En definitiva nos permite medir de </w:t>
      </w:r>
      <w:r>
        <w:rPr>
          <w:spacing w:val="-3"/>
        </w:rPr>
        <w:t>forma </w:t>
      </w:r>
      <w:r>
        <w:rPr/>
        <w:t>objetiva la capacidad funcional del organismo.</w:t>
      </w:r>
      <w:r>
        <w:rPr>
          <w:spacing w:val="-13"/>
        </w:rPr>
        <w:t> </w:t>
      </w:r>
      <w:r>
        <w:rPr/>
        <w:t>(15)</w:t>
      </w:r>
    </w:p>
    <w:p>
      <w:pPr>
        <w:pStyle w:val="BodyText"/>
        <w:spacing w:line="360" w:lineRule="auto" w:before="209"/>
        <w:ind w:left="119" w:right="119"/>
        <w:jc w:val="both"/>
      </w:pPr>
      <w:r>
        <w:rPr/>
        <w:t>La prueba de esfuerzo es un recurso de evaluación y diagnóstico de la capacidad física, la Organización Mundial de la Salud (OMS) establece que el propósito primario de una prueba de esfuerzo, es determinar la respuesta del individuo al esfuerzo. Proporciona información razonable sobre la capacidad  aeróbica somática y miocárdica, y la tolerancia en el incremento de la frecuencia cardiaca y la presión arterial. (13)</w:t>
      </w:r>
    </w:p>
    <w:p>
      <w:pPr>
        <w:pStyle w:val="BodyText"/>
        <w:spacing w:line="360" w:lineRule="auto" w:before="209"/>
        <w:ind w:left="119" w:right="115"/>
        <w:jc w:val="both"/>
      </w:pPr>
      <w:r>
        <w:rPr/>
        <w:t>Se ha observado que la capacidad de esfuerzo individual se evalúa con mayor precisión en banda sin fin que con otro </w:t>
      </w:r>
      <w:r>
        <w:rPr>
          <w:spacing w:val="-3"/>
        </w:rPr>
        <w:t>tipo </w:t>
      </w:r>
      <w:r>
        <w:rPr/>
        <w:t>de ergometros, ya que el sistema cardiovascular se adapta en </w:t>
      </w:r>
      <w:r>
        <w:rPr>
          <w:spacing w:val="-3"/>
        </w:rPr>
        <w:t>forma </w:t>
      </w:r>
      <w:r>
        <w:rPr/>
        <w:t>directa con la demanda de trabajo. La banda sin fin, es un equipo mecánico que consiste en una banda móvil que tiene un  motor de ¾ de aballo de fuerza, conectada a un control de velocidad gradual que llega hasta 10 millas terrestres por hora. La base donde se desliza está conectada a otro motor capacitado para elevar la cabeza de dicha base, esta elevación se hace gradualmente de 1 a 30% de una pendiente total, que constituye el ángulo recto de 90 grados, o sea el 100% de</w:t>
      </w:r>
      <w:r>
        <w:rPr>
          <w:spacing w:val="-15"/>
        </w:rPr>
        <w:t> </w:t>
      </w:r>
      <w:r>
        <w:rPr/>
        <w:t>inclinación.</w:t>
      </w:r>
    </w:p>
    <w:p>
      <w:pPr>
        <w:pStyle w:val="BodyText"/>
        <w:spacing w:line="360" w:lineRule="auto" w:before="209"/>
        <w:ind w:left="119" w:right="113"/>
        <w:jc w:val="both"/>
      </w:pPr>
      <w:r>
        <w:rPr/>
        <w:t>Existen diferentes métodos en las pruebas de esfuerzo, aunque la mayoría son progresivamente escalonados con elevación de cargas cada 2 o 3 minutos. Estos minutos determinan una etapa, necesarias para que se estabilice el consumo de O2 y la frecuencia cardiaca en relación con cada carga. Esto sucederá hasta que se alcance la frecuencia cardiaca máxima en la que ya no se puede incrementar el</w:t>
      </w:r>
    </w:p>
    <w:p>
      <w:pPr>
        <w:spacing w:after="0" w:line="360" w:lineRule="auto"/>
        <w:jc w:val="both"/>
        <w:sectPr>
          <w:pgSz w:w="12240" w:h="15840"/>
          <w:pgMar w:header="0" w:footer="966" w:top="1360" w:bottom="1220" w:left="1580" w:right="1580"/>
        </w:sectPr>
      </w:pPr>
    </w:p>
    <w:p>
      <w:pPr>
        <w:pStyle w:val="BodyText"/>
        <w:spacing w:line="355" w:lineRule="auto" w:before="52"/>
        <w:ind w:left="119" w:right="125"/>
        <w:jc w:val="both"/>
      </w:pPr>
      <w:r>
        <w:rPr/>
        <w:t>consumo de O2. En este momento se ha alcanzado la estabilización final, y en poco tiempo se producirá agotamiento.</w:t>
      </w:r>
    </w:p>
    <w:p>
      <w:pPr>
        <w:pStyle w:val="BodyText"/>
        <w:spacing w:line="360" w:lineRule="auto" w:before="215"/>
        <w:ind w:left="119" w:right="116"/>
        <w:jc w:val="both"/>
      </w:pPr>
      <w:r>
        <w:rPr/>
        <w:t>La importancia de la aplicación de estas pruebas radica en que se controla la tensión arterial y se monitoriza el electrocardiograma continuamente en una pantalla, pudiendo registrarse en papel cuando sea necesario. Las pruebas de esfuerzo pueden ser máximas o submáximas. La diferencia entre ellas radica en el momento en el que hay que detener la prueba, dependiendo de la frecuencia cardiaca máxima de esfuerzo.</w:t>
      </w:r>
    </w:p>
    <w:p>
      <w:pPr>
        <w:pStyle w:val="BodyText"/>
        <w:spacing w:line="360" w:lineRule="auto" w:before="205"/>
        <w:ind w:left="119" w:right="116"/>
        <w:jc w:val="both"/>
      </w:pPr>
      <w:r>
        <w:rPr/>
        <w:t>La importancia de la prueba de esfuerzo radica en la necesidad de evaluar cuantitativamente la capacidad aeróbica (consumo de oxigeno VO2max), cambios hemodinámicas (frecuencia cardiaca, respuesta de la presión arterial sistólica y diastólica), presencia de signos o síntomas (angina de pecho), cambios electrocardiográficos.</w:t>
      </w:r>
    </w:p>
    <w:p>
      <w:pPr>
        <w:pStyle w:val="BodyText"/>
        <w:spacing w:line="360" w:lineRule="auto" w:before="209"/>
        <w:ind w:left="119" w:right="118"/>
        <w:jc w:val="both"/>
      </w:pPr>
      <w:r>
        <w:rPr/>
        <w:t>Es importante orientar al paciente sobre la importancia de tener un ayuno de por lo menos 3 horas previas, no fumar, no consumir bebidas con cafeína y usar ropa deportiva. Se realiza electrocardiograma de reposo, se debe tener la habitación a 18-22 C y la humedad menor al 60%. La prueba de esfuerzo con protocolo de Pugh se realiza en banda sin fin con inclinación de 1% y velocidad de incremento constante cada 3 minutos, esta prueba fue utilizada en los inicios de protocolización para las pruebas de esfuerzo.</w:t>
      </w:r>
    </w:p>
    <w:p>
      <w:pPr>
        <w:pStyle w:val="BodyText"/>
        <w:spacing w:line="360" w:lineRule="auto" w:before="209"/>
        <w:ind w:left="119" w:right="115"/>
        <w:jc w:val="both"/>
      </w:pPr>
      <w:r>
        <w:rPr/>
        <w:t>Se realizó un estudio comparativo en el que participaron 7 atletas corriendo en banda sin fin a velocidad constante y con inclinación mínima tratando de comparar al segundo grupo que corría en pista. De tal forma se llegó a la estimación de que el coste de energía para superar la resistencia del aire en pista de atletismo es de 8% del total de energía en 21.5 km/h y de 16% cuando corrían 100 metros en 10 segundos, por lo que tratando de igualar las condiciones de los deportistas en campo, se decidió la utilización de un protocolo con velocidad constante e inclinación mínima. (50)</w:t>
      </w:r>
    </w:p>
    <w:p>
      <w:pPr>
        <w:spacing w:after="0" w:line="360" w:lineRule="auto"/>
        <w:jc w:val="both"/>
        <w:sectPr>
          <w:pgSz w:w="12240" w:h="15840"/>
          <w:pgMar w:header="0" w:footer="966" w:top="1360" w:bottom="1220" w:left="1580" w:right="1580"/>
        </w:sectPr>
      </w:pPr>
    </w:p>
    <w:p>
      <w:pPr>
        <w:pStyle w:val="Heading1"/>
        <w:numPr>
          <w:ilvl w:val="0"/>
          <w:numId w:val="5"/>
        </w:numPr>
        <w:tabs>
          <w:tab w:pos="442" w:val="left" w:leader="none"/>
        </w:tabs>
        <w:spacing w:line="240" w:lineRule="auto" w:before="47" w:after="0"/>
        <w:ind w:left="441" w:right="0" w:hanging="322"/>
        <w:jc w:val="both"/>
      </w:pPr>
      <w:bookmarkStart w:name="_bookmark14" w:id="30"/>
      <w:bookmarkEnd w:id="30"/>
      <w:r>
        <w:rPr>
          <w:b w:val="0"/>
        </w:rPr>
      </w:r>
      <w:bookmarkStart w:name="_bookmark14" w:id="31"/>
      <w:bookmarkEnd w:id="31"/>
      <w:r>
        <w:rPr/>
        <w:t>P</w:t>
      </w:r>
      <w:r>
        <w:rPr/>
        <w:t>retemporada</w:t>
      </w:r>
    </w:p>
    <w:p>
      <w:pPr>
        <w:pStyle w:val="BodyText"/>
        <w:spacing w:line="360" w:lineRule="auto" w:before="45"/>
        <w:ind w:left="119" w:right="103"/>
        <w:jc w:val="both"/>
      </w:pPr>
      <w:r>
        <w:rPr/>
        <w:t>La pretemporada tiene como objetivo preparar a los atletas para las próximas competencias. La preparación incluye una física, psicológica, y desarrollo de habilidades. La pretemporada para atletas que entrenan durante todo un año es la fase más extensa de entrenamiento. La pretemporada en algunas ocasiones es dividida en dos subfases: una general y una específica, esta división ayuda a marcar cambios significativos en el enfoque del entrenamiento. (51)</w:t>
      </w:r>
    </w:p>
    <w:p>
      <w:pPr>
        <w:spacing w:after="0" w:line="360" w:lineRule="auto"/>
        <w:jc w:val="both"/>
        <w:sectPr>
          <w:pgSz w:w="12240" w:h="15840"/>
          <w:pgMar w:header="0" w:footer="966" w:top="1360" w:bottom="1220" w:left="1580" w:right="1600"/>
        </w:sectPr>
      </w:pPr>
    </w:p>
    <w:p>
      <w:pPr>
        <w:pStyle w:val="Heading1"/>
        <w:numPr>
          <w:ilvl w:val="0"/>
          <w:numId w:val="4"/>
        </w:numPr>
        <w:tabs>
          <w:tab w:pos="385" w:val="left" w:leader="none"/>
        </w:tabs>
        <w:spacing w:line="240" w:lineRule="auto" w:before="47" w:after="0"/>
        <w:ind w:left="384" w:right="0" w:hanging="265"/>
        <w:jc w:val="both"/>
      </w:pPr>
      <w:bookmarkStart w:name="_bookmark15" w:id="32"/>
      <w:bookmarkEnd w:id="32"/>
      <w:r>
        <w:rPr>
          <w:b w:val="0"/>
        </w:rPr>
      </w:r>
      <w:bookmarkStart w:name="_bookmark15" w:id="33"/>
      <w:bookmarkEnd w:id="33"/>
      <w:r>
        <w:rPr/>
        <w:t>P</w:t>
      </w:r>
      <w:r>
        <w:rPr/>
        <w:t>LANTEAMIENTO DEL</w:t>
      </w:r>
      <w:r>
        <w:rPr>
          <w:spacing w:val="-8"/>
        </w:rPr>
        <w:t> </w:t>
      </w:r>
      <w:r>
        <w:rPr/>
        <w:t>PROBLEMA</w:t>
      </w:r>
    </w:p>
    <w:p>
      <w:pPr>
        <w:pStyle w:val="BodyText"/>
        <w:rPr>
          <w:b/>
        </w:rPr>
      </w:pPr>
    </w:p>
    <w:p>
      <w:pPr>
        <w:pStyle w:val="BodyText"/>
        <w:rPr>
          <w:b/>
        </w:rPr>
      </w:pPr>
    </w:p>
    <w:p>
      <w:pPr>
        <w:pStyle w:val="BodyText"/>
        <w:spacing w:line="360" w:lineRule="auto" w:before="147"/>
        <w:ind w:left="119" w:right="117"/>
        <w:jc w:val="both"/>
      </w:pPr>
      <w:r>
        <w:rPr/>
        <w:t>El índice de eficiencia miocárdica proporciona información del estado hemodinámico que dependerá del balance entre el aporte miocárdico de oxígeno y sus variaciones mecánicas del mismo, donde se requiere una integridad cardiovascular por ser un sistema anaeróbico en el fútbol asociación y relacionado al trabajo que este realiza para abastecer el sistema en jugadores de fútbol asociación en pretemporada 2015 a 2600 metros a nivel del mar. Con base a lo antes referido se plantea la siguiente pregunta de investigación:</w:t>
      </w:r>
    </w:p>
    <w:p>
      <w:pPr>
        <w:pStyle w:val="BodyText"/>
      </w:pPr>
    </w:p>
    <w:p>
      <w:pPr>
        <w:pStyle w:val="BodyText"/>
      </w:pPr>
    </w:p>
    <w:p>
      <w:pPr>
        <w:pStyle w:val="BodyText"/>
        <w:spacing w:before="7"/>
        <w:rPr>
          <w:sz w:val="23"/>
        </w:rPr>
      </w:pPr>
    </w:p>
    <w:p>
      <w:pPr>
        <w:pStyle w:val="BodyText"/>
        <w:spacing w:line="355" w:lineRule="auto"/>
        <w:ind w:left="119" w:right="130" w:firstLine="706"/>
      </w:pPr>
      <w:r>
        <w:rPr/>
        <w:t>¿Cuál es el índice de eficiencia miocárdica en jugadores de fútbol asociación en pretemporada 2015 a 2600 metros sobre el nivel del</w:t>
      </w:r>
      <w:r>
        <w:rPr>
          <w:spacing w:val="-27"/>
        </w:rPr>
        <w:t> </w:t>
      </w:r>
      <w:r>
        <w:rPr/>
        <w:t>mar?</w:t>
      </w:r>
    </w:p>
    <w:p>
      <w:pPr>
        <w:spacing w:after="0" w:line="355" w:lineRule="auto"/>
        <w:sectPr>
          <w:pgSz w:w="12240" w:h="15840"/>
          <w:pgMar w:header="0" w:footer="966" w:top="1360" w:bottom="1220" w:left="1580" w:right="1580"/>
        </w:sectPr>
      </w:pPr>
    </w:p>
    <w:p>
      <w:pPr>
        <w:pStyle w:val="Heading1"/>
        <w:numPr>
          <w:ilvl w:val="0"/>
          <w:numId w:val="4"/>
        </w:numPr>
        <w:tabs>
          <w:tab w:pos="452" w:val="left" w:leader="none"/>
        </w:tabs>
        <w:spacing w:line="240" w:lineRule="auto" w:before="47" w:after="0"/>
        <w:ind w:left="451" w:right="0" w:hanging="332"/>
        <w:jc w:val="left"/>
      </w:pPr>
      <w:bookmarkStart w:name="_bookmark16" w:id="34"/>
      <w:bookmarkEnd w:id="34"/>
      <w:r>
        <w:rPr>
          <w:b w:val="0"/>
        </w:rPr>
      </w:r>
      <w:bookmarkStart w:name="_bookmark16" w:id="35"/>
      <w:bookmarkEnd w:id="35"/>
      <w:r>
        <w:rPr/>
        <w:t>J</w:t>
      </w:r>
      <w:r>
        <w:rPr/>
        <w:t>USTIFICACIONES</w:t>
      </w:r>
    </w:p>
    <w:p>
      <w:pPr>
        <w:pStyle w:val="BodyText"/>
        <w:rPr>
          <w:b/>
        </w:rPr>
      </w:pPr>
    </w:p>
    <w:p>
      <w:pPr>
        <w:pStyle w:val="BodyText"/>
        <w:spacing w:before="10"/>
        <w:rPr>
          <w:b/>
        </w:rPr>
      </w:pPr>
    </w:p>
    <w:p>
      <w:pPr>
        <w:pStyle w:val="ListParagraph"/>
        <w:numPr>
          <w:ilvl w:val="0"/>
          <w:numId w:val="6"/>
        </w:numPr>
        <w:tabs>
          <w:tab w:pos="841" w:val="left" w:leader="none"/>
        </w:tabs>
        <w:spacing w:line="357" w:lineRule="auto" w:before="1" w:after="0"/>
        <w:ind w:left="840" w:right="123" w:hanging="360"/>
        <w:jc w:val="both"/>
        <w:rPr>
          <w:sz w:val="24"/>
        </w:rPr>
      </w:pPr>
      <w:r>
        <w:rPr>
          <w:sz w:val="24"/>
        </w:rPr>
        <w:t>A nivel mundial las enfermedades cardiovasculares son una importante causa prematura de morbilidad y mortalidad lo que da magnitud y trascendencia al tema de</w:t>
      </w:r>
      <w:r>
        <w:rPr>
          <w:spacing w:val="-10"/>
          <w:sz w:val="24"/>
        </w:rPr>
        <w:t> </w:t>
      </w:r>
      <w:r>
        <w:rPr>
          <w:sz w:val="24"/>
        </w:rPr>
        <w:t>estudio.</w:t>
      </w:r>
    </w:p>
    <w:p>
      <w:pPr>
        <w:pStyle w:val="ListParagraph"/>
        <w:numPr>
          <w:ilvl w:val="0"/>
          <w:numId w:val="6"/>
        </w:numPr>
        <w:tabs>
          <w:tab w:pos="841" w:val="left" w:leader="none"/>
        </w:tabs>
        <w:spacing w:line="355" w:lineRule="auto" w:before="4" w:after="0"/>
        <w:ind w:left="840" w:right="125" w:hanging="360"/>
        <w:jc w:val="both"/>
        <w:rPr>
          <w:sz w:val="24"/>
        </w:rPr>
      </w:pPr>
      <w:r>
        <w:rPr>
          <w:sz w:val="24"/>
        </w:rPr>
        <w:t>No existen estudios en México en donde se analice el índice de eficiencia miocárdica en jugadores de fútbol asociación a 2600 metros a nivel del</w:t>
      </w:r>
      <w:r>
        <w:rPr>
          <w:spacing w:val="-38"/>
          <w:sz w:val="24"/>
        </w:rPr>
        <w:t> </w:t>
      </w:r>
      <w:r>
        <w:rPr>
          <w:sz w:val="24"/>
        </w:rPr>
        <w:t>mar.</w:t>
      </w:r>
    </w:p>
    <w:p>
      <w:pPr>
        <w:pStyle w:val="ListParagraph"/>
        <w:numPr>
          <w:ilvl w:val="0"/>
          <w:numId w:val="6"/>
        </w:numPr>
        <w:tabs>
          <w:tab w:pos="841" w:val="left" w:leader="none"/>
        </w:tabs>
        <w:spacing w:line="357" w:lineRule="auto" w:before="6" w:after="0"/>
        <w:ind w:left="840" w:right="116" w:hanging="360"/>
        <w:jc w:val="both"/>
        <w:rPr>
          <w:sz w:val="24"/>
        </w:rPr>
      </w:pPr>
      <w:r>
        <w:rPr>
          <w:sz w:val="24"/>
        </w:rPr>
        <w:t>El determinar el índice de eficiencia miocárdica en jugadores de fútbol asociación a 2600 metros a nivel del </w:t>
      </w:r>
      <w:r>
        <w:rPr>
          <w:spacing w:val="-3"/>
          <w:sz w:val="24"/>
        </w:rPr>
        <w:t>mar </w:t>
      </w:r>
      <w:r>
        <w:rPr>
          <w:sz w:val="24"/>
        </w:rPr>
        <w:t>ayuda a proteger la integridad cardiovascular teniendo</w:t>
      </w:r>
      <w:r>
        <w:rPr>
          <w:spacing w:val="-15"/>
          <w:sz w:val="24"/>
        </w:rPr>
        <w:t> </w:t>
      </w:r>
      <w:r>
        <w:rPr>
          <w:sz w:val="24"/>
        </w:rPr>
        <w:t>vulnerabilidad.</w:t>
      </w:r>
    </w:p>
    <w:p>
      <w:pPr>
        <w:pStyle w:val="ListParagraph"/>
        <w:numPr>
          <w:ilvl w:val="0"/>
          <w:numId w:val="6"/>
        </w:numPr>
        <w:tabs>
          <w:tab w:pos="841" w:val="left" w:leader="none"/>
        </w:tabs>
        <w:spacing w:line="355" w:lineRule="auto" w:before="3" w:after="0"/>
        <w:ind w:left="840" w:right="114" w:hanging="360"/>
        <w:jc w:val="both"/>
        <w:rPr>
          <w:sz w:val="24"/>
        </w:rPr>
      </w:pPr>
      <w:r>
        <w:rPr>
          <w:sz w:val="24"/>
        </w:rPr>
        <w:t>En el CEMAFYD de la UAEMEX se cuenta con los recursos y materiales necesarios para realizar pruebas de esfuerzo y se realizan continuamente numerosas evaluaciones médicas a futbolistas, por lo que es viable y factible llevar a cabo éste</w:t>
      </w:r>
      <w:r>
        <w:rPr>
          <w:spacing w:val="-7"/>
          <w:sz w:val="24"/>
        </w:rPr>
        <w:t> </w:t>
      </w:r>
      <w:r>
        <w:rPr>
          <w:sz w:val="24"/>
        </w:rPr>
        <w:t>estudio.</w:t>
      </w:r>
    </w:p>
    <w:p>
      <w:pPr>
        <w:spacing w:after="0" w:line="355" w:lineRule="auto"/>
        <w:jc w:val="both"/>
        <w:rPr>
          <w:sz w:val="24"/>
        </w:rPr>
        <w:sectPr>
          <w:pgSz w:w="12240" w:h="15840"/>
          <w:pgMar w:header="0" w:footer="966" w:top="1360" w:bottom="1220" w:left="1580" w:right="1580"/>
        </w:sectPr>
      </w:pPr>
    </w:p>
    <w:p>
      <w:pPr>
        <w:pStyle w:val="Heading1"/>
        <w:numPr>
          <w:ilvl w:val="0"/>
          <w:numId w:val="4"/>
        </w:numPr>
        <w:tabs>
          <w:tab w:pos="476" w:val="left" w:leader="none"/>
        </w:tabs>
        <w:spacing w:line="240" w:lineRule="auto" w:before="47" w:after="0"/>
        <w:ind w:left="475" w:right="0" w:hanging="356"/>
        <w:jc w:val="left"/>
      </w:pPr>
      <w:bookmarkStart w:name="_bookmark17" w:id="36"/>
      <w:bookmarkEnd w:id="36"/>
      <w:r>
        <w:rPr>
          <w:b w:val="0"/>
        </w:rPr>
      </w:r>
      <w:bookmarkStart w:name="_bookmark17" w:id="37"/>
      <w:bookmarkEnd w:id="37"/>
      <w:r>
        <w:rPr/>
        <w:t>OBJ</w:t>
      </w:r>
      <w:r>
        <w:rPr/>
        <w:t>ETIVOS</w:t>
      </w:r>
    </w:p>
    <w:p>
      <w:pPr>
        <w:pStyle w:val="BodyText"/>
        <w:rPr>
          <w:b/>
        </w:rPr>
      </w:pPr>
    </w:p>
    <w:p>
      <w:pPr>
        <w:pStyle w:val="BodyText"/>
        <w:spacing w:before="7"/>
        <w:rPr>
          <w:b/>
        </w:rPr>
      </w:pPr>
    </w:p>
    <w:p>
      <w:pPr>
        <w:spacing w:before="1"/>
        <w:ind w:left="840" w:right="130" w:firstLine="0"/>
        <w:jc w:val="left"/>
        <w:rPr>
          <w:b/>
          <w:sz w:val="24"/>
        </w:rPr>
      </w:pPr>
      <w:r>
        <w:rPr>
          <w:b/>
          <w:sz w:val="24"/>
        </w:rPr>
        <w:t>Objetivo General</w:t>
      </w:r>
    </w:p>
    <w:p>
      <w:pPr>
        <w:pStyle w:val="ListParagraph"/>
        <w:numPr>
          <w:ilvl w:val="0"/>
          <w:numId w:val="7"/>
        </w:numPr>
        <w:tabs>
          <w:tab w:pos="2257" w:val="left" w:leader="none"/>
        </w:tabs>
        <w:spacing w:line="355" w:lineRule="auto" w:before="44" w:after="0"/>
        <w:ind w:left="2256" w:right="120" w:hanging="360"/>
        <w:jc w:val="both"/>
        <w:rPr>
          <w:sz w:val="24"/>
        </w:rPr>
      </w:pPr>
      <w:r>
        <w:rPr>
          <w:sz w:val="24"/>
        </w:rPr>
        <w:t>Determinar el índice de eficiencia miocárdica en jugadores de fútbol asociación en pretemporada 2015 a 2600 metros sobre el nivel del mar, Toluca, Estado de</w:t>
      </w:r>
      <w:r>
        <w:rPr>
          <w:spacing w:val="-15"/>
          <w:sz w:val="24"/>
        </w:rPr>
        <w:t> </w:t>
      </w:r>
      <w:r>
        <w:rPr>
          <w:sz w:val="24"/>
        </w:rPr>
        <w:t>México.</w:t>
      </w:r>
    </w:p>
    <w:p>
      <w:pPr>
        <w:spacing w:before="210"/>
        <w:ind w:left="840" w:right="130" w:firstLine="0"/>
        <w:jc w:val="left"/>
        <w:rPr>
          <w:b/>
          <w:sz w:val="24"/>
        </w:rPr>
      </w:pPr>
      <w:r>
        <w:rPr>
          <w:b/>
          <w:sz w:val="24"/>
        </w:rPr>
        <w:t>Objetivos específicos</w:t>
      </w:r>
    </w:p>
    <w:p>
      <w:pPr>
        <w:pStyle w:val="ListParagraph"/>
        <w:numPr>
          <w:ilvl w:val="0"/>
          <w:numId w:val="7"/>
        </w:numPr>
        <w:tabs>
          <w:tab w:pos="2257" w:val="left" w:leader="none"/>
        </w:tabs>
        <w:spacing w:line="357" w:lineRule="auto" w:before="44" w:after="0"/>
        <w:ind w:left="2256" w:right="124" w:hanging="360"/>
        <w:jc w:val="both"/>
        <w:rPr>
          <w:sz w:val="24"/>
        </w:rPr>
      </w:pPr>
      <w:r>
        <w:rPr>
          <w:sz w:val="24"/>
        </w:rPr>
        <w:t>Obtener el consumo miocárdico de oxígeno en jugadores de fútbol asociación en pretemporada 2015 a 2600 metros a nivel del</w:t>
      </w:r>
      <w:r>
        <w:rPr>
          <w:spacing w:val="-4"/>
          <w:sz w:val="24"/>
        </w:rPr>
        <w:t> </w:t>
      </w:r>
      <w:r>
        <w:rPr>
          <w:sz w:val="24"/>
        </w:rPr>
        <w:t>mar.</w:t>
      </w:r>
    </w:p>
    <w:p>
      <w:pPr>
        <w:pStyle w:val="ListParagraph"/>
        <w:numPr>
          <w:ilvl w:val="0"/>
          <w:numId w:val="7"/>
        </w:numPr>
        <w:tabs>
          <w:tab w:pos="2257" w:val="left" w:leader="none"/>
        </w:tabs>
        <w:spacing w:line="357" w:lineRule="auto" w:before="3" w:after="0"/>
        <w:ind w:left="2256" w:right="117" w:hanging="360"/>
        <w:jc w:val="both"/>
        <w:rPr>
          <w:sz w:val="24"/>
        </w:rPr>
      </w:pPr>
      <w:r>
        <w:rPr>
          <w:sz w:val="24"/>
        </w:rPr>
        <w:t>Revisar el consumo miocárdico de oxígeno relativo con el índice de eficiencia miocárdica en jugadores de fútbol asociación en pretemporada 2015 a 2600 metros a nivel del mar.</w:t>
      </w:r>
    </w:p>
    <w:p>
      <w:pPr>
        <w:pStyle w:val="ListParagraph"/>
        <w:numPr>
          <w:ilvl w:val="0"/>
          <w:numId w:val="7"/>
        </w:numPr>
        <w:tabs>
          <w:tab w:pos="2257" w:val="left" w:leader="none"/>
        </w:tabs>
        <w:spacing w:line="355" w:lineRule="auto" w:before="8" w:after="0"/>
        <w:ind w:left="2256" w:right="114" w:hanging="360"/>
        <w:jc w:val="both"/>
        <w:rPr>
          <w:sz w:val="24"/>
        </w:rPr>
      </w:pPr>
      <w:r>
        <w:rPr>
          <w:sz w:val="24"/>
        </w:rPr>
        <w:t>Comparar por posición de juego el índice de eficiencia miocárdica en jugadores de fútbol asociación en pretemporada 2015 a 2600 metros a nivel del</w:t>
      </w:r>
      <w:r>
        <w:rPr>
          <w:spacing w:val="-16"/>
          <w:sz w:val="24"/>
        </w:rPr>
        <w:t> </w:t>
      </w:r>
      <w:r>
        <w:rPr>
          <w:sz w:val="24"/>
        </w:rPr>
        <w:t>mar.</w:t>
      </w:r>
    </w:p>
    <w:p>
      <w:pPr>
        <w:pStyle w:val="ListParagraph"/>
        <w:numPr>
          <w:ilvl w:val="0"/>
          <w:numId w:val="7"/>
        </w:numPr>
        <w:tabs>
          <w:tab w:pos="2257" w:val="left" w:leader="none"/>
        </w:tabs>
        <w:spacing w:line="357" w:lineRule="auto" w:before="11" w:after="0"/>
        <w:ind w:left="2256" w:right="115" w:hanging="360"/>
        <w:jc w:val="both"/>
        <w:rPr>
          <w:sz w:val="24"/>
        </w:rPr>
      </w:pPr>
      <w:r>
        <w:rPr>
          <w:sz w:val="24"/>
        </w:rPr>
        <w:t>Identificar el índice de eficiencia miocárdica por rangos de tiempo de entrenamiento en jugadores de fútbol asociación en pretemporada 2015 a 2600 metros a nivel del</w:t>
      </w:r>
      <w:r>
        <w:rPr>
          <w:spacing w:val="-28"/>
          <w:sz w:val="24"/>
        </w:rPr>
        <w:t> </w:t>
      </w:r>
      <w:r>
        <w:rPr>
          <w:sz w:val="24"/>
        </w:rPr>
        <w:t>mar.</w:t>
      </w:r>
    </w:p>
    <w:p>
      <w:pPr>
        <w:pStyle w:val="ListParagraph"/>
        <w:numPr>
          <w:ilvl w:val="0"/>
          <w:numId w:val="7"/>
        </w:numPr>
        <w:tabs>
          <w:tab w:pos="2257" w:val="left" w:leader="none"/>
        </w:tabs>
        <w:spacing w:line="355" w:lineRule="auto" w:before="4" w:after="0"/>
        <w:ind w:left="2256" w:right="116" w:hanging="360"/>
        <w:jc w:val="both"/>
        <w:rPr>
          <w:sz w:val="24"/>
        </w:rPr>
      </w:pPr>
      <w:r>
        <w:rPr>
          <w:sz w:val="24"/>
        </w:rPr>
        <w:t>Comparar por rango de edad el índice de eficiencia miocárdica en jugadores de fútbol asociación en pretemporada 2015 a 2600 metros a nivel del</w:t>
      </w:r>
      <w:r>
        <w:rPr>
          <w:spacing w:val="-13"/>
          <w:sz w:val="24"/>
        </w:rPr>
        <w:t> </w:t>
      </w:r>
      <w:r>
        <w:rPr>
          <w:sz w:val="24"/>
        </w:rPr>
        <w:t>mar.</w:t>
      </w:r>
    </w:p>
    <w:p>
      <w:pPr>
        <w:spacing w:after="0" w:line="355" w:lineRule="auto"/>
        <w:jc w:val="both"/>
        <w:rPr>
          <w:sz w:val="24"/>
        </w:rPr>
        <w:sectPr>
          <w:pgSz w:w="12240" w:h="15840"/>
          <w:pgMar w:header="0" w:footer="966" w:top="1360" w:bottom="1220" w:left="1580" w:right="1580"/>
        </w:sectPr>
      </w:pPr>
    </w:p>
    <w:p>
      <w:pPr>
        <w:pStyle w:val="ListParagraph"/>
        <w:numPr>
          <w:ilvl w:val="0"/>
          <w:numId w:val="4"/>
        </w:numPr>
        <w:tabs>
          <w:tab w:pos="513" w:val="left" w:leader="none"/>
        </w:tabs>
        <w:spacing w:line="240" w:lineRule="auto" w:before="47" w:after="0"/>
        <w:ind w:left="512" w:right="0" w:hanging="293"/>
        <w:jc w:val="left"/>
        <w:rPr>
          <w:b/>
          <w:sz w:val="24"/>
        </w:rPr>
      </w:pPr>
      <w:bookmarkStart w:name="_bookmark18" w:id="38"/>
      <w:bookmarkEnd w:id="38"/>
      <w:r>
        <w:rPr/>
      </w:r>
      <w:bookmarkStart w:name="_bookmark18" w:id="39"/>
      <w:bookmarkEnd w:id="39"/>
      <w:r>
        <w:rPr>
          <w:b/>
          <w:sz w:val="24"/>
        </w:rPr>
        <w:t>M</w:t>
      </w:r>
      <w:r>
        <w:rPr>
          <w:b/>
          <w:sz w:val="24"/>
        </w:rPr>
        <w:t>ATERIAL Y</w:t>
      </w:r>
      <w:r>
        <w:rPr>
          <w:b/>
          <w:spacing w:val="-6"/>
          <w:sz w:val="24"/>
        </w:rPr>
        <w:t> </w:t>
      </w:r>
      <w:r>
        <w:rPr>
          <w:b/>
          <w:sz w:val="24"/>
        </w:rPr>
        <w:t>MÉTODOS</w:t>
      </w:r>
    </w:p>
    <w:p>
      <w:pPr>
        <w:pStyle w:val="BodyText"/>
        <w:rPr>
          <w:b/>
        </w:rPr>
      </w:pPr>
    </w:p>
    <w:p>
      <w:pPr>
        <w:pStyle w:val="BodyText"/>
        <w:rPr>
          <w:b/>
          <w:sz w:val="33"/>
        </w:rPr>
      </w:pPr>
    </w:p>
    <w:p>
      <w:pPr>
        <w:pStyle w:val="Heading1"/>
        <w:numPr>
          <w:ilvl w:val="1"/>
          <w:numId w:val="4"/>
        </w:numPr>
        <w:tabs>
          <w:tab w:pos="941" w:val="left" w:leader="none"/>
        </w:tabs>
        <w:spacing w:line="240" w:lineRule="auto" w:before="0" w:after="0"/>
        <w:ind w:left="940" w:right="0" w:hanging="360"/>
        <w:jc w:val="left"/>
      </w:pPr>
      <w:bookmarkStart w:name="_bookmark19" w:id="40"/>
      <w:bookmarkEnd w:id="40"/>
      <w:r>
        <w:rPr>
          <w:b w:val="0"/>
        </w:rPr>
      </w:r>
      <w:bookmarkStart w:name="_bookmark19" w:id="41"/>
      <w:bookmarkEnd w:id="41"/>
      <w:r>
        <w:rPr/>
        <w:t>T</w:t>
      </w:r>
      <w:r>
        <w:rPr/>
        <w:t>ipo de</w:t>
      </w:r>
      <w:r>
        <w:rPr>
          <w:spacing w:val="-7"/>
        </w:rPr>
        <w:t> </w:t>
      </w:r>
      <w:r>
        <w:rPr/>
        <w:t>estudio</w:t>
      </w:r>
    </w:p>
    <w:p>
      <w:pPr>
        <w:pStyle w:val="BodyText"/>
        <w:spacing w:before="41"/>
        <w:ind w:left="925"/>
      </w:pPr>
      <w:r>
        <w:rPr/>
        <w:t>Observacional, descriptivo, transversal, retrospectivo.</w:t>
      </w:r>
    </w:p>
    <w:p>
      <w:pPr>
        <w:pStyle w:val="BodyText"/>
      </w:pPr>
    </w:p>
    <w:p>
      <w:pPr>
        <w:pStyle w:val="BodyText"/>
      </w:pPr>
    </w:p>
    <w:p>
      <w:pPr>
        <w:pStyle w:val="BodyText"/>
        <w:spacing w:before="10"/>
        <w:rPr>
          <w:sz w:val="34"/>
        </w:rPr>
      </w:pPr>
    </w:p>
    <w:p>
      <w:pPr>
        <w:pStyle w:val="Heading1"/>
        <w:numPr>
          <w:ilvl w:val="1"/>
          <w:numId w:val="4"/>
        </w:numPr>
        <w:tabs>
          <w:tab w:pos="941" w:val="left" w:leader="none"/>
        </w:tabs>
        <w:spacing w:line="240" w:lineRule="auto" w:before="0" w:after="50"/>
        <w:ind w:left="940" w:right="0" w:hanging="360"/>
        <w:jc w:val="left"/>
      </w:pPr>
      <w:bookmarkStart w:name="_bookmark20" w:id="42"/>
      <w:bookmarkEnd w:id="42"/>
      <w:r>
        <w:rPr>
          <w:b w:val="0"/>
        </w:rPr>
      </w:r>
      <w:bookmarkStart w:name="_bookmark20" w:id="43"/>
      <w:bookmarkEnd w:id="43"/>
      <w:r>
        <w:rPr/>
        <w:t>O</w:t>
      </w:r>
      <w:r>
        <w:rPr/>
        <w:t>peracionalización de las</w:t>
      </w:r>
      <w:r>
        <w:rPr>
          <w:spacing w:val="-8"/>
        </w:rPr>
        <w:t> </w:t>
      </w:r>
      <w:r>
        <w:rPr/>
        <w:t>variables</w:t>
      </w: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8"/>
        <w:gridCol w:w="1901"/>
        <w:gridCol w:w="2497"/>
        <w:gridCol w:w="1479"/>
        <w:gridCol w:w="1556"/>
      </w:tblGrid>
      <w:tr>
        <w:trPr>
          <w:trHeight w:val="768" w:hRule="exact"/>
        </w:trPr>
        <w:tc>
          <w:tcPr>
            <w:tcW w:w="1628" w:type="dxa"/>
          </w:tcPr>
          <w:p>
            <w:pPr>
              <w:pStyle w:val="TableParagraph"/>
              <w:spacing w:before="0"/>
              <w:ind w:left="105" w:right="102"/>
              <w:jc w:val="left"/>
              <w:rPr>
                <w:rFonts w:ascii="Arial"/>
                <w:sz w:val="22"/>
              </w:rPr>
            </w:pPr>
            <w:r>
              <w:rPr>
                <w:rFonts w:ascii="Arial"/>
                <w:sz w:val="22"/>
              </w:rPr>
              <w:t>Variable</w:t>
            </w:r>
          </w:p>
        </w:tc>
        <w:tc>
          <w:tcPr>
            <w:tcW w:w="1901" w:type="dxa"/>
          </w:tcPr>
          <w:p>
            <w:pPr>
              <w:pStyle w:val="TableParagraph"/>
              <w:spacing w:line="360" w:lineRule="auto" w:before="0"/>
              <w:ind w:left="100" w:right="805"/>
              <w:jc w:val="left"/>
              <w:rPr>
                <w:rFonts w:ascii="Arial" w:hAnsi="Arial"/>
                <w:sz w:val="22"/>
              </w:rPr>
            </w:pPr>
            <w:r>
              <w:rPr>
                <w:rFonts w:ascii="Arial" w:hAnsi="Arial"/>
                <w:sz w:val="22"/>
              </w:rPr>
              <w:t>Definición Teórica</w:t>
            </w:r>
          </w:p>
        </w:tc>
        <w:tc>
          <w:tcPr>
            <w:tcW w:w="2497" w:type="dxa"/>
          </w:tcPr>
          <w:p>
            <w:pPr>
              <w:pStyle w:val="TableParagraph"/>
              <w:spacing w:before="0"/>
              <w:ind w:left="105" w:right="102"/>
              <w:jc w:val="left"/>
              <w:rPr>
                <w:rFonts w:ascii="Arial" w:hAnsi="Arial"/>
                <w:sz w:val="22"/>
              </w:rPr>
            </w:pPr>
            <w:r>
              <w:rPr>
                <w:rFonts w:ascii="Arial" w:hAnsi="Arial"/>
                <w:sz w:val="22"/>
              </w:rPr>
              <w:t>Definición Operacional</w:t>
            </w:r>
          </w:p>
        </w:tc>
        <w:tc>
          <w:tcPr>
            <w:tcW w:w="1479" w:type="dxa"/>
          </w:tcPr>
          <w:p>
            <w:pPr>
              <w:pStyle w:val="TableParagraph"/>
              <w:tabs>
                <w:tab w:pos="1122" w:val="left" w:leader="none"/>
              </w:tabs>
              <w:spacing w:line="360" w:lineRule="auto" w:before="0"/>
              <w:ind w:left="105" w:right="97"/>
              <w:jc w:val="left"/>
              <w:rPr>
                <w:rFonts w:ascii="Arial" w:hAnsi="Arial"/>
                <w:sz w:val="22"/>
              </w:rPr>
            </w:pPr>
            <w:r>
              <w:rPr>
                <w:rFonts w:ascii="Arial" w:hAnsi="Arial"/>
                <w:sz w:val="22"/>
              </w:rPr>
              <w:t>Nivel</w:t>
              <w:tab/>
              <w:t>de Medición</w:t>
            </w:r>
          </w:p>
        </w:tc>
        <w:tc>
          <w:tcPr>
            <w:tcW w:w="1556" w:type="dxa"/>
          </w:tcPr>
          <w:p>
            <w:pPr>
              <w:pStyle w:val="TableParagraph"/>
              <w:tabs>
                <w:tab w:pos="1198" w:val="left" w:leader="none"/>
              </w:tabs>
              <w:spacing w:line="360" w:lineRule="auto" w:before="0"/>
              <w:ind w:left="100" w:right="102"/>
              <w:jc w:val="left"/>
              <w:rPr>
                <w:rFonts w:ascii="Arial" w:hAnsi="Arial"/>
                <w:sz w:val="22"/>
              </w:rPr>
            </w:pPr>
            <w:r>
              <w:rPr>
                <w:rFonts w:ascii="Arial" w:hAnsi="Arial"/>
                <w:sz w:val="22"/>
              </w:rPr>
              <w:t>Escala</w:t>
              <w:tab/>
            </w:r>
            <w:r>
              <w:rPr>
                <w:rFonts w:ascii="Arial" w:hAnsi="Arial"/>
                <w:spacing w:val="-1"/>
                <w:sz w:val="22"/>
              </w:rPr>
              <w:t>de </w:t>
            </w:r>
            <w:r>
              <w:rPr>
                <w:rFonts w:ascii="Arial" w:hAnsi="Arial"/>
                <w:sz w:val="22"/>
              </w:rPr>
              <w:t>Medición</w:t>
            </w:r>
          </w:p>
        </w:tc>
      </w:tr>
      <w:tr>
        <w:trPr>
          <w:trHeight w:val="4187" w:hRule="exact"/>
        </w:trPr>
        <w:tc>
          <w:tcPr>
            <w:tcW w:w="1628" w:type="dxa"/>
          </w:tcPr>
          <w:p>
            <w:pPr>
              <w:pStyle w:val="TableParagraph"/>
              <w:tabs>
                <w:tab w:pos="1270" w:val="left" w:leader="none"/>
              </w:tabs>
              <w:spacing w:line="360" w:lineRule="auto" w:before="5"/>
              <w:ind w:left="105" w:right="102"/>
              <w:jc w:val="left"/>
              <w:rPr>
                <w:rFonts w:ascii="Arial" w:hAnsi="Arial"/>
                <w:sz w:val="22"/>
              </w:rPr>
            </w:pPr>
            <w:r>
              <w:rPr>
                <w:rFonts w:ascii="Arial" w:hAnsi="Arial"/>
                <w:sz w:val="22"/>
              </w:rPr>
              <w:t>Índice</w:t>
              <w:tab/>
            </w:r>
            <w:r>
              <w:rPr>
                <w:rFonts w:ascii="Arial" w:hAnsi="Arial"/>
                <w:spacing w:val="-1"/>
                <w:sz w:val="22"/>
              </w:rPr>
              <w:t>de </w:t>
            </w:r>
            <w:r>
              <w:rPr>
                <w:rFonts w:ascii="Arial" w:hAnsi="Arial"/>
                <w:sz w:val="22"/>
              </w:rPr>
              <w:t>eficiencia miocárdica</w:t>
            </w:r>
          </w:p>
        </w:tc>
        <w:tc>
          <w:tcPr>
            <w:tcW w:w="1901" w:type="dxa"/>
          </w:tcPr>
          <w:p>
            <w:pPr>
              <w:pStyle w:val="TableParagraph"/>
              <w:tabs>
                <w:tab w:pos="561" w:val="left" w:leader="none"/>
                <w:tab w:pos="901" w:val="left" w:leader="none"/>
                <w:tab w:pos="934" w:val="left" w:leader="none"/>
                <w:tab w:pos="1545" w:val="left" w:leader="none"/>
              </w:tabs>
              <w:spacing w:line="360" w:lineRule="auto" w:before="5"/>
              <w:ind w:left="100" w:right="96"/>
              <w:jc w:val="left"/>
              <w:rPr>
                <w:rFonts w:ascii="Arial" w:hAnsi="Arial"/>
                <w:sz w:val="22"/>
              </w:rPr>
            </w:pPr>
            <w:r>
              <w:rPr>
                <w:rFonts w:ascii="Arial" w:hAnsi="Arial"/>
                <w:sz w:val="22"/>
              </w:rPr>
              <w:t>Es</w:t>
              <w:tab/>
              <w:t>el</w:t>
              <w:tab/>
              <w:tab/>
              <w:t>producto del</w:t>
              <w:tab/>
              <w:tab/>
            </w:r>
            <w:r>
              <w:rPr>
                <w:rFonts w:ascii="Arial" w:hAnsi="Arial"/>
                <w:spacing w:val="-1"/>
                <w:sz w:val="22"/>
              </w:rPr>
              <w:t>consumo </w:t>
            </w:r>
            <w:r>
              <w:rPr>
                <w:rFonts w:ascii="Arial" w:hAnsi="Arial"/>
                <w:sz w:val="22"/>
              </w:rPr>
              <w:t>miocárdico</w:t>
              <w:tab/>
              <w:t>de oxígeno entre el consumo máximo</w:t>
              <w:tab/>
              <w:tab/>
              <w:tab/>
              <w:t>de oxígeno</w:t>
            </w:r>
          </w:p>
        </w:tc>
        <w:tc>
          <w:tcPr>
            <w:tcW w:w="2497" w:type="dxa"/>
          </w:tcPr>
          <w:p>
            <w:pPr>
              <w:pStyle w:val="TableParagraph"/>
              <w:spacing w:line="360" w:lineRule="auto" w:before="5"/>
              <w:ind w:left="105" w:right="99"/>
              <w:jc w:val="both"/>
              <w:rPr>
                <w:rFonts w:ascii="Arial" w:hAnsi="Arial"/>
                <w:sz w:val="22"/>
              </w:rPr>
            </w:pPr>
            <w:r>
              <w:rPr>
                <w:rFonts w:ascii="Arial" w:hAnsi="Arial"/>
                <w:sz w:val="22"/>
              </w:rPr>
              <w:t>Consumo miocárdico de oxigeno = [(Doble producto x 0.14 x 0.01)</w:t>
            </w:r>
          </w:p>
          <w:p>
            <w:pPr>
              <w:pStyle w:val="TableParagraph"/>
              <w:spacing w:line="360" w:lineRule="auto" w:before="3"/>
              <w:ind w:left="105" w:right="104"/>
              <w:jc w:val="both"/>
              <w:rPr>
                <w:rFonts w:ascii="Arial" w:hAnsi="Arial"/>
                <w:sz w:val="22"/>
              </w:rPr>
            </w:pPr>
            <w:r>
              <w:rPr>
                <w:rFonts w:ascii="Arial" w:hAnsi="Arial"/>
                <w:sz w:val="22"/>
              </w:rPr>
              <w:t>– 6.3] entre consumo máximo de oxígeno.</w:t>
            </w:r>
          </w:p>
        </w:tc>
        <w:tc>
          <w:tcPr>
            <w:tcW w:w="1479" w:type="dxa"/>
          </w:tcPr>
          <w:p>
            <w:pPr>
              <w:pStyle w:val="TableParagraph"/>
              <w:spacing w:line="360" w:lineRule="auto" w:before="5"/>
              <w:ind w:left="105" w:right="182"/>
              <w:jc w:val="left"/>
              <w:rPr>
                <w:rFonts w:ascii="Arial"/>
                <w:sz w:val="22"/>
              </w:rPr>
            </w:pPr>
            <w:r>
              <w:rPr>
                <w:rFonts w:ascii="Arial"/>
                <w:sz w:val="22"/>
              </w:rPr>
              <w:t>Cuantitativa continua</w:t>
            </w:r>
          </w:p>
        </w:tc>
        <w:tc>
          <w:tcPr>
            <w:tcW w:w="1556" w:type="dxa"/>
          </w:tcPr>
          <w:p>
            <w:pPr>
              <w:pStyle w:val="TableParagraph"/>
              <w:spacing w:line="360" w:lineRule="auto" w:before="5"/>
              <w:ind w:left="100" w:right="374"/>
              <w:jc w:val="left"/>
              <w:rPr>
                <w:rFonts w:ascii="Arial"/>
                <w:sz w:val="22"/>
              </w:rPr>
            </w:pPr>
            <w:r>
              <w:rPr>
                <w:rFonts w:ascii="Arial"/>
                <w:sz w:val="22"/>
              </w:rPr>
              <w:t>Porcentaje (%)</w:t>
            </w:r>
          </w:p>
          <w:p>
            <w:pPr>
              <w:pStyle w:val="TableParagraph"/>
              <w:tabs>
                <w:tab w:pos="699" w:val="left" w:leader="none"/>
                <w:tab w:pos="1318" w:val="left" w:leader="none"/>
              </w:tabs>
              <w:spacing w:line="360" w:lineRule="auto" w:before="3"/>
              <w:ind w:left="100" w:right="102"/>
              <w:jc w:val="left"/>
              <w:rPr>
                <w:rFonts w:ascii="Arial" w:hAnsi="Arial"/>
                <w:sz w:val="22"/>
              </w:rPr>
            </w:pPr>
            <w:r>
              <w:rPr>
                <w:rFonts w:ascii="Arial" w:hAnsi="Arial"/>
                <w:sz w:val="22"/>
              </w:rPr>
              <w:t>Menor a 10= Normal, Superior</w:t>
              <w:tab/>
              <w:t>a 10=</w:t>
              <w:tab/>
            </w:r>
            <w:r>
              <w:rPr>
                <w:rFonts w:ascii="Arial" w:hAnsi="Arial"/>
                <w:spacing w:val="-1"/>
                <w:sz w:val="22"/>
              </w:rPr>
              <w:t>Trabajo </w:t>
            </w:r>
            <w:r>
              <w:rPr>
                <w:rFonts w:ascii="Arial" w:hAnsi="Arial"/>
                <w:sz w:val="22"/>
              </w:rPr>
              <w:t>excesivo miocárdico (mala respuesta cardiaca)</w:t>
            </w:r>
          </w:p>
        </w:tc>
      </w:tr>
      <w:tr>
        <w:trPr>
          <w:trHeight w:val="3428" w:hRule="exact"/>
        </w:trPr>
        <w:tc>
          <w:tcPr>
            <w:tcW w:w="1628" w:type="dxa"/>
          </w:tcPr>
          <w:p>
            <w:pPr>
              <w:pStyle w:val="TableParagraph"/>
              <w:tabs>
                <w:tab w:pos="1271" w:val="left" w:leader="none"/>
              </w:tabs>
              <w:spacing w:line="360" w:lineRule="auto" w:before="0"/>
              <w:ind w:left="105" w:right="102"/>
              <w:jc w:val="left"/>
              <w:rPr>
                <w:rFonts w:ascii="Arial" w:hAnsi="Arial"/>
                <w:sz w:val="22"/>
              </w:rPr>
            </w:pPr>
            <w:r>
              <w:rPr>
                <w:rFonts w:ascii="Arial" w:hAnsi="Arial"/>
                <w:sz w:val="22"/>
              </w:rPr>
              <w:t>Consumo máximo</w:t>
              <w:tab/>
            </w:r>
            <w:r>
              <w:rPr>
                <w:rFonts w:ascii="Arial" w:hAnsi="Arial"/>
                <w:spacing w:val="-1"/>
                <w:sz w:val="22"/>
              </w:rPr>
              <w:t>de </w:t>
            </w:r>
            <w:r>
              <w:rPr>
                <w:rFonts w:ascii="Arial" w:hAnsi="Arial"/>
                <w:sz w:val="22"/>
              </w:rPr>
              <w:t>oxígeno</w:t>
            </w:r>
          </w:p>
        </w:tc>
        <w:tc>
          <w:tcPr>
            <w:tcW w:w="1901" w:type="dxa"/>
          </w:tcPr>
          <w:p>
            <w:pPr>
              <w:pStyle w:val="TableParagraph"/>
              <w:tabs>
                <w:tab w:pos="575" w:val="left" w:leader="none"/>
                <w:tab w:pos="959" w:val="left" w:leader="none"/>
                <w:tab w:pos="1545" w:val="left" w:leader="none"/>
                <w:tab w:pos="1678" w:val="left" w:leader="none"/>
              </w:tabs>
              <w:spacing w:line="360" w:lineRule="auto" w:before="0"/>
              <w:ind w:left="100" w:right="97"/>
              <w:jc w:val="left"/>
              <w:rPr>
                <w:rFonts w:ascii="Arial" w:hAnsi="Arial"/>
                <w:sz w:val="22"/>
              </w:rPr>
            </w:pPr>
            <w:r>
              <w:rPr>
                <w:rFonts w:ascii="Arial" w:hAnsi="Arial"/>
                <w:sz w:val="22"/>
              </w:rPr>
              <w:t>Es</w:t>
              <w:tab/>
              <w:t>la</w:t>
              <w:tab/>
            </w:r>
            <w:r>
              <w:rPr>
                <w:rFonts w:ascii="Arial" w:hAnsi="Arial"/>
                <w:spacing w:val="-1"/>
                <w:sz w:val="22"/>
              </w:rPr>
              <w:t>cantidad </w:t>
            </w:r>
            <w:r>
              <w:rPr>
                <w:rFonts w:ascii="Arial" w:hAnsi="Arial"/>
                <w:sz w:val="22"/>
              </w:rPr>
              <w:t>máxima</w:t>
              <w:tab/>
              <w:tab/>
              <w:t>de oxígeno que el organismo puede absorber, transportar</w:t>
              <w:tab/>
              <w:tab/>
              <w:t>y</w:t>
            </w:r>
          </w:p>
          <w:p>
            <w:pPr>
              <w:pStyle w:val="TableParagraph"/>
              <w:spacing w:line="360" w:lineRule="auto" w:before="3"/>
              <w:ind w:left="100" w:right="100"/>
              <w:jc w:val="both"/>
              <w:rPr>
                <w:rFonts w:ascii="Arial"/>
                <w:sz w:val="22"/>
              </w:rPr>
            </w:pPr>
            <w:r>
              <w:rPr>
                <w:rFonts w:ascii="Arial"/>
                <w:sz w:val="22"/>
              </w:rPr>
              <w:t>consumir por unidad de tiempo determinado</w:t>
            </w:r>
          </w:p>
        </w:tc>
        <w:tc>
          <w:tcPr>
            <w:tcW w:w="2497" w:type="dxa"/>
          </w:tcPr>
          <w:p>
            <w:pPr>
              <w:pStyle w:val="TableParagraph"/>
              <w:tabs>
                <w:tab w:pos="1406" w:val="left" w:leader="none"/>
                <w:tab w:pos="1553" w:val="left" w:leader="none"/>
              </w:tabs>
              <w:spacing w:line="360" w:lineRule="auto" w:before="0"/>
              <w:ind w:left="105" w:right="102"/>
              <w:jc w:val="left"/>
              <w:rPr>
                <w:rFonts w:ascii="Arial" w:hAnsi="Arial"/>
                <w:sz w:val="22"/>
              </w:rPr>
            </w:pPr>
            <w:r>
              <w:rPr>
                <w:rFonts w:ascii="Arial" w:hAnsi="Arial"/>
                <w:sz w:val="22"/>
              </w:rPr>
              <w:t>Se</w:t>
              <w:tab/>
            </w:r>
            <w:r>
              <w:rPr>
                <w:rFonts w:ascii="Arial" w:hAnsi="Arial"/>
                <w:spacing w:val="-1"/>
                <w:sz w:val="22"/>
              </w:rPr>
              <w:t>determina </w:t>
            </w:r>
            <w:r>
              <w:rPr>
                <w:rFonts w:ascii="Arial" w:hAnsi="Arial"/>
                <w:sz w:val="22"/>
              </w:rPr>
              <w:t>indirectamente mediante la prueba de esfuerzo en banda sin fin con protocolo de Pugh, al 100% de </w:t>
            </w:r>
            <w:r>
              <w:rPr>
                <w:rFonts w:ascii="Arial" w:hAnsi="Arial"/>
                <w:spacing w:val="-3"/>
                <w:sz w:val="22"/>
              </w:rPr>
              <w:t>la </w:t>
            </w:r>
            <w:r>
              <w:rPr>
                <w:rFonts w:ascii="Arial" w:hAnsi="Arial"/>
                <w:sz w:val="22"/>
              </w:rPr>
              <w:t>frecuencia</w:t>
              <w:tab/>
              <w:tab/>
            </w:r>
            <w:r>
              <w:rPr>
                <w:rFonts w:ascii="Arial" w:hAnsi="Arial"/>
                <w:spacing w:val="-1"/>
                <w:sz w:val="22"/>
              </w:rPr>
              <w:t>cardiaca </w:t>
            </w:r>
            <w:r>
              <w:rPr>
                <w:rFonts w:ascii="Arial" w:hAnsi="Arial"/>
                <w:sz w:val="22"/>
              </w:rPr>
              <w:t>máxima</w:t>
            </w:r>
          </w:p>
        </w:tc>
        <w:tc>
          <w:tcPr>
            <w:tcW w:w="1479" w:type="dxa"/>
          </w:tcPr>
          <w:p>
            <w:pPr>
              <w:pStyle w:val="TableParagraph"/>
              <w:spacing w:line="360" w:lineRule="auto" w:before="0"/>
              <w:ind w:left="105" w:right="182"/>
              <w:jc w:val="left"/>
              <w:rPr>
                <w:rFonts w:ascii="Arial"/>
                <w:sz w:val="22"/>
              </w:rPr>
            </w:pPr>
            <w:r>
              <w:rPr>
                <w:rFonts w:ascii="Arial"/>
                <w:sz w:val="22"/>
              </w:rPr>
              <w:t>Cuantitativa continua</w:t>
            </w:r>
          </w:p>
        </w:tc>
        <w:tc>
          <w:tcPr>
            <w:tcW w:w="1556" w:type="dxa"/>
          </w:tcPr>
          <w:p>
            <w:pPr>
              <w:pStyle w:val="TableParagraph"/>
              <w:spacing w:before="0"/>
              <w:ind w:left="100" w:right="102"/>
              <w:jc w:val="left"/>
              <w:rPr>
                <w:rFonts w:ascii="Arial"/>
                <w:sz w:val="22"/>
              </w:rPr>
            </w:pPr>
            <w:r>
              <w:rPr>
                <w:rFonts w:ascii="Arial"/>
                <w:sz w:val="22"/>
              </w:rPr>
              <w:t>(ml/kg/min)</w:t>
            </w:r>
          </w:p>
        </w:tc>
      </w:tr>
      <w:tr>
        <w:trPr>
          <w:trHeight w:val="1527" w:hRule="exact"/>
        </w:trPr>
        <w:tc>
          <w:tcPr>
            <w:tcW w:w="1628" w:type="dxa"/>
          </w:tcPr>
          <w:p>
            <w:pPr>
              <w:pStyle w:val="TableParagraph"/>
              <w:tabs>
                <w:tab w:pos="1270" w:val="left" w:leader="none"/>
              </w:tabs>
              <w:spacing w:line="360" w:lineRule="auto" w:before="0"/>
              <w:ind w:left="105" w:right="103"/>
              <w:jc w:val="left"/>
              <w:rPr>
                <w:rFonts w:ascii="Arial" w:hAnsi="Arial"/>
                <w:sz w:val="22"/>
              </w:rPr>
            </w:pPr>
            <w:r>
              <w:rPr>
                <w:rFonts w:ascii="Arial" w:hAnsi="Arial"/>
                <w:sz w:val="22"/>
              </w:rPr>
              <w:t>Posición</w:t>
              <w:tab/>
            </w:r>
            <w:r>
              <w:rPr>
                <w:rFonts w:ascii="Arial" w:hAnsi="Arial"/>
                <w:spacing w:val="-1"/>
                <w:sz w:val="22"/>
              </w:rPr>
              <w:t>de </w:t>
            </w:r>
            <w:r>
              <w:rPr>
                <w:rFonts w:ascii="Arial" w:hAnsi="Arial"/>
                <w:sz w:val="22"/>
              </w:rPr>
              <w:t>juego</w:t>
            </w:r>
          </w:p>
        </w:tc>
        <w:tc>
          <w:tcPr>
            <w:tcW w:w="1901" w:type="dxa"/>
          </w:tcPr>
          <w:p>
            <w:pPr>
              <w:pStyle w:val="TableParagraph"/>
              <w:spacing w:line="360" w:lineRule="auto" w:before="0"/>
              <w:ind w:left="100" w:right="98"/>
              <w:jc w:val="both"/>
              <w:rPr>
                <w:rFonts w:ascii="Arial" w:hAnsi="Arial"/>
                <w:sz w:val="22"/>
              </w:rPr>
            </w:pPr>
            <w:r>
              <w:rPr>
                <w:rFonts w:ascii="Arial" w:hAnsi="Arial"/>
                <w:sz w:val="22"/>
              </w:rPr>
              <w:t>Es el puesto determinado en la cancha de fútbol asociación</w:t>
            </w:r>
          </w:p>
        </w:tc>
        <w:tc>
          <w:tcPr>
            <w:tcW w:w="2497" w:type="dxa"/>
          </w:tcPr>
          <w:p>
            <w:pPr>
              <w:pStyle w:val="TableParagraph"/>
              <w:spacing w:line="360" w:lineRule="auto" w:before="0"/>
              <w:ind w:left="105" w:right="103"/>
              <w:jc w:val="both"/>
              <w:rPr>
                <w:rFonts w:ascii="Arial"/>
                <w:sz w:val="22"/>
              </w:rPr>
            </w:pPr>
            <w:r>
              <w:rPr>
                <w:rFonts w:ascii="Arial"/>
                <w:sz w:val="22"/>
              </w:rPr>
              <w:t>Se determina en 4 puestos en la cancha y sus funciones en la misma</w:t>
            </w:r>
          </w:p>
        </w:tc>
        <w:tc>
          <w:tcPr>
            <w:tcW w:w="1479" w:type="dxa"/>
          </w:tcPr>
          <w:p>
            <w:pPr>
              <w:pStyle w:val="TableParagraph"/>
              <w:spacing w:line="360" w:lineRule="auto" w:before="0"/>
              <w:ind w:left="105" w:right="121"/>
              <w:jc w:val="left"/>
              <w:rPr>
                <w:rFonts w:ascii="Arial" w:hAnsi="Arial"/>
                <w:sz w:val="22"/>
              </w:rPr>
            </w:pPr>
            <w:r>
              <w:rPr>
                <w:rFonts w:ascii="Arial" w:hAnsi="Arial"/>
                <w:sz w:val="22"/>
              </w:rPr>
              <w:t>Cualitativa nominal policotómica</w:t>
            </w:r>
          </w:p>
        </w:tc>
        <w:tc>
          <w:tcPr>
            <w:tcW w:w="1556" w:type="dxa"/>
          </w:tcPr>
          <w:p>
            <w:pPr>
              <w:pStyle w:val="TableParagraph"/>
              <w:spacing w:line="360" w:lineRule="auto" w:before="0"/>
              <w:ind w:left="100" w:right="472"/>
              <w:jc w:val="left"/>
              <w:rPr>
                <w:rFonts w:ascii="Arial"/>
                <w:sz w:val="22"/>
              </w:rPr>
            </w:pPr>
            <w:r>
              <w:rPr>
                <w:rFonts w:ascii="Arial"/>
                <w:sz w:val="22"/>
              </w:rPr>
              <w:t>Portero Delantero Defensa Medio</w:t>
            </w:r>
          </w:p>
        </w:tc>
      </w:tr>
    </w:tbl>
    <w:p>
      <w:pPr>
        <w:spacing w:after="0" w:line="360" w:lineRule="auto"/>
        <w:jc w:val="left"/>
        <w:rPr>
          <w:rFonts w:ascii="Arial"/>
          <w:sz w:val="22"/>
        </w:rPr>
        <w:sectPr>
          <w:pgSz w:w="12240" w:h="15840"/>
          <w:pgMar w:header="0" w:footer="966" w:top="1360" w:bottom="1220" w:left="1480" w:right="1460"/>
        </w:sect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8"/>
        <w:gridCol w:w="1901"/>
        <w:gridCol w:w="2497"/>
        <w:gridCol w:w="1479"/>
        <w:gridCol w:w="1556"/>
      </w:tblGrid>
      <w:tr>
        <w:trPr>
          <w:trHeight w:val="1532" w:hRule="exact"/>
        </w:trPr>
        <w:tc>
          <w:tcPr>
            <w:tcW w:w="1628" w:type="dxa"/>
          </w:tcPr>
          <w:p>
            <w:pPr>
              <w:pStyle w:val="TableParagraph"/>
              <w:tabs>
                <w:tab w:pos="1270" w:val="left" w:leader="none"/>
              </w:tabs>
              <w:spacing w:line="249" w:lineRule="exact" w:before="0"/>
              <w:ind w:left="105" w:right="0"/>
              <w:jc w:val="left"/>
              <w:rPr>
                <w:rFonts w:ascii="Arial"/>
                <w:sz w:val="22"/>
              </w:rPr>
            </w:pPr>
            <w:r>
              <w:rPr>
                <w:rFonts w:ascii="Arial"/>
                <w:sz w:val="22"/>
              </w:rPr>
              <w:t>Rango</w:t>
              <w:tab/>
              <w:t>de</w:t>
            </w:r>
          </w:p>
          <w:p>
            <w:pPr>
              <w:pStyle w:val="TableParagraph"/>
              <w:tabs>
                <w:tab w:pos="1270" w:val="left" w:leader="none"/>
              </w:tabs>
              <w:spacing w:line="360" w:lineRule="auto" w:before="126"/>
              <w:ind w:left="105" w:right="102"/>
              <w:jc w:val="left"/>
              <w:rPr>
                <w:rFonts w:ascii="Arial"/>
                <w:sz w:val="22"/>
              </w:rPr>
            </w:pPr>
            <w:r>
              <w:rPr>
                <w:rFonts w:ascii="Arial"/>
                <w:sz w:val="22"/>
              </w:rPr>
              <w:t>Tiempo</w:t>
              <w:tab/>
            </w:r>
            <w:r>
              <w:rPr>
                <w:rFonts w:ascii="Arial"/>
                <w:spacing w:val="-1"/>
                <w:sz w:val="22"/>
              </w:rPr>
              <w:t>de entrenamiento</w:t>
            </w:r>
          </w:p>
        </w:tc>
        <w:tc>
          <w:tcPr>
            <w:tcW w:w="1901" w:type="dxa"/>
          </w:tcPr>
          <w:p>
            <w:pPr>
              <w:pStyle w:val="TableParagraph"/>
              <w:spacing w:line="360" w:lineRule="auto" w:before="0"/>
              <w:ind w:left="100" w:right="98"/>
              <w:jc w:val="both"/>
              <w:rPr>
                <w:rFonts w:ascii="Arial" w:hAnsi="Arial"/>
                <w:sz w:val="22"/>
              </w:rPr>
            </w:pPr>
            <w:r>
              <w:rPr>
                <w:rFonts w:ascii="Arial" w:hAnsi="Arial"/>
                <w:sz w:val="22"/>
              </w:rPr>
              <w:t>Es la cantidad de años realizando ese deporte</w:t>
            </w:r>
          </w:p>
        </w:tc>
        <w:tc>
          <w:tcPr>
            <w:tcW w:w="2497" w:type="dxa"/>
          </w:tcPr>
          <w:p>
            <w:pPr>
              <w:pStyle w:val="TableParagraph"/>
              <w:spacing w:line="360" w:lineRule="auto" w:before="0"/>
              <w:ind w:left="105" w:right="100"/>
              <w:jc w:val="both"/>
              <w:rPr>
                <w:rFonts w:ascii="Arial" w:hAnsi="Arial"/>
                <w:sz w:val="22"/>
              </w:rPr>
            </w:pPr>
            <w:r>
              <w:rPr>
                <w:rFonts w:ascii="Arial" w:hAnsi="Arial"/>
                <w:sz w:val="22"/>
              </w:rPr>
              <w:t>Se determina por el intervalo de número de años en el fútbol</w:t>
            </w:r>
          </w:p>
        </w:tc>
        <w:tc>
          <w:tcPr>
            <w:tcW w:w="1479" w:type="dxa"/>
          </w:tcPr>
          <w:p>
            <w:pPr>
              <w:pStyle w:val="TableParagraph"/>
              <w:spacing w:line="360" w:lineRule="auto" w:before="0"/>
              <w:ind w:left="105" w:right="97"/>
              <w:jc w:val="left"/>
              <w:rPr>
                <w:rFonts w:ascii="Arial"/>
                <w:sz w:val="22"/>
              </w:rPr>
            </w:pPr>
            <w:r>
              <w:rPr>
                <w:rFonts w:ascii="Arial"/>
                <w:sz w:val="22"/>
              </w:rPr>
              <w:t>Cuantitativa continua por intervalos</w:t>
            </w:r>
          </w:p>
        </w:tc>
        <w:tc>
          <w:tcPr>
            <w:tcW w:w="1556" w:type="dxa"/>
          </w:tcPr>
          <w:p>
            <w:pPr>
              <w:pStyle w:val="TableParagraph"/>
              <w:spacing w:line="360" w:lineRule="auto" w:before="0"/>
              <w:ind w:left="100" w:right="881"/>
              <w:jc w:val="left"/>
              <w:rPr>
                <w:rFonts w:ascii="Arial" w:hAnsi="Arial"/>
                <w:sz w:val="22"/>
              </w:rPr>
            </w:pPr>
            <w:r>
              <w:rPr>
                <w:rFonts w:ascii="Arial" w:hAnsi="Arial"/>
                <w:sz w:val="22"/>
              </w:rPr>
              <w:t>Años 15-19</w:t>
            </w:r>
          </w:p>
          <w:p>
            <w:pPr>
              <w:pStyle w:val="TableParagraph"/>
              <w:spacing w:before="4"/>
              <w:ind w:left="100" w:right="102"/>
              <w:jc w:val="left"/>
              <w:rPr>
                <w:rFonts w:ascii="Arial"/>
                <w:sz w:val="22"/>
              </w:rPr>
            </w:pPr>
            <w:r>
              <w:rPr>
                <w:rFonts w:ascii="Arial"/>
                <w:sz w:val="22"/>
              </w:rPr>
              <w:t>20-24</w:t>
            </w:r>
          </w:p>
          <w:p>
            <w:pPr>
              <w:pStyle w:val="TableParagraph"/>
              <w:spacing w:before="126"/>
              <w:ind w:left="100" w:right="102"/>
              <w:jc w:val="left"/>
              <w:rPr>
                <w:rFonts w:ascii="Arial"/>
                <w:sz w:val="22"/>
              </w:rPr>
            </w:pPr>
            <w:r>
              <w:rPr>
                <w:rFonts w:ascii="Arial"/>
                <w:sz w:val="22"/>
              </w:rPr>
              <w:t>25-29</w:t>
            </w:r>
          </w:p>
        </w:tc>
      </w:tr>
      <w:tr>
        <w:trPr>
          <w:trHeight w:val="2665" w:hRule="exact"/>
        </w:trPr>
        <w:tc>
          <w:tcPr>
            <w:tcW w:w="1628" w:type="dxa"/>
          </w:tcPr>
          <w:p>
            <w:pPr>
              <w:pStyle w:val="TableParagraph"/>
              <w:tabs>
                <w:tab w:pos="1270" w:val="left" w:leader="none"/>
              </w:tabs>
              <w:spacing w:line="360" w:lineRule="auto" w:before="0"/>
              <w:ind w:left="105" w:right="103"/>
              <w:jc w:val="left"/>
              <w:rPr>
                <w:rFonts w:ascii="Arial"/>
                <w:sz w:val="22"/>
              </w:rPr>
            </w:pPr>
            <w:r>
              <w:rPr>
                <w:rFonts w:ascii="Arial"/>
                <w:sz w:val="22"/>
              </w:rPr>
              <w:t>Rango</w:t>
              <w:tab/>
            </w:r>
            <w:r>
              <w:rPr>
                <w:rFonts w:ascii="Arial"/>
                <w:spacing w:val="-1"/>
                <w:sz w:val="22"/>
              </w:rPr>
              <w:t>de </w:t>
            </w:r>
            <w:r>
              <w:rPr>
                <w:rFonts w:ascii="Arial"/>
                <w:sz w:val="22"/>
              </w:rPr>
              <w:t>edad</w:t>
            </w:r>
          </w:p>
        </w:tc>
        <w:tc>
          <w:tcPr>
            <w:tcW w:w="1901" w:type="dxa"/>
          </w:tcPr>
          <w:p>
            <w:pPr>
              <w:pStyle w:val="TableParagraph"/>
              <w:spacing w:line="360" w:lineRule="auto" w:before="0"/>
              <w:ind w:left="100" w:right="96"/>
              <w:jc w:val="both"/>
              <w:rPr>
                <w:rFonts w:ascii="Arial" w:hAnsi="Arial"/>
                <w:sz w:val="22"/>
              </w:rPr>
            </w:pPr>
            <w:r>
              <w:rPr>
                <w:rFonts w:ascii="Arial" w:hAnsi="Arial"/>
                <w:sz w:val="22"/>
              </w:rPr>
              <w:t>Es el </w:t>
            </w:r>
            <w:hyperlink r:id="rId8">
              <w:r>
                <w:rPr>
                  <w:rFonts w:ascii="Arial" w:hAnsi="Arial"/>
                  <w:sz w:val="22"/>
                </w:rPr>
                <w:t>intervalo</w:t>
              </w:r>
            </w:hyperlink>
            <w:r>
              <w:rPr>
                <w:rFonts w:ascii="Arial" w:hAnsi="Arial"/>
                <w:sz w:val="22"/>
              </w:rPr>
              <w:t> entre el valor máximo y  el valor mínimo en edad</w:t>
            </w:r>
          </w:p>
        </w:tc>
        <w:tc>
          <w:tcPr>
            <w:tcW w:w="2497" w:type="dxa"/>
          </w:tcPr>
          <w:p>
            <w:pPr>
              <w:pStyle w:val="TableParagraph"/>
              <w:spacing w:line="360" w:lineRule="auto" w:before="0"/>
              <w:ind w:left="105" w:right="101"/>
              <w:jc w:val="both"/>
              <w:rPr>
                <w:rFonts w:ascii="Arial" w:hAnsi="Arial"/>
                <w:sz w:val="22"/>
              </w:rPr>
            </w:pPr>
            <w:r>
              <w:rPr>
                <w:rFonts w:ascii="Arial" w:hAnsi="Arial"/>
                <w:sz w:val="22"/>
              </w:rPr>
              <w:t>Se determina por el intervalo de edad (años) de los futbolistas</w:t>
            </w:r>
          </w:p>
        </w:tc>
        <w:tc>
          <w:tcPr>
            <w:tcW w:w="1479" w:type="dxa"/>
          </w:tcPr>
          <w:p>
            <w:pPr>
              <w:pStyle w:val="TableParagraph"/>
              <w:spacing w:line="360" w:lineRule="auto" w:before="0"/>
              <w:ind w:left="105" w:right="97"/>
              <w:jc w:val="left"/>
              <w:rPr>
                <w:rFonts w:ascii="Arial"/>
                <w:sz w:val="22"/>
              </w:rPr>
            </w:pPr>
            <w:r>
              <w:rPr>
                <w:rFonts w:ascii="Arial"/>
                <w:sz w:val="22"/>
              </w:rPr>
              <w:t>Cuantitativa continua por intervalos</w:t>
            </w:r>
          </w:p>
        </w:tc>
        <w:tc>
          <w:tcPr>
            <w:tcW w:w="1556" w:type="dxa"/>
          </w:tcPr>
          <w:p>
            <w:pPr>
              <w:pStyle w:val="TableParagraph"/>
              <w:spacing w:line="360" w:lineRule="auto" w:before="0"/>
              <w:ind w:left="100" w:right="879"/>
              <w:jc w:val="left"/>
              <w:rPr>
                <w:rFonts w:ascii="Arial" w:hAnsi="Arial"/>
                <w:sz w:val="22"/>
              </w:rPr>
            </w:pPr>
            <w:r>
              <w:rPr>
                <w:rFonts w:ascii="Arial" w:hAnsi="Arial"/>
                <w:sz w:val="22"/>
              </w:rPr>
              <w:t>Años 18-20</w:t>
            </w:r>
          </w:p>
          <w:p>
            <w:pPr>
              <w:pStyle w:val="TableParagraph"/>
              <w:spacing w:before="3"/>
              <w:ind w:left="100" w:right="102"/>
              <w:jc w:val="left"/>
              <w:rPr>
                <w:rFonts w:ascii="Arial"/>
                <w:sz w:val="22"/>
              </w:rPr>
            </w:pPr>
            <w:r>
              <w:rPr>
                <w:rFonts w:ascii="Arial"/>
                <w:sz w:val="22"/>
              </w:rPr>
              <w:t>21-23</w:t>
            </w:r>
          </w:p>
          <w:p>
            <w:pPr>
              <w:pStyle w:val="TableParagraph"/>
              <w:spacing w:before="126"/>
              <w:ind w:left="100" w:right="102"/>
              <w:jc w:val="left"/>
              <w:rPr>
                <w:rFonts w:ascii="Arial"/>
                <w:sz w:val="22"/>
              </w:rPr>
            </w:pPr>
            <w:r>
              <w:rPr>
                <w:rFonts w:ascii="Arial"/>
                <w:sz w:val="22"/>
              </w:rPr>
              <w:t>24-26</w:t>
            </w:r>
          </w:p>
          <w:p>
            <w:pPr>
              <w:pStyle w:val="TableParagraph"/>
              <w:spacing w:before="126"/>
              <w:ind w:left="100" w:right="102"/>
              <w:jc w:val="left"/>
              <w:rPr>
                <w:rFonts w:ascii="Arial"/>
                <w:sz w:val="22"/>
              </w:rPr>
            </w:pPr>
            <w:r>
              <w:rPr>
                <w:rFonts w:ascii="Arial"/>
                <w:sz w:val="22"/>
              </w:rPr>
              <w:t>27-29</w:t>
            </w:r>
          </w:p>
          <w:p>
            <w:pPr>
              <w:pStyle w:val="TableParagraph"/>
              <w:spacing w:before="126"/>
              <w:ind w:left="100" w:right="102"/>
              <w:jc w:val="left"/>
              <w:rPr>
                <w:rFonts w:ascii="Arial"/>
                <w:sz w:val="22"/>
              </w:rPr>
            </w:pPr>
            <w:r>
              <w:rPr>
                <w:rFonts w:ascii="Arial"/>
                <w:sz w:val="22"/>
              </w:rPr>
              <w:t>30-32</w:t>
            </w:r>
          </w:p>
          <w:p>
            <w:pPr>
              <w:pStyle w:val="TableParagraph"/>
              <w:spacing w:before="127"/>
              <w:ind w:left="100" w:right="102"/>
              <w:jc w:val="left"/>
              <w:rPr>
                <w:rFonts w:ascii="Arial"/>
                <w:sz w:val="22"/>
              </w:rPr>
            </w:pPr>
            <w:r>
              <w:rPr>
                <w:rFonts w:ascii="Arial"/>
                <w:sz w:val="22"/>
              </w:rPr>
              <w:t>33-35</w:t>
            </w:r>
          </w:p>
        </w:tc>
      </w:tr>
    </w:tbl>
    <w:p>
      <w:pPr>
        <w:pStyle w:val="BodyText"/>
        <w:spacing w:before="11"/>
        <w:rPr>
          <w:b/>
          <w:sz w:val="9"/>
        </w:rPr>
      </w:pPr>
    </w:p>
    <w:p>
      <w:pPr>
        <w:pStyle w:val="Heading1"/>
        <w:numPr>
          <w:ilvl w:val="1"/>
          <w:numId w:val="4"/>
        </w:numPr>
        <w:tabs>
          <w:tab w:pos="941" w:val="left" w:leader="none"/>
        </w:tabs>
        <w:spacing w:line="240" w:lineRule="auto" w:before="69" w:after="0"/>
        <w:ind w:left="940" w:right="0" w:hanging="360"/>
        <w:jc w:val="left"/>
      </w:pPr>
      <w:bookmarkStart w:name="_bookmark21" w:id="44"/>
      <w:bookmarkEnd w:id="44"/>
      <w:r>
        <w:rPr>
          <w:b w:val="0"/>
        </w:rPr>
      </w:r>
      <w:bookmarkStart w:name="_bookmark21" w:id="45"/>
      <w:bookmarkEnd w:id="45"/>
      <w:r>
        <w:rPr/>
        <w:t>U</w:t>
      </w:r>
      <w:r>
        <w:rPr/>
        <w:t>niverso de trabajo y</w:t>
      </w:r>
      <w:r>
        <w:rPr>
          <w:spacing w:val="-18"/>
        </w:rPr>
        <w:t> </w:t>
      </w:r>
      <w:r>
        <w:rPr/>
        <w:t>muestra</w:t>
      </w:r>
    </w:p>
    <w:p>
      <w:pPr>
        <w:pStyle w:val="BodyText"/>
        <w:spacing w:line="355" w:lineRule="auto" w:before="50"/>
        <w:ind w:left="925"/>
      </w:pPr>
      <w:r>
        <w:rPr/>
        <w:t>25 futbolistas de los cuales: 2 son porteros, 5 defensas, 12 medios y 6 delanteros.</w:t>
      </w:r>
    </w:p>
    <w:p>
      <w:pPr>
        <w:pStyle w:val="BodyText"/>
        <w:spacing w:line="355" w:lineRule="auto" w:before="214"/>
        <w:ind w:left="925"/>
      </w:pPr>
      <w:r>
        <w:rPr/>
        <w:t>Todos evaluados con prueba de esfuerzo en el Centro de Medicina de la Actividad Física y el Deporte bajo los siguientes criterios:</w:t>
      </w:r>
    </w:p>
    <w:p>
      <w:pPr>
        <w:pStyle w:val="Heading1"/>
        <w:spacing w:before="210"/>
      </w:pPr>
      <w:bookmarkStart w:name="_bookmark22" w:id="46"/>
      <w:bookmarkEnd w:id="46"/>
      <w:r>
        <w:rPr>
          <w:b w:val="0"/>
        </w:rPr>
      </w:r>
      <w:r>
        <w:rPr/>
        <w:t>Criterios de inclusión</w:t>
      </w:r>
    </w:p>
    <w:p>
      <w:pPr>
        <w:pStyle w:val="ListParagraph"/>
        <w:numPr>
          <w:ilvl w:val="0"/>
          <w:numId w:val="8"/>
        </w:numPr>
        <w:tabs>
          <w:tab w:pos="940" w:val="left" w:leader="none"/>
          <w:tab w:pos="941" w:val="left" w:leader="none"/>
        </w:tabs>
        <w:spacing w:line="240" w:lineRule="auto" w:before="44" w:after="0"/>
        <w:ind w:left="940" w:right="0" w:hanging="360"/>
        <w:jc w:val="left"/>
        <w:rPr>
          <w:sz w:val="24"/>
        </w:rPr>
      </w:pPr>
      <w:r>
        <w:rPr>
          <w:sz w:val="24"/>
        </w:rPr>
        <w:t>Futbolistas activos de disciplina fútbol</w:t>
      </w:r>
      <w:r>
        <w:rPr>
          <w:spacing w:val="-7"/>
          <w:sz w:val="24"/>
        </w:rPr>
        <w:t> </w:t>
      </w:r>
      <w:r>
        <w:rPr>
          <w:sz w:val="24"/>
        </w:rPr>
        <w:t>asociación</w:t>
      </w:r>
    </w:p>
    <w:p>
      <w:pPr>
        <w:pStyle w:val="ListParagraph"/>
        <w:numPr>
          <w:ilvl w:val="0"/>
          <w:numId w:val="8"/>
        </w:numPr>
        <w:tabs>
          <w:tab w:pos="940" w:val="left" w:leader="none"/>
          <w:tab w:pos="941" w:val="left" w:leader="none"/>
        </w:tabs>
        <w:spacing w:line="240" w:lineRule="auto" w:before="138" w:after="0"/>
        <w:ind w:left="940" w:right="0" w:hanging="360"/>
        <w:jc w:val="left"/>
        <w:rPr>
          <w:sz w:val="24"/>
        </w:rPr>
      </w:pPr>
      <w:r>
        <w:rPr>
          <w:sz w:val="24"/>
        </w:rPr>
        <w:t>Género</w:t>
      </w:r>
      <w:r>
        <w:rPr>
          <w:spacing w:val="-3"/>
          <w:sz w:val="24"/>
        </w:rPr>
        <w:t> </w:t>
      </w:r>
      <w:r>
        <w:rPr>
          <w:sz w:val="24"/>
        </w:rPr>
        <w:t>Masculino</w:t>
      </w:r>
    </w:p>
    <w:p>
      <w:pPr>
        <w:pStyle w:val="ListParagraph"/>
        <w:numPr>
          <w:ilvl w:val="0"/>
          <w:numId w:val="8"/>
        </w:numPr>
        <w:tabs>
          <w:tab w:pos="940" w:val="left" w:leader="none"/>
          <w:tab w:pos="941" w:val="left" w:leader="none"/>
        </w:tabs>
        <w:spacing w:line="240" w:lineRule="auto" w:before="138" w:after="0"/>
        <w:ind w:left="940" w:right="0" w:hanging="360"/>
        <w:jc w:val="left"/>
        <w:rPr>
          <w:sz w:val="24"/>
        </w:rPr>
      </w:pPr>
      <w:r>
        <w:rPr>
          <w:sz w:val="24"/>
        </w:rPr>
        <w:t>Edad: mayores de 18 años cumplidos a 35 años a la</w:t>
      </w:r>
      <w:r>
        <w:rPr>
          <w:spacing w:val="-17"/>
          <w:sz w:val="24"/>
        </w:rPr>
        <w:t> </w:t>
      </w:r>
      <w:r>
        <w:rPr>
          <w:sz w:val="24"/>
        </w:rPr>
        <w:t>fecha.</w:t>
      </w:r>
    </w:p>
    <w:p>
      <w:pPr>
        <w:pStyle w:val="ListParagraph"/>
        <w:numPr>
          <w:ilvl w:val="0"/>
          <w:numId w:val="8"/>
        </w:numPr>
        <w:tabs>
          <w:tab w:pos="940" w:val="left" w:leader="none"/>
          <w:tab w:pos="941" w:val="left" w:leader="none"/>
        </w:tabs>
        <w:spacing w:line="240" w:lineRule="auto" w:before="133" w:after="0"/>
        <w:ind w:left="940" w:right="0" w:hanging="360"/>
        <w:jc w:val="left"/>
        <w:rPr>
          <w:sz w:val="24"/>
        </w:rPr>
      </w:pPr>
      <w:r>
        <w:rPr>
          <w:sz w:val="24"/>
        </w:rPr>
        <w:t>Que firmen el consentimiento</w:t>
      </w:r>
      <w:r>
        <w:rPr>
          <w:spacing w:val="-21"/>
          <w:sz w:val="24"/>
        </w:rPr>
        <w:t> </w:t>
      </w:r>
      <w:r>
        <w:rPr>
          <w:sz w:val="24"/>
        </w:rPr>
        <w:t>informado</w:t>
      </w:r>
    </w:p>
    <w:p>
      <w:pPr>
        <w:pStyle w:val="ListParagraph"/>
        <w:numPr>
          <w:ilvl w:val="0"/>
          <w:numId w:val="8"/>
        </w:numPr>
        <w:tabs>
          <w:tab w:pos="940" w:val="left" w:leader="none"/>
          <w:tab w:pos="941" w:val="left" w:leader="none"/>
        </w:tabs>
        <w:spacing w:line="240" w:lineRule="auto" w:before="138" w:after="0"/>
        <w:ind w:left="940" w:right="0" w:hanging="360"/>
        <w:jc w:val="left"/>
        <w:rPr>
          <w:sz w:val="24"/>
        </w:rPr>
      </w:pPr>
      <w:r>
        <w:rPr>
          <w:sz w:val="24"/>
        </w:rPr>
        <w:t>Que sea evaluado con una prueba de esfuerzo con protocolo de</w:t>
      </w:r>
      <w:r>
        <w:rPr>
          <w:spacing w:val="-27"/>
          <w:sz w:val="24"/>
        </w:rPr>
        <w:t> </w:t>
      </w:r>
      <w:r>
        <w:rPr>
          <w:sz w:val="24"/>
        </w:rPr>
        <w:t>Pugh</w:t>
      </w:r>
    </w:p>
    <w:p>
      <w:pPr>
        <w:pStyle w:val="BodyText"/>
      </w:pPr>
    </w:p>
    <w:p>
      <w:pPr>
        <w:pStyle w:val="BodyText"/>
      </w:pPr>
    </w:p>
    <w:p>
      <w:pPr>
        <w:pStyle w:val="Heading1"/>
        <w:spacing w:before="193"/>
      </w:pPr>
      <w:bookmarkStart w:name="_bookmark23" w:id="47"/>
      <w:bookmarkEnd w:id="47"/>
      <w:r>
        <w:rPr>
          <w:b w:val="0"/>
        </w:rPr>
      </w:r>
      <w:r>
        <w:rPr/>
        <w:t>Criterios de no inclusión</w:t>
      </w:r>
    </w:p>
    <w:p>
      <w:pPr>
        <w:pStyle w:val="ListParagraph"/>
        <w:numPr>
          <w:ilvl w:val="0"/>
          <w:numId w:val="8"/>
        </w:numPr>
        <w:tabs>
          <w:tab w:pos="940" w:val="left" w:leader="none"/>
          <w:tab w:pos="941" w:val="left" w:leader="none"/>
        </w:tabs>
        <w:spacing w:line="240" w:lineRule="auto" w:before="44" w:after="0"/>
        <w:ind w:left="940" w:right="0" w:hanging="360"/>
        <w:jc w:val="left"/>
        <w:rPr>
          <w:sz w:val="24"/>
        </w:rPr>
      </w:pPr>
      <w:r>
        <w:rPr>
          <w:sz w:val="24"/>
        </w:rPr>
        <w:t>Tener alguna enfermedad</w:t>
      </w:r>
      <w:r>
        <w:rPr>
          <w:spacing w:val="-15"/>
          <w:sz w:val="24"/>
        </w:rPr>
        <w:t> </w:t>
      </w:r>
      <w:r>
        <w:rPr>
          <w:sz w:val="24"/>
        </w:rPr>
        <w:t>orgánica</w:t>
      </w:r>
    </w:p>
    <w:p>
      <w:pPr>
        <w:pStyle w:val="ListParagraph"/>
        <w:numPr>
          <w:ilvl w:val="0"/>
          <w:numId w:val="8"/>
        </w:numPr>
        <w:tabs>
          <w:tab w:pos="940" w:val="left" w:leader="none"/>
          <w:tab w:pos="941" w:val="left" w:leader="none"/>
        </w:tabs>
        <w:spacing w:line="240" w:lineRule="auto" w:before="138" w:after="0"/>
        <w:ind w:left="940" w:right="0" w:hanging="360"/>
        <w:jc w:val="left"/>
        <w:rPr>
          <w:sz w:val="24"/>
        </w:rPr>
      </w:pPr>
      <w:r>
        <w:rPr>
          <w:sz w:val="24"/>
        </w:rPr>
        <w:t>Antecedentes de enfermedad</w:t>
      </w:r>
      <w:r>
        <w:rPr>
          <w:spacing w:val="-18"/>
          <w:sz w:val="24"/>
        </w:rPr>
        <w:t> </w:t>
      </w:r>
      <w:r>
        <w:rPr>
          <w:sz w:val="24"/>
        </w:rPr>
        <w:t>cardiovascular</w:t>
      </w:r>
    </w:p>
    <w:p>
      <w:pPr>
        <w:pStyle w:val="ListParagraph"/>
        <w:numPr>
          <w:ilvl w:val="0"/>
          <w:numId w:val="8"/>
        </w:numPr>
        <w:tabs>
          <w:tab w:pos="940" w:val="left" w:leader="none"/>
          <w:tab w:pos="941" w:val="left" w:leader="none"/>
        </w:tabs>
        <w:spacing w:line="240" w:lineRule="auto" w:before="138" w:after="0"/>
        <w:ind w:left="940" w:right="0" w:hanging="360"/>
        <w:jc w:val="left"/>
        <w:rPr>
          <w:sz w:val="24"/>
        </w:rPr>
      </w:pPr>
      <w:r>
        <w:rPr>
          <w:sz w:val="24"/>
        </w:rPr>
        <w:t>Incapacidad musculo esquelética para realizar la</w:t>
      </w:r>
      <w:r>
        <w:rPr>
          <w:spacing w:val="-16"/>
          <w:sz w:val="24"/>
        </w:rPr>
        <w:t> </w:t>
      </w:r>
      <w:r>
        <w:rPr>
          <w:sz w:val="24"/>
        </w:rPr>
        <w:t>prueba</w:t>
      </w:r>
    </w:p>
    <w:p>
      <w:pPr>
        <w:pStyle w:val="ListParagraph"/>
        <w:numPr>
          <w:ilvl w:val="0"/>
          <w:numId w:val="8"/>
        </w:numPr>
        <w:tabs>
          <w:tab w:pos="940" w:val="left" w:leader="none"/>
          <w:tab w:pos="941" w:val="left" w:leader="none"/>
        </w:tabs>
        <w:spacing w:line="240" w:lineRule="auto" w:before="133" w:after="0"/>
        <w:ind w:left="940" w:right="0" w:hanging="360"/>
        <w:jc w:val="left"/>
        <w:rPr>
          <w:sz w:val="24"/>
        </w:rPr>
      </w:pPr>
      <w:r>
        <w:rPr>
          <w:sz w:val="24"/>
        </w:rPr>
        <w:t>Que el jugador no desee participar en la prueba de</w:t>
      </w:r>
      <w:r>
        <w:rPr>
          <w:spacing w:val="-17"/>
          <w:sz w:val="24"/>
        </w:rPr>
        <w:t> </w:t>
      </w:r>
      <w:r>
        <w:rPr>
          <w:sz w:val="24"/>
        </w:rPr>
        <w:t>esfuerzo</w:t>
      </w:r>
    </w:p>
    <w:p>
      <w:pPr>
        <w:pStyle w:val="ListParagraph"/>
        <w:numPr>
          <w:ilvl w:val="0"/>
          <w:numId w:val="8"/>
        </w:numPr>
        <w:tabs>
          <w:tab w:pos="940" w:val="left" w:leader="none"/>
          <w:tab w:pos="941" w:val="left" w:leader="none"/>
        </w:tabs>
        <w:spacing w:line="240" w:lineRule="auto" w:before="138" w:after="0"/>
        <w:ind w:left="940" w:right="0" w:hanging="360"/>
        <w:jc w:val="left"/>
        <w:rPr>
          <w:sz w:val="24"/>
        </w:rPr>
      </w:pPr>
      <w:r>
        <w:rPr>
          <w:sz w:val="24"/>
        </w:rPr>
        <w:t>Lesión osteomuscular de 1 </w:t>
      </w:r>
      <w:r>
        <w:rPr>
          <w:spacing w:val="-3"/>
          <w:sz w:val="24"/>
        </w:rPr>
        <w:t>mes </w:t>
      </w:r>
      <w:r>
        <w:rPr>
          <w:sz w:val="24"/>
        </w:rPr>
        <w:t>de</w:t>
      </w:r>
      <w:r>
        <w:rPr>
          <w:spacing w:val="-2"/>
          <w:sz w:val="24"/>
        </w:rPr>
        <w:t> </w:t>
      </w:r>
      <w:r>
        <w:rPr>
          <w:sz w:val="24"/>
        </w:rPr>
        <w:t>evolución</w:t>
      </w:r>
    </w:p>
    <w:p>
      <w:pPr>
        <w:pStyle w:val="ListParagraph"/>
        <w:numPr>
          <w:ilvl w:val="0"/>
          <w:numId w:val="8"/>
        </w:numPr>
        <w:tabs>
          <w:tab w:pos="940" w:val="left" w:leader="none"/>
          <w:tab w:pos="941" w:val="left" w:leader="none"/>
        </w:tabs>
        <w:spacing w:line="240" w:lineRule="auto" w:before="133" w:after="0"/>
        <w:ind w:left="940" w:right="0" w:hanging="360"/>
        <w:jc w:val="left"/>
        <w:rPr>
          <w:sz w:val="24"/>
        </w:rPr>
      </w:pPr>
      <w:r>
        <w:rPr>
          <w:sz w:val="24"/>
        </w:rPr>
        <w:t>Frecuencia cardiaca en reposo mayor de 80 latidos por</w:t>
      </w:r>
      <w:r>
        <w:rPr>
          <w:spacing w:val="-24"/>
          <w:sz w:val="24"/>
        </w:rPr>
        <w:t> </w:t>
      </w:r>
      <w:r>
        <w:rPr>
          <w:sz w:val="24"/>
        </w:rPr>
        <w:t>minuto</w:t>
      </w:r>
    </w:p>
    <w:p>
      <w:pPr>
        <w:spacing w:after="0" w:line="240" w:lineRule="auto"/>
        <w:jc w:val="left"/>
        <w:rPr>
          <w:sz w:val="24"/>
        </w:rPr>
        <w:sectPr>
          <w:pgSz w:w="12240" w:h="15840"/>
          <w:pgMar w:header="0" w:footer="966" w:top="1420" w:bottom="1220" w:left="1480" w:right="1460"/>
        </w:sectPr>
      </w:pPr>
    </w:p>
    <w:p>
      <w:pPr>
        <w:pStyle w:val="BodyText"/>
        <w:rPr>
          <w:sz w:val="20"/>
        </w:rPr>
      </w:pPr>
    </w:p>
    <w:p>
      <w:pPr>
        <w:pStyle w:val="BodyText"/>
        <w:spacing w:before="4"/>
        <w:rPr>
          <w:sz w:val="19"/>
        </w:rPr>
      </w:pPr>
    </w:p>
    <w:p>
      <w:pPr>
        <w:pStyle w:val="Heading1"/>
        <w:spacing w:before="70"/>
        <w:ind w:left="700"/>
      </w:pPr>
      <w:bookmarkStart w:name="_bookmark24" w:id="48"/>
      <w:bookmarkEnd w:id="48"/>
      <w:r>
        <w:rPr>
          <w:b w:val="0"/>
        </w:rPr>
      </w:r>
      <w:r>
        <w:rPr/>
        <w:t>Criterios de eliminación</w:t>
      </w:r>
    </w:p>
    <w:p>
      <w:pPr>
        <w:pStyle w:val="ListParagraph"/>
        <w:numPr>
          <w:ilvl w:val="0"/>
          <w:numId w:val="9"/>
        </w:numPr>
        <w:tabs>
          <w:tab w:pos="700" w:val="left" w:leader="none"/>
          <w:tab w:pos="701" w:val="left" w:leader="none"/>
        </w:tabs>
        <w:spacing w:line="240" w:lineRule="auto" w:before="44" w:after="0"/>
        <w:ind w:left="700" w:right="0" w:hanging="360"/>
        <w:jc w:val="left"/>
        <w:rPr>
          <w:sz w:val="24"/>
        </w:rPr>
      </w:pPr>
      <w:r>
        <w:rPr>
          <w:sz w:val="24"/>
        </w:rPr>
        <w:t>Causas relacionadas con la falla del material y equipo de</w:t>
      </w:r>
      <w:r>
        <w:rPr>
          <w:spacing w:val="-18"/>
          <w:sz w:val="24"/>
        </w:rPr>
        <w:t> </w:t>
      </w:r>
      <w:r>
        <w:rPr>
          <w:sz w:val="24"/>
        </w:rPr>
        <w:t>evaluación</w:t>
      </w:r>
    </w:p>
    <w:p>
      <w:pPr>
        <w:pStyle w:val="ListParagraph"/>
        <w:numPr>
          <w:ilvl w:val="0"/>
          <w:numId w:val="9"/>
        </w:numPr>
        <w:tabs>
          <w:tab w:pos="701" w:val="left" w:leader="none"/>
        </w:tabs>
        <w:spacing w:line="357" w:lineRule="auto" w:before="138" w:after="0"/>
        <w:ind w:left="700" w:right="118" w:hanging="360"/>
        <w:jc w:val="both"/>
        <w:rPr>
          <w:sz w:val="24"/>
        </w:rPr>
      </w:pPr>
      <w:r>
        <w:rPr>
          <w:sz w:val="24"/>
        </w:rPr>
        <w:t>Arritmias (bloqueo auriculoventricular de tercer grado, fibrilación ventricular, taquicardia ventricular, fibrilación auricular, aumento de extrasístoles ventriculares)</w:t>
      </w:r>
    </w:p>
    <w:p>
      <w:pPr>
        <w:pStyle w:val="ListParagraph"/>
        <w:numPr>
          <w:ilvl w:val="0"/>
          <w:numId w:val="9"/>
        </w:numPr>
        <w:tabs>
          <w:tab w:pos="700" w:val="left" w:leader="none"/>
          <w:tab w:pos="701" w:val="left" w:leader="none"/>
        </w:tabs>
        <w:spacing w:line="355" w:lineRule="auto" w:before="3" w:after="0"/>
        <w:ind w:left="700" w:right="121" w:hanging="360"/>
        <w:jc w:val="left"/>
        <w:rPr>
          <w:sz w:val="24"/>
        </w:rPr>
      </w:pPr>
      <w:r>
        <w:rPr>
          <w:sz w:val="24"/>
        </w:rPr>
        <w:t>Lesión ósea (antecedentes de fracturas de miembros inferiores en los 3 meses)</w:t>
      </w:r>
    </w:p>
    <w:p>
      <w:pPr>
        <w:pStyle w:val="ListParagraph"/>
        <w:numPr>
          <w:ilvl w:val="0"/>
          <w:numId w:val="9"/>
        </w:numPr>
        <w:tabs>
          <w:tab w:pos="700" w:val="left" w:leader="none"/>
          <w:tab w:pos="701" w:val="left" w:leader="none"/>
        </w:tabs>
        <w:spacing w:line="240" w:lineRule="auto" w:before="6" w:after="0"/>
        <w:ind w:left="700" w:right="0" w:hanging="360"/>
        <w:jc w:val="left"/>
        <w:rPr>
          <w:sz w:val="24"/>
        </w:rPr>
      </w:pPr>
      <w:r>
        <w:rPr>
          <w:sz w:val="24"/>
        </w:rPr>
        <w:t>Enfermedad respiratoria aguda el día de la prueba de</w:t>
      </w:r>
      <w:r>
        <w:rPr>
          <w:spacing w:val="-22"/>
          <w:sz w:val="24"/>
        </w:rPr>
        <w:t> </w:t>
      </w:r>
      <w:r>
        <w:rPr>
          <w:sz w:val="24"/>
        </w:rPr>
        <w:t>esfuerzo.</w:t>
      </w:r>
    </w:p>
    <w:p>
      <w:pPr>
        <w:pStyle w:val="ListParagraph"/>
        <w:numPr>
          <w:ilvl w:val="0"/>
          <w:numId w:val="9"/>
        </w:numPr>
        <w:tabs>
          <w:tab w:pos="700" w:val="left" w:leader="none"/>
          <w:tab w:pos="701" w:val="left" w:leader="none"/>
        </w:tabs>
        <w:spacing w:line="240" w:lineRule="auto" w:before="133" w:after="0"/>
        <w:ind w:left="700" w:right="0" w:hanging="360"/>
        <w:jc w:val="left"/>
        <w:rPr>
          <w:sz w:val="24"/>
        </w:rPr>
      </w:pPr>
      <w:r>
        <w:rPr>
          <w:sz w:val="24"/>
        </w:rPr>
        <w:t>Que los reportes no estén debidamente</w:t>
      </w:r>
      <w:r>
        <w:rPr>
          <w:spacing w:val="-21"/>
          <w:sz w:val="24"/>
        </w:rPr>
        <w:t> </w:t>
      </w:r>
      <w:r>
        <w:rPr>
          <w:sz w:val="24"/>
        </w:rPr>
        <w:t>registrados.</w:t>
      </w:r>
    </w:p>
    <w:p>
      <w:pPr>
        <w:pStyle w:val="ListParagraph"/>
        <w:numPr>
          <w:ilvl w:val="0"/>
          <w:numId w:val="9"/>
        </w:numPr>
        <w:tabs>
          <w:tab w:pos="700" w:val="left" w:leader="none"/>
          <w:tab w:pos="701" w:val="left" w:leader="none"/>
        </w:tabs>
        <w:spacing w:line="240" w:lineRule="auto" w:before="138" w:after="0"/>
        <w:ind w:left="700" w:right="0" w:hanging="360"/>
        <w:jc w:val="left"/>
        <w:rPr>
          <w:sz w:val="24"/>
        </w:rPr>
      </w:pPr>
      <w:r>
        <w:rPr>
          <w:sz w:val="24"/>
        </w:rPr>
        <w:t>No tener los datos en el expediente</w:t>
      </w:r>
      <w:r>
        <w:rPr>
          <w:spacing w:val="-15"/>
          <w:sz w:val="24"/>
        </w:rPr>
        <w:t> </w:t>
      </w:r>
      <w:r>
        <w:rPr>
          <w:sz w:val="24"/>
        </w:rPr>
        <w:t>clínico.</w:t>
      </w:r>
    </w:p>
    <w:p>
      <w:pPr>
        <w:pStyle w:val="BodyText"/>
      </w:pPr>
    </w:p>
    <w:p>
      <w:pPr>
        <w:pStyle w:val="BodyText"/>
      </w:pPr>
    </w:p>
    <w:p>
      <w:pPr>
        <w:pStyle w:val="BodyText"/>
        <w:spacing w:before="3"/>
        <w:rPr>
          <w:sz w:val="34"/>
        </w:rPr>
      </w:pPr>
    </w:p>
    <w:p>
      <w:pPr>
        <w:pStyle w:val="Heading1"/>
        <w:numPr>
          <w:ilvl w:val="1"/>
          <w:numId w:val="4"/>
        </w:numPr>
        <w:tabs>
          <w:tab w:pos="701" w:val="left" w:leader="none"/>
        </w:tabs>
        <w:spacing w:line="240" w:lineRule="auto" w:before="0" w:after="0"/>
        <w:ind w:left="700" w:right="0" w:hanging="360"/>
        <w:jc w:val="left"/>
      </w:pPr>
      <w:bookmarkStart w:name="_bookmark25" w:id="49"/>
      <w:bookmarkEnd w:id="49"/>
      <w:r>
        <w:rPr>
          <w:b w:val="0"/>
        </w:rPr>
      </w:r>
      <w:bookmarkStart w:name="_bookmark25" w:id="50"/>
      <w:bookmarkEnd w:id="50"/>
      <w:r>
        <w:rPr/>
        <w:t>I</w:t>
      </w:r>
      <w:r>
        <w:rPr/>
        <w:t>nstrumento de</w:t>
      </w:r>
      <w:r>
        <w:rPr>
          <w:spacing w:val="-11"/>
        </w:rPr>
        <w:t> </w:t>
      </w:r>
      <w:r>
        <w:rPr/>
        <w:t>investigación</w:t>
      </w:r>
    </w:p>
    <w:p>
      <w:pPr>
        <w:pStyle w:val="ListParagraph"/>
        <w:numPr>
          <w:ilvl w:val="0"/>
          <w:numId w:val="9"/>
        </w:numPr>
        <w:tabs>
          <w:tab w:pos="700" w:val="left" w:leader="none"/>
          <w:tab w:pos="701" w:val="left" w:leader="none"/>
        </w:tabs>
        <w:spacing w:line="240" w:lineRule="auto" w:before="44" w:after="0"/>
        <w:ind w:left="700" w:right="0" w:hanging="360"/>
        <w:jc w:val="left"/>
        <w:rPr>
          <w:sz w:val="24"/>
        </w:rPr>
      </w:pPr>
      <w:r>
        <w:rPr>
          <w:sz w:val="24"/>
        </w:rPr>
        <w:t>Estetoscopio marca</w:t>
      </w:r>
      <w:r>
        <w:rPr>
          <w:spacing w:val="-8"/>
          <w:sz w:val="24"/>
        </w:rPr>
        <w:t> </w:t>
      </w:r>
      <w:r>
        <w:rPr>
          <w:sz w:val="24"/>
        </w:rPr>
        <w:t>medigraphics</w:t>
      </w:r>
    </w:p>
    <w:p>
      <w:pPr>
        <w:pStyle w:val="ListParagraph"/>
        <w:numPr>
          <w:ilvl w:val="0"/>
          <w:numId w:val="9"/>
        </w:numPr>
        <w:tabs>
          <w:tab w:pos="700" w:val="left" w:leader="none"/>
          <w:tab w:pos="701" w:val="left" w:leader="none"/>
        </w:tabs>
        <w:spacing w:line="240" w:lineRule="auto" w:before="138" w:after="0"/>
        <w:ind w:left="700" w:right="0" w:hanging="360"/>
        <w:jc w:val="left"/>
        <w:rPr>
          <w:sz w:val="24"/>
        </w:rPr>
      </w:pPr>
      <w:r>
        <w:rPr>
          <w:sz w:val="24"/>
        </w:rPr>
        <w:t>Esfigmomanómetro</w:t>
      </w:r>
      <w:r>
        <w:rPr>
          <w:spacing w:val="-6"/>
          <w:sz w:val="24"/>
        </w:rPr>
        <w:t> </w:t>
      </w:r>
      <w:r>
        <w:rPr>
          <w:sz w:val="24"/>
        </w:rPr>
        <w:t>medigraphics</w:t>
      </w:r>
    </w:p>
    <w:p>
      <w:pPr>
        <w:pStyle w:val="ListParagraph"/>
        <w:numPr>
          <w:ilvl w:val="0"/>
          <w:numId w:val="9"/>
        </w:numPr>
        <w:tabs>
          <w:tab w:pos="700" w:val="left" w:leader="none"/>
          <w:tab w:pos="701" w:val="left" w:leader="none"/>
        </w:tabs>
        <w:spacing w:line="240" w:lineRule="auto" w:before="138" w:after="0"/>
        <w:ind w:left="700" w:right="0" w:hanging="360"/>
        <w:jc w:val="left"/>
        <w:rPr>
          <w:sz w:val="24"/>
        </w:rPr>
      </w:pPr>
      <w:r>
        <w:rPr>
          <w:sz w:val="24"/>
        </w:rPr>
        <w:t>Eletrocardiógrafo marca Cosmos Quark</w:t>
      </w:r>
      <w:r>
        <w:rPr>
          <w:spacing w:val="-18"/>
          <w:sz w:val="24"/>
        </w:rPr>
        <w:t> </w:t>
      </w:r>
      <w:r>
        <w:rPr>
          <w:sz w:val="24"/>
        </w:rPr>
        <w:t>C12x</w:t>
      </w:r>
    </w:p>
    <w:p>
      <w:pPr>
        <w:pStyle w:val="ListParagraph"/>
        <w:numPr>
          <w:ilvl w:val="0"/>
          <w:numId w:val="9"/>
        </w:numPr>
        <w:tabs>
          <w:tab w:pos="700" w:val="left" w:leader="none"/>
          <w:tab w:pos="701" w:val="left" w:leader="none"/>
        </w:tabs>
        <w:spacing w:line="240" w:lineRule="auto" w:before="133" w:after="0"/>
        <w:ind w:left="700" w:right="0" w:hanging="360"/>
        <w:jc w:val="left"/>
        <w:rPr>
          <w:sz w:val="24"/>
        </w:rPr>
      </w:pPr>
      <w:r>
        <w:rPr>
          <w:sz w:val="24"/>
        </w:rPr>
        <w:t>Electrodos para monitoreo cardiaco de broche marca 3M Red</w:t>
      </w:r>
      <w:r>
        <w:rPr>
          <w:spacing w:val="-29"/>
          <w:sz w:val="24"/>
        </w:rPr>
        <w:t> </w:t>
      </w:r>
      <w:r>
        <w:rPr>
          <w:sz w:val="24"/>
        </w:rPr>
        <w:t>Dot</w:t>
      </w:r>
    </w:p>
    <w:p>
      <w:pPr>
        <w:pStyle w:val="ListParagraph"/>
        <w:numPr>
          <w:ilvl w:val="0"/>
          <w:numId w:val="9"/>
        </w:numPr>
        <w:tabs>
          <w:tab w:pos="700" w:val="left" w:leader="none"/>
          <w:tab w:pos="701" w:val="left" w:leader="none"/>
        </w:tabs>
        <w:spacing w:line="240" w:lineRule="auto" w:before="138" w:after="0"/>
        <w:ind w:left="700" w:right="0" w:hanging="360"/>
        <w:jc w:val="left"/>
        <w:rPr>
          <w:sz w:val="24"/>
        </w:rPr>
      </w:pPr>
      <w:r>
        <w:rPr>
          <w:sz w:val="24"/>
        </w:rPr>
        <w:t>Banda sin fin marca HP</w:t>
      </w:r>
      <w:r>
        <w:rPr>
          <w:spacing w:val="-16"/>
          <w:sz w:val="24"/>
        </w:rPr>
        <w:t> </w:t>
      </w:r>
      <w:r>
        <w:rPr>
          <w:sz w:val="24"/>
        </w:rPr>
        <w:t>Cosmos</w:t>
      </w:r>
    </w:p>
    <w:p>
      <w:pPr>
        <w:pStyle w:val="ListParagraph"/>
        <w:numPr>
          <w:ilvl w:val="0"/>
          <w:numId w:val="9"/>
        </w:numPr>
        <w:tabs>
          <w:tab w:pos="700" w:val="left" w:leader="none"/>
          <w:tab w:pos="701" w:val="left" w:leader="none"/>
        </w:tabs>
        <w:spacing w:line="240" w:lineRule="auto" w:before="133" w:after="0"/>
        <w:ind w:left="700" w:right="0" w:hanging="360"/>
        <w:jc w:val="left"/>
        <w:rPr>
          <w:sz w:val="24"/>
        </w:rPr>
      </w:pPr>
      <w:r>
        <w:rPr>
          <w:sz w:val="24"/>
        </w:rPr>
        <w:t>Computadora: Software office (Excel, Power</w:t>
      </w:r>
      <w:r>
        <w:rPr>
          <w:spacing w:val="-21"/>
          <w:sz w:val="24"/>
        </w:rPr>
        <w:t> </w:t>
      </w:r>
      <w:r>
        <w:rPr>
          <w:sz w:val="24"/>
        </w:rPr>
        <w:t>Point)</w:t>
      </w:r>
    </w:p>
    <w:p>
      <w:pPr>
        <w:pStyle w:val="ListParagraph"/>
        <w:numPr>
          <w:ilvl w:val="0"/>
          <w:numId w:val="9"/>
        </w:numPr>
        <w:tabs>
          <w:tab w:pos="700" w:val="left" w:leader="none"/>
          <w:tab w:pos="701" w:val="left" w:leader="none"/>
        </w:tabs>
        <w:spacing w:line="240" w:lineRule="auto" w:before="138" w:after="0"/>
        <w:ind w:left="700" w:right="0" w:hanging="360"/>
        <w:jc w:val="left"/>
        <w:rPr>
          <w:sz w:val="24"/>
        </w:rPr>
      </w:pPr>
      <w:r>
        <w:rPr>
          <w:sz w:val="24"/>
        </w:rPr>
        <w:t>Softwares propios de los</w:t>
      </w:r>
      <w:r>
        <w:rPr>
          <w:spacing w:val="-13"/>
          <w:sz w:val="24"/>
        </w:rPr>
        <w:t> </w:t>
      </w:r>
      <w:r>
        <w:rPr>
          <w:sz w:val="24"/>
        </w:rPr>
        <w:t>equipos</w:t>
      </w:r>
    </w:p>
    <w:p>
      <w:pPr>
        <w:pStyle w:val="BodyText"/>
      </w:pPr>
    </w:p>
    <w:p>
      <w:pPr>
        <w:pStyle w:val="BodyText"/>
      </w:pPr>
    </w:p>
    <w:p>
      <w:pPr>
        <w:pStyle w:val="BodyText"/>
        <w:spacing w:before="3"/>
        <w:rPr>
          <w:sz w:val="34"/>
        </w:rPr>
      </w:pPr>
    </w:p>
    <w:p>
      <w:pPr>
        <w:pStyle w:val="Heading1"/>
        <w:numPr>
          <w:ilvl w:val="1"/>
          <w:numId w:val="4"/>
        </w:numPr>
        <w:tabs>
          <w:tab w:pos="701" w:val="left" w:leader="none"/>
        </w:tabs>
        <w:spacing w:line="240" w:lineRule="auto" w:before="0" w:after="0"/>
        <w:ind w:left="700" w:right="0" w:hanging="360"/>
        <w:jc w:val="left"/>
      </w:pPr>
      <w:bookmarkStart w:name="_bookmark26" w:id="51"/>
      <w:bookmarkEnd w:id="51"/>
      <w:r>
        <w:rPr>
          <w:b w:val="0"/>
        </w:rPr>
      </w:r>
      <w:bookmarkStart w:name="_bookmark26" w:id="52"/>
      <w:bookmarkEnd w:id="52"/>
      <w:r>
        <w:rPr/>
        <w:t>D</w:t>
      </w:r>
      <w:r>
        <w:rPr/>
        <w:t>esarrollo de</w:t>
      </w:r>
      <w:r>
        <w:rPr>
          <w:spacing w:val="-11"/>
        </w:rPr>
        <w:t> </w:t>
      </w:r>
      <w:r>
        <w:rPr/>
        <w:t>proyecto</w:t>
      </w:r>
    </w:p>
    <w:p>
      <w:pPr>
        <w:pStyle w:val="ListParagraph"/>
        <w:numPr>
          <w:ilvl w:val="0"/>
          <w:numId w:val="10"/>
        </w:numPr>
        <w:tabs>
          <w:tab w:pos="623" w:val="left" w:leader="none"/>
          <w:tab w:pos="624" w:val="left" w:leader="none"/>
        </w:tabs>
        <w:spacing w:line="240" w:lineRule="auto" w:before="44" w:after="0"/>
        <w:ind w:left="623" w:right="0" w:hanging="360"/>
        <w:jc w:val="left"/>
        <w:rPr>
          <w:sz w:val="24"/>
        </w:rPr>
      </w:pPr>
      <w:r>
        <w:rPr>
          <w:sz w:val="24"/>
        </w:rPr>
        <w:t>Historia Clínica (Anexo</w:t>
      </w:r>
      <w:r>
        <w:rPr>
          <w:spacing w:val="-7"/>
          <w:sz w:val="24"/>
        </w:rPr>
        <w:t> </w:t>
      </w:r>
      <w:r>
        <w:rPr>
          <w:sz w:val="24"/>
        </w:rPr>
        <w:t>3)</w:t>
      </w:r>
    </w:p>
    <w:p>
      <w:pPr>
        <w:pStyle w:val="ListParagraph"/>
        <w:numPr>
          <w:ilvl w:val="0"/>
          <w:numId w:val="10"/>
        </w:numPr>
        <w:tabs>
          <w:tab w:pos="623" w:val="left" w:leader="none"/>
          <w:tab w:pos="624" w:val="left" w:leader="none"/>
        </w:tabs>
        <w:spacing w:line="240" w:lineRule="auto" w:before="138" w:after="0"/>
        <w:ind w:left="623" w:right="0" w:hanging="360"/>
        <w:jc w:val="left"/>
        <w:rPr>
          <w:sz w:val="24"/>
        </w:rPr>
      </w:pPr>
      <w:r>
        <w:rPr>
          <w:sz w:val="24"/>
        </w:rPr>
        <w:t>Consentimiento Informado (Anexo</w:t>
      </w:r>
      <w:r>
        <w:rPr>
          <w:spacing w:val="-16"/>
          <w:sz w:val="24"/>
        </w:rPr>
        <w:t> </w:t>
      </w:r>
      <w:r>
        <w:rPr>
          <w:sz w:val="24"/>
        </w:rPr>
        <w:t>2)</w:t>
      </w:r>
    </w:p>
    <w:p>
      <w:pPr>
        <w:pStyle w:val="ListParagraph"/>
        <w:numPr>
          <w:ilvl w:val="0"/>
          <w:numId w:val="10"/>
        </w:numPr>
        <w:tabs>
          <w:tab w:pos="624" w:val="left" w:leader="none"/>
        </w:tabs>
        <w:spacing w:line="357" w:lineRule="auto" w:before="138" w:after="0"/>
        <w:ind w:left="623" w:right="114" w:hanging="360"/>
        <w:jc w:val="both"/>
        <w:rPr>
          <w:sz w:val="24"/>
        </w:rPr>
      </w:pPr>
      <w:r>
        <w:rPr>
          <w:sz w:val="24"/>
        </w:rPr>
        <w:t>Se revisarán expedientes de evaluaciones funcionales realizadas en futbolistas bajo los criterios previamente establecidos en el periodo de la pretemporada 2015 de mayo a julio, se procederá al vaciado de la información en hoja excel para sacar </w:t>
      </w:r>
      <w:r>
        <w:rPr>
          <w:spacing w:val="2"/>
          <w:sz w:val="24"/>
        </w:rPr>
        <w:t>los </w:t>
      </w:r>
      <w:r>
        <w:rPr>
          <w:sz w:val="24"/>
        </w:rPr>
        <w:t>siguientes datos mediante  fórmulas:</w:t>
      </w:r>
    </w:p>
    <w:p>
      <w:pPr>
        <w:spacing w:after="0" w:line="357" w:lineRule="auto"/>
        <w:jc w:val="both"/>
        <w:rPr>
          <w:sz w:val="24"/>
        </w:rPr>
        <w:sectPr>
          <w:pgSz w:w="12240" w:h="15840"/>
          <w:pgMar w:header="0" w:footer="966" w:top="1500" w:bottom="1220" w:left="1720" w:right="1580"/>
        </w:sectPr>
      </w:pPr>
    </w:p>
    <w:p>
      <w:pPr>
        <w:pStyle w:val="ListParagraph"/>
        <w:numPr>
          <w:ilvl w:val="1"/>
          <w:numId w:val="10"/>
        </w:numPr>
        <w:tabs>
          <w:tab w:pos="863" w:val="left" w:leader="none"/>
          <w:tab w:pos="864" w:val="left" w:leader="none"/>
        </w:tabs>
        <w:spacing w:line="240" w:lineRule="auto" w:before="30" w:after="0"/>
        <w:ind w:left="863" w:right="0" w:hanging="360"/>
        <w:jc w:val="left"/>
        <w:rPr>
          <w:sz w:val="24"/>
        </w:rPr>
      </w:pPr>
      <w:r>
        <w:rPr>
          <w:sz w:val="24"/>
        </w:rPr>
        <w:t>Índice de eficiencia miocárdica con la fórmula: MVO2/VO2 real x</w:t>
      </w:r>
      <w:r>
        <w:rPr>
          <w:spacing w:val="-26"/>
          <w:sz w:val="24"/>
        </w:rPr>
        <w:t> </w:t>
      </w:r>
      <w:r>
        <w:rPr>
          <w:sz w:val="24"/>
        </w:rPr>
        <w:t>10.</w:t>
      </w:r>
    </w:p>
    <w:p>
      <w:pPr>
        <w:pStyle w:val="ListParagraph"/>
        <w:numPr>
          <w:ilvl w:val="1"/>
          <w:numId w:val="10"/>
        </w:numPr>
        <w:tabs>
          <w:tab w:pos="864" w:val="left" w:leader="none"/>
        </w:tabs>
        <w:spacing w:line="357" w:lineRule="auto" w:before="138" w:after="0"/>
        <w:ind w:left="863" w:right="334" w:hanging="360"/>
        <w:jc w:val="both"/>
        <w:rPr>
          <w:sz w:val="24"/>
        </w:rPr>
      </w:pPr>
      <w:r>
        <w:rPr>
          <w:sz w:val="24"/>
        </w:rPr>
        <w:t>Determinación de consumo máximo de oxígeno miocárdico en prueba de esfuerzo con la fórmula MVO2= (doble producto </w:t>
      </w:r>
      <w:r>
        <w:rPr>
          <w:spacing w:val="-2"/>
          <w:sz w:val="24"/>
        </w:rPr>
        <w:t>máximo </w:t>
      </w:r>
      <w:r>
        <w:rPr>
          <w:sz w:val="24"/>
        </w:rPr>
        <w:t>x 0.14 x 0.01) – (6.3)</w:t>
      </w:r>
    </w:p>
    <w:p>
      <w:pPr>
        <w:pStyle w:val="ListParagraph"/>
        <w:numPr>
          <w:ilvl w:val="1"/>
          <w:numId w:val="10"/>
        </w:numPr>
        <w:tabs>
          <w:tab w:pos="864" w:val="left" w:leader="none"/>
        </w:tabs>
        <w:spacing w:line="355" w:lineRule="auto" w:before="3" w:after="0"/>
        <w:ind w:left="863" w:right="351" w:hanging="360"/>
        <w:jc w:val="both"/>
        <w:rPr>
          <w:sz w:val="24"/>
        </w:rPr>
      </w:pPr>
      <w:r>
        <w:rPr>
          <w:sz w:val="24"/>
        </w:rPr>
        <w:t>Doble producto </w:t>
      </w:r>
      <w:r>
        <w:rPr>
          <w:spacing w:val="-2"/>
          <w:sz w:val="24"/>
        </w:rPr>
        <w:t>máximo </w:t>
      </w:r>
      <w:r>
        <w:rPr>
          <w:sz w:val="24"/>
        </w:rPr>
        <w:t>con la fórmula: (frecuencia cardiaca </w:t>
      </w:r>
      <w:r>
        <w:rPr>
          <w:spacing w:val="-3"/>
          <w:sz w:val="24"/>
        </w:rPr>
        <w:t>máxima </w:t>
      </w:r>
      <w:r>
        <w:rPr>
          <w:sz w:val="24"/>
        </w:rPr>
        <w:t>x presión arterial máxima) (ver formato de obtención de datos</w:t>
      </w:r>
      <w:r>
        <w:rPr>
          <w:spacing w:val="-27"/>
          <w:sz w:val="24"/>
        </w:rPr>
        <w:t> </w:t>
      </w:r>
      <w:r>
        <w:rPr>
          <w:sz w:val="24"/>
        </w:rPr>
        <w:t>Anexo1).</w:t>
      </w:r>
    </w:p>
    <w:p>
      <w:pPr>
        <w:pStyle w:val="ListParagraph"/>
        <w:numPr>
          <w:ilvl w:val="1"/>
          <w:numId w:val="10"/>
        </w:numPr>
        <w:tabs>
          <w:tab w:pos="864" w:val="left" w:leader="none"/>
        </w:tabs>
        <w:spacing w:line="350" w:lineRule="auto" w:before="6" w:after="0"/>
        <w:ind w:left="863" w:right="353" w:hanging="360"/>
        <w:jc w:val="both"/>
        <w:rPr>
          <w:sz w:val="24"/>
        </w:rPr>
      </w:pPr>
      <w:r>
        <w:rPr>
          <w:sz w:val="24"/>
        </w:rPr>
        <w:t>Se procederá a realización de cuadros y gráficas, análisis de la información y</w:t>
      </w:r>
      <w:r>
        <w:rPr>
          <w:spacing w:val="-1"/>
          <w:sz w:val="24"/>
        </w:rPr>
        <w:t> </w:t>
      </w:r>
      <w:r>
        <w:rPr>
          <w:sz w:val="24"/>
        </w:rPr>
        <w:t>conclusiones.</w:t>
      </w:r>
    </w:p>
    <w:p>
      <w:pPr>
        <w:pStyle w:val="BodyText"/>
      </w:pPr>
    </w:p>
    <w:p>
      <w:pPr>
        <w:pStyle w:val="BodyText"/>
        <w:spacing w:before="7"/>
        <w:rPr>
          <w:sz w:val="30"/>
        </w:rPr>
      </w:pPr>
    </w:p>
    <w:p>
      <w:pPr>
        <w:pStyle w:val="ListParagraph"/>
        <w:numPr>
          <w:ilvl w:val="1"/>
          <w:numId w:val="4"/>
        </w:numPr>
        <w:tabs>
          <w:tab w:pos="941" w:val="left" w:leader="none"/>
        </w:tabs>
        <w:spacing w:line="240" w:lineRule="auto" w:before="0" w:after="0"/>
        <w:ind w:left="940" w:right="0" w:hanging="360"/>
        <w:jc w:val="left"/>
        <w:rPr>
          <w:b/>
          <w:sz w:val="24"/>
        </w:rPr>
      </w:pPr>
      <w:bookmarkStart w:name="_bookmark27" w:id="53"/>
      <w:bookmarkEnd w:id="53"/>
      <w:r>
        <w:rPr/>
      </w:r>
      <w:bookmarkStart w:name="_bookmark27" w:id="54"/>
      <w:bookmarkEnd w:id="54"/>
      <w:r>
        <w:rPr>
          <w:b/>
          <w:sz w:val="24"/>
        </w:rPr>
        <w:t>L</w:t>
      </w:r>
      <w:r>
        <w:rPr>
          <w:b/>
          <w:sz w:val="24"/>
        </w:rPr>
        <w:t>ímite de tiempo y</w:t>
      </w:r>
      <w:r>
        <w:rPr>
          <w:b/>
          <w:spacing w:val="-10"/>
          <w:sz w:val="24"/>
        </w:rPr>
        <w:t> </w:t>
      </w:r>
      <w:r>
        <w:rPr>
          <w:b/>
          <w:sz w:val="24"/>
        </w:rPr>
        <w:t>espacio</w:t>
      </w:r>
    </w:p>
    <w:p>
      <w:pPr>
        <w:pStyle w:val="ListParagraph"/>
        <w:numPr>
          <w:ilvl w:val="1"/>
          <w:numId w:val="10"/>
        </w:numPr>
        <w:tabs>
          <w:tab w:pos="864" w:val="left" w:leader="none"/>
        </w:tabs>
        <w:spacing w:line="357" w:lineRule="auto" w:before="44" w:after="0"/>
        <w:ind w:left="863" w:right="343" w:hanging="360"/>
        <w:jc w:val="both"/>
        <w:rPr>
          <w:sz w:val="24"/>
        </w:rPr>
      </w:pPr>
      <w:r>
        <w:rPr>
          <w:sz w:val="24"/>
        </w:rPr>
        <w:t>El estudio se realizará de agosto 2015 a enero 2017 en el Centro de Medicina de la Actividad Física y el Deporte (CEMAFYD) de la Universidad Autónoma del Estado de México; en el área de Archivo Clínico CEMAFYD donde se utilizarán expedientes con evaluaciones en fecha de la pretemporada 2015 de mayo a</w:t>
      </w:r>
      <w:r>
        <w:rPr>
          <w:spacing w:val="-16"/>
          <w:sz w:val="24"/>
        </w:rPr>
        <w:t> </w:t>
      </w:r>
      <w:r>
        <w:rPr>
          <w:sz w:val="24"/>
        </w:rPr>
        <w:t>jul</w:t>
      </w:r>
      <w:bookmarkStart w:name="_bookmark28" w:id="55"/>
      <w:bookmarkEnd w:id="55"/>
      <w:r>
        <w:rPr>
          <w:sz w:val="24"/>
        </w:rPr>
        <w:t>io</w:t>
      </w:r>
    </w:p>
    <w:p>
      <w:pPr>
        <w:pStyle w:val="Heading1"/>
        <w:numPr>
          <w:ilvl w:val="1"/>
          <w:numId w:val="4"/>
        </w:numPr>
        <w:tabs>
          <w:tab w:pos="941" w:val="left" w:leader="none"/>
        </w:tabs>
        <w:spacing w:line="240" w:lineRule="auto" w:before="207" w:after="50"/>
        <w:ind w:left="940" w:right="0" w:hanging="360"/>
        <w:jc w:val="left"/>
      </w:pPr>
      <w:r>
        <w:rPr/>
        <w:t>Cronograma</w:t>
      </w: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7"/>
        <w:gridCol w:w="567"/>
        <w:gridCol w:w="538"/>
        <w:gridCol w:w="596"/>
        <w:gridCol w:w="682"/>
        <w:gridCol w:w="567"/>
        <w:gridCol w:w="480"/>
        <w:gridCol w:w="576"/>
        <w:gridCol w:w="581"/>
        <w:gridCol w:w="576"/>
        <w:gridCol w:w="581"/>
        <w:gridCol w:w="576"/>
        <w:gridCol w:w="577"/>
      </w:tblGrid>
      <w:tr>
        <w:trPr>
          <w:trHeight w:val="629" w:hRule="exact"/>
        </w:trPr>
        <w:tc>
          <w:tcPr>
            <w:tcW w:w="2267" w:type="dxa"/>
          </w:tcPr>
          <w:p>
            <w:pPr/>
          </w:p>
        </w:tc>
        <w:tc>
          <w:tcPr>
            <w:tcW w:w="567" w:type="dxa"/>
          </w:tcPr>
          <w:p>
            <w:pPr>
              <w:pStyle w:val="TableParagraph"/>
              <w:spacing w:line="362" w:lineRule="auto" w:before="0"/>
              <w:ind w:left="105" w:right="112"/>
              <w:jc w:val="left"/>
              <w:rPr>
                <w:rFonts w:ascii="Arial"/>
                <w:b/>
                <w:sz w:val="18"/>
              </w:rPr>
            </w:pPr>
            <w:r>
              <w:rPr>
                <w:rFonts w:ascii="Arial"/>
                <w:b/>
                <w:sz w:val="18"/>
              </w:rPr>
              <w:t>Feb 16</w:t>
            </w:r>
          </w:p>
        </w:tc>
        <w:tc>
          <w:tcPr>
            <w:tcW w:w="538" w:type="dxa"/>
          </w:tcPr>
          <w:p>
            <w:pPr>
              <w:pStyle w:val="TableParagraph"/>
              <w:spacing w:line="362" w:lineRule="auto" w:before="0"/>
              <w:ind w:left="105" w:right="82"/>
              <w:jc w:val="left"/>
              <w:rPr>
                <w:rFonts w:ascii="Arial"/>
                <w:b/>
                <w:sz w:val="18"/>
              </w:rPr>
            </w:pPr>
            <w:r>
              <w:rPr>
                <w:rFonts w:ascii="Arial"/>
                <w:b/>
                <w:sz w:val="18"/>
              </w:rPr>
              <w:t>Mar 16</w:t>
            </w:r>
          </w:p>
        </w:tc>
        <w:tc>
          <w:tcPr>
            <w:tcW w:w="596" w:type="dxa"/>
          </w:tcPr>
          <w:p>
            <w:pPr>
              <w:pStyle w:val="TableParagraph"/>
              <w:spacing w:line="362" w:lineRule="auto" w:before="0"/>
              <w:ind w:left="105" w:right="151"/>
              <w:jc w:val="left"/>
              <w:rPr>
                <w:rFonts w:ascii="Arial"/>
                <w:b/>
                <w:sz w:val="18"/>
              </w:rPr>
            </w:pPr>
            <w:r>
              <w:rPr>
                <w:rFonts w:ascii="Arial"/>
                <w:b/>
                <w:sz w:val="18"/>
              </w:rPr>
              <w:t>Abr 16</w:t>
            </w:r>
          </w:p>
        </w:tc>
        <w:tc>
          <w:tcPr>
            <w:tcW w:w="682" w:type="dxa"/>
          </w:tcPr>
          <w:p>
            <w:pPr>
              <w:pStyle w:val="TableParagraph"/>
              <w:spacing w:line="362" w:lineRule="auto" w:before="0"/>
              <w:ind w:left="105" w:right="196"/>
              <w:jc w:val="left"/>
              <w:rPr>
                <w:rFonts w:ascii="Arial"/>
                <w:b/>
                <w:sz w:val="18"/>
              </w:rPr>
            </w:pPr>
            <w:r>
              <w:rPr>
                <w:rFonts w:ascii="Arial"/>
                <w:b/>
                <w:sz w:val="18"/>
              </w:rPr>
              <w:t>May 16</w:t>
            </w:r>
          </w:p>
        </w:tc>
        <w:tc>
          <w:tcPr>
            <w:tcW w:w="567" w:type="dxa"/>
          </w:tcPr>
          <w:p>
            <w:pPr>
              <w:pStyle w:val="TableParagraph"/>
              <w:spacing w:line="362" w:lineRule="auto" w:before="0"/>
              <w:ind w:left="105" w:right="112"/>
              <w:jc w:val="left"/>
              <w:rPr>
                <w:rFonts w:ascii="Arial"/>
                <w:b/>
                <w:sz w:val="18"/>
              </w:rPr>
            </w:pPr>
            <w:r>
              <w:rPr>
                <w:rFonts w:ascii="Arial"/>
                <w:b/>
                <w:sz w:val="18"/>
              </w:rPr>
              <w:t>Jun 16</w:t>
            </w:r>
          </w:p>
        </w:tc>
        <w:tc>
          <w:tcPr>
            <w:tcW w:w="480" w:type="dxa"/>
          </w:tcPr>
          <w:p>
            <w:pPr>
              <w:pStyle w:val="TableParagraph"/>
              <w:spacing w:line="362" w:lineRule="auto" w:before="0"/>
              <w:ind w:left="105" w:right="85"/>
              <w:jc w:val="left"/>
              <w:rPr>
                <w:rFonts w:ascii="Arial"/>
                <w:b/>
                <w:sz w:val="18"/>
              </w:rPr>
            </w:pPr>
            <w:r>
              <w:rPr>
                <w:rFonts w:ascii="Arial"/>
                <w:b/>
                <w:sz w:val="18"/>
              </w:rPr>
              <w:t>Jul 16</w:t>
            </w:r>
          </w:p>
        </w:tc>
        <w:tc>
          <w:tcPr>
            <w:tcW w:w="576" w:type="dxa"/>
          </w:tcPr>
          <w:p>
            <w:pPr>
              <w:pStyle w:val="TableParagraph"/>
              <w:spacing w:line="362" w:lineRule="auto" w:before="0"/>
              <w:ind w:left="105" w:right="91"/>
              <w:jc w:val="left"/>
              <w:rPr>
                <w:rFonts w:ascii="Arial"/>
                <w:b/>
                <w:sz w:val="18"/>
              </w:rPr>
            </w:pPr>
            <w:r>
              <w:rPr>
                <w:rFonts w:ascii="Arial"/>
                <w:b/>
                <w:sz w:val="18"/>
              </w:rPr>
              <w:t>Ago 16</w:t>
            </w:r>
          </w:p>
        </w:tc>
        <w:tc>
          <w:tcPr>
            <w:tcW w:w="581" w:type="dxa"/>
          </w:tcPr>
          <w:p>
            <w:pPr>
              <w:pStyle w:val="TableParagraph"/>
              <w:spacing w:line="362" w:lineRule="auto" w:before="0"/>
              <w:ind w:left="105" w:right="116"/>
              <w:jc w:val="left"/>
              <w:rPr>
                <w:rFonts w:ascii="Arial"/>
                <w:b/>
                <w:sz w:val="18"/>
              </w:rPr>
            </w:pPr>
            <w:r>
              <w:rPr>
                <w:rFonts w:ascii="Arial"/>
                <w:b/>
                <w:sz w:val="18"/>
              </w:rPr>
              <w:t>Sep 16</w:t>
            </w:r>
          </w:p>
        </w:tc>
        <w:tc>
          <w:tcPr>
            <w:tcW w:w="576" w:type="dxa"/>
          </w:tcPr>
          <w:p>
            <w:pPr>
              <w:pStyle w:val="TableParagraph"/>
              <w:spacing w:line="362" w:lineRule="auto" w:before="0"/>
              <w:ind w:left="105" w:right="141"/>
              <w:jc w:val="left"/>
              <w:rPr>
                <w:rFonts w:ascii="Arial"/>
                <w:b/>
                <w:sz w:val="18"/>
              </w:rPr>
            </w:pPr>
            <w:r>
              <w:rPr>
                <w:rFonts w:ascii="Arial"/>
                <w:b/>
                <w:sz w:val="18"/>
              </w:rPr>
              <w:t>Oct 16</w:t>
            </w:r>
          </w:p>
        </w:tc>
        <w:tc>
          <w:tcPr>
            <w:tcW w:w="581" w:type="dxa"/>
          </w:tcPr>
          <w:p>
            <w:pPr>
              <w:pStyle w:val="TableParagraph"/>
              <w:spacing w:line="362" w:lineRule="auto" w:before="0"/>
              <w:ind w:left="105" w:right="106"/>
              <w:jc w:val="left"/>
              <w:rPr>
                <w:rFonts w:ascii="Arial"/>
                <w:b/>
                <w:sz w:val="18"/>
              </w:rPr>
            </w:pPr>
            <w:r>
              <w:rPr>
                <w:rFonts w:ascii="Arial"/>
                <w:b/>
                <w:sz w:val="18"/>
              </w:rPr>
              <w:t>Nov 16</w:t>
            </w:r>
          </w:p>
        </w:tc>
        <w:tc>
          <w:tcPr>
            <w:tcW w:w="576" w:type="dxa"/>
          </w:tcPr>
          <w:p>
            <w:pPr>
              <w:pStyle w:val="TableParagraph"/>
              <w:spacing w:line="362" w:lineRule="auto" w:before="0"/>
              <w:ind w:left="100" w:right="166"/>
              <w:jc w:val="left"/>
              <w:rPr>
                <w:rFonts w:ascii="Arial"/>
                <w:b/>
                <w:sz w:val="18"/>
              </w:rPr>
            </w:pPr>
            <w:r>
              <w:rPr>
                <w:rFonts w:ascii="Arial"/>
                <w:b/>
                <w:sz w:val="18"/>
              </w:rPr>
              <w:t>Dic 16</w:t>
            </w:r>
          </w:p>
        </w:tc>
        <w:tc>
          <w:tcPr>
            <w:tcW w:w="577" w:type="dxa"/>
          </w:tcPr>
          <w:p>
            <w:pPr>
              <w:pStyle w:val="TableParagraph"/>
              <w:spacing w:line="362" w:lineRule="auto" w:before="0"/>
              <w:ind w:left="105" w:right="111"/>
              <w:jc w:val="left"/>
              <w:rPr>
                <w:rFonts w:ascii="Arial"/>
                <w:b/>
                <w:sz w:val="18"/>
              </w:rPr>
            </w:pPr>
            <w:r>
              <w:rPr>
                <w:rFonts w:ascii="Arial"/>
                <w:b/>
                <w:sz w:val="18"/>
              </w:rPr>
              <w:t>Ene 17</w:t>
            </w:r>
          </w:p>
        </w:tc>
      </w:tr>
      <w:tr>
        <w:trPr>
          <w:trHeight w:val="773" w:hRule="exact"/>
        </w:trPr>
        <w:tc>
          <w:tcPr>
            <w:tcW w:w="2267" w:type="dxa"/>
          </w:tcPr>
          <w:p>
            <w:pPr>
              <w:pStyle w:val="TableParagraph"/>
              <w:spacing w:line="360" w:lineRule="auto" w:before="0"/>
              <w:ind w:left="105" w:right="102"/>
              <w:jc w:val="left"/>
              <w:rPr>
                <w:rFonts w:ascii="Arial" w:hAnsi="Arial"/>
                <w:b/>
                <w:sz w:val="22"/>
              </w:rPr>
            </w:pPr>
            <w:r>
              <w:rPr>
                <w:rFonts w:ascii="Arial" w:hAnsi="Arial"/>
                <w:b/>
                <w:sz w:val="22"/>
              </w:rPr>
              <w:t>Revisión bibliográfica</w:t>
            </w:r>
          </w:p>
        </w:tc>
        <w:tc>
          <w:tcPr>
            <w:tcW w:w="567" w:type="dxa"/>
          </w:tcPr>
          <w:p>
            <w:pPr>
              <w:pStyle w:val="TableParagraph"/>
              <w:spacing w:before="0"/>
              <w:ind w:left="0" w:right="211"/>
              <w:jc w:val="right"/>
              <w:rPr>
                <w:rFonts w:ascii="Arial"/>
                <w:b/>
                <w:sz w:val="22"/>
              </w:rPr>
            </w:pPr>
            <w:r>
              <w:rPr>
                <w:rFonts w:ascii="Arial"/>
                <w:b/>
                <w:w w:val="100"/>
                <w:sz w:val="22"/>
              </w:rPr>
              <w:t>x</w:t>
            </w:r>
          </w:p>
        </w:tc>
        <w:tc>
          <w:tcPr>
            <w:tcW w:w="538" w:type="dxa"/>
          </w:tcPr>
          <w:p>
            <w:pPr>
              <w:pStyle w:val="TableParagraph"/>
              <w:spacing w:before="0"/>
              <w:ind w:left="7" w:right="0"/>
              <w:rPr>
                <w:rFonts w:ascii="Arial"/>
                <w:b/>
                <w:sz w:val="22"/>
              </w:rPr>
            </w:pPr>
            <w:r>
              <w:rPr>
                <w:rFonts w:ascii="Arial"/>
                <w:b/>
                <w:w w:val="100"/>
                <w:sz w:val="22"/>
              </w:rPr>
              <w:t>x</w:t>
            </w:r>
          </w:p>
        </w:tc>
        <w:tc>
          <w:tcPr>
            <w:tcW w:w="596" w:type="dxa"/>
          </w:tcPr>
          <w:p>
            <w:pPr>
              <w:pStyle w:val="TableParagraph"/>
              <w:spacing w:before="0"/>
              <w:ind w:left="0" w:right="226"/>
              <w:jc w:val="right"/>
              <w:rPr>
                <w:rFonts w:ascii="Arial"/>
                <w:b/>
                <w:sz w:val="22"/>
              </w:rPr>
            </w:pPr>
            <w:r>
              <w:rPr>
                <w:rFonts w:ascii="Arial"/>
                <w:b/>
                <w:w w:val="100"/>
                <w:sz w:val="22"/>
              </w:rPr>
              <w:t>x</w:t>
            </w:r>
          </w:p>
        </w:tc>
        <w:tc>
          <w:tcPr>
            <w:tcW w:w="682" w:type="dxa"/>
          </w:tcPr>
          <w:p>
            <w:pPr>
              <w:pStyle w:val="TableParagraph"/>
              <w:spacing w:before="0"/>
              <w:ind w:left="0" w:right="268"/>
              <w:jc w:val="right"/>
              <w:rPr>
                <w:rFonts w:ascii="Arial"/>
                <w:b/>
                <w:sz w:val="22"/>
              </w:rPr>
            </w:pPr>
            <w:r>
              <w:rPr>
                <w:rFonts w:ascii="Arial"/>
                <w:b/>
                <w:w w:val="100"/>
                <w:sz w:val="22"/>
              </w:rPr>
              <w:t>x</w:t>
            </w:r>
          </w:p>
        </w:tc>
        <w:tc>
          <w:tcPr>
            <w:tcW w:w="567" w:type="dxa"/>
          </w:tcPr>
          <w:p>
            <w:pPr>
              <w:pStyle w:val="TableParagraph"/>
              <w:spacing w:before="0"/>
              <w:ind w:left="7" w:right="0"/>
              <w:rPr>
                <w:rFonts w:ascii="Arial"/>
                <w:b/>
                <w:sz w:val="22"/>
              </w:rPr>
            </w:pPr>
            <w:r>
              <w:rPr>
                <w:rFonts w:ascii="Arial"/>
                <w:b/>
                <w:w w:val="100"/>
                <w:sz w:val="22"/>
              </w:rPr>
              <w:t>x</w:t>
            </w:r>
          </w:p>
        </w:tc>
        <w:tc>
          <w:tcPr>
            <w:tcW w:w="480" w:type="dxa"/>
          </w:tcPr>
          <w:p>
            <w:pPr>
              <w:pStyle w:val="TableParagraph"/>
              <w:spacing w:before="0"/>
              <w:ind w:left="7" w:right="0"/>
              <w:rPr>
                <w:rFonts w:ascii="Arial"/>
                <w:b/>
                <w:sz w:val="22"/>
              </w:rPr>
            </w:pPr>
            <w:r>
              <w:rPr>
                <w:rFonts w:ascii="Arial"/>
                <w:b/>
                <w:w w:val="100"/>
                <w:sz w:val="22"/>
              </w:rPr>
              <w:t>x</w:t>
            </w:r>
          </w:p>
        </w:tc>
        <w:tc>
          <w:tcPr>
            <w:tcW w:w="576" w:type="dxa"/>
          </w:tcPr>
          <w:p>
            <w:pPr>
              <w:pStyle w:val="TableParagraph"/>
              <w:spacing w:before="0"/>
              <w:ind w:left="7" w:right="0"/>
              <w:rPr>
                <w:rFonts w:ascii="Arial"/>
                <w:b/>
                <w:sz w:val="22"/>
              </w:rPr>
            </w:pPr>
            <w:r>
              <w:rPr>
                <w:rFonts w:ascii="Arial"/>
                <w:b/>
                <w:w w:val="100"/>
                <w:sz w:val="22"/>
              </w:rPr>
              <w:t>x</w:t>
            </w:r>
          </w:p>
        </w:tc>
        <w:tc>
          <w:tcPr>
            <w:tcW w:w="581" w:type="dxa"/>
          </w:tcPr>
          <w:p>
            <w:pPr>
              <w:pStyle w:val="TableParagraph"/>
              <w:spacing w:before="0"/>
              <w:ind w:left="3" w:right="0"/>
              <w:rPr>
                <w:rFonts w:ascii="Arial"/>
                <w:b/>
                <w:sz w:val="22"/>
              </w:rPr>
            </w:pPr>
            <w:r>
              <w:rPr>
                <w:rFonts w:ascii="Arial"/>
                <w:b/>
                <w:w w:val="100"/>
                <w:sz w:val="22"/>
              </w:rPr>
              <w:t>x</w:t>
            </w:r>
          </w:p>
        </w:tc>
        <w:tc>
          <w:tcPr>
            <w:tcW w:w="576" w:type="dxa"/>
          </w:tcPr>
          <w:p>
            <w:pPr>
              <w:pStyle w:val="TableParagraph"/>
              <w:spacing w:before="0"/>
              <w:ind w:left="225" w:right="0"/>
              <w:jc w:val="left"/>
              <w:rPr>
                <w:rFonts w:ascii="Arial"/>
                <w:b/>
                <w:sz w:val="22"/>
              </w:rPr>
            </w:pPr>
            <w:r>
              <w:rPr>
                <w:rFonts w:ascii="Arial"/>
                <w:b/>
                <w:w w:val="100"/>
                <w:sz w:val="22"/>
              </w:rPr>
              <w:t>x</w:t>
            </w:r>
          </w:p>
        </w:tc>
        <w:tc>
          <w:tcPr>
            <w:tcW w:w="581" w:type="dxa"/>
          </w:tcPr>
          <w:p>
            <w:pPr>
              <w:pStyle w:val="TableParagraph"/>
              <w:spacing w:before="0"/>
              <w:ind w:left="2" w:right="0"/>
              <w:rPr>
                <w:rFonts w:ascii="Arial"/>
                <w:b/>
                <w:sz w:val="22"/>
              </w:rPr>
            </w:pPr>
            <w:r>
              <w:rPr>
                <w:rFonts w:ascii="Arial"/>
                <w:b/>
                <w:w w:val="100"/>
                <w:sz w:val="22"/>
              </w:rPr>
              <w:t>x</w:t>
            </w:r>
          </w:p>
        </w:tc>
        <w:tc>
          <w:tcPr>
            <w:tcW w:w="576" w:type="dxa"/>
          </w:tcPr>
          <w:p>
            <w:pPr>
              <w:pStyle w:val="TableParagraph"/>
              <w:spacing w:before="0"/>
              <w:ind w:left="0" w:right="0"/>
              <w:rPr>
                <w:rFonts w:ascii="Arial"/>
                <w:b/>
                <w:sz w:val="22"/>
              </w:rPr>
            </w:pPr>
            <w:r>
              <w:rPr>
                <w:rFonts w:ascii="Arial"/>
                <w:b/>
                <w:w w:val="100"/>
                <w:sz w:val="22"/>
              </w:rPr>
              <w:t>x</w:t>
            </w:r>
          </w:p>
        </w:tc>
        <w:tc>
          <w:tcPr>
            <w:tcW w:w="577" w:type="dxa"/>
          </w:tcPr>
          <w:p>
            <w:pPr>
              <w:pStyle w:val="TableParagraph"/>
              <w:spacing w:before="0"/>
              <w:ind w:left="0" w:right="216"/>
              <w:jc w:val="right"/>
              <w:rPr>
                <w:rFonts w:ascii="Arial"/>
                <w:b/>
                <w:sz w:val="22"/>
              </w:rPr>
            </w:pPr>
            <w:r>
              <w:rPr>
                <w:rFonts w:ascii="Arial"/>
                <w:b/>
                <w:w w:val="100"/>
                <w:sz w:val="22"/>
              </w:rPr>
              <w:t>x</w:t>
            </w:r>
          </w:p>
        </w:tc>
      </w:tr>
      <w:tr>
        <w:trPr>
          <w:trHeight w:val="769" w:hRule="exact"/>
        </w:trPr>
        <w:tc>
          <w:tcPr>
            <w:tcW w:w="2267" w:type="dxa"/>
          </w:tcPr>
          <w:p>
            <w:pPr>
              <w:pStyle w:val="TableParagraph"/>
              <w:tabs>
                <w:tab w:pos="1900" w:val="left" w:leader="none"/>
              </w:tabs>
              <w:spacing w:line="360" w:lineRule="auto" w:before="0"/>
              <w:ind w:left="105" w:right="102"/>
              <w:jc w:val="left"/>
              <w:rPr>
                <w:rFonts w:ascii="Arial" w:hAnsi="Arial"/>
                <w:b/>
                <w:sz w:val="22"/>
              </w:rPr>
            </w:pPr>
            <w:r>
              <w:rPr>
                <w:rFonts w:ascii="Arial" w:hAnsi="Arial"/>
                <w:b/>
                <w:sz w:val="22"/>
              </w:rPr>
              <w:t>Elaboración</w:t>
              <w:tab/>
            </w:r>
            <w:r>
              <w:rPr>
                <w:rFonts w:ascii="Arial" w:hAnsi="Arial"/>
                <w:b/>
                <w:spacing w:val="-3"/>
                <w:sz w:val="22"/>
              </w:rPr>
              <w:t>de </w:t>
            </w:r>
            <w:r>
              <w:rPr>
                <w:rFonts w:ascii="Arial" w:hAnsi="Arial"/>
                <w:b/>
                <w:sz w:val="22"/>
              </w:rPr>
              <w:t>protocolo</w:t>
            </w:r>
          </w:p>
        </w:tc>
        <w:tc>
          <w:tcPr>
            <w:tcW w:w="567" w:type="dxa"/>
          </w:tcPr>
          <w:p>
            <w:pPr>
              <w:pStyle w:val="TableParagraph"/>
              <w:spacing w:line="249" w:lineRule="exact" w:before="0"/>
              <w:ind w:left="0" w:right="211"/>
              <w:jc w:val="right"/>
              <w:rPr>
                <w:rFonts w:ascii="Arial"/>
                <w:b/>
                <w:sz w:val="22"/>
              </w:rPr>
            </w:pPr>
            <w:r>
              <w:rPr>
                <w:rFonts w:ascii="Arial"/>
                <w:b/>
                <w:w w:val="100"/>
                <w:sz w:val="22"/>
              </w:rPr>
              <w:t>x</w:t>
            </w:r>
          </w:p>
        </w:tc>
        <w:tc>
          <w:tcPr>
            <w:tcW w:w="538" w:type="dxa"/>
          </w:tcPr>
          <w:p>
            <w:pPr>
              <w:pStyle w:val="TableParagraph"/>
              <w:spacing w:line="249" w:lineRule="exact" w:before="0"/>
              <w:ind w:left="7" w:right="0"/>
              <w:rPr>
                <w:rFonts w:ascii="Arial"/>
                <w:b/>
                <w:sz w:val="22"/>
              </w:rPr>
            </w:pPr>
            <w:r>
              <w:rPr>
                <w:rFonts w:ascii="Arial"/>
                <w:b/>
                <w:w w:val="100"/>
                <w:sz w:val="22"/>
              </w:rPr>
              <w:t>x</w:t>
            </w:r>
          </w:p>
        </w:tc>
        <w:tc>
          <w:tcPr>
            <w:tcW w:w="596" w:type="dxa"/>
          </w:tcPr>
          <w:p>
            <w:pPr>
              <w:pStyle w:val="TableParagraph"/>
              <w:spacing w:line="249" w:lineRule="exact" w:before="0"/>
              <w:ind w:left="0" w:right="226"/>
              <w:jc w:val="right"/>
              <w:rPr>
                <w:rFonts w:ascii="Arial"/>
                <w:b/>
                <w:sz w:val="22"/>
              </w:rPr>
            </w:pPr>
            <w:r>
              <w:rPr>
                <w:rFonts w:ascii="Arial"/>
                <w:b/>
                <w:w w:val="100"/>
                <w:sz w:val="22"/>
              </w:rPr>
              <w:t>x</w:t>
            </w:r>
          </w:p>
        </w:tc>
        <w:tc>
          <w:tcPr>
            <w:tcW w:w="682" w:type="dxa"/>
          </w:tcPr>
          <w:p>
            <w:pPr>
              <w:pStyle w:val="TableParagraph"/>
              <w:spacing w:line="249" w:lineRule="exact" w:before="0"/>
              <w:ind w:left="0" w:right="268"/>
              <w:jc w:val="right"/>
              <w:rPr>
                <w:rFonts w:ascii="Arial"/>
                <w:b/>
                <w:sz w:val="22"/>
              </w:rPr>
            </w:pPr>
            <w:r>
              <w:rPr>
                <w:rFonts w:ascii="Arial"/>
                <w:b/>
                <w:w w:val="100"/>
                <w:sz w:val="22"/>
              </w:rPr>
              <w:t>x</w:t>
            </w:r>
          </w:p>
        </w:tc>
        <w:tc>
          <w:tcPr>
            <w:tcW w:w="567" w:type="dxa"/>
          </w:tcPr>
          <w:p>
            <w:pPr/>
          </w:p>
        </w:tc>
        <w:tc>
          <w:tcPr>
            <w:tcW w:w="480" w:type="dxa"/>
          </w:tcPr>
          <w:p>
            <w:pPr/>
          </w:p>
        </w:tc>
        <w:tc>
          <w:tcPr>
            <w:tcW w:w="576" w:type="dxa"/>
          </w:tcPr>
          <w:p>
            <w:pPr/>
          </w:p>
        </w:tc>
        <w:tc>
          <w:tcPr>
            <w:tcW w:w="581" w:type="dxa"/>
          </w:tcPr>
          <w:p>
            <w:pPr/>
          </w:p>
        </w:tc>
        <w:tc>
          <w:tcPr>
            <w:tcW w:w="576" w:type="dxa"/>
          </w:tcPr>
          <w:p>
            <w:pPr/>
          </w:p>
        </w:tc>
        <w:tc>
          <w:tcPr>
            <w:tcW w:w="581" w:type="dxa"/>
          </w:tcPr>
          <w:p>
            <w:pPr/>
          </w:p>
        </w:tc>
        <w:tc>
          <w:tcPr>
            <w:tcW w:w="576" w:type="dxa"/>
          </w:tcPr>
          <w:p>
            <w:pPr/>
          </w:p>
        </w:tc>
        <w:tc>
          <w:tcPr>
            <w:tcW w:w="577" w:type="dxa"/>
          </w:tcPr>
          <w:p>
            <w:pPr/>
          </w:p>
        </w:tc>
      </w:tr>
      <w:tr>
        <w:trPr>
          <w:trHeight w:val="768" w:hRule="exact"/>
        </w:trPr>
        <w:tc>
          <w:tcPr>
            <w:tcW w:w="2267" w:type="dxa"/>
            <w:tcBorders>
              <w:bottom w:val="single" w:sz="4" w:space="0" w:color="000000"/>
            </w:tcBorders>
          </w:tcPr>
          <w:p>
            <w:pPr>
              <w:pStyle w:val="TableParagraph"/>
              <w:tabs>
                <w:tab w:pos="1892" w:val="left" w:leader="none"/>
              </w:tabs>
              <w:spacing w:line="360" w:lineRule="auto" w:before="0"/>
              <w:ind w:left="105" w:right="105"/>
              <w:jc w:val="left"/>
              <w:rPr>
                <w:rFonts w:ascii="Arial" w:hAnsi="Arial"/>
                <w:b/>
                <w:sz w:val="22"/>
              </w:rPr>
            </w:pPr>
            <w:r>
              <w:rPr>
                <w:rFonts w:ascii="Arial" w:hAnsi="Arial"/>
                <w:b/>
                <w:sz w:val="22"/>
              </w:rPr>
              <w:t>Aprobación</w:t>
              <w:tab/>
              <w:t>de protocolo</w:t>
            </w:r>
          </w:p>
        </w:tc>
        <w:tc>
          <w:tcPr>
            <w:tcW w:w="567" w:type="dxa"/>
            <w:tcBorders>
              <w:bottom w:val="single" w:sz="4" w:space="0" w:color="000000"/>
            </w:tcBorders>
          </w:tcPr>
          <w:p>
            <w:pPr/>
          </w:p>
        </w:tc>
        <w:tc>
          <w:tcPr>
            <w:tcW w:w="538" w:type="dxa"/>
            <w:tcBorders>
              <w:bottom w:val="single" w:sz="4" w:space="0" w:color="000000"/>
            </w:tcBorders>
          </w:tcPr>
          <w:p>
            <w:pPr/>
          </w:p>
        </w:tc>
        <w:tc>
          <w:tcPr>
            <w:tcW w:w="596" w:type="dxa"/>
            <w:tcBorders>
              <w:bottom w:val="single" w:sz="4" w:space="0" w:color="000000"/>
            </w:tcBorders>
          </w:tcPr>
          <w:p>
            <w:pPr/>
          </w:p>
        </w:tc>
        <w:tc>
          <w:tcPr>
            <w:tcW w:w="682" w:type="dxa"/>
            <w:tcBorders>
              <w:bottom w:val="single" w:sz="4" w:space="0" w:color="000000"/>
            </w:tcBorders>
          </w:tcPr>
          <w:p>
            <w:pPr>
              <w:pStyle w:val="TableParagraph"/>
              <w:spacing w:line="248" w:lineRule="exact" w:before="0"/>
              <w:ind w:left="0" w:right="268"/>
              <w:jc w:val="right"/>
              <w:rPr>
                <w:rFonts w:ascii="Arial"/>
                <w:b/>
                <w:sz w:val="22"/>
              </w:rPr>
            </w:pPr>
            <w:r>
              <w:rPr>
                <w:rFonts w:ascii="Arial"/>
                <w:b/>
                <w:w w:val="100"/>
                <w:sz w:val="22"/>
              </w:rPr>
              <w:t>x</w:t>
            </w:r>
          </w:p>
        </w:tc>
        <w:tc>
          <w:tcPr>
            <w:tcW w:w="567" w:type="dxa"/>
            <w:tcBorders>
              <w:bottom w:val="single" w:sz="4" w:space="0" w:color="000000"/>
            </w:tcBorders>
          </w:tcPr>
          <w:p>
            <w:pPr>
              <w:pStyle w:val="TableParagraph"/>
              <w:spacing w:line="248" w:lineRule="exact" w:before="0"/>
              <w:ind w:left="7" w:right="0"/>
              <w:rPr>
                <w:rFonts w:ascii="Arial"/>
                <w:b/>
                <w:sz w:val="22"/>
              </w:rPr>
            </w:pPr>
            <w:r>
              <w:rPr>
                <w:rFonts w:ascii="Arial"/>
                <w:b/>
                <w:w w:val="100"/>
                <w:sz w:val="22"/>
              </w:rPr>
              <w:t>x</w:t>
            </w:r>
          </w:p>
        </w:tc>
        <w:tc>
          <w:tcPr>
            <w:tcW w:w="480" w:type="dxa"/>
            <w:tcBorders>
              <w:bottom w:val="single" w:sz="4" w:space="0" w:color="000000"/>
            </w:tcBorders>
          </w:tcPr>
          <w:p>
            <w:pPr>
              <w:pStyle w:val="TableParagraph"/>
              <w:spacing w:line="248" w:lineRule="exact" w:before="0"/>
              <w:ind w:left="7" w:right="0"/>
              <w:rPr>
                <w:rFonts w:ascii="Arial"/>
                <w:b/>
                <w:sz w:val="22"/>
              </w:rPr>
            </w:pPr>
            <w:r>
              <w:rPr>
                <w:rFonts w:ascii="Arial"/>
                <w:b/>
                <w:w w:val="100"/>
                <w:sz w:val="22"/>
              </w:rPr>
              <w:t>x</w:t>
            </w:r>
          </w:p>
        </w:tc>
        <w:tc>
          <w:tcPr>
            <w:tcW w:w="576" w:type="dxa"/>
            <w:tcBorders>
              <w:bottom w:val="single" w:sz="4" w:space="0" w:color="000000"/>
            </w:tcBorders>
          </w:tcPr>
          <w:p>
            <w:pPr/>
          </w:p>
        </w:tc>
        <w:tc>
          <w:tcPr>
            <w:tcW w:w="581" w:type="dxa"/>
            <w:tcBorders>
              <w:bottom w:val="single" w:sz="4" w:space="0" w:color="000000"/>
            </w:tcBorders>
          </w:tcPr>
          <w:p>
            <w:pPr/>
          </w:p>
        </w:tc>
        <w:tc>
          <w:tcPr>
            <w:tcW w:w="576" w:type="dxa"/>
            <w:tcBorders>
              <w:bottom w:val="single" w:sz="4" w:space="0" w:color="000000"/>
            </w:tcBorders>
          </w:tcPr>
          <w:p>
            <w:pPr/>
          </w:p>
        </w:tc>
        <w:tc>
          <w:tcPr>
            <w:tcW w:w="581" w:type="dxa"/>
            <w:tcBorders>
              <w:bottom w:val="single" w:sz="4" w:space="0" w:color="000000"/>
            </w:tcBorders>
          </w:tcPr>
          <w:p>
            <w:pPr/>
          </w:p>
        </w:tc>
        <w:tc>
          <w:tcPr>
            <w:tcW w:w="576" w:type="dxa"/>
            <w:tcBorders>
              <w:bottom w:val="single" w:sz="4" w:space="0" w:color="000000"/>
            </w:tcBorders>
          </w:tcPr>
          <w:p>
            <w:pPr/>
          </w:p>
        </w:tc>
        <w:tc>
          <w:tcPr>
            <w:tcW w:w="577" w:type="dxa"/>
            <w:tcBorders>
              <w:bottom w:val="single" w:sz="4" w:space="0" w:color="000000"/>
            </w:tcBorders>
          </w:tcPr>
          <w:p>
            <w:pPr/>
          </w:p>
        </w:tc>
      </w:tr>
      <w:tr>
        <w:trPr>
          <w:trHeight w:val="768" w:hRule="exact"/>
        </w:trPr>
        <w:tc>
          <w:tcPr>
            <w:tcW w:w="2267" w:type="dxa"/>
            <w:tcBorders>
              <w:top w:val="single" w:sz="4" w:space="0" w:color="000000"/>
            </w:tcBorders>
          </w:tcPr>
          <w:p>
            <w:pPr>
              <w:pStyle w:val="TableParagraph"/>
              <w:tabs>
                <w:tab w:pos="1895" w:val="left" w:leader="none"/>
              </w:tabs>
              <w:spacing w:line="360" w:lineRule="auto" w:before="0"/>
              <w:ind w:left="105" w:right="102"/>
              <w:jc w:val="left"/>
              <w:rPr>
                <w:rFonts w:ascii="Arial" w:hAnsi="Arial"/>
                <w:b/>
                <w:sz w:val="22"/>
              </w:rPr>
            </w:pPr>
            <w:r>
              <w:rPr>
                <w:rFonts w:ascii="Arial" w:hAnsi="Arial"/>
                <w:b/>
                <w:sz w:val="22"/>
              </w:rPr>
              <w:t>Recolección</w:t>
              <w:tab/>
              <w:t>de datos</w:t>
            </w:r>
          </w:p>
        </w:tc>
        <w:tc>
          <w:tcPr>
            <w:tcW w:w="567" w:type="dxa"/>
            <w:tcBorders>
              <w:top w:val="single" w:sz="4" w:space="0" w:color="000000"/>
            </w:tcBorders>
          </w:tcPr>
          <w:p>
            <w:pPr/>
          </w:p>
        </w:tc>
        <w:tc>
          <w:tcPr>
            <w:tcW w:w="538" w:type="dxa"/>
            <w:tcBorders>
              <w:top w:val="single" w:sz="4" w:space="0" w:color="000000"/>
            </w:tcBorders>
          </w:tcPr>
          <w:p>
            <w:pPr/>
          </w:p>
        </w:tc>
        <w:tc>
          <w:tcPr>
            <w:tcW w:w="596" w:type="dxa"/>
            <w:tcBorders>
              <w:top w:val="single" w:sz="4" w:space="0" w:color="000000"/>
            </w:tcBorders>
          </w:tcPr>
          <w:p>
            <w:pPr>
              <w:pStyle w:val="TableParagraph"/>
              <w:spacing w:line="248" w:lineRule="exact" w:before="0"/>
              <w:ind w:left="0" w:right="226"/>
              <w:jc w:val="right"/>
              <w:rPr>
                <w:rFonts w:ascii="Arial"/>
                <w:b/>
                <w:sz w:val="22"/>
              </w:rPr>
            </w:pPr>
            <w:r>
              <w:rPr>
                <w:rFonts w:ascii="Arial"/>
                <w:b/>
                <w:w w:val="100"/>
                <w:sz w:val="22"/>
              </w:rPr>
              <w:t>x</w:t>
            </w:r>
          </w:p>
        </w:tc>
        <w:tc>
          <w:tcPr>
            <w:tcW w:w="682" w:type="dxa"/>
            <w:tcBorders>
              <w:top w:val="single" w:sz="4" w:space="0" w:color="000000"/>
            </w:tcBorders>
          </w:tcPr>
          <w:p>
            <w:pPr>
              <w:pStyle w:val="TableParagraph"/>
              <w:spacing w:line="248" w:lineRule="exact" w:before="0"/>
              <w:ind w:left="0" w:right="268"/>
              <w:jc w:val="right"/>
              <w:rPr>
                <w:rFonts w:ascii="Arial"/>
                <w:b/>
                <w:sz w:val="22"/>
              </w:rPr>
            </w:pPr>
            <w:r>
              <w:rPr>
                <w:rFonts w:ascii="Arial"/>
                <w:b/>
                <w:w w:val="100"/>
                <w:sz w:val="22"/>
              </w:rPr>
              <w:t>x</w:t>
            </w:r>
          </w:p>
        </w:tc>
        <w:tc>
          <w:tcPr>
            <w:tcW w:w="567" w:type="dxa"/>
            <w:tcBorders>
              <w:top w:val="single" w:sz="4" w:space="0" w:color="000000"/>
            </w:tcBorders>
          </w:tcPr>
          <w:p>
            <w:pPr>
              <w:pStyle w:val="TableParagraph"/>
              <w:spacing w:line="248" w:lineRule="exact" w:before="0"/>
              <w:ind w:left="7" w:right="0"/>
              <w:rPr>
                <w:rFonts w:ascii="Arial"/>
                <w:b/>
                <w:sz w:val="22"/>
              </w:rPr>
            </w:pPr>
            <w:r>
              <w:rPr>
                <w:rFonts w:ascii="Arial"/>
                <w:b/>
                <w:w w:val="100"/>
                <w:sz w:val="22"/>
              </w:rPr>
              <w:t>x</w:t>
            </w:r>
          </w:p>
        </w:tc>
        <w:tc>
          <w:tcPr>
            <w:tcW w:w="480" w:type="dxa"/>
            <w:tcBorders>
              <w:top w:val="single" w:sz="4" w:space="0" w:color="000000"/>
            </w:tcBorders>
          </w:tcPr>
          <w:p>
            <w:pPr>
              <w:pStyle w:val="TableParagraph"/>
              <w:spacing w:line="248" w:lineRule="exact" w:before="0"/>
              <w:ind w:left="7" w:right="0"/>
              <w:rPr>
                <w:rFonts w:ascii="Arial"/>
                <w:b/>
                <w:sz w:val="22"/>
              </w:rPr>
            </w:pPr>
            <w:r>
              <w:rPr>
                <w:rFonts w:ascii="Arial"/>
                <w:b/>
                <w:w w:val="100"/>
                <w:sz w:val="22"/>
              </w:rPr>
              <w:t>x</w:t>
            </w:r>
          </w:p>
        </w:tc>
        <w:tc>
          <w:tcPr>
            <w:tcW w:w="576" w:type="dxa"/>
            <w:tcBorders>
              <w:top w:val="single" w:sz="4" w:space="0" w:color="000000"/>
            </w:tcBorders>
          </w:tcPr>
          <w:p>
            <w:pPr/>
          </w:p>
        </w:tc>
        <w:tc>
          <w:tcPr>
            <w:tcW w:w="581" w:type="dxa"/>
            <w:tcBorders>
              <w:top w:val="single" w:sz="4" w:space="0" w:color="000000"/>
            </w:tcBorders>
          </w:tcPr>
          <w:p>
            <w:pPr/>
          </w:p>
        </w:tc>
        <w:tc>
          <w:tcPr>
            <w:tcW w:w="576" w:type="dxa"/>
            <w:tcBorders>
              <w:top w:val="single" w:sz="4" w:space="0" w:color="000000"/>
            </w:tcBorders>
          </w:tcPr>
          <w:p>
            <w:pPr/>
          </w:p>
        </w:tc>
        <w:tc>
          <w:tcPr>
            <w:tcW w:w="581" w:type="dxa"/>
            <w:tcBorders>
              <w:top w:val="single" w:sz="4" w:space="0" w:color="000000"/>
            </w:tcBorders>
          </w:tcPr>
          <w:p>
            <w:pPr/>
          </w:p>
        </w:tc>
        <w:tc>
          <w:tcPr>
            <w:tcW w:w="576" w:type="dxa"/>
            <w:tcBorders>
              <w:top w:val="single" w:sz="4" w:space="0" w:color="000000"/>
            </w:tcBorders>
          </w:tcPr>
          <w:p>
            <w:pPr/>
          </w:p>
        </w:tc>
        <w:tc>
          <w:tcPr>
            <w:tcW w:w="577" w:type="dxa"/>
            <w:tcBorders>
              <w:top w:val="single" w:sz="4" w:space="0" w:color="000000"/>
            </w:tcBorders>
          </w:tcPr>
          <w:p>
            <w:pPr/>
          </w:p>
        </w:tc>
      </w:tr>
      <w:tr>
        <w:trPr>
          <w:trHeight w:val="389" w:hRule="exact"/>
        </w:trPr>
        <w:tc>
          <w:tcPr>
            <w:tcW w:w="2267" w:type="dxa"/>
          </w:tcPr>
          <w:p>
            <w:pPr>
              <w:pStyle w:val="TableParagraph"/>
              <w:spacing w:line="248" w:lineRule="exact" w:before="0"/>
              <w:ind w:left="105" w:right="102"/>
              <w:jc w:val="left"/>
              <w:rPr>
                <w:rFonts w:ascii="Arial" w:hAnsi="Arial"/>
                <w:b/>
                <w:sz w:val="22"/>
              </w:rPr>
            </w:pPr>
            <w:r>
              <w:rPr>
                <w:rFonts w:ascii="Arial" w:hAnsi="Arial"/>
                <w:b/>
                <w:sz w:val="22"/>
              </w:rPr>
              <w:t>Análisis de datos</w:t>
            </w:r>
          </w:p>
        </w:tc>
        <w:tc>
          <w:tcPr>
            <w:tcW w:w="567" w:type="dxa"/>
          </w:tcPr>
          <w:p>
            <w:pPr/>
          </w:p>
        </w:tc>
        <w:tc>
          <w:tcPr>
            <w:tcW w:w="538" w:type="dxa"/>
          </w:tcPr>
          <w:p>
            <w:pPr/>
          </w:p>
        </w:tc>
        <w:tc>
          <w:tcPr>
            <w:tcW w:w="596" w:type="dxa"/>
          </w:tcPr>
          <w:p>
            <w:pPr/>
          </w:p>
        </w:tc>
        <w:tc>
          <w:tcPr>
            <w:tcW w:w="682" w:type="dxa"/>
          </w:tcPr>
          <w:p>
            <w:pPr/>
          </w:p>
        </w:tc>
        <w:tc>
          <w:tcPr>
            <w:tcW w:w="567" w:type="dxa"/>
          </w:tcPr>
          <w:p>
            <w:pPr/>
          </w:p>
        </w:tc>
        <w:tc>
          <w:tcPr>
            <w:tcW w:w="480" w:type="dxa"/>
          </w:tcPr>
          <w:p>
            <w:pPr>
              <w:pStyle w:val="TableParagraph"/>
              <w:spacing w:line="248" w:lineRule="exact" w:before="0"/>
              <w:ind w:left="7" w:right="0"/>
              <w:rPr>
                <w:rFonts w:ascii="Arial"/>
                <w:b/>
                <w:sz w:val="22"/>
              </w:rPr>
            </w:pPr>
            <w:r>
              <w:rPr>
                <w:rFonts w:ascii="Arial"/>
                <w:b/>
                <w:w w:val="100"/>
                <w:sz w:val="22"/>
              </w:rPr>
              <w:t>x</w:t>
            </w:r>
          </w:p>
        </w:tc>
        <w:tc>
          <w:tcPr>
            <w:tcW w:w="576" w:type="dxa"/>
          </w:tcPr>
          <w:p>
            <w:pPr>
              <w:pStyle w:val="TableParagraph"/>
              <w:spacing w:line="248" w:lineRule="exact" w:before="0"/>
              <w:ind w:left="7" w:right="0"/>
              <w:rPr>
                <w:rFonts w:ascii="Arial"/>
                <w:b/>
                <w:sz w:val="22"/>
              </w:rPr>
            </w:pPr>
            <w:r>
              <w:rPr>
                <w:rFonts w:ascii="Arial"/>
                <w:b/>
                <w:w w:val="100"/>
                <w:sz w:val="22"/>
              </w:rPr>
              <w:t>x</w:t>
            </w:r>
          </w:p>
        </w:tc>
        <w:tc>
          <w:tcPr>
            <w:tcW w:w="581" w:type="dxa"/>
          </w:tcPr>
          <w:p>
            <w:pPr>
              <w:pStyle w:val="TableParagraph"/>
              <w:spacing w:line="248" w:lineRule="exact" w:before="0"/>
              <w:ind w:left="3" w:right="0"/>
              <w:rPr>
                <w:rFonts w:ascii="Arial"/>
                <w:b/>
                <w:sz w:val="22"/>
              </w:rPr>
            </w:pPr>
            <w:r>
              <w:rPr>
                <w:rFonts w:ascii="Arial"/>
                <w:b/>
                <w:w w:val="100"/>
                <w:sz w:val="22"/>
              </w:rPr>
              <w:t>x</w:t>
            </w:r>
          </w:p>
        </w:tc>
        <w:tc>
          <w:tcPr>
            <w:tcW w:w="576" w:type="dxa"/>
          </w:tcPr>
          <w:p>
            <w:pPr>
              <w:pStyle w:val="TableParagraph"/>
              <w:spacing w:line="248" w:lineRule="exact" w:before="0"/>
              <w:ind w:left="225" w:right="0"/>
              <w:jc w:val="left"/>
              <w:rPr>
                <w:rFonts w:ascii="Arial"/>
                <w:b/>
                <w:sz w:val="22"/>
              </w:rPr>
            </w:pPr>
            <w:r>
              <w:rPr>
                <w:rFonts w:ascii="Arial"/>
                <w:b/>
                <w:w w:val="100"/>
                <w:sz w:val="22"/>
              </w:rPr>
              <w:t>x</w:t>
            </w:r>
          </w:p>
        </w:tc>
        <w:tc>
          <w:tcPr>
            <w:tcW w:w="581" w:type="dxa"/>
          </w:tcPr>
          <w:p>
            <w:pPr/>
          </w:p>
        </w:tc>
        <w:tc>
          <w:tcPr>
            <w:tcW w:w="576" w:type="dxa"/>
          </w:tcPr>
          <w:p>
            <w:pPr/>
          </w:p>
        </w:tc>
        <w:tc>
          <w:tcPr>
            <w:tcW w:w="577" w:type="dxa"/>
          </w:tcPr>
          <w:p>
            <w:pPr/>
          </w:p>
        </w:tc>
      </w:tr>
      <w:tr>
        <w:trPr>
          <w:trHeight w:val="773" w:hRule="exact"/>
        </w:trPr>
        <w:tc>
          <w:tcPr>
            <w:tcW w:w="2267" w:type="dxa"/>
          </w:tcPr>
          <w:p>
            <w:pPr>
              <w:pStyle w:val="TableParagraph"/>
              <w:tabs>
                <w:tab w:pos="1900" w:val="left" w:leader="none"/>
              </w:tabs>
              <w:spacing w:line="364" w:lineRule="auto" w:before="0"/>
              <w:ind w:left="105" w:right="102"/>
              <w:jc w:val="left"/>
              <w:rPr>
                <w:rFonts w:ascii="Arial" w:hAnsi="Arial"/>
                <w:b/>
                <w:sz w:val="22"/>
              </w:rPr>
            </w:pPr>
            <w:r>
              <w:rPr>
                <w:rFonts w:ascii="Arial" w:hAnsi="Arial"/>
                <w:b/>
                <w:sz w:val="22"/>
              </w:rPr>
              <w:t>Elaboración</w:t>
              <w:tab/>
            </w:r>
            <w:r>
              <w:rPr>
                <w:rFonts w:ascii="Arial" w:hAnsi="Arial"/>
                <w:b/>
                <w:spacing w:val="-3"/>
                <w:sz w:val="22"/>
              </w:rPr>
              <w:t>de </w:t>
            </w:r>
            <w:r>
              <w:rPr>
                <w:rFonts w:ascii="Arial" w:hAnsi="Arial"/>
                <w:b/>
                <w:sz w:val="22"/>
              </w:rPr>
              <w:t>tesis</w:t>
            </w:r>
          </w:p>
        </w:tc>
        <w:tc>
          <w:tcPr>
            <w:tcW w:w="567" w:type="dxa"/>
          </w:tcPr>
          <w:p>
            <w:pPr/>
          </w:p>
        </w:tc>
        <w:tc>
          <w:tcPr>
            <w:tcW w:w="538" w:type="dxa"/>
          </w:tcPr>
          <w:p>
            <w:pPr/>
          </w:p>
        </w:tc>
        <w:tc>
          <w:tcPr>
            <w:tcW w:w="596" w:type="dxa"/>
          </w:tcPr>
          <w:p>
            <w:pPr/>
          </w:p>
        </w:tc>
        <w:tc>
          <w:tcPr>
            <w:tcW w:w="682" w:type="dxa"/>
          </w:tcPr>
          <w:p>
            <w:pPr/>
          </w:p>
        </w:tc>
        <w:tc>
          <w:tcPr>
            <w:tcW w:w="567" w:type="dxa"/>
          </w:tcPr>
          <w:p>
            <w:pPr/>
          </w:p>
        </w:tc>
        <w:tc>
          <w:tcPr>
            <w:tcW w:w="480" w:type="dxa"/>
          </w:tcPr>
          <w:p>
            <w:pPr/>
          </w:p>
        </w:tc>
        <w:tc>
          <w:tcPr>
            <w:tcW w:w="576" w:type="dxa"/>
          </w:tcPr>
          <w:p>
            <w:pPr/>
          </w:p>
        </w:tc>
        <w:tc>
          <w:tcPr>
            <w:tcW w:w="581" w:type="dxa"/>
          </w:tcPr>
          <w:p>
            <w:pPr/>
          </w:p>
        </w:tc>
        <w:tc>
          <w:tcPr>
            <w:tcW w:w="576" w:type="dxa"/>
          </w:tcPr>
          <w:p>
            <w:pPr>
              <w:pStyle w:val="TableParagraph"/>
              <w:spacing w:line="248" w:lineRule="exact" w:before="0"/>
              <w:ind w:left="225" w:right="0"/>
              <w:jc w:val="left"/>
              <w:rPr>
                <w:rFonts w:ascii="Arial"/>
                <w:b/>
                <w:sz w:val="22"/>
              </w:rPr>
            </w:pPr>
            <w:r>
              <w:rPr>
                <w:rFonts w:ascii="Arial"/>
                <w:b/>
                <w:w w:val="100"/>
                <w:sz w:val="22"/>
              </w:rPr>
              <w:t>x</w:t>
            </w:r>
          </w:p>
        </w:tc>
        <w:tc>
          <w:tcPr>
            <w:tcW w:w="581" w:type="dxa"/>
          </w:tcPr>
          <w:p>
            <w:pPr>
              <w:pStyle w:val="TableParagraph"/>
              <w:spacing w:line="248" w:lineRule="exact" w:before="0"/>
              <w:ind w:left="2" w:right="0"/>
              <w:rPr>
                <w:rFonts w:ascii="Arial"/>
                <w:b/>
                <w:sz w:val="22"/>
              </w:rPr>
            </w:pPr>
            <w:r>
              <w:rPr>
                <w:rFonts w:ascii="Arial"/>
                <w:b/>
                <w:w w:val="100"/>
                <w:sz w:val="22"/>
              </w:rPr>
              <w:t>x</w:t>
            </w:r>
          </w:p>
        </w:tc>
        <w:tc>
          <w:tcPr>
            <w:tcW w:w="576" w:type="dxa"/>
          </w:tcPr>
          <w:p>
            <w:pPr>
              <w:pStyle w:val="TableParagraph"/>
              <w:spacing w:line="248" w:lineRule="exact" w:before="0"/>
              <w:ind w:left="0" w:right="0"/>
              <w:rPr>
                <w:rFonts w:ascii="Arial"/>
                <w:b/>
                <w:sz w:val="22"/>
              </w:rPr>
            </w:pPr>
            <w:r>
              <w:rPr>
                <w:rFonts w:ascii="Arial"/>
                <w:b/>
                <w:w w:val="100"/>
                <w:sz w:val="22"/>
              </w:rPr>
              <w:t>x</w:t>
            </w:r>
          </w:p>
        </w:tc>
        <w:tc>
          <w:tcPr>
            <w:tcW w:w="577" w:type="dxa"/>
          </w:tcPr>
          <w:p>
            <w:pPr/>
          </w:p>
        </w:tc>
      </w:tr>
      <w:tr>
        <w:trPr>
          <w:trHeight w:val="768" w:hRule="exact"/>
        </w:trPr>
        <w:tc>
          <w:tcPr>
            <w:tcW w:w="2267" w:type="dxa"/>
          </w:tcPr>
          <w:p>
            <w:pPr>
              <w:pStyle w:val="TableParagraph"/>
              <w:spacing w:line="360" w:lineRule="auto" w:before="0"/>
              <w:ind w:left="105" w:right="909"/>
              <w:jc w:val="left"/>
              <w:rPr>
                <w:rFonts w:ascii="Arial"/>
                <w:b/>
                <w:sz w:val="22"/>
              </w:rPr>
            </w:pPr>
            <w:r>
              <w:rPr>
                <w:rFonts w:ascii="Arial"/>
                <w:b/>
                <w:sz w:val="22"/>
              </w:rPr>
              <w:t>Examen recepcional</w:t>
            </w:r>
          </w:p>
        </w:tc>
        <w:tc>
          <w:tcPr>
            <w:tcW w:w="567" w:type="dxa"/>
          </w:tcPr>
          <w:p>
            <w:pPr/>
          </w:p>
        </w:tc>
        <w:tc>
          <w:tcPr>
            <w:tcW w:w="538" w:type="dxa"/>
          </w:tcPr>
          <w:p>
            <w:pPr/>
          </w:p>
        </w:tc>
        <w:tc>
          <w:tcPr>
            <w:tcW w:w="596" w:type="dxa"/>
          </w:tcPr>
          <w:p>
            <w:pPr/>
          </w:p>
        </w:tc>
        <w:tc>
          <w:tcPr>
            <w:tcW w:w="682" w:type="dxa"/>
          </w:tcPr>
          <w:p>
            <w:pPr/>
          </w:p>
        </w:tc>
        <w:tc>
          <w:tcPr>
            <w:tcW w:w="567" w:type="dxa"/>
          </w:tcPr>
          <w:p>
            <w:pPr/>
          </w:p>
        </w:tc>
        <w:tc>
          <w:tcPr>
            <w:tcW w:w="480" w:type="dxa"/>
          </w:tcPr>
          <w:p>
            <w:pPr/>
          </w:p>
        </w:tc>
        <w:tc>
          <w:tcPr>
            <w:tcW w:w="576" w:type="dxa"/>
          </w:tcPr>
          <w:p>
            <w:pPr/>
          </w:p>
        </w:tc>
        <w:tc>
          <w:tcPr>
            <w:tcW w:w="581" w:type="dxa"/>
          </w:tcPr>
          <w:p>
            <w:pPr/>
          </w:p>
        </w:tc>
        <w:tc>
          <w:tcPr>
            <w:tcW w:w="576" w:type="dxa"/>
          </w:tcPr>
          <w:p>
            <w:pPr/>
          </w:p>
        </w:tc>
        <w:tc>
          <w:tcPr>
            <w:tcW w:w="581" w:type="dxa"/>
          </w:tcPr>
          <w:p>
            <w:pPr/>
          </w:p>
        </w:tc>
        <w:tc>
          <w:tcPr>
            <w:tcW w:w="576" w:type="dxa"/>
          </w:tcPr>
          <w:p>
            <w:pPr/>
          </w:p>
        </w:tc>
        <w:tc>
          <w:tcPr>
            <w:tcW w:w="577" w:type="dxa"/>
          </w:tcPr>
          <w:p>
            <w:pPr>
              <w:pStyle w:val="TableParagraph"/>
              <w:spacing w:line="248" w:lineRule="exact" w:before="0"/>
              <w:ind w:left="0" w:right="216"/>
              <w:jc w:val="right"/>
              <w:rPr>
                <w:rFonts w:ascii="Arial"/>
                <w:b/>
                <w:sz w:val="22"/>
              </w:rPr>
            </w:pPr>
            <w:r>
              <w:rPr>
                <w:rFonts w:ascii="Arial"/>
                <w:b/>
                <w:w w:val="100"/>
                <w:sz w:val="22"/>
              </w:rPr>
              <w:t>x</w:t>
            </w:r>
          </w:p>
        </w:tc>
      </w:tr>
    </w:tbl>
    <w:p>
      <w:pPr>
        <w:spacing w:after="0" w:line="248" w:lineRule="exact"/>
        <w:jc w:val="right"/>
        <w:rPr>
          <w:rFonts w:ascii="Arial"/>
          <w:sz w:val="22"/>
        </w:rPr>
        <w:sectPr>
          <w:pgSz w:w="12240" w:h="15840"/>
          <w:pgMar w:header="0" w:footer="966" w:top="1380" w:bottom="1220" w:left="1480" w:right="1360"/>
        </w:sectPr>
      </w:pPr>
    </w:p>
    <w:p>
      <w:pPr>
        <w:pStyle w:val="BodyText"/>
        <w:rPr>
          <w:b/>
          <w:sz w:val="20"/>
        </w:rPr>
      </w:pPr>
    </w:p>
    <w:p>
      <w:pPr>
        <w:pStyle w:val="BodyText"/>
        <w:spacing w:before="4"/>
        <w:rPr>
          <w:b/>
          <w:sz w:val="19"/>
        </w:rPr>
      </w:pPr>
    </w:p>
    <w:p>
      <w:pPr>
        <w:pStyle w:val="Heading1"/>
        <w:numPr>
          <w:ilvl w:val="1"/>
          <w:numId w:val="4"/>
        </w:numPr>
        <w:tabs>
          <w:tab w:pos="841" w:val="left" w:leader="none"/>
        </w:tabs>
        <w:spacing w:line="240" w:lineRule="auto" w:before="70" w:after="0"/>
        <w:ind w:left="840" w:right="0" w:hanging="360"/>
        <w:jc w:val="left"/>
      </w:pPr>
      <w:bookmarkStart w:name="_bookmark29" w:id="56"/>
      <w:bookmarkEnd w:id="56"/>
      <w:r>
        <w:rPr>
          <w:b w:val="0"/>
        </w:rPr>
      </w:r>
      <w:bookmarkStart w:name="_bookmark29" w:id="57"/>
      <w:bookmarkEnd w:id="57"/>
      <w:r>
        <w:rPr/>
        <w:t>D</w:t>
      </w:r>
      <w:r>
        <w:rPr/>
        <w:t>iseño de</w:t>
      </w:r>
      <w:r>
        <w:rPr>
          <w:spacing w:val="-6"/>
        </w:rPr>
        <w:t> </w:t>
      </w:r>
      <w:r>
        <w:rPr/>
        <w:t>análisis</w:t>
      </w:r>
    </w:p>
    <w:p>
      <w:pPr>
        <w:pStyle w:val="BodyText"/>
        <w:spacing w:line="360" w:lineRule="auto" w:before="45"/>
        <w:ind w:left="119" w:right="117"/>
        <w:jc w:val="both"/>
      </w:pPr>
      <w:r>
        <w:rPr/>
        <w:t>Para el </w:t>
      </w:r>
      <w:r>
        <w:rPr>
          <w:spacing w:val="-3"/>
        </w:rPr>
        <w:t>manejo </w:t>
      </w:r>
      <w:r>
        <w:rPr/>
        <w:t>estadístico del siguiente estudio </w:t>
      </w:r>
      <w:r>
        <w:rPr>
          <w:spacing w:val="-3"/>
        </w:rPr>
        <w:t>se </w:t>
      </w:r>
      <w:r>
        <w:rPr/>
        <w:t>utilizara estadística descriptiva: medidas de tendencia central (media, moda), medidas de dispersión como desviación estándar y coeficiente de variación en hoja de cálculo Excel de Microsoft Office a través de una hoja de vaciado (ver anexo 1) y se presentaran  los resultados por medio de cuadros y</w:t>
      </w:r>
      <w:r>
        <w:rPr>
          <w:spacing w:val="-20"/>
        </w:rPr>
        <w:t> </w:t>
      </w:r>
      <w:r>
        <w:rPr/>
        <w:t>gráficas.</w:t>
      </w:r>
    </w:p>
    <w:p>
      <w:pPr>
        <w:spacing w:after="0" w:line="360" w:lineRule="auto"/>
        <w:jc w:val="both"/>
        <w:sectPr>
          <w:pgSz w:w="12240" w:h="15840"/>
          <w:pgMar w:header="0" w:footer="966" w:top="1500" w:bottom="1220" w:left="1580" w:right="1580"/>
        </w:sectPr>
      </w:pPr>
    </w:p>
    <w:p>
      <w:pPr>
        <w:pStyle w:val="Heading1"/>
        <w:numPr>
          <w:ilvl w:val="0"/>
          <w:numId w:val="4"/>
        </w:numPr>
        <w:tabs>
          <w:tab w:pos="481" w:val="left" w:leader="none"/>
        </w:tabs>
        <w:spacing w:line="240" w:lineRule="auto" w:before="47" w:after="0"/>
        <w:ind w:left="480" w:right="0" w:hanging="361"/>
        <w:jc w:val="left"/>
      </w:pPr>
      <w:bookmarkStart w:name="_bookmark30" w:id="58"/>
      <w:bookmarkEnd w:id="58"/>
      <w:r>
        <w:rPr>
          <w:b w:val="0"/>
        </w:rPr>
      </w:r>
      <w:bookmarkStart w:name="_bookmark30" w:id="59"/>
      <w:bookmarkEnd w:id="59"/>
      <w:r>
        <w:rPr/>
        <w:t>I</w:t>
      </w:r>
      <w:r>
        <w:rPr/>
        <w:t>MPLICACIONES</w:t>
      </w:r>
      <w:r>
        <w:rPr>
          <w:spacing w:val="-15"/>
        </w:rPr>
        <w:t> </w:t>
      </w:r>
      <w:r>
        <w:rPr/>
        <w:t>ETICAS</w:t>
      </w:r>
    </w:p>
    <w:p>
      <w:pPr>
        <w:pStyle w:val="ListParagraph"/>
        <w:numPr>
          <w:ilvl w:val="0"/>
          <w:numId w:val="11"/>
        </w:numPr>
        <w:tabs>
          <w:tab w:pos="840" w:val="left" w:leader="none"/>
          <w:tab w:pos="841" w:val="left" w:leader="none"/>
        </w:tabs>
        <w:spacing w:line="240" w:lineRule="auto" w:before="44" w:after="0"/>
        <w:ind w:left="840" w:right="0" w:hanging="360"/>
        <w:jc w:val="left"/>
        <w:rPr>
          <w:sz w:val="24"/>
        </w:rPr>
      </w:pPr>
      <w:r>
        <w:rPr>
          <w:sz w:val="24"/>
        </w:rPr>
        <w:t>Declaración de</w:t>
      </w:r>
      <w:r>
        <w:rPr>
          <w:spacing w:val="-7"/>
          <w:sz w:val="24"/>
        </w:rPr>
        <w:t> </w:t>
      </w:r>
      <w:r>
        <w:rPr>
          <w:sz w:val="24"/>
        </w:rPr>
        <w:t>Helsinki:</w:t>
      </w:r>
    </w:p>
    <w:p>
      <w:pPr>
        <w:pStyle w:val="BodyText"/>
        <w:spacing w:before="8"/>
        <w:rPr>
          <w:sz w:val="29"/>
        </w:rPr>
      </w:pPr>
    </w:p>
    <w:p>
      <w:pPr>
        <w:pStyle w:val="BodyText"/>
        <w:spacing w:line="357" w:lineRule="auto"/>
        <w:ind w:left="1536" w:right="118"/>
        <w:jc w:val="both"/>
      </w:pPr>
      <w:r>
        <w:rPr/>
        <w:t>La Asociación Médica Mundial (AMM) ha promulgado la Declaración de Helsinki como una propuesta de principios éticos para investigación médica en seres humanos, incluida la investigación del material humano y de información identificables.</w:t>
      </w:r>
    </w:p>
    <w:p>
      <w:pPr>
        <w:pStyle w:val="BodyText"/>
      </w:pPr>
    </w:p>
    <w:p>
      <w:pPr>
        <w:pStyle w:val="BodyText"/>
      </w:pPr>
    </w:p>
    <w:p>
      <w:pPr>
        <w:pStyle w:val="BodyText"/>
        <w:spacing w:before="8"/>
        <w:rPr>
          <w:sz w:val="23"/>
        </w:rPr>
      </w:pPr>
    </w:p>
    <w:p>
      <w:pPr>
        <w:pStyle w:val="ListParagraph"/>
        <w:numPr>
          <w:ilvl w:val="0"/>
          <w:numId w:val="11"/>
        </w:numPr>
        <w:tabs>
          <w:tab w:pos="840" w:val="left" w:leader="none"/>
          <w:tab w:pos="841" w:val="left" w:leader="none"/>
        </w:tabs>
        <w:spacing w:line="240" w:lineRule="auto" w:before="0" w:after="0"/>
        <w:ind w:left="840" w:right="0" w:hanging="360"/>
        <w:jc w:val="left"/>
        <w:rPr>
          <w:sz w:val="24"/>
        </w:rPr>
      </w:pPr>
      <w:r>
        <w:rPr>
          <w:sz w:val="24"/>
        </w:rPr>
        <w:t>Declaración de</w:t>
      </w:r>
      <w:r>
        <w:rPr>
          <w:spacing w:val="-8"/>
          <w:sz w:val="24"/>
        </w:rPr>
        <w:t> </w:t>
      </w:r>
      <w:r>
        <w:rPr>
          <w:sz w:val="24"/>
        </w:rPr>
        <w:t>Ginebra:</w:t>
      </w:r>
    </w:p>
    <w:p>
      <w:pPr>
        <w:pStyle w:val="BodyText"/>
        <w:spacing w:before="3"/>
        <w:rPr>
          <w:sz w:val="29"/>
        </w:rPr>
      </w:pPr>
    </w:p>
    <w:p>
      <w:pPr>
        <w:pStyle w:val="BodyText"/>
        <w:spacing w:line="360" w:lineRule="auto"/>
        <w:ind w:left="1536" w:right="122"/>
        <w:jc w:val="both"/>
      </w:pPr>
      <w:r>
        <w:rPr/>
        <w:t>La Asociación Médica Mundial vincula al médico con la fórmula "velar solícitamente y ante todo por la salud de mi paciente”, y el Código Internacional de Ética Médica afirma que: "El médico debe considerar lo mejor para el paciente cuando preste atención médica”.</w:t>
      </w:r>
    </w:p>
    <w:p>
      <w:pPr>
        <w:pStyle w:val="BodyText"/>
      </w:pPr>
    </w:p>
    <w:p>
      <w:pPr>
        <w:pStyle w:val="BodyText"/>
      </w:pPr>
    </w:p>
    <w:p>
      <w:pPr>
        <w:pStyle w:val="BodyText"/>
        <w:spacing w:before="5"/>
        <w:rPr>
          <w:sz w:val="23"/>
        </w:rPr>
      </w:pPr>
    </w:p>
    <w:p>
      <w:pPr>
        <w:pStyle w:val="ListParagraph"/>
        <w:numPr>
          <w:ilvl w:val="0"/>
          <w:numId w:val="11"/>
        </w:numPr>
        <w:tabs>
          <w:tab w:pos="840" w:val="left" w:leader="none"/>
          <w:tab w:pos="841" w:val="left" w:leader="none"/>
        </w:tabs>
        <w:spacing w:line="240" w:lineRule="auto" w:before="0" w:after="0"/>
        <w:ind w:left="840" w:right="0" w:hanging="360"/>
        <w:jc w:val="left"/>
        <w:rPr>
          <w:sz w:val="24"/>
        </w:rPr>
      </w:pPr>
      <w:r>
        <w:rPr>
          <w:sz w:val="24"/>
        </w:rPr>
        <w:t>Consentimiento</w:t>
      </w:r>
      <w:r>
        <w:rPr>
          <w:spacing w:val="-15"/>
          <w:sz w:val="24"/>
        </w:rPr>
        <w:t> </w:t>
      </w:r>
      <w:r>
        <w:rPr>
          <w:sz w:val="24"/>
        </w:rPr>
        <w:t>Informado:</w:t>
      </w:r>
    </w:p>
    <w:p>
      <w:pPr>
        <w:pStyle w:val="BodyText"/>
        <w:spacing w:before="3"/>
        <w:rPr>
          <w:sz w:val="29"/>
        </w:rPr>
      </w:pPr>
    </w:p>
    <w:p>
      <w:pPr>
        <w:pStyle w:val="BodyText"/>
        <w:spacing w:line="360" w:lineRule="auto"/>
        <w:ind w:left="1536" w:right="117"/>
        <w:jc w:val="both"/>
      </w:pPr>
      <w:r>
        <w:rPr/>
        <w:t>El consentimiento informado es la expresión tangible </w:t>
      </w:r>
      <w:r>
        <w:rPr>
          <w:spacing w:val="2"/>
        </w:rPr>
        <w:t>del </w:t>
      </w:r>
      <w:r>
        <w:rPr/>
        <w:t>respeto a la autonomía de las personas en el ámbito de la atención médica y de  la investigación en salud. El consentimiento informado no es un documento, es un proceso continuo y gradual que se da entre el personal de salud y el paciente y que se consolida en un</w:t>
      </w:r>
      <w:r>
        <w:rPr>
          <w:spacing w:val="-25"/>
        </w:rPr>
        <w:t> </w:t>
      </w:r>
      <w:r>
        <w:rPr/>
        <w:t>documento</w:t>
      </w:r>
    </w:p>
    <w:p>
      <w:pPr>
        <w:pStyle w:val="BodyText"/>
      </w:pPr>
    </w:p>
    <w:p>
      <w:pPr>
        <w:pStyle w:val="BodyText"/>
      </w:pPr>
    </w:p>
    <w:p>
      <w:pPr>
        <w:pStyle w:val="BodyText"/>
        <w:spacing w:before="5"/>
        <w:rPr>
          <w:sz w:val="23"/>
        </w:rPr>
      </w:pPr>
    </w:p>
    <w:p>
      <w:pPr>
        <w:pStyle w:val="ListParagraph"/>
        <w:numPr>
          <w:ilvl w:val="0"/>
          <w:numId w:val="11"/>
        </w:numPr>
        <w:tabs>
          <w:tab w:pos="841" w:val="left" w:leader="none"/>
        </w:tabs>
        <w:spacing w:line="357" w:lineRule="auto" w:before="0" w:after="0"/>
        <w:ind w:left="840" w:right="126" w:hanging="360"/>
        <w:jc w:val="both"/>
        <w:rPr>
          <w:sz w:val="24"/>
        </w:rPr>
      </w:pPr>
      <w:r>
        <w:rPr>
          <w:sz w:val="24"/>
        </w:rPr>
        <w:t>Guía Nacional para la Integración y el Funcionamiento de los Comités de Hospitalarios de Bioética. Comisión Nacional de Bioética. Secretaria de Salud, 2010. pp.</w:t>
      </w:r>
      <w:r>
        <w:rPr>
          <w:spacing w:val="-7"/>
          <w:sz w:val="24"/>
        </w:rPr>
        <w:t> </w:t>
      </w:r>
      <w:r>
        <w:rPr>
          <w:sz w:val="24"/>
        </w:rPr>
        <w:t>60</w:t>
      </w:r>
    </w:p>
    <w:p>
      <w:pPr>
        <w:pStyle w:val="BodyText"/>
      </w:pPr>
    </w:p>
    <w:p>
      <w:pPr>
        <w:pStyle w:val="ListParagraph"/>
        <w:numPr>
          <w:ilvl w:val="0"/>
          <w:numId w:val="11"/>
        </w:numPr>
        <w:tabs>
          <w:tab w:pos="840" w:val="left" w:leader="none"/>
          <w:tab w:pos="841" w:val="left" w:leader="none"/>
        </w:tabs>
        <w:spacing w:line="240" w:lineRule="auto" w:before="141" w:after="0"/>
        <w:ind w:left="840" w:right="0" w:hanging="360"/>
        <w:jc w:val="left"/>
        <w:rPr>
          <w:sz w:val="24"/>
        </w:rPr>
      </w:pPr>
      <w:r>
        <w:rPr>
          <w:sz w:val="24"/>
        </w:rPr>
        <w:t>Norma Oficial Mexicana NOM-004-SSA3-2012, Del expediente</w:t>
      </w:r>
      <w:r>
        <w:rPr>
          <w:spacing w:val="-11"/>
          <w:sz w:val="24"/>
        </w:rPr>
        <w:t> </w:t>
      </w:r>
      <w:r>
        <w:rPr>
          <w:sz w:val="24"/>
        </w:rPr>
        <w:t>clínico.</w:t>
      </w:r>
    </w:p>
    <w:p>
      <w:pPr>
        <w:spacing w:after="0" w:line="240" w:lineRule="auto"/>
        <w:jc w:val="left"/>
        <w:rPr>
          <w:sz w:val="24"/>
        </w:rPr>
        <w:sectPr>
          <w:pgSz w:w="12240" w:h="15840"/>
          <w:pgMar w:header="0" w:footer="966" w:top="1360" w:bottom="1220" w:left="1580" w:right="1580"/>
        </w:sectPr>
      </w:pPr>
    </w:p>
    <w:p>
      <w:pPr>
        <w:pStyle w:val="ListParagraph"/>
        <w:numPr>
          <w:ilvl w:val="0"/>
          <w:numId w:val="11"/>
        </w:numPr>
        <w:tabs>
          <w:tab w:pos="840" w:val="left" w:leader="none"/>
          <w:tab w:pos="841" w:val="left" w:leader="none"/>
        </w:tabs>
        <w:spacing w:line="355" w:lineRule="auto" w:before="30" w:after="0"/>
        <w:ind w:left="840" w:right="118" w:hanging="360"/>
        <w:jc w:val="left"/>
        <w:rPr>
          <w:sz w:val="24"/>
        </w:rPr>
      </w:pPr>
      <w:r>
        <w:rPr>
          <w:sz w:val="24"/>
        </w:rPr>
        <w:t>Pre-competition medical assessment (PCMA), F-marc Football for Health, 2007</w:t>
      </w:r>
      <w:r>
        <w:rPr>
          <w:spacing w:val="-4"/>
          <w:sz w:val="24"/>
        </w:rPr>
        <w:t> </w:t>
      </w:r>
      <w:r>
        <w:rPr>
          <w:sz w:val="24"/>
        </w:rPr>
        <w:t>FIFA.</w:t>
      </w:r>
    </w:p>
    <w:p>
      <w:pPr>
        <w:pStyle w:val="BodyText"/>
      </w:pPr>
    </w:p>
    <w:p>
      <w:pPr>
        <w:pStyle w:val="BodyText"/>
        <w:spacing w:before="9"/>
        <w:rPr>
          <w:sz w:val="21"/>
        </w:rPr>
      </w:pPr>
    </w:p>
    <w:p>
      <w:pPr>
        <w:pStyle w:val="BodyText"/>
        <w:spacing w:line="271" w:lineRule="auto"/>
        <w:ind w:left="119" w:right="130"/>
      </w:pPr>
      <w:r>
        <w:rPr/>
        <w:t>Dando cumplimiento a lo anterior se cuenta con un consentimiento informado (Ver Anexo 2).</w:t>
      </w:r>
    </w:p>
    <w:p>
      <w:pPr>
        <w:pStyle w:val="BodyText"/>
      </w:pPr>
    </w:p>
    <w:p>
      <w:pPr>
        <w:pStyle w:val="BodyText"/>
      </w:pPr>
    </w:p>
    <w:p>
      <w:pPr>
        <w:pStyle w:val="BodyText"/>
      </w:pPr>
    </w:p>
    <w:p>
      <w:pPr>
        <w:pStyle w:val="Heading1"/>
        <w:numPr>
          <w:ilvl w:val="0"/>
          <w:numId w:val="4"/>
        </w:numPr>
        <w:tabs>
          <w:tab w:pos="543" w:val="left" w:leader="none"/>
        </w:tabs>
        <w:spacing w:line="240" w:lineRule="auto" w:before="177" w:after="0"/>
        <w:ind w:left="542" w:right="0" w:hanging="423"/>
        <w:jc w:val="left"/>
      </w:pPr>
      <w:bookmarkStart w:name="_bookmark31" w:id="60"/>
      <w:bookmarkEnd w:id="60"/>
      <w:r>
        <w:rPr>
          <w:b w:val="0"/>
        </w:rPr>
      </w:r>
      <w:bookmarkStart w:name="_bookmark31" w:id="61"/>
      <w:bookmarkEnd w:id="61"/>
      <w:r>
        <w:rPr/>
        <w:t>OR</w:t>
      </w:r>
      <w:r>
        <w:rPr/>
        <w:t>GANIZACIÓN</w:t>
      </w:r>
    </w:p>
    <w:p>
      <w:pPr>
        <w:pStyle w:val="BodyText"/>
        <w:spacing w:line="535" w:lineRule="auto" w:before="41"/>
        <w:ind w:left="119" w:right="5019"/>
      </w:pPr>
      <w:r>
        <w:rPr/>
        <w:t>Tesista: M.C. Iván Rodríguez Patiño. Directores de Tesis:</w:t>
      </w:r>
    </w:p>
    <w:p>
      <w:pPr>
        <w:pStyle w:val="BodyText"/>
        <w:spacing w:before="8"/>
        <w:ind w:left="119" w:right="130"/>
      </w:pPr>
      <w:r>
        <w:rPr/>
        <w:t>M.S.P. Salvador López Rodríguez</w:t>
      </w:r>
    </w:p>
    <w:p>
      <w:pPr>
        <w:pStyle w:val="BodyText"/>
        <w:spacing w:before="5"/>
        <w:rPr>
          <w:sz w:val="29"/>
        </w:rPr>
      </w:pPr>
    </w:p>
    <w:p>
      <w:pPr>
        <w:pStyle w:val="BodyText"/>
        <w:ind w:left="119" w:right="130"/>
      </w:pPr>
      <w:r>
        <w:rPr/>
        <w:t>E.M.A.F. y D. José Antonio Aguilar Becerril</w:t>
      </w:r>
    </w:p>
    <w:p>
      <w:pPr>
        <w:pStyle w:val="BodyText"/>
      </w:pPr>
    </w:p>
    <w:p>
      <w:pPr>
        <w:pStyle w:val="BodyText"/>
      </w:pPr>
    </w:p>
    <w:p>
      <w:pPr>
        <w:pStyle w:val="BodyText"/>
      </w:pPr>
    </w:p>
    <w:p>
      <w:pPr>
        <w:pStyle w:val="BodyText"/>
        <w:spacing w:before="1"/>
        <w:rPr>
          <w:sz w:val="35"/>
        </w:rPr>
      </w:pPr>
    </w:p>
    <w:p>
      <w:pPr>
        <w:pStyle w:val="Heading1"/>
        <w:numPr>
          <w:ilvl w:val="0"/>
          <w:numId w:val="4"/>
        </w:numPr>
        <w:tabs>
          <w:tab w:pos="610" w:val="left" w:leader="none"/>
        </w:tabs>
        <w:spacing w:line="240" w:lineRule="auto" w:before="0" w:after="0"/>
        <w:ind w:left="609" w:right="0" w:hanging="490"/>
        <w:jc w:val="left"/>
      </w:pPr>
      <w:bookmarkStart w:name="_bookmark32" w:id="62"/>
      <w:bookmarkEnd w:id="62"/>
      <w:r>
        <w:rPr>
          <w:b w:val="0"/>
        </w:rPr>
      </w:r>
      <w:bookmarkStart w:name="_bookmark32" w:id="63"/>
      <w:bookmarkEnd w:id="63"/>
      <w:r>
        <w:rPr/>
        <w:t>P</w:t>
      </w:r>
      <w:r>
        <w:rPr/>
        <w:t>RESUPUESTO Y</w:t>
      </w:r>
      <w:r>
        <w:rPr>
          <w:spacing w:val="-4"/>
        </w:rPr>
        <w:t> </w:t>
      </w:r>
      <w:r>
        <w:rPr/>
        <w:t>FINANCIAMIENTO</w:t>
      </w:r>
    </w:p>
    <w:p>
      <w:pPr>
        <w:pStyle w:val="BodyText"/>
        <w:rPr>
          <w:b/>
        </w:rPr>
      </w:pPr>
    </w:p>
    <w:p>
      <w:pPr>
        <w:pStyle w:val="BodyText"/>
        <w:spacing w:before="11"/>
        <w:rPr>
          <w:b/>
          <w:sz w:val="32"/>
        </w:rPr>
      </w:pPr>
    </w:p>
    <w:p>
      <w:pPr>
        <w:pStyle w:val="BodyText"/>
        <w:ind w:left="119" w:right="130"/>
      </w:pPr>
      <w:r>
        <w:rPr/>
        <w:t>Financiamiento</w:t>
      </w:r>
    </w:p>
    <w:p>
      <w:pPr>
        <w:pStyle w:val="BodyText"/>
        <w:spacing w:before="10"/>
        <w:rPr>
          <w:sz w:val="29"/>
        </w:rPr>
      </w:pPr>
    </w:p>
    <w:p>
      <w:pPr>
        <w:pStyle w:val="BodyText"/>
        <w:ind w:left="825"/>
      </w:pPr>
      <w:r>
        <w:rPr/>
        <w:t>A  cargo  del  futbolista,  club  o  institución  con  un  costo  por  estudio    de</w:t>
      </w:r>
    </w:p>
    <w:p>
      <w:pPr>
        <w:pStyle w:val="BodyText"/>
        <w:spacing w:before="132"/>
        <w:ind w:left="119" w:right="130"/>
      </w:pPr>
      <w:r>
        <w:rPr/>
        <w:t>$800.00c/u</w:t>
      </w:r>
    </w:p>
    <w:p>
      <w:pPr>
        <w:pStyle w:val="BodyText"/>
        <w:spacing w:before="9"/>
        <w:rPr>
          <w:sz w:val="29"/>
        </w:rPr>
      </w:pPr>
    </w:p>
    <w:p>
      <w:pPr>
        <w:pStyle w:val="BodyText"/>
        <w:spacing w:line="355" w:lineRule="auto"/>
        <w:ind w:left="119" w:right="130"/>
      </w:pPr>
      <w:r>
        <w:rPr/>
        <w:t>Papelería: a cargo del Tesista. M.C. Iván Rodríguez Patiño con un costo aproximado de $1000 total.</w:t>
      </w:r>
    </w:p>
    <w:p>
      <w:pPr>
        <w:spacing w:after="0" w:line="355" w:lineRule="auto"/>
        <w:sectPr>
          <w:pgSz w:w="12240" w:h="15840"/>
          <w:pgMar w:header="0" w:footer="966" w:top="1380" w:bottom="1220" w:left="1580" w:right="1580"/>
        </w:sectPr>
      </w:pPr>
    </w:p>
    <w:p>
      <w:pPr>
        <w:pStyle w:val="Heading1"/>
        <w:numPr>
          <w:ilvl w:val="0"/>
          <w:numId w:val="4"/>
        </w:numPr>
        <w:tabs>
          <w:tab w:pos="475" w:val="left" w:leader="none"/>
        </w:tabs>
        <w:spacing w:line="240" w:lineRule="auto" w:before="47" w:after="0"/>
        <w:ind w:left="474" w:right="0" w:hanging="355"/>
        <w:jc w:val="left"/>
      </w:pPr>
      <w:bookmarkStart w:name="_TOC_250002" w:id="64"/>
      <w:bookmarkEnd w:id="64"/>
      <w:r>
        <w:rPr/>
        <w:t>RESULTADOS</w:t>
      </w:r>
    </w:p>
    <w:p>
      <w:pPr>
        <w:pStyle w:val="BodyText"/>
        <w:rPr>
          <w:b/>
        </w:rPr>
      </w:pPr>
    </w:p>
    <w:p>
      <w:pPr>
        <w:pStyle w:val="BodyText"/>
        <w:spacing w:before="202"/>
        <w:ind w:left="119" w:right="130"/>
      </w:pPr>
      <w:r>
        <w:rPr/>
        <w:t>Cuadro 1.  Cuadro estadístico de futbolistas asociación pretemporada 2015</w:t>
      </w:r>
    </w:p>
    <w:p>
      <w:pPr>
        <w:pStyle w:val="BodyText"/>
        <w:rPr>
          <w:sz w:val="20"/>
        </w:rPr>
      </w:pPr>
    </w:p>
    <w:p>
      <w:pPr>
        <w:pStyle w:val="BodyText"/>
        <w:rPr>
          <w:sz w:val="20"/>
        </w:rPr>
      </w:pPr>
    </w:p>
    <w:p>
      <w:pPr>
        <w:pStyle w:val="BodyText"/>
        <w:spacing w:before="11"/>
        <w:rPr>
          <w:sz w:val="15"/>
        </w:rPr>
      </w:pPr>
    </w:p>
    <w:tbl>
      <w:tblPr>
        <w:tblW w:w="0" w:type="auto"/>
        <w:jc w:val="left"/>
        <w:tblInd w:w="120"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top w:w="0" w:type="dxa"/>
          <w:left w:w="0" w:type="dxa"/>
          <w:bottom w:w="0" w:type="dxa"/>
          <w:right w:w="0" w:type="dxa"/>
        </w:tblCellMar>
        <w:tblLook w:val="01E0"/>
      </w:tblPr>
      <w:tblGrid>
        <w:gridCol w:w="803"/>
        <w:gridCol w:w="802"/>
        <w:gridCol w:w="803"/>
        <w:gridCol w:w="803"/>
        <w:gridCol w:w="802"/>
        <w:gridCol w:w="803"/>
        <w:gridCol w:w="803"/>
        <w:gridCol w:w="802"/>
        <w:gridCol w:w="803"/>
        <w:gridCol w:w="803"/>
        <w:gridCol w:w="802"/>
      </w:tblGrid>
      <w:tr>
        <w:trPr>
          <w:trHeight w:val="1126" w:hRule="exact"/>
        </w:trPr>
        <w:tc>
          <w:tcPr>
            <w:tcW w:w="803" w:type="dxa"/>
            <w:tcBorders>
              <w:top w:val="single" w:sz="5" w:space="0" w:color="D3D3D3"/>
              <w:left w:val="single" w:sz="4" w:space="0" w:color="D3D3D3"/>
              <w:right w:val="single" w:sz="4" w:space="0" w:color="D3D3D3"/>
            </w:tcBorders>
          </w:tcPr>
          <w:p>
            <w:pPr>
              <w:pStyle w:val="TableParagraph"/>
              <w:spacing w:before="0"/>
              <w:ind w:left="0" w:right="0"/>
              <w:jc w:val="left"/>
              <w:rPr>
                <w:rFonts w:ascii="Arial"/>
                <w:sz w:val="20"/>
              </w:rPr>
            </w:pPr>
          </w:p>
          <w:p>
            <w:pPr>
              <w:pStyle w:val="TableParagraph"/>
              <w:spacing w:before="8"/>
              <w:ind w:left="0" w:right="0"/>
              <w:jc w:val="left"/>
              <w:rPr>
                <w:rFonts w:ascii="Arial"/>
                <w:sz w:val="17"/>
              </w:rPr>
            </w:pPr>
          </w:p>
          <w:p>
            <w:pPr>
              <w:pStyle w:val="TableParagraph"/>
              <w:spacing w:before="0"/>
              <w:ind w:right="20"/>
              <w:rPr>
                <w:sz w:val="21"/>
              </w:rPr>
            </w:pPr>
            <w:r>
              <w:rPr>
                <w:w w:val="75"/>
                <w:sz w:val="21"/>
              </w:rPr>
              <w:t>POSICIÓN</w:t>
            </w:r>
          </w:p>
        </w:tc>
        <w:tc>
          <w:tcPr>
            <w:tcW w:w="802" w:type="dxa"/>
            <w:tcBorders>
              <w:top w:val="single" w:sz="5" w:space="0" w:color="D3D3D3"/>
              <w:left w:val="single" w:sz="4" w:space="0" w:color="D3D3D3"/>
              <w:right w:val="single" w:sz="4" w:space="0" w:color="D3D3D3"/>
            </w:tcBorders>
          </w:tcPr>
          <w:p>
            <w:pPr>
              <w:pStyle w:val="TableParagraph"/>
              <w:spacing w:before="0"/>
              <w:ind w:left="0" w:right="0"/>
              <w:jc w:val="left"/>
              <w:rPr>
                <w:rFonts w:ascii="Arial"/>
                <w:sz w:val="20"/>
              </w:rPr>
            </w:pPr>
          </w:p>
          <w:p>
            <w:pPr>
              <w:pStyle w:val="TableParagraph"/>
              <w:spacing w:before="8"/>
              <w:ind w:left="0" w:right="0"/>
              <w:jc w:val="left"/>
              <w:rPr>
                <w:rFonts w:ascii="Arial"/>
                <w:sz w:val="17"/>
              </w:rPr>
            </w:pPr>
          </w:p>
          <w:p>
            <w:pPr>
              <w:pStyle w:val="TableParagraph"/>
              <w:spacing w:before="0"/>
              <w:ind w:left="193" w:right="197"/>
              <w:rPr>
                <w:sz w:val="21"/>
              </w:rPr>
            </w:pPr>
            <w:r>
              <w:rPr>
                <w:w w:val="75"/>
                <w:sz w:val="21"/>
              </w:rPr>
              <w:t>EDAD</w:t>
            </w:r>
          </w:p>
        </w:tc>
        <w:tc>
          <w:tcPr>
            <w:tcW w:w="803" w:type="dxa"/>
            <w:tcBorders>
              <w:top w:val="single" w:sz="5" w:space="0" w:color="D3D3D3"/>
              <w:left w:val="single" w:sz="4" w:space="0" w:color="D3D3D3"/>
              <w:right w:val="single" w:sz="4" w:space="0" w:color="D3D3D3"/>
            </w:tcBorders>
          </w:tcPr>
          <w:p>
            <w:pPr>
              <w:pStyle w:val="TableParagraph"/>
              <w:spacing w:line="264" w:lineRule="auto" w:before="152"/>
              <w:ind w:right="23"/>
              <w:rPr>
                <w:sz w:val="21"/>
              </w:rPr>
            </w:pPr>
            <w:r>
              <w:rPr>
                <w:w w:val="70"/>
                <w:sz w:val="21"/>
              </w:rPr>
              <w:t>TIEMPO DE </w:t>
            </w:r>
            <w:r>
              <w:rPr>
                <w:w w:val="65"/>
                <w:sz w:val="21"/>
              </w:rPr>
              <w:t>ENTRENAMIE </w:t>
            </w:r>
            <w:r>
              <w:rPr>
                <w:w w:val="75"/>
                <w:sz w:val="21"/>
              </w:rPr>
              <w:t>NTO</w:t>
            </w:r>
          </w:p>
        </w:tc>
        <w:tc>
          <w:tcPr>
            <w:tcW w:w="803" w:type="dxa"/>
            <w:tcBorders>
              <w:top w:val="single" w:sz="5" w:space="0" w:color="D3D3D3"/>
              <w:left w:val="single" w:sz="4" w:space="0" w:color="D3D3D3"/>
              <w:right w:val="single" w:sz="4" w:space="0" w:color="D3D3D3"/>
            </w:tcBorders>
          </w:tcPr>
          <w:p>
            <w:pPr>
              <w:pStyle w:val="TableParagraph"/>
              <w:spacing w:before="0"/>
              <w:ind w:left="0" w:right="0"/>
              <w:jc w:val="left"/>
              <w:rPr>
                <w:rFonts w:ascii="Arial"/>
                <w:sz w:val="20"/>
              </w:rPr>
            </w:pPr>
          </w:p>
          <w:p>
            <w:pPr>
              <w:pStyle w:val="TableParagraph"/>
              <w:spacing w:before="8"/>
              <w:ind w:left="0" w:right="0"/>
              <w:jc w:val="left"/>
              <w:rPr>
                <w:rFonts w:ascii="Arial"/>
                <w:sz w:val="17"/>
              </w:rPr>
            </w:pPr>
          </w:p>
          <w:p>
            <w:pPr>
              <w:pStyle w:val="TableParagraph"/>
              <w:spacing w:before="0"/>
              <w:ind w:left="101" w:right="106"/>
              <w:rPr>
                <w:sz w:val="21"/>
              </w:rPr>
            </w:pPr>
            <w:r>
              <w:rPr>
                <w:w w:val="65"/>
                <w:sz w:val="21"/>
              </w:rPr>
              <w:t>VO2 REAL</w:t>
            </w:r>
          </w:p>
        </w:tc>
        <w:tc>
          <w:tcPr>
            <w:tcW w:w="802" w:type="dxa"/>
            <w:tcBorders>
              <w:top w:val="single" w:sz="5" w:space="0" w:color="D3D3D3"/>
              <w:left w:val="single" w:sz="4" w:space="0" w:color="D3D3D3"/>
              <w:right w:val="single" w:sz="4" w:space="0" w:color="D3D3D3"/>
            </w:tcBorders>
          </w:tcPr>
          <w:p>
            <w:pPr>
              <w:pStyle w:val="TableParagraph"/>
              <w:spacing w:before="0"/>
              <w:ind w:left="0" w:right="0"/>
              <w:jc w:val="left"/>
              <w:rPr>
                <w:rFonts w:ascii="Arial"/>
                <w:sz w:val="20"/>
              </w:rPr>
            </w:pPr>
          </w:p>
          <w:p>
            <w:pPr>
              <w:pStyle w:val="TableParagraph"/>
              <w:spacing w:before="8"/>
              <w:ind w:left="0" w:right="0"/>
              <w:jc w:val="left"/>
              <w:rPr>
                <w:rFonts w:ascii="Arial"/>
                <w:sz w:val="17"/>
              </w:rPr>
            </w:pPr>
          </w:p>
          <w:p>
            <w:pPr>
              <w:pStyle w:val="TableParagraph"/>
              <w:spacing w:before="0"/>
              <w:ind w:left="163" w:right="173"/>
              <w:rPr>
                <w:sz w:val="21"/>
              </w:rPr>
            </w:pPr>
            <w:r>
              <w:rPr>
                <w:w w:val="75"/>
                <w:sz w:val="21"/>
              </w:rPr>
              <w:t>ETAPA</w:t>
            </w:r>
          </w:p>
        </w:tc>
        <w:tc>
          <w:tcPr>
            <w:tcW w:w="803" w:type="dxa"/>
            <w:tcBorders>
              <w:top w:val="single" w:sz="5" w:space="0" w:color="D3D3D3"/>
              <w:left w:val="single" w:sz="4" w:space="0" w:color="D3D3D3"/>
              <w:right w:val="single" w:sz="4" w:space="0" w:color="D3D3D3"/>
            </w:tcBorders>
          </w:tcPr>
          <w:p>
            <w:pPr>
              <w:pStyle w:val="TableParagraph"/>
              <w:spacing w:before="5"/>
              <w:ind w:left="0" w:right="0"/>
              <w:jc w:val="left"/>
              <w:rPr>
                <w:rFonts w:ascii="Arial"/>
                <w:sz w:val="25"/>
              </w:rPr>
            </w:pPr>
          </w:p>
          <w:p>
            <w:pPr>
              <w:pStyle w:val="TableParagraph"/>
              <w:spacing w:line="264" w:lineRule="auto" w:before="1"/>
              <w:ind w:left="45" w:firstLine="282"/>
              <w:jc w:val="left"/>
              <w:rPr>
                <w:sz w:val="21"/>
              </w:rPr>
            </w:pPr>
            <w:r>
              <w:rPr>
                <w:w w:val="75"/>
                <w:sz w:val="21"/>
              </w:rPr>
              <w:t>FC </w:t>
            </w:r>
            <w:r>
              <w:rPr>
                <w:w w:val="65"/>
                <w:sz w:val="21"/>
              </w:rPr>
              <w:t>ALCANZADA</w:t>
            </w:r>
          </w:p>
        </w:tc>
        <w:tc>
          <w:tcPr>
            <w:tcW w:w="803" w:type="dxa"/>
            <w:tcBorders>
              <w:top w:val="single" w:sz="5" w:space="0" w:color="D3D3D3"/>
              <w:left w:val="single" w:sz="4" w:space="0" w:color="D3D3D3"/>
              <w:right w:val="single" w:sz="4" w:space="0" w:color="D3D3D3"/>
            </w:tcBorders>
          </w:tcPr>
          <w:p>
            <w:pPr>
              <w:pStyle w:val="TableParagraph"/>
              <w:spacing w:before="5"/>
              <w:ind w:left="0" w:right="0"/>
              <w:jc w:val="left"/>
              <w:rPr>
                <w:rFonts w:ascii="Arial"/>
                <w:sz w:val="25"/>
              </w:rPr>
            </w:pPr>
          </w:p>
          <w:p>
            <w:pPr>
              <w:pStyle w:val="TableParagraph"/>
              <w:spacing w:line="264" w:lineRule="auto" w:before="1"/>
              <w:ind w:left="72" w:right="65" w:firstLine="136"/>
              <w:jc w:val="left"/>
              <w:rPr>
                <w:sz w:val="21"/>
              </w:rPr>
            </w:pPr>
            <w:r>
              <w:rPr>
                <w:w w:val="75"/>
                <w:sz w:val="21"/>
              </w:rPr>
              <w:t>DOBLE </w:t>
            </w:r>
            <w:r>
              <w:rPr>
                <w:w w:val="65"/>
                <w:sz w:val="21"/>
              </w:rPr>
              <w:t>PRODUCTO</w:t>
            </w:r>
          </w:p>
        </w:tc>
        <w:tc>
          <w:tcPr>
            <w:tcW w:w="802" w:type="dxa"/>
            <w:tcBorders>
              <w:top w:val="single" w:sz="5" w:space="0" w:color="D3D3D3"/>
              <w:left w:val="single" w:sz="4" w:space="0" w:color="D3D3D3"/>
              <w:right w:val="single" w:sz="4" w:space="0" w:color="D3D3D3"/>
            </w:tcBorders>
          </w:tcPr>
          <w:p>
            <w:pPr>
              <w:pStyle w:val="TableParagraph"/>
              <w:spacing w:before="5"/>
              <w:ind w:left="0" w:right="0"/>
              <w:jc w:val="left"/>
              <w:rPr>
                <w:rFonts w:ascii="Arial"/>
                <w:sz w:val="25"/>
              </w:rPr>
            </w:pPr>
          </w:p>
          <w:p>
            <w:pPr>
              <w:pStyle w:val="TableParagraph"/>
              <w:spacing w:line="264" w:lineRule="auto" w:before="1"/>
              <w:ind w:left="45" w:firstLine="246"/>
              <w:jc w:val="left"/>
              <w:rPr>
                <w:sz w:val="21"/>
              </w:rPr>
            </w:pPr>
            <w:r>
              <w:rPr>
                <w:w w:val="75"/>
                <w:sz w:val="21"/>
              </w:rPr>
              <w:t>T/A </w:t>
            </w:r>
            <w:r>
              <w:rPr>
                <w:w w:val="65"/>
                <w:sz w:val="21"/>
              </w:rPr>
              <w:t>ALCANZADA</w:t>
            </w:r>
          </w:p>
        </w:tc>
        <w:tc>
          <w:tcPr>
            <w:tcW w:w="803" w:type="dxa"/>
            <w:tcBorders>
              <w:top w:val="single" w:sz="5" w:space="0" w:color="D3D3D3"/>
              <w:left w:val="single" w:sz="4" w:space="0" w:color="D3D3D3"/>
              <w:right w:val="single" w:sz="4" w:space="0" w:color="D3D3D3"/>
            </w:tcBorders>
          </w:tcPr>
          <w:p>
            <w:pPr>
              <w:pStyle w:val="TableParagraph"/>
              <w:spacing w:line="264" w:lineRule="auto" w:before="152"/>
              <w:ind w:right="29"/>
              <w:rPr>
                <w:sz w:val="21"/>
              </w:rPr>
            </w:pPr>
            <w:r>
              <w:rPr>
                <w:w w:val="75"/>
                <w:sz w:val="21"/>
              </w:rPr>
              <w:t>T/A </w:t>
            </w:r>
            <w:r>
              <w:rPr>
                <w:w w:val="65"/>
                <w:sz w:val="21"/>
              </w:rPr>
              <w:t>SISTOLICA ALCANZADA</w:t>
            </w:r>
          </w:p>
        </w:tc>
        <w:tc>
          <w:tcPr>
            <w:tcW w:w="803" w:type="dxa"/>
            <w:tcBorders>
              <w:top w:val="single" w:sz="5" w:space="0" w:color="D3D3D3"/>
              <w:left w:val="single" w:sz="4" w:space="0" w:color="D3D3D3"/>
              <w:right w:val="single" w:sz="4" w:space="0" w:color="D3D3D3"/>
            </w:tcBorders>
          </w:tcPr>
          <w:p>
            <w:pPr>
              <w:pStyle w:val="TableParagraph"/>
              <w:spacing w:line="264" w:lineRule="auto" w:before="152"/>
              <w:ind w:right="18" w:firstLine="72"/>
              <w:jc w:val="both"/>
              <w:rPr>
                <w:sz w:val="21"/>
              </w:rPr>
            </w:pPr>
            <w:r>
              <w:rPr>
                <w:w w:val="70"/>
                <w:sz w:val="21"/>
              </w:rPr>
              <w:t>CONSUMO </w:t>
            </w:r>
            <w:r>
              <w:rPr>
                <w:w w:val="65"/>
                <w:sz w:val="21"/>
              </w:rPr>
              <w:t>MIOCARDICO DE OXIGENO</w:t>
            </w:r>
          </w:p>
        </w:tc>
        <w:tc>
          <w:tcPr>
            <w:tcW w:w="802" w:type="dxa"/>
            <w:tcBorders>
              <w:top w:val="single" w:sz="5" w:space="0" w:color="D3D3D3"/>
              <w:left w:val="single" w:sz="4" w:space="0" w:color="D3D3D3"/>
              <w:right w:val="single" w:sz="4" w:space="0" w:color="D3D3D3"/>
            </w:tcBorders>
          </w:tcPr>
          <w:p>
            <w:pPr>
              <w:pStyle w:val="TableParagraph"/>
              <w:spacing w:line="264" w:lineRule="auto" w:before="152"/>
              <w:ind w:right="29" w:firstLine="100"/>
              <w:jc w:val="both"/>
              <w:rPr>
                <w:sz w:val="21"/>
              </w:rPr>
            </w:pPr>
            <w:r>
              <w:rPr>
                <w:w w:val="70"/>
                <w:sz w:val="21"/>
              </w:rPr>
              <w:t>INDICE DE EFICIENCIA </w:t>
            </w:r>
            <w:r>
              <w:rPr>
                <w:w w:val="65"/>
                <w:sz w:val="21"/>
              </w:rPr>
              <w:t>MIOCARDICA</w:t>
            </w:r>
          </w:p>
        </w:tc>
      </w:tr>
      <w:tr>
        <w:trPr>
          <w:trHeight w:val="281" w:hRule="exact"/>
        </w:trPr>
        <w:tc>
          <w:tcPr>
            <w:tcW w:w="803" w:type="dxa"/>
            <w:tcBorders>
              <w:left w:val="single" w:sz="4" w:space="0" w:color="D3D3D3"/>
              <w:right w:val="single" w:sz="4" w:space="0" w:color="D3D3D3"/>
            </w:tcBorders>
          </w:tcPr>
          <w:p>
            <w:pPr>
              <w:pStyle w:val="TableParagraph"/>
              <w:spacing w:before="11"/>
              <w:ind w:right="10"/>
              <w:rPr>
                <w:sz w:val="21"/>
              </w:rPr>
            </w:pPr>
            <w:r>
              <w:rPr>
                <w:w w:val="70"/>
                <w:sz w:val="21"/>
              </w:rPr>
              <w:t>PORTERO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31</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26</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192</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26880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140/80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140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31.332</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5.7</w:t>
            </w:r>
          </w:p>
        </w:tc>
      </w:tr>
      <w:tr>
        <w:trPr>
          <w:trHeight w:val="281" w:hRule="exact"/>
        </w:trPr>
        <w:tc>
          <w:tcPr>
            <w:tcW w:w="803" w:type="dxa"/>
            <w:tcBorders>
              <w:left w:val="single" w:sz="4" w:space="0" w:color="D3D3D3"/>
              <w:right w:val="single" w:sz="4" w:space="0" w:color="D3D3D3"/>
            </w:tcBorders>
          </w:tcPr>
          <w:p>
            <w:pPr>
              <w:pStyle w:val="TableParagraph"/>
              <w:spacing w:before="11"/>
              <w:ind w:right="10"/>
              <w:rPr>
                <w:sz w:val="21"/>
              </w:rPr>
            </w:pPr>
            <w:r>
              <w:rPr>
                <w:w w:val="70"/>
                <w:sz w:val="21"/>
              </w:rPr>
              <w:t>PORTERO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25</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21</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46.19</w:t>
            </w:r>
          </w:p>
        </w:tc>
        <w:tc>
          <w:tcPr>
            <w:tcW w:w="802" w:type="dxa"/>
            <w:tcBorders>
              <w:left w:val="single" w:sz="4" w:space="0" w:color="D3D3D3"/>
              <w:right w:val="single" w:sz="4" w:space="0" w:color="D3D3D3"/>
            </w:tcBorders>
          </w:tcPr>
          <w:p>
            <w:pPr>
              <w:pStyle w:val="TableParagraph"/>
              <w:spacing w:before="11"/>
              <w:ind w:left="163" w:right="161"/>
              <w:rPr>
                <w:sz w:val="21"/>
              </w:rPr>
            </w:pPr>
            <w:r>
              <w:rPr>
                <w:w w:val="75"/>
                <w:sz w:val="21"/>
              </w:rPr>
              <w:t>VI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186</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26040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140/80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140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30.156</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6.5</w:t>
            </w:r>
          </w:p>
        </w:tc>
      </w:tr>
      <w:tr>
        <w:trPr>
          <w:trHeight w:val="281" w:hRule="exact"/>
        </w:trPr>
        <w:tc>
          <w:tcPr>
            <w:tcW w:w="803" w:type="dxa"/>
            <w:tcBorders>
              <w:left w:val="single" w:sz="4" w:space="0" w:color="D3D3D3"/>
              <w:right w:val="single" w:sz="4" w:space="0" w:color="D3D3D3"/>
            </w:tcBorders>
          </w:tcPr>
          <w:p>
            <w:pPr>
              <w:pStyle w:val="TableParagraph"/>
              <w:spacing w:before="11"/>
              <w:ind w:right="13"/>
              <w:rPr>
                <w:sz w:val="21"/>
              </w:rPr>
            </w:pPr>
            <w:r>
              <w:rPr>
                <w:w w:val="75"/>
                <w:sz w:val="21"/>
              </w:rPr>
              <w:t>DEFENSA</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22</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18</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182</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23660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130/90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26.824</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4.9</w:t>
            </w:r>
          </w:p>
        </w:tc>
      </w:tr>
      <w:tr>
        <w:trPr>
          <w:trHeight w:val="281" w:hRule="exact"/>
        </w:trPr>
        <w:tc>
          <w:tcPr>
            <w:tcW w:w="803" w:type="dxa"/>
            <w:tcBorders>
              <w:left w:val="single" w:sz="4" w:space="0" w:color="D3D3D3"/>
              <w:right w:val="single" w:sz="4" w:space="0" w:color="D3D3D3"/>
            </w:tcBorders>
          </w:tcPr>
          <w:p>
            <w:pPr>
              <w:pStyle w:val="TableParagraph"/>
              <w:spacing w:before="11"/>
              <w:ind w:right="13"/>
              <w:rPr>
                <w:sz w:val="21"/>
              </w:rPr>
            </w:pPr>
            <w:r>
              <w:rPr>
                <w:w w:val="75"/>
                <w:sz w:val="21"/>
              </w:rPr>
              <w:t>DEFENSA</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29</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25</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168</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23520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140/80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140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26.628</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4.9</w:t>
            </w:r>
          </w:p>
        </w:tc>
      </w:tr>
      <w:tr>
        <w:trPr>
          <w:trHeight w:val="281" w:hRule="exact"/>
        </w:trPr>
        <w:tc>
          <w:tcPr>
            <w:tcW w:w="803" w:type="dxa"/>
            <w:tcBorders>
              <w:left w:val="single" w:sz="4" w:space="0" w:color="D3D3D3"/>
              <w:right w:val="single" w:sz="4" w:space="0" w:color="D3D3D3"/>
            </w:tcBorders>
          </w:tcPr>
          <w:p>
            <w:pPr>
              <w:pStyle w:val="TableParagraph"/>
              <w:spacing w:before="11"/>
              <w:ind w:right="13"/>
              <w:rPr>
                <w:sz w:val="21"/>
              </w:rPr>
            </w:pPr>
            <w:r>
              <w:rPr>
                <w:w w:val="75"/>
                <w:sz w:val="21"/>
              </w:rPr>
              <w:t>DEFENSA</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33</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28</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178</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23140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130/80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26.096</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4.8</w:t>
            </w:r>
          </w:p>
        </w:tc>
      </w:tr>
      <w:tr>
        <w:trPr>
          <w:trHeight w:val="282" w:hRule="exact"/>
        </w:trPr>
        <w:tc>
          <w:tcPr>
            <w:tcW w:w="803" w:type="dxa"/>
            <w:tcBorders>
              <w:left w:val="single" w:sz="4" w:space="0" w:color="D3D3D3"/>
              <w:bottom w:val="single" w:sz="6" w:space="0" w:color="D3D3D3"/>
              <w:right w:val="single" w:sz="4" w:space="0" w:color="D3D3D3"/>
            </w:tcBorders>
          </w:tcPr>
          <w:p>
            <w:pPr>
              <w:pStyle w:val="TableParagraph"/>
              <w:spacing w:before="11"/>
              <w:ind w:right="13"/>
              <w:rPr>
                <w:sz w:val="21"/>
              </w:rPr>
            </w:pPr>
            <w:r>
              <w:rPr>
                <w:w w:val="75"/>
                <w:sz w:val="21"/>
              </w:rPr>
              <w:t>DEFENSA</w:t>
            </w:r>
          </w:p>
        </w:tc>
        <w:tc>
          <w:tcPr>
            <w:tcW w:w="802" w:type="dxa"/>
            <w:tcBorders>
              <w:left w:val="single" w:sz="4" w:space="0" w:color="D3D3D3"/>
              <w:bottom w:val="single" w:sz="6" w:space="0" w:color="D3D3D3"/>
              <w:right w:val="single" w:sz="4" w:space="0" w:color="D3D3D3"/>
            </w:tcBorders>
          </w:tcPr>
          <w:p>
            <w:pPr>
              <w:pStyle w:val="TableParagraph"/>
              <w:spacing w:before="11"/>
              <w:ind w:left="193" w:right="184"/>
              <w:rPr>
                <w:sz w:val="21"/>
              </w:rPr>
            </w:pPr>
            <w:r>
              <w:rPr>
                <w:w w:val="75"/>
                <w:sz w:val="21"/>
              </w:rPr>
              <w:t>30</w:t>
            </w:r>
          </w:p>
        </w:tc>
        <w:tc>
          <w:tcPr>
            <w:tcW w:w="803" w:type="dxa"/>
            <w:tcBorders>
              <w:left w:val="single" w:sz="4" w:space="0" w:color="D3D3D3"/>
              <w:bottom w:val="single" w:sz="6" w:space="0" w:color="D3D3D3"/>
              <w:right w:val="single" w:sz="4" w:space="0" w:color="D3D3D3"/>
            </w:tcBorders>
          </w:tcPr>
          <w:p>
            <w:pPr>
              <w:pStyle w:val="TableParagraph"/>
              <w:spacing w:before="11"/>
              <w:ind w:left="0" w:right="317"/>
              <w:jc w:val="right"/>
              <w:rPr>
                <w:sz w:val="21"/>
              </w:rPr>
            </w:pPr>
            <w:r>
              <w:rPr>
                <w:w w:val="65"/>
                <w:sz w:val="21"/>
              </w:rPr>
              <w:t>26</w:t>
            </w:r>
          </w:p>
        </w:tc>
        <w:tc>
          <w:tcPr>
            <w:tcW w:w="803" w:type="dxa"/>
            <w:tcBorders>
              <w:left w:val="single" w:sz="4" w:space="0" w:color="D3D3D3"/>
              <w:bottom w:val="single" w:sz="6" w:space="0" w:color="D3D3D3"/>
              <w:right w:val="single" w:sz="4" w:space="0" w:color="D3D3D3"/>
            </w:tcBorders>
          </w:tcPr>
          <w:p>
            <w:pPr>
              <w:pStyle w:val="TableParagraph"/>
              <w:spacing w:before="11"/>
              <w:ind w:left="101" w:right="97"/>
              <w:rPr>
                <w:sz w:val="21"/>
              </w:rPr>
            </w:pPr>
            <w:r>
              <w:rPr>
                <w:w w:val="75"/>
                <w:sz w:val="21"/>
              </w:rPr>
              <w:t>39.08</w:t>
            </w:r>
          </w:p>
        </w:tc>
        <w:tc>
          <w:tcPr>
            <w:tcW w:w="802" w:type="dxa"/>
            <w:tcBorders>
              <w:left w:val="single" w:sz="4" w:space="0" w:color="D3D3D3"/>
              <w:bottom w:val="single" w:sz="6" w:space="0" w:color="D3D3D3"/>
              <w:right w:val="single" w:sz="4" w:space="0" w:color="D3D3D3"/>
            </w:tcBorders>
          </w:tcPr>
          <w:p>
            <w:pPr>
              <w:pStyle w:val="TableParagraph"/>
              <w:spacing w:before="11"/>
              <w:ind w:left="0" w:right="2"/>
              <w:rPr>
                <w:sz w:val="21"/>
              </w:rPr>
            </w:pPr>
            <w:r>
              <w:rPr>
                <w:w w:val="65"/>
                <w:sz w:val="21"/>
              </w:rPr>
              <w:t>V</w:t>
            </w:r>
          </w:p>
        </w:tc>
        <w:tc>
          <w:tcPr>
            <w:tcW w:w="803" w:type="dxa"/>
            <w:tcBorders>
              <w:left w:val="single" w:sz="4" w:space="0" w:color="D3D3D3"/>
              <w:bottom w:val="single" w:sz="6" w:space="0" w:color="D3D3D3"/>
              <w:right w:val="single" w:sz="4" w:space="0" w:color="D3D3D3"/>
            </w:tcBorders>
          </w:tcPr>
          <w:p>
            <w:pPr>
              <w:pStyle w:val="TableParagraph"/>
              <w:spacing w:before="11"/>
              <w:ind w:left="101" w:right="93"/>
              <w:rPr>
                <w:sz w:val="21"/>
              </w:rPr>
            </w:pPr>
            <w:r>
              <w:rPr>
                <w:w w:val="75"/>
                <w:sz w:val="21"/>
              </w:rPr>
              <w:t>197</w:t>
            </w:r>
          </w:p>
        </w:tc>
        <w:tc>
          <w:tcPr>
            <w:tcW w:w="803" w:type="dxa"/>
            <w:tcBorders>
              <w:left w:val="single" w:sz="4" w:space="0" w:color="D3D3D3"/>
              <w:bottom w:val="single" w:sz="6" w:space="0" w:color="D3D3D3"/>
              <w:right w:val="single" w:sz="4" w:space="0" w:color="D3D3D3"/>
            </w:tcBorders>
          </w:tcPr>
          <w:p>
            <w:pPr>
              <w:pStyle w:val="TableParagraph"/>
              <w:spacing w:before="11"/>
              <w:ind w:left="218" w:right="65"/>
              <w:jc w:val="left"/>
              <w:rPr>
                <w:sz w:val="21"/>
              </w:rPr>
            </w:pPr>
            <w:r>
              <w:rPr>
                <w:w w:val="75"/>
                <w:sz w:val="21"/>
              </w:rPr>
              <w:t>25610</w:t>
            </w:r>
          </w:p>
        </w:tc>
        <w:tc>
          <w:tcPr>
            <w:tcW w:w="802" w:type="dxa"/>
            <w:tcBorders>
              <w:left w:val="single" w:sz="4" w:space="0" w:color="D3D3D3"/>
              <w:bottom w:val="single" w:sz="6" w:space="0" w:color="D3D3D3"/>
              <w:right w:val="single" w:sz="4" w:space="0" w:color="D3D3D3"/>
            </w:tcBorders>
          </w:tcPr>
          <w:p>
            <w:pPr>
              <w:pStyle w:val="TableParagraph"/>
              <w:spacing w:before="11"/>
              <w:ind w:left="191"/>
              <w:jc w:val="left"/>
              <w:rPr>
                <w:sz w:val="21"/>
              </w:rPr>
            </w:pPr>
            <w:r>
              <w:rPr>
                <w:w w:val="75"/>
                <w:sz w:val="21"/>
              </w:rPr>
              <w:t>130/90</w:t>
            </w:r>
          </w:p>
        </w:tc>
        <w:tc>
          <w:tcPr>
            <w:tcW w:w="803" w:type="dxa"/>
            <w:tcBorders>
              <w:left w:val="single" w:sz="4" w:space="0" w:color="D3D3D3"/>
              <w:bottom w:val="single" w:sz="6"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bottom w:val="single" w:sz="6" w:space="0" w:color="D3D3D3"/>
              <w:right w:val="single" w:sz="4" w:space="0" w:color="D3D3D3"/>
            </w:tcBorders>
          </w:tcPr>
          <w:p>
            <w:pPr>
              <w:pStyle w:val="TableParagraph"/>
              <w:spacing w:before="11"/>
              <w:ind w:left="200"/>
              <w:jc w:val="left"/>
              <w:rPr>
                <w:sz w:val="21"/>
              </w:rPr>
            </w:pPr>
            <w:r>
              <w:rPr>
                <w:w w:val="75"/>
                <w:sz w:val="21"/>
              </w:rPr>
              <w:t>29.554</w:t>
            </w:r>
          </w:p>
        </w:tc>
        <w:tc>
          <w:tcPr>
            <w:tcW w:w="802" w:type="dxa"/>
            <w:tcBorders>
              <w:left w:val="single" w:sz="4" w:space="0" w:color="D3D3D3"/>
              <w:bottom w:val="single" w:sz="6" w:space="0" w:color="D3D3D3"/>
              <w:right w:val="single" w:sz="4" w:space="0" w:color="D3D3D3"/>
            </w:tcBorders>
          </w:tcPr>
          <w:p>
            <w:pPr>
              <w:pStyle w:val="TableParagraph"/>
              <w:spacing w:before="11"/>
              <w:ind w:left="163" w:right="158"/>
              <w:rPr>
                <w:sz w:val="21"/>
              </w:rPr>
            </w:pPr>
            <w:r>
              <w:rPr>
                <w:w w:val="75"/>
                <w:sz w:val="21"/>
              </w:rPr>
              <w:t>7.6</w:t>
            </w:r>
          </w:p>
        </w:tc>
      </w:tr>
      <w:tr>
        <w:trPr>
          <w:trHeight w:val="282" w:hRule="exact"/>
        </w:trPr>
        <w:tc>
          <w:tcPr>
            <w:tcW w:w="803" w:type="dxa"/>
            <w:tcBorders>
              <w:top w:val="single" w:sz="6" w:space="0" w:color="D3D3D3"/>
              <w:left w:val="single" w:sz="4" w:space="0" w:color="D3D3D3"/>
              <w:right w:val="single" w:sz="4" w:space="0" w:color="D3D3D3"/>
            </w:tcBorders>
          </w:tcPr>
          <w:p>
            <w:pPr>
              <w:pStyle w:val="TableParagraph"/>
              <w:spacing w:before="10"/>
              <w:ind w:right="13"/>
              <w:rPr>
                <w:sz w:val="21"/>
              </w:rPr>
            </w:pPr>
            <w:r>
              <w:rPr>
                <w:w w:val="75"/>
                <w:sz w:val="21"/>
              </w:rPr>
              <w:t>DEFENSA</w:t>
            </w:r>
          </w:p>
        </w:tc>
        <w:tc>
          <w:tcPr>
            <w:tcW w:w="802" w:type="dxa"/>
            <w:tcBorders>
              <w:top w:val="single" w:sz="6" w:space="0" w:color="D3D3D3"/>
              <w:left w:val="single" w:sz="4" w:space="0" w:color="D3D3D3"/>
              <w:right w:val="single" w:sz="4" w:space="0" w:color="D3D3D3"/>
            </w:tcBorders>
          </w:tcPr>
          <w:p>
            <w:pPr>
              <w:pStyle w:val="TableParagraph"/>
              <w:spacing w:before="10"/>
              <w:ind w:left="193" w:right="184"/>
              <w:rPr>
                <w:sz w:val="21"/>
              </w:rPr>
            </w:pPr>
            <w:r>
              <w:rPr>
                <w:w w:val="75"/>
                <w:sz w:val="21"/>
              </w:rPr>
              <w:t>25</w:t>
            </w:r>
          </w:p>
        </w:tc>
        <w:tc>
          <w:tcPr>
            <w:tcW w:w="803" w:type="dxa"/>
            <w:tcBorders>
              <w:top w:val="single" w:sz="6" w:space="0" w:color="D3D3D3"/>
              <w:left w:val="single" w:sz="4" w:space="0" w:color="D3D3D3"/>
              <w:right w:val="single" w:sz="4" w:space="0" w:color="D3D3D3"/>
            </w:tcBorders>
          </w:tcPr>
          <w:p>
            <w:pPr>
              <w:pStyle w:val="TableParagraph"/>
              <w:spacing w:before="10"/>
              <w:ind w:left="0" w:right="317"/>
              <w:jc w:val="right"/>
              <w:rPr>
                <w:sz w:val="21"/>
              </w:rPr>
            </w:pPr>
            <w:r>
              <w:rPr>
                <w:w w:val="65"/>
                <w:sz w:val="21"/>
              </w:rPr>
              <w:t>21</w:t>
            </w:r>
          </w:p>
        </w:tc>
        <w:tc>
          <w:tcPr>
            <w:tcW w:w="803" w:type="dxa"/>
            <w:tcBorders>
              <w:top w:val="single" w:sz="6" w:space="0" w:color="D3D3D3"/>
              <w:left w:val="single" w:sz="4" w:space="0" w:color="D3D3D3"/>
              <w:right w:val="single" w:sz="4" w:space="0" w:color="D3D3D3"/>
            </w:tcBorders>
          </w:tcPr>
          <w:p>
            <w:pPr>
              <w:pStyle w:val="TableParagraph"/>
              <w:spacing w:before="10"/>
              <w:ind w:left="101" w:right="97"/>
              <w:rPr>
                <w:sz w:val="21"/>
              </w:rPr>
            </w:pPr>
            <w:r>
              <w:rPr>
                <w:w w:val="75"/>
                <w:sz w:val="21"/>
              </w:rPr>
              <w:t>54.5</w:t>
            </w:r>
          </w:p>
        </w:tc>
        <w:tc>
          <w:tcPr>
            <w:tcW w:w="802" w:type="dxa"/>
            <w:tcBorders>
              <w:top w:val="single" w:sz="6" w:space="0" w:color="D3D3D3"/>
              <w:left w:val="single" w:sz="4" w:space="0" w:color="D3D3D3"/>
              <w:right w:val="single" w:sz="4" w:space="0" w:color="D3D3D3"/>
            </w:tcBorders>
          </w:tcPr>
          <w:p>
            <w:pPr>
              <w:pStyle w:val="TableParagraph"/>
              <w:spacing w:before="10"/>
              <w:ind w:left="163" w:right="163"/>
              <w:rPr>
                <w:sz w:val="21"/>
              </w:rPr>
            </w:pPr>
            <w:r>
              <w:rPr>
                <w:w w:val="75"/>
                <w:sz w:val="21"/>
              </w:rPr>
              <w:t>VII</w:t>
            </w:r>
          </w:p>
        </w:tc>
        <w:tc>
          <w:tcPr>
            <w:tcW w:w="803" w:type="dxa"/>
            <w:tcBorders>
              <w:top w:val="single" w:sz="6" w:space="0" w:color="D3D3D3"/>
              <w:left w:val="single" w:sz="4" w:space="0" w:color="D3D3D3"/>
              <w:right w:val="single" w:sz="4" w:space="0" w:color="D3D3D3"/>
            </w:tcBorders>
          </w:tcPr>
          <w:p>
            <w:pPr>
              <w:pStyle w:val="TableParagraph"/>
              <w:spacing w:before="10"/>
              <w:ind w:left="101" w:right="93"/>
              <w:rPr>
                <w:sz w:val="21"/>
              </w:rPr>
            </w:pPr>
            <w:r>
              <w:rPr>
                <w:w w:val="75"/>
                <w:sz w:val="21"/>
              </w:rPr>
              <w:t>196</w:t>
            </w:r>
          </w:p>
        </w:tc>
        <w:tc>
          <w:tcPr>
            <w:tcW w:w="803" w:type="dxa"/>
            <w:tcBorders>
              <w:top w:val="single" w:sz="6" w:space="0" w:color="D3D3D3"/>
              <w:left w:val="single" w:sz="4" w:space="0" w:color="D3D3D3"/>
              <w:right w:val="single" w:sz="4" w:space="0" w:color="D3D3D3"/>
            </w:tcBorders>
          </w:tcPr>
          <w:p>
            <w:pPr>
              <w:pStyle w:val="TableParagraph"/>
              <w:spacing w:before="10"/>
              <w:ind w:left="218" w:right="65"/>
              <w:jc w:val="left"/>
              <w:rPr>
                <w:sz w:val="21"/>
              </w:rPr>
            </w:pPr>
            <w:r>
              <w:rPr>
                <w:w w:val="75"/>
                <w:sz w:val="21"/>
              </w:rPr>
              <w:t>25400</w:t>
            </w:r>
          </w:p>
        </w:tc>
        <w:tc>
          <w:tcPr>
            <w:tcW w:w="802" w:type="dxa"/>
            <w:tcBorders>
              <w:top w:val="single" w:sz="6" w:space="0" w:color="D3D3D3"/>
              <w:left w:val="single" w:sz="4" w:space="0" w:color="D3D3D3"/>
              <w:right w:val="single" w:sz="4" w:space="0" w:color="D3D3D3"/>
            </w:tcBorders>
          </w:tcPr>
          <w:p>
            <w:pPr>
              <w:pStyle w:val="TableParagraph"/>
              <w:spacing w:before="10"/>
              <w:ind w:left="191"/>
              <w:jc w:val="left"/>
              <w:rPr>
                <w:sz w:val="21"/>
              </w:rPr>
            </w:pPr>
            <w:r>
              <w:rPr>
                <w:w w:val="75"/>
                <w:sz w:val="21"/>
              </w:rPr>
              <w:t>130/90</w:t>
            </w:r>
          </w:p>
        </w:tc>
        <w:tc>
          <w:tcPr>
            <w:tcW w:w="803" w:type="dxa"/>
            <w:tcBorders>
              <w:top w:val="single" w:sz="6" w:space="0" w:color="D3D3D3"/>
              <w:left w:val="single" w:sz="4" w:space="0" w:color="D3D3D3"/>
              <w:right w:val="single" w:sz="4" w:space="0" w:color="D3D3D3"/>
            </w:tcBorders>
          </w:tcPr>
          <w:p>
            <w:pPr>
              <w:pStyle w:val="TableParagraph"/>
              <w:spacing w:before="10"/>
              <w:ind w:left="291"/>
              <w:jc w:val="left"/>
              <w:rPr>
                <w:sz w:val="21"/>
              </w:rPr>
            </w:pPr>
            <w:r>
              <w:rPr>
                <w:w w:val="75"/>
                <w:sz w:val="21"/>
              </w:rPr>
              <w:t>130</w:t>
            </w:r>
          </w:p>
        </w:tc>
        <w:tc>
          <w:tcPr>
            <w:tcW w:w="803" w:type="dxa"/>
            <w:tcBorders>
              <w:top w:val="single" w:sz="6" w:space="0" w:color="D3D3D3"/>
              <w:left w:val="single" w:sz="4" w:space="0" w:color="D3D3D3"/>
              <w:right w:val="single" w:sz="4" w:space="0" w:color="D3D3D3"/>
            </w:tcBorders>
          </w:tcPr>
          <w:p>
            <w:pPr>
              <w:pStyle w:val="TableParagraph"/>
              <w:spacing w:before="10"/>
              <w:ind w:left="200"/>
              <w:jc w:val="left"/>
              <w:rPr>
                <w:sz w:val="21"/>
              </w:rPr>
            </w:pPr>
            <w:r>
              <w:rPr>
                <w:w w:val="75"/>
                <w:sz w:val="21"/>
              </w:rPr>
              <w:t>29.372</w:t>
            </w:r>
          </w:p>
        </w:tc>
        <w:tc>
          <w:tcPr>
            <w:tcW w:w="802" w:type="dxa"/>
            <w:tcBorders>
              <w:top w:val="single" w:sz="6" w:space="0" w:color="D3D3D3"/>
              <w:left w:val="single" w:sz="4" w:space="0" w:color="D3D3D3"/>
              <w:right w:val="single" w:sz="4" w:space="0" w:color="D3D3D3"/>
            </w:tcBorders>
          </w:tcPr>
          <w:p>
            <w:pPr>
              <w:pStyle w:val="TableParagraph"/>
              <w:spacing w:before="10"/>
              <w:ind w:left="163" w:right="158"/>
              <w:rPr>
                <w:sz w:val="21"/>
              </w:rPr>
            </w:pPr>
            <w:r>
              <w:rPr>
                <w:w w:val="75"/>
                <w:sz w:val="21"/>
              </w:rPr>
              <w:t>5.4</w:t>
            </w:r>
          </w:p>
        </w:tc>
      </w:tr>
      <w:tr>
        <w:trPr>
          <w:trHeight w:val="281" w:hRule="exact"/>
        </w:trPr>
        <w:tc>
          <w:tcPr>
            <w:tcW w:w="803" w:type="dxa"/>
            <w:tcBorders>
              <w:left w:val="single" w:sz="4" w:space="0" w:color="D3D3D3"/>
              <w:right w:val="single" w:sz="4" w:space="0" w:color="D3D3D3"/>
            </w:tcBorders>
          </w:tcPr>
          <w:p>
            <w:pPr>
              <w:pStyle w:val="TableParagraph"/>
              <w:spacing w:before="10"/>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0"/>
              <w:ind w:left="193" w:right="184"/>
              <w:rPr>
                <w:sz w:val="21"/>
              </w:rPr>
            </w:pPr>
            <w:r>
              <w:rPr>
                <w:w w:val="75"/>
                <w:sz w:val="21"/>
              </w:rPr>
              <w:t>25</w:t>
            </w:r>
          </w:p>
        </w:tc>
        <w:tc>
          <w:tcPr>
            <w:tcW w:w="803" w:type="dxa"/>
            <w:tcBorders>
              <w:left w:val="single" w:sz="4" w:space="0" w:color="D3D3D3"/>
              <w:right w:val="single" w:sz="4" w:space="0" w:color="D3D3D3"/>
            </w:tcBorders>
          </w:tcPr>
          <w:p>
            <w:pPr>
              <w:pStyle w:val="TableParagraph"/>
              <w:spacing w:before="10"/>
              <w:ind w:left="0" w:right="317"/>
              <w:jc w:val="right"/>
              <w:rPr>
                <w:sz w:val="21"/>
              </w:rPr>
            </w:pPr>
            <w:r>
              <w:rPr>
                <w:w w:val="65"/>
                <w:sz w:val="21"/>
              </w:rPr>
              <w:t>22</w:t>
            </w:r>
          </w:p>
        </w:tc>
        <w:tc>
          <w:tcPr>
            <w:tcW w:w="803" w:type="dxa"/>
            <w:tcBorders>
              <w:left w:val="single" w:sz="4" w:space="0" w:color="D3D3D3"/>
              <w:right w:val="single" w:sz="4" w:space="0" w:color="D3D3D3"/>
            </w:tcBorders>
          </w:tcPr>
          <w:p>
            <w:pPr>
              <w:pStyle w:val="TableParagraph"/>
              <w:spacing w:before="10"/>
              <w:ind w:left="101" w:right="97"/>
              <w:rPr>
                <w:sz w:val="21"/>
              </w:rPr>
            </w:pPr>
            <w:r>
              <w:rPr>
                <w:w w:val="75"/>
                <w:sz w:val="21"/>
              </w:rPr>
              <w:t>47.19</w:t>
            </w:r>
          </w:p>
        </w:tc>
        <w:tc>
          <w:tcPr>
            <w:tcW w:w="802" w:type="dxa"/>
            <w:tcBorders>
              <w:left w:val="single" w:sz="4" w:space="0" w:color="D3D3D3"/>
              <w:right w:val="single" w:sz="4" w:space="0" w:color="D3D3D3"/>
            </w:tcBorders>
          </w:tcPr>
          <w:p>
            <w:pPr>
              <w:pStyle w:val="TableParagraph"/>
              <w:spacing w:before="10"/>
              <w:ind w:left="163" w:right="161"/>
              <w:rPr>
                <w:sz w:val="21"/>
              </w:rPr>
            </w:pPr>
            <w:r>
              <w:rPr>
                <w:w w:val="75"/>
                <w:sz w:val="21"/>
              </w:rPr>
              <w:t>VI</w:t>
            </w:r>
          </w:p>
        </w:tc>
        <w:tc>
          <w:tcPr>
            <w:tcW w:w="803" w:type="dxa"/>
            <w:tcBorders>
              <w:left w:val="single" w:sz="4" w:space="0" w:color="D3D3D3"/>
              <w:right w:val="single" w:sz="4" w:space="0" w:color="D3D3D3"/>
            </w:tcBorders>
          </w:tcPr>
          <w:p>
            <w:pPr>
              <w:pStyle w:val="TableParagraph"/>
              <w:spacing w:before="10"/>
              <w:ind w:left="101" w:right="93"/>
              <w:rPr>
                <w:sz w:val="21"/>
              </w:rPr>
            </w:pPr>
            <w:r>
              <w:rPr>
                <w:w w:val="75"/>
                <w:sz w:val="21"/>
              </w:rPr>
              <w:t>180</w:t>
            </w:r>
          </w:p>
        </w:tc>
        <w:tc>
          <w:tcPr>
            <w:tcW w:w="803" w:type="dxa"/>
            <w:tcBorders>
              <w:left w:val="single" w:sz="4" w:space="0" w:color="D3D3D3"/>
              <w:right w:val="single" w:sz="4" w:space="0" w:color="D3D3D3"/>
            </w:tcBorders>
          </w:tcPr>
          <w:p>
            <w:pPr>
              <w:pStyle w:val="TableParagraph"/>
              <w:spacing w:before="10"/>
              <w:ind w:left="218" w:right="65"/>
              <w:jc w:val="left"/>
              <w:rPr>
                <w:sz w:val="21"/>
              </w:rPr>
            </w:pPr>
            <w:r>
              <w:rPr>
                <w:w w:val="75"/>
                <w:sz w:val="21"/>
              </w:rPr>
              <w:t>22500</w:t>
            </w:r>
          </w:p>
        </w:tc>
        <w:tc>
          <w:tcPr>
            <w:tcW w:w="802" w:type="dxa"/>
            <w:tcBorders>
              <w:left w:val="single" w:sz="4" w:space="0" w:color="D3D3D3"/>
              <w:right w:val="single" w:sz="4" w:space="0" w:color="D3D3D3"/>
            </w:tcBorders>
          </w:tcPr>
          <w:p>
            <w:pPr>
              <w:pStyle w:val="TableParagraph"/>
              <w:spacing w:before="10"/>
              <w:ind w:left="191"/>
              <w:jc w:val="left"/>
              <w:rPr>
                <w:sz w:val="21"/>
              </w:rPr>
            </w:pPr>
            <w:r>
              <w:rPr>
                <w:w w:val="75"/>
                <w:sz w:val="21"/>
              </w:rPr>
              <w:t>125/85</w:t>
            </w:r>
          </w:p>
        </w:tc>
        <w:tc>
          <w:tcPr>
            <w:tcW w:w="803" w:type="dxa"/>
            <w:tcBorders>
              <w:left w:val="single" w:sz="4" w:space="0" w:color="D3D3D3"/>
              <w:right w:val="single" w:sz="4" w:space="0" w:color="D3D3D3"/>
            </w:tcBorders>
          </w:tcPr>
          <w:p>
            <w:pPr>
              <w:pStyle w:val="TableParagraph"/>
              <w:spacing w:before="10"/>
              <w:ind w:left="291"/>
              <w:jc w:val="left"/>
              <w:rPr>
                <w:sz w:val="21"/>
              </w:rPr>
            </w:pPr>
            <w:r>
              <w:rPr>
                <w:w w:val="75"/>
                <w:sz w:val="21"/>
              </w:rPr>
              <w:t>125</w:t>
            </w:r>
          </w:p>
        </w:tc>
        <w:tc>
          <w:tcPr>
            <w:tcW w:w="803" w:type="dxa"/>
            <w:tcBorders>
              <w:left w:val="single" w:sz="4" w:space="0" w:color="D3D3D3"/>
              <w:right w:val="single" w:sz="4" w:space="0" w:color="D3D3D3"/>
            </w:tcBorders>
          </w:tcPr>
          <w:p>
            <w:pPr>
              <w:pStyle w:val="TableParagraph"/>
              <w:spacing w:before="10"/>
              <w:ind w:left="200"/>
              <w:jc w:val="left"/>
              <w:rPr>
                <w:sz w:val="21"/>
              </w:rPr>
            </w:pPr>
            <w:r>
              <w:rPr>
                <w:w w:val="75"/>
                <w:sz w:val="21"/>
              </w:rPr>
              <w:t>25.200</w:t>
            </w:r>
          </w:p>
        </w:tc>
        <w:tc>
          <w:tcPr>
            <w:tcW w:w="802" w:type="dxa"/>
            <w:tcBorders>
              <w:left w:val="single" w:sz="4" w:space="0" w:color="D3D3D3"/>
              <w:right w:val="single" w:sz="4" w:space="0" w:color="D3D3D3"/>
            </w:tcBorders>
          </w:tcPr>
          <w:p>
            <w:pPr>
              <w:pStyle w:val="TableParagraph"/>
              <w:spacing w:before="10"/>
              <w:ind w:left="163" w:right="158"/>
              <w:rPr>
                <w:sz w:val="21"/>
              </w:rPr>
            </w:pPr>
            <w:r>
              <w:rPr>
                <w:w w:val="75"/>
                <w:sz w:val="21"/>
              </w:rPr>
              <w:t>5.3</w:t>
            </w:r>
          </w:p>
        </w:tc>
      </w:tr>
      <w:tr>
        <w:trPr>
          <w:trHeight w:val="281" w:hRule="exact"/>
        </w:trPr>
        <w:tc>
          <w:tcPr>
            <w:tcW w:w="803" w:type="dxa"/>
            <w:tcBorders>
              <w:left w:val="single" w:sz="4" w:space="0" w:color="D3D3D3"/>
              <w:right w:val="single" w:sz="4" w:space="0" w:color="D3D3D3"/>
            </w:tcBorders>
          </w:tcPr>
          <w:p>
            <w:pPr>
              <w:pStyle w:val="TableParagraph"/>
              <w:spacing w:before="10"/>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0"/>
              <w:ind w:left="193" w:right="184"/>
              <w:rPr>
                <w:sz w:val="21"/>
              </w:rPr>
            </w:pPr>
            <w:r>
              <w:rPr>
                <w:w w:val="75"/>
                <w:sz w:val="21"/>
              </w:rPr>
              <w:t>25</w:t>
            </w:r>
          </w:p>
        </w:tc>
        <w:tc>
          <w:tcPr>
            <w:tcW w:w="803" w:type="dxa"/>
            <w:tcBorders>
              <w:left w:val="single" w:sz="4" w:space="0" w:color="D3D3D3"/>
              <w:right w:val="single" w:sz="4" w:space="0" w:color="D3D3D3"/>
            </w:tcBorders>
          </w:tcPr>
          <w:p>
            <w:pPr>
              <w:pStyle w:val="TableParagraph"/>
              <w:spacing w:before="10"/>
              <w:ind w:left="0" w:right="317"/>
              <w:jc w:val="right"/>
              <w:rPr>
                <w:sz w:val="21"/>
              </w:rPr>
            </w:pPr>
            <w:r>
              <w:rPr>
                <w:w w:val="65"/>
                <w:sz w:val="21"/>
              </w:rPr>
              <w:t>21</w:t>
            </w:r>
          </w:p>
        </w:tc>
        <w:tc>
          <w:tcPr>
            <w:tcW w:w="803" w:type="dxa"/>
            <w:tcBorders>
              <w:left w:val="single" w:sz="4" w:space="0" w:color="D3D3D3"/>
              <w:right w:val="single" w:sz="4" w:space="0" w:color="D3D3D3"/>
            </w:tcBorders>
          </w:tcPr>
          <w:p>
            <w:pPr>
              <w:pStyle w:val="TableParagraph"/>
              <w:spacing w:before="10"/>
              <w:ind w:left="101" w:right="97"/>
              <w:rPr>
                <w:sz w:val="21"/>
              </w:rPr>
            </w:pPr>
            <w:r>
              <w:rPr>
                <w:w w:val="75"/>
                <w:sz w:val="21"/>
              </w:rPr>
              <w:t>61.8</w:t>
            </w:r>
          </w:p>
        </w:tc>
        <w:tc>
          <w:tcPr>
            <w:tcW w:w="802" w:type="dxa"/>
            <w:tcBorders>
              <w:left w:val="single" w:sz="4" w:space="0" w:color="D3D3D3"/>
              <w:right w:val="single" w:sz="4" w:space="0" w:color="D3D3D3"/>
            </w:tcBorders>
          </w:tcPr>
          <w:p>
            <w:pPr>
              <w:pStyle w:val="TableParagraph"/>
              <w:spacing w:before="10"/>
              <w:ind w:left="163" w:right="163"/>
              <w:rPr>
                <w:sz w:val="21"/>
              </w:rPr>
            </w:pPr>
            <w:r>
              <w:rPr>
                <w:w w:val="75"/>
                <w:sz w:val="21"/>
              </w:rPr>
              <w:t>VIII</w:t>
            </w:r>
          </w:p>
        </w:tc>
        <w:tc>
          <w:tcPr>
            <w:tcW w:w="803" w:type="dxa"/>
            <w:tcBorders>
              <w:left w:val="single" w:sz="4" w:space="0" w:color="D3D3D3"/>
              <w:right w:val="single" w:sz="4" w:space="0" w:color="D3D3D3"/>
            </w:tcBorders>
          </w:tcPr>
          <w:p>
            <w:pPr>
              <w:pStyle w:val="TableParagraph"/>
              <w:spacing w:before="10"/>
              <w:ind w:left="101" w:right="93"/>
              <w:rPr>
                <w:sz w:val="21"/>
              </w:rPr>
            </w:pPr>
            <w:r>
              <w:rPr>
                <w:w w:val="75"/>
                <w:sz w:val="21"/>
              </w:rPr>
              <w:t>190</w:t>
            </w:r>
          </w:p>
        </w:tc>
        <w:tc>
          <w:tcPr>
            <w:tcW w:w="803" w:type="dxa"/>
            <w:tcBorders>
              <w:left w:val="single" w:sz="4" w:space="0" w:color="D3D3D3"/>
              <w:right w:val="single" w:sz="4" w:space="0" w:color="D3D3D3"/>
            </w:tcBorders>
          </w:tcPr>
          <w:p>
            <w:pPr>
              <w:pStyle w:val="TableParagraph"/>
              <w:spacing w:before="10"/>
              <w:ind w:left="218" w:right="65"/>
              <w:jc w:val="left"/>
              <w:rPr>
                <w:sz w:val="21"/>
              </w:rPr>
            </w:pPr>
            <w:r>
              <w:rPr>
                <w:w w:val="75"/>
                <w:sz w:val="21"/>
              </w:rPr>
              <w:t>20900</w:t>
            </w:r>
          </w:p>
        </w:tc>
        <w:tc>
          <w:tcPr>
            <w:tcW w:w="802" w:type="dxa"/>
            <w:tcBorders>
              <w:left w:val="single" w:sz="4" w:space="0" w:color="D3D3D3"/>
              <w:right w:val="single" w:sz="4" w:space="0" w:color="D3D3D3"/>
            </w:tcBorders>
          </w:tcPr>
          <w:p>
            <w:pPr>
              <w:pStyle w:val="TableParagraph"/>
              <w:spacing w:before="10"/>
              <w:ind w:left="191"/>
              <w:jc w:val="left"/>
              <w:rPr>
                <w:sz w:val="21"/>
              </w:rPr>
            </w:pPr>
            <w:r>
              <w:rPr>
                <w:w w:val="75"/>
                <w:sz w:val="21"/>
              </w:rPr>
              <w:t>110/70</w:t>
            </w:r>
          </w:p>
        </w:tc>
        <w:tc>
          <w:tcPr>
            <w:tcW w:w="803" w:type="dxa"/>
            <w:tcBorders>
              <w:left w:val="single" w:sz="4" w:space="0" w:color="D3D3D3"/>
              <w:right w:val="single" w:sz="4" w:space="0" w:color="D3D3D3"/>
            </w:tcBorders>
          </w:tcPr>
          <w:p>
            <w:pPr>
              <w:pStyle w:val="TableParagraph"/>
              <w:spacing w:before="10"/>
              <w:ind w:left="291"/>
              <w:jc w:val="left"/>
              <w:rPr>
                <w:sz w:val="21"/>
              </w:rPr>
            </w:pPr>
            <w:r>
              <w:rPr>
                <w:w w:val="75"/>
                <w:sz w:val="21"/>
              </w:rPr>
              <w:t>110</w:t>
            </w:r>
          </w:p>
        </w:tc>
        <w:tc>
          <w:tcPr>
            <w:tcW w:w="803" w:type="dxa"/>
            <w:tcBorders>
              <w:left w:val="single" w:sz="4" w:space="0" w:color="D3D3D3"/>
              <w:right w:val="single" w:sz="4" w:space="0" w:color="D3D3D3"/>
            </w:tcBorders>
          </w:tcPr>
          <w:p>
            <w:pPr>
              <w:pStyle w:val="TableParagraph"/>
              <w:spacing w:before="10"/>
              <w:ind w:left="200"/>
              <w:jc w:val="left"/>
              <w:rPr>
                <w:sz w:val="21"/>
              </w:rPr>
            </w:pPr>
            <w:r>
              <w:rPr>
                <w:w w:val="75"/>
                <w:sz w:val="21"/>
              </w:rPr>
              <w:t>22.960</w:t>
            </w:r>
          </w:p>
        </w:tc>
        <w:tc>
          <w:tcPr>
            <w:tcW w:w="802" w:type="dxa"/>
            <w:tcBorders>
              <w:left w:val="single" w:sz="4" w:space="0" w:color="D3D3D3"/>
              <w:right w:val="single" w:sz="4" w:space="0" w:color="D3D3D3"/>
            </w:tcBorders>
          </w:tcPr>
          <w:p>
            <w:pPr>
              <w:pStyle w:val="TableParagraph"/>
              <w:spacing w:before="10"/>
              <w:ind w:left="163" w:right="158"/>
              <w:rPr>
                <w:sz w:val="21"/>
              </w:rPr>
            </w:pPr>
            <w:r>
              <w:rPr>
                <w:w w:val="75"/>
                <w:sz w:val="21"/>
              </w:rPr>
              <w:t>3.7</w:t>
            </w:r>
          </w:p>
        </w:tc>
      </w:tr>
      <w:tr>
        <w:trPr>
          <w:trHeight w:val="281" w:hRule="exact"/>
        </w:trPr>
        <w:tc>
          <w:tcPr>
            <w:tcW w:w="803" w:type="dxa"/>
            <w:tcBorders>
              <w:left w:val="single" w:sz="4" w:space="0" w:color="D3D3D3"/>
              <w:right w:val="single" w:sz="4" w:space="0" w:color="D3D3D3"/>
            </w:tcBorders>
          </w:tcPr>
          <w:p>
            <w:pPr>
              <w:pStyle w:val="TableParagraph"/>
              <w:spacing w:before="10"/>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0"/>
              <w:ind w:left="193" w:right="184"/>
              <w:rPr>
                <w:sz w:val="21"/>
              </w:rPr>
            </w:pPr>
            <w:r>
              <w:rPr>
                <w:w w:val="75"/>
                <w:sz w:val="21"/>
              </w:rPr>
              <w:t>28</w:t>
            </w:r>
          </w:p>
        </w:tc>
        <w:tc>
          <w:tcPr>
            <w:tcW w:w="803" w:type="dxa"/>
            <w:tcBorders>
              <w:left w:val="single" w:sz="4" w:space="0" w:color="D3D3D3"/>
              <w:right w:val="single" w:sz="4" w:space="0" w:color="D3D3D3"/>
            </w:tcBorders>
          </w:tcPr>
          <w:p>
            <w:pPr>
              <w:pStyle w:val="TableParagraph"/>
              <w:spacing w:before="10"/>
              <w:ind w:left="0" w:right="317"/>
              <w:jc w:val="right"/>
              <w:rPr>
                <w:sz w:val="21"/>
              </w:rPr>
            </w:pPr>
            <w:r>
              <w:rPr>
                <w:w w:val="65"/>
                <w:sz w:val="21"/>
              </w:rPr>
              <w:t>24</w:t>
            </w:r>
          </w:p>
        </w:tc>
        <w:tc>
          <w:tcPr>
            <w:tcW w:w="803" w:type="dxa"/>
            <w:tcBorders>
              <w:left w:val="single" w:sz="4" w:space="0" w:color="D3D3D3"/>
              <w:right w:val="single" w:sz="4" w:space="0" w:color="D3D3D3"/>
            </w:tcBorders>
          </w:tcPr>
          <w:p>
            <w:pPr>
              <w:pStyle w:val="TableParagraph"/>
              <w:spacing w:before="10"/>
              <w:ind w:left="101" w:right="97"/>
              <w:rPr>
                <w:sz w:val="21"/>
              </w:rPr>
            </w:pPr>
            <w:r>
              <w:rPr>
                <w:w w:val="75"/>
                <w:sz w:val="21"/>
              </w:rPr>
              <w:t>47.19</w:t>
            </w:r>
          </w:p>
        </w:tc>
        <w:tc>
          <w:tcPr>
            <w:tcW w:w="802" w:type="dxa"/>
            <w:tcBorders>
              <w:left w:val="single" w:sz="4" w:space="0" w:color="D3D3D3"/>
              <w:right w:val="single" w:sz="4" w:space="0" w:color="D3D3D3"/>
            </w:tcBorders>
          </w:tcPr>
          <w:p>
            <w:pPr>
              <w:pStyle w:val="TableParagraph"/>
              <w:spacing w:before="10"/>
              <w:ind w:left="163" w:right="161"/>
              <w:rPr>
                <w:sz w:val="21"/>
              </w:rPr>
            </w:pPr>
            <w:r>
              <w:rPr>
                <w:w w:val="75"/>
                <w:sz w:val="21"/>
              </w:rPr>
              <w:t>VI</w:t>
            </w:r>
          </w:p>
        </w:tc>
        <w:tc>
          <w:tcPr>
            <w:tcW w:w="803" w:type="dxa"/>
            <w:tcBorders>
              <w:left w:val="single" w:sz="4" w:space="0" w:color="D3D3D3"/>
              <w:right w:val="single" w:sz="4" w:space="0" w:color="D3D3D3"/>
            </w:tcBorders>
          </w:tcPr>
          <w:p>
            <w:pPr>
              <w:pStyle w:val="TableParagraph"/>
              <w:spacing w:before="10"/>
              <w:ind w:left="101" w:right="93"/>
              <w:rPr>
                <w:sz w:val="21"/>
              </w:rPr>
            </w:pPr>
            <w:r>
              <w:rPr>
                <w:w w:val="75"/>
                <w:sz w:val="21"/>
              </w:rPr>
              <w:t>173</w:t>
            </w:r>
          </w:p>
        </w:tc>
        <w:tc>
          <w:tcPr>
            <w:tcW w:w="803" w:type="dxa"/>
            <w:tcBorders>
              <w:left w:val="single" w:sz="4" w:space="0" w:color="D3D3D3"/>
              <w:right w:val="single" w:sz="4" w:space="0" w:color="D3D3D3"/>
            </w:tcBorders>
          </w:tcPr>
          <w:p>
            <w:pPr>
              <w:pStyle w:val="TableParagraph"/>
              <w:spacing w:before="10"/>
              <w:ind w:left="218" w:right="65"/>
              <w:jc w:val="left"/>
              <w:rPr>
                <w:sz w:val="21"/>
              </w:rPr>
            </w:pPr>
            <w:r>
              <w:rPr>
                <w:w w:val="75"/>
                <w:sz w:val="21"/>
              </w:rPr>
              <w:t>25950</w:t>
            </w:r>
          </w:p>
        </w:tc>
        <w:tc>
          <w:tcPr>
            <w:tcW w:w="802" w:type="dxa"/>
            <w:tcBorders>
              <w:left w:val="single" w:sz="4" w:space="0" w:color="D3D3D3"/>
              <w:right w:val="single" w:sz="4" w:space="0" w:color="D3D3D3"/>
            </w:tcBorders>
          </w:tcPr>
          <w:p>
            <w:pPr>
              <w:pStyle w:val="TableParagraph"/>
              <w:spacing w:before="10"/>
              <w:ind w:left="191"/>
              <w:jc w:val="left"/>
              <w:rPr>
                <w:sz w:val="21"/>
              </w:rPr>
            </w:pPr>
            <w:r>
              <w:rPr>
                <w:w w:val="75"/>
                <w:sz w:val="21"/>
              </w:rPr>
              <w:t>150/90</w:t>
            </w:r>
          </w:p>
        </w:tc>
        <w:tc>
          <w:tcPr>
            <w:tcW w:w="803" w:type="dxa"/>
            <w:tcBorders>
              <w:left w:val="single" w:sz="4" w:space="0" w:color="D3D3D3"/>
              <w:right w:val="single" w:sz="4" w:space="0" w:color="D3D3D3"/>
            </w:tcBorders>
          </w:tcPr>
          <w:p>
            <w:pPr>
              <w:pStyle w:val="TableParagraph"/>
              <w:spacing w:before="10"/>
              <w:ind w:left="291"/>
              <w:jc w:val="left"/>
              <w:rPr>
                <w:sz w:val="21"/>
              </w:rPr>
            </w:pPr>
            <w:r>
              <w:rPr>
                <w:w w:val="75"/>
                <w:sz w:val="21"/>
              </w:rPr>
              <w:t>150</w:t>
            </w:r>
          </w:p>
        </w:tc>
        <w:tc>
          <w:tcPr>
            <w:tcW w:w="803" w:type="dxa"/>
            <w:tcBorders>
              <w:left w:val="single" w:sz="4" w:space="0" w:color="D3D3D3"/>
              <w:right w:val="single" w:sz="4" w:space="0" w:color="D3D3D3"/>
            </w:tcBorders>
          </w:tcPr>
          <w:p>
            <w:pPr>
              <w:pStyle w:val="TableParagraph"/>
              <w:spacing w:before="10"/>
              <w:ind w:left="200"/>
              <w:jc w:val="left"/>
              <w:rPr>
                <w:sz w:val="21"/>
              </w:rPr>
            </w:pPr>
            <w:r>
              <w:rPr>
                <w:w w:val="75"/>
                <w:sz w:val="21"/>
              </w:rPr>
              <w:t>30.030</w:t>
            </w:r>
          </w:p>
        </w:tc>
        <w:tc>
          <w:tcPr>
            <w:tcW w:w="802" w:type="dxa"/>
            <w:tcBorders>
              <w:left w:val="single" w:sz="4" w:space="0" w:color="D3D3D3"/>
              <w:right w:val="single" w:sz="4" w:space="0" w:color="D3D3D3"/>
            </w:tcBorders>
          </w:tcPr>
          <w:p>
            <w:pPr>
              <w:pStyle w:val="TableParagraph"/>
              <w:spacing w:before="10"/>
              <w:ind w:left="163" w:right="158"/>
              <w:rPr>
                <w:sz w:val="21"/>
              </w:rPr>
            </w:pPr>
            <w:r>
              <w:rPr>
                <w:w w:val="75"/>
                <w:sz w:val="21"/>
              </w:rPr>
              <w:t>6.4</w:t>
            </w:r>
          </w:p>
        </w:tc>
      </w:tr>
      <w:tr>
        <w:trPr>
          <w:trHeight w:val="281" w:hRule="exact"/>
        </w:trPr>
        <w:tc>
          <w:tcPr>
            <w:tcW w:w="803" w:type="dxa"/>
            <w:tcBorders>
              <w:left w:val="single" w:sz="4" w:space="0" w:color="D3D3D3"/>
              <w:right w:val="single" w:sz="4" w:space="0" w:color="D3D3D3"/>
            </w:tcBorders>
          </w:tcPr>
          <w:p>
            <w:pPr>
              <w:pStyle w:val="TableParagraph"/>
              <w:spacing w:before="11"/>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19</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15</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61.81</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197</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25610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130/90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29.554</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4.8</w:t>
            </w:r>
          </w:p>
        </w:tc>
      </w:tr>
      <w:tr>
        <w:trPr>
          <w:trHeight w:val="281" w:hRule="exact"/>
        </w:trPr>
        <w:tc>
          <w:tcPr>
            <w:tcW w:w="803" w:type="dxa"/>
            <w:tcBorders>
              <w:left w:val="single" w:sz="4" w:space="0" w:color="D3D3D3"/>
              <w:right w:val="single" w:sz="4" w:space="0" w:color="D3D3D3"/>
            </w:tcBorders>
          </w:tcPr>
          <w:p>
            <w:pPr>
              <w:pStyle w:val="TableParagraph"/>
              <w:spacing w:before="11"/>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23</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18</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1"/>
              <w:rPr>
                <w:sz w:val="21"/>
              </w:rPr>
            </w:pPr>
            <w:r>
              <w:rPr>
                <w:w w:val="75"/>
                <w:sz w:val="21"/>
              </w:rPr>
              <w:t>VI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195</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25350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130/80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29.190</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5.4</w:t>
            </w:r>
          </w:p>
        </w:tc>
      </w:tr>
      <w:tr>
        <w:trPr>
          <w:trHeight w:val="281" w:hRule="exact"/>
        </w:trPr>
        <w:tc>
          <w:tcPr>
            <w:tcW w:w="803" w:type="dxa"/>
            <w:tcBorders>
              <w:left w:val="single" w:sz="4" w:space="0" w:color="D3D3D3"/>
              <w:right w:val="single" w:sz="4" w:space="0" w:color="D3D3D3"/>
            </w:tcBorders>
          </w:tcPr>
          <w:p>
            <w:pPr>
              <w:pStyle w:val="TableParagraph"/>
              <w:spacing w:before="11"/>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20</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16</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190</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23750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125/85</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125</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26.950</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4.9</w:t>
            </w:r>
          </w:p>
        </w:tc>
      </w:tr>
      <w:tr>
        <w:trPr>
          <w:trHeight w:val="281" w:hRule="exact"/>
        </w:trPr>
        <w:tc>
          <w:tcPr>
            <w:tcW w:w="803" w:type="dxa"/>
            <w:tcBorders>
              <w:left w:val="single" w:sz="4" w:space="0" w:color="D3D3D3"/>
              <w:right w:val="single" w:sz="4" w:space="0" w:color="D3D3D3"/>
            </w:tcBorders>
          </w:tcPr>
          <w:p>
            <w:pPr>
              <w:pStyle w:val="TableParagraph"/>
              <w:spacing w:before="11"/>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33</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28</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39.5</w:t>
            </w:r>
          </w:p>
        </w:tc>
        <w:tc>
          <w:tcPr>
            <w:tcW w:w="802" w:type="dxa"/>
            <w:tcBorders>
              <w:left w:val="single" w:sz="4" w:space="0" w:color="D3D3D3"/>
              <w:right w:val="single" w:sz="4" w:space="0" w:color="D3D3D3"/>
            </w:tcBorders>
          </w:tcPr>
          <w:p>
            <w:pPr>
              <w:pStyle w:val="TableParagraph"/>
              <w:spacing w:before="11"/>
              <w:ind w:left="0" w:right="2"/>
              <w:rPr>
                <w:sz w:val="21"/>
              </w:rPr>
            </w:pPr>
            <w:r>
              <w:rPr>
                <w:w w:val="65"/>
                <w:sz w:val="21"/>
              </w:rPr>
              <w:t>V</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170</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22100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130/90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24.640</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6.2</w:t>
            </w:r>
          </w:p>
        </w:tc>
      </w:tr>
      <w:tr>
        <w:trPr>
          <w:trHeight w:val="281" w:hRule="exact"/>
        </w:trPr>
        <w:tc>
          <w:tcPr>
            <w:tcW w:w="803" w:type="dxa"/>
            <w:tcBorders>
              <w:left w:val="single" w:sz="4" w:space="0" w:color="D3D3D3"/>
              <w:right w:val="single" w:sz="4" w:space="0" w:color="D3D3D3"/>
            </w:tcBorders>
          </w:tcPr>
          <w:p>
            <w:pPr>
              <w:pStyle w:val="TableParagraph"/>
              <w:spacing w:before="11"/>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21</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17</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199</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27869</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140/80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140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32.704</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6.0</w:t>
            </w:r>
          </w:p>
        </w:tc>
      </w:tr>
      <w:tr>
        <w:trPr>
          <w:trHeight w:val="281" w:hRule="exact"/>
        </w:trPr>
        <w:tc>
          <w:tcPr>
            <w:tcW w:w="803" w:type="dxa"/>
            <w:tcBorders>
              <w:left w:val="single" w:sz="4" w:space="0" w:color="D3D3D3"/>
              <w:right w:val="single" w:sz="4" w:space="0" w:color="D3D3D3"/>
            </w:tcBorders>
          </w:tcPr>
          <w:p>
            <w:pPr>
              <w:pStyle w:val="TableParagraph"/>
              <w:spacing w:before="11"/>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26</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21</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196</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25400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130/90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29.372</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5.4</w:t>
            </w:r>
          </w:p>
        </w:tc>
      </w:tr>
      <w:tr>
        <w:trPr>
          <w:trHeight w:val="281" w:hRule="exact"/>
        </w:trPr>
        <w:tc>
          <w:tcPr>
            <w:tcW w:w="803" w:type="dxa"/>
            <w:tcBorders>
              <w:left w:val="single" w:sz="4" w:space="0" w:color="D3D3D3"/>
              <w:right w:val="single" w:sz="4" w:space="0" w:color="D3D3D3"/>
            </w:tcBorders>
          </w:tcPr>
          <w:p>
            <w:pPr>
              <w:pStyle w:val="TableParagraph"/>
              <w:spacing w:before="11"/>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27</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22</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181</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23350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130/90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26.642</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4.9</w:t>
            </w:r>
          </w:p>
        </w:tc>
      </w:tr>
      <w:tr>
        <w:trPr>
          <w:trHeight w:val="281" w:hRule="exact"/>
        </w:trPr>
        <w:tc>
          <w:tcPr>
            <w:tcW w:w="803" w:type="dxa"/>
            <w:tcBorders>
              <w:left w:val="single" w:sz="4" w:space="0" w:color="D3D3D3"/>
              <w:right w:val="single" w:sz="4" w:space="0" w:color="D3D3D3"/>
            </w:tcBorders>
          </w:tcPr>
          <w:p>
            <w:pPr>
              <w:pStyle w:val="TableParagraph"/>
              <w:spacing w:before="11"/>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23</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19</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195</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27300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140/90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140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31.920</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5.9</w:t>
            </w:r>
          </w:p>
        </w:tc>
      </w:tr>
      <w:tr>
        <w:trPr>
          <w:trHeight w:val="281" w:hRule="exact"/>
        </w:trPr>
        <w:tc>
          <w:tcPr>
            <w:tcW w:w="803" w:type="dxa"/>
            <w:tcBorders>
              <w:left w:val="single" w:sz="4" w:space="0" w:color="D3D3D3"/>
              <w:right w:val="single" w:sz="4" w:space="0" w:color="D3D3D3"/>
            </w:tcBorders>
          </w:tcPr>
          <w:p>
            <w:pPr>
              <w:pStyle w:val="TableParagraph"/>
              <w:spacing w:before="11"/>
              <w:ind w:right="18"/>
              <w:rPr>
                <w:sz w:val="21"/>
              </w:rPr>
            </w:pPr>
            <w:r>
              <w:rPr>
                <w:w w:val="75"/>
                <w:sz w:val="21"/>
              </w:rPr>
              <w:t>MEDIO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21</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16</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185</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24050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130/85</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27.370</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5.0</w:t>
            </w:r>
          </w:p>
        </w:tc>
      </w:tr>
      <w:tr>
        <w:trPr>
          <w:trHeight w:val="281" w:hRule="exact"/>
        </w:trPr>
        <w:tc>
          <w:tcPr>
            <w:tcW w:w="803" w:type="dxa"/>
            <w:tcBorders>
              <w:left w:val="single" w:sz="4" w:space="0" w:color="D3D3D3"/>
              <w:right w:val="single" w:sz="4" w:space="0" w:color="D3D3D3"/>
            </w:tcBorders>
          </w:tcPr>
          <w:p>
            <w:pPr>
              <w:pStyle w:val="TableParagraph"/>
              <w:spacing w:before="11"/>
              <w:ind w:right="19"/>
              <w:rPr>
                <w:sz w:val="21"/>
              </w:rPr>
            </w:pPr>
            <w:r>
              <w:rPr>
                <w:w w:val="65"/>
                <w:sz w:val="21"/>
              </w:rPr>
              <w:t>DELANTERO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27</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22</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182</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23660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130/86</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26.824</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4.9</w:t>
            </w:r>
          </w:p>
        </w:tc>
      </w:tr>
      <w:tr>
        <w:trPr>
          <w:trHeight w:val="281" w:hRule="exact"/>
        </w:trPr>
        <w:tc>
          <w:tcPr>
            <w:tcW w:w="803" w:type="dxa"/>
            <w:tcBorders>
              <w:left w:val="single" w:sz="4" w:space="0" w:color="D3D3D3"/>
              <w:right w:val="single" w:sz="4" w:space="0" w:color="D3D3D3"/>
            </w:tcBorders>
          </w:tcPr>
          <w:p>
            <w:pPr>
              <w:pStyle w:val="TableParagraph"/>
              <w:spacing w:before="11"/>
              <w:ind w:right="19"/>
              <w:rPr>
                <w:sz w:val="21"/>
              </w:rPr>
            </w:pPr>
            <w:r>
              <w:rPr>
                <w:w w:val="65"/>
                <w:sz w:val="21"/>
              </w:rPr>
              <w:t>DELANTERO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27</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23</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193</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27020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140/80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140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31.528</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5.8</w:t>
            </w:r>
          </w:p>
        </w:tc>
      </w:tr>
      <w:tr>
        <w:trPr>
          <w:trHeight w:val="281" w:hRule="exact"/>
        </w:trPr>
        <w:tc>
          <w:tcPr>
            <w:tcW w:w="803" w:type="dxa"/>
            <w:tcBorders>
              <w:left w:val="single" w:sz="4" w:space="0" w:color="D3D3D3"/>
              <w:right w:val="single" w:sz="4" w:space="0" w:color="D3D3D3"/>
            </w:tcBorders>
          </w:tcPr>
          <w:p>
            <w:pPr>
              <w:pStyle w:val="TableParagraph"/>
              <w:spacing w:before="11"/>
              <w:ind w:right="19"/>
              <w:rPr>
                <w:sz w:val="21"/>
              </w:rPr>
            </w:pPr>
            <w:r>
              <w:rPr>
                <w:w w:val="65"/>
                <w:sz w:val="21"/>
              </w:rPr>
              <w:t>DELANTERO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27</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20</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47.19</w:t>
            </w:r>
          </w:p>
        </w:tc>
        <w:tc>
          <w:tcPr>
            <w:tcW w:w="802" w:type="dxa"/>
            <w:tcBorders>
              <w:left w:val="single" w:sz="4" w:space="0" w:color="D3D3D3"/>
              <w:right w:val="single" w:sz="4" w:space="0" w:color="D3D3D3"/>
            </w:tcBorders>
          </w:tcPr>
          <w:p>
            <w:pPr>
              <w:pStyle w:val="TableParagraph"/>
              <w:spacing w:before="11"/>
              <w:ind w:left="163" w:right="161"/>
              <w:rPr>
                <w:sz w:val="21"/>
              </w:rPr>
            </w:pPr>
            <w:r>
              <w:rPr>
                <w:w w:val="75"/>
                <w:sz w:val="21"/>
              </w:rPr>
              <w:t>VI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184</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25760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140/90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140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29.764</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6.3</w:t>
            </w:r>
          </w:p>
        </w:tc>
      </w:tr>
      <w:tr>
        <w:trPr>
          <w:trHeight w:val="281" w:hRule="exact"/>
        </w:trPr>
        <w:tc>
          <w:tcPr>
            <w:tcW w:w="803" w:type="dxa"/>
            <w:tcBorders>
              <w:left w:val="single" w:sz="4" w:space="0" w:color="D3D3D3"/>
              <w:right w:val="single" w:sz="4" w:space="0" w:color="D3D3D3"/>
            </w:tcBorders>
          </w:tcPr>
          <w:p>
            <w:pPr>
              <w:pStyle w:val="TableParagraph"/>
              <w:spacing w:before="11"/>
              <w:ind w:right="19"/>
              <w:rPr>
                <w:sz w:val="21"/>
              </w:rPr>
            </w:pPr>
            <w:r>
              <w:rPr>
                <w:w w:val="65"/>
                <w:sz w:val="21"/>
              </w:rPr>
              <w:t>DELANTERO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30</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25</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47.19</w:t>
            </w:r>
          </w:p>
        </w:tc>
        <w:tc>
          <w:tcPr>
            <w:tcW w:w="802" w:type="dxa"/>
            <w:tcBorders>
              <w:left w:val="single" w:sz="4" w:space="0" w:color="D3D3D3"/>
              <w:right w:val="single" w:sz="4" w:space="0" w:color="D3D3D3"/>
            </w:tcBorders>
          </w:tcPr>
          <w:p>
            <w:pPr>
              <w:pStyle w:val="TableParagraph"/>
              <w:spacing w:before="11"/>
              <w:ind w:left="163" w:right="161"/>
              <w:rPr>
                <w:sz w:val="21"/>
              </w:rPr>
            </w:pPr>
            <w:r>
              <w:rPr>
                <w:w w:val="75"/>
                <w:sz w:val="21"/>
              </w:rPr>
              <w:t>VI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186</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26040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140/90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140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30.156</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6.4</w:t>
            </w:r>
          </w:p>
        </w:tc>
      </w:tr>
      <w:tr>
        <w:trPr>
          <w:trHeight w:val="281" w:hRule="exact"/>
        </w:trPr>
        <w:tc>
          <w:tcPr>
            <w:tcW w:w="803" w:type="dxa"/>
            <w:tcBorders>
              <w:left w:val="single" w:sz="4" w:space="0" w:color="D3D3D3"/>
              <w:right w:val="single" w:sz="4" w:space="0" w:color="D3D3D3"/>
            </w:tcBorders>
          </w:tcPr>
          <w:p>
            <w:pPr>
              <w:pStyle w:val="TableParagraph"/>
              <w:spacing w:before="11"/>
              <w:ind w:right="19"/>
              <w:rPr>
                <w:sz w:val="21"/>
              </w:rPr>
            </w:pPr>
            <w:r>
              <w:rPr>
                <w:w w:val="65"/>
                <w:sz w:val="21"/>
              </w:rPr>
              <w:t>DELANTERO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23</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20</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47.19</w:t>
            </w:r>
          </w:p>
        </w:tc>
        <w:tc>
          <w:tcPr>
            <w:tcW w:w="802" w:type="dxa"/>
            <w:tcBorders>
              <w:left w:val="single" w:sz="4" w:space="0" w:color="D3D3D3"/>
              <w:right w:val="single" w:sz="4" w:space="0" w:color="D3D3D3"/>
            </w:tcBorders>
          </w:tcPr>
          <w:p>
            <w:pPr>
              <w:pStyle w:val="TableParagraph"/>
              <w:spacing w:before="11"/>
              <w:ind w:left="163" w:right="161"/>
              <w:rPr>
                <w:sz w:val="21"/>
              </w:rPr>
            </w:pPr>
            <w:r>
              <w:rPr>
                <w:w w:val="75"/>
                <w:sz w:val="21"/>
              </w:rPr>
              <w:t>VI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183</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23790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130/90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27.006</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5.7</w:t>
            </w:r>
          </w:p>
        </w:tc>
      </w:tr>
      <w:tr>
        <w:trPr>
          <w:trHeight w:val="281" w:hRule="exact"/>
        </w:trPr>
        <w:tc>
          <w:tcPr>
            <w:tcW w:w="803" w:type="dxa"/>
            <w:tcBorders>
              <w:left w:val="single" w:sz="4" w:space="0" w:color="D3D3D3"/>
              <w:right w:val="single" w:sz="4" w:space="0" w:color="D3D3D3"/>
            </w:tcBorders>
          </w:tcPr>
          <w:p>
            <w:pPr>
              <w:pStyle w:val="TableParagraph"/>
              <w:spacing w:before="11"/>
              <w:ind w:right="19"/>
              <w:rPr>
                <w:sz w:val="21"/>
              </w:rPr>
            </w:pPr>
            <w:r>
              <w:rPr>
                <w:w w:val="65"/>
                <w:sz w:val="21"/>
              </w:rPr>
              <w:t>DELANTERO</w:t>
            </w:r>
          </w:p>
        </w:tc>
        <w:tc>
          <w:tcPr>
            <w:tcW w:w="802" w:type="dxa"/>
            <w:tcBorders>
              <w:left w:val="single" w:sz="4" w:space="0" w:color="D3D3D3"/>
              <w:right w:val="single" w:sz="4" w:space="0" w:color="D3D3D3"/>
            </w:tcBorders>
          </w:tcPr>
          <w:p>
            <w:pPr>
              <w:pStyle w:val="TableParagraph"/>
              <w:spacing w:before="11"/>
              <w:ind w:left="193" w:right="184"/>
              <w:rPr>
                <w:sz w:val="21"/>
              </w:rPr>
            </w:pPr>
            <w:r>
              <w:rPr>
                <w:w w:val="75"/>
                <w:sz w:val="21"/>
              </w:rPr>
              <w:t>33</w:t>
            </w:r>
          </w:p>
        </w:tc>
        <w:tc>
          <w:tcPr>
            <w:tcW w:w="803" w:type="dxa"/>
            <w:tcBorders>
              <w:left w:val="single" w:sz="4" w:space="0" w:color="D3D3D3"/>
              <w:right w:val="single" w:sz="4" w:space="0" w:color="D3D3D3"/>
            </w:tcBorders>
          </w:tcPr>
          <w:p>
            <w:pPr>
              <w:pStyle w:val="TableParagraph"/>
              <w:spacing w:before="11"/>
              <w:ind w:left="0" w:right="317"/>
              <w:jc w:val="right"/>
              <w:rPr>
                <w:sz w:val="21"/>
              </w:rPr>
            </w:pPr>
            <w:r>
              <w:rPr>
                <w:w w:val="65"/>
                <w:sz w:val="21"/>
              </w:rPr>
              <w:t>28</w:t>
            </w:r>
          </w:p>
        </w:tc>
        <w:tc>
          <w:tcPr>
            <w:tcW w:w="803" w:type="dxa"/>
            <w:tcBorders>
              <w:left w:val="single" w:sz="4" w:space="0" w:color="D3D3D3"/>
              <w:right w:val="single" w:sz="4" w:space="0" w:color="D3D3D3"/>
            </w:tcBorders>
          </w:tcPr>
          <w:p>
            <w:pPr>
              <w:pStyle w:val="TableParagraph"/>
              <w:spacing w:before="11"/>
              <w:ind w:left="101" w:right="97"/>
              <w:rPr>
                <w:sz w:val="21"/>
              </w:rPr>
            </w:pPr>
            <w:r>
              <w:rPr>
                <w:w w:val="75"/>
                <w:sz w:val="21"/>
              </w:rPr>
              <w:t>54.5</w:t>
            </w:r>
          </w:p>
        </w:tc>
        <w:tc>
          <w:tcPr>
            <w:tcW w:w="802" w:type="dxa"/>
            <w:tcBorders>
              <w:left w:val="single" w:sz="4" w:space="0" w:color="D3D3D3"/>
              <w:right w:val="single" w:sz="4" w:space="0" w:color="D3D3D3"/>
            </w:tcBorders>
          </w:tcPr>
          <w:p>
            <w:pPr>
              <w:pStyle w:val="TableParagraph"/>
              <w:spacing w:before="11"/>
              <w:ind w:left="163" w:right="163"/>
              <w:rPr>
                <w:sz w:val="21"/>
              </w:rPr>
            </w:pPr>
            <w:r>
              <w:rPr>
                <w:w w:val="75"/>
                <w:sz w:val="21"/>
              </w:rPr>
              <w:t>VII</w:t>
            </w:r>
          </w:p>
        </w:tc>
        <w:tc>
          <w:tcPr>
            <w:tcW w:w="803" w:type="dxa"/>
            <w:tcBorders>
              <w:left w:val="single" w:sz="4" w:space="0" w:color="D3D3D3"/>
              <w:right w:val="single" w:sz="4" w:space="0" w:color="D3D3D3"/>
            </w:tcBorders>
          </w:tcPr>
          <w:p>
            <w:pPr>
              <w:pStyle w:val="TableParagraph"/>
              <w:spacing w:before="11"/>
              <w:ind w:left="101" w:right="93"/>
              <w:rPr>
                <w:sz w:val="21"/>
              </w:rPr>
            </w:pPr>
            <w:r>
              <w:rPr>
                <w:w w:val="75"/>
                <w:sz w:val="21"/>
              </w:rPr>
              <w:t>177</w:t>
            </w:r>
          </w:p>
        </w:tc>
        <w:tc>
          <w:tcPr>
            <w:tcW w:w="803" w:type="dxa"/>
            <w:tcBorders>
              <w:left w:val="single" w:sz="4" w:space="0" w:color="D3D3D3"/>
              <w:right w:val="single" w:sz="4" w:space="0" w:color="D3D3D3"/>
            </w:tcBorders>
          </w:tcPr>
          <w:p>
            <w:pPr>
              <w:pStyle w:val="TableParagraph"/>
              <w:spacing w:before="11"/>
              <w:ind w:left="218" w:right="65"/>
              <w:jc w:val="left"/>
              <w:rPr>
                <w:sz w:val="21"/>
              </w:rPr>
            </w:pPr>
            <w:r>
              <w:rPr>
                <w:w w:val="75"/>
                <w:sz w:val="21"/>
              </w:rPr>
              <w:t>23010</w:t>
            </w:r>
          </w:p>
        </w:tc>
        <w:tc>
          <w:tcPr>
            <w:tcW w:w="802" w:type="dxa"/>
            <w:tcBorders>
              <w:left w:val="single" w:sz="4" w:space="0" w:color="D3D3D3"/>
              <w:right w:val="single" w:sz="4" w:space="0" w:color="D3D3D3"/>
            </w:tcBorders>
          </w:tcPr>
          <w:p>
            <w:pPr>
              <w:pStyle w:val="TableParagraph"/>
              <w:spacing w:before="11"/>
              <w:ind w:left="191"/>
              <w:jc w:val="left"/>
              <w:rPr>
                <w:sz w:val="21"/>
              </w:rPr>
            </w:pPr>
            <w:r>
              <w:rPr>
                <w:w w:val="75"/>
                <w:sz w:val="21"/>
              </w:rPr>
              <w:t>130/80</w:t>
            </w:r>
          </w:p>
        </w:tc>
        <w:tc>
          <w:tcPr>
            <w:tcW w:w="803" w:type="dxa"/>
            <w:tcBorders>
              <w:left w:val="single" w:sz="4" w:space="0" w:color="D3D3D3"/>
              <w:right w:val="single" w:sz="4" w:space="0" w:color="D3D3D3"/>
            </w:tcBorders>
          </w:tcPr>
          <w:p>
            <w:pPr>
              <w:pStyle w:val="TableParagraph"/>
              <w:spacing w:before="11"/>
              <w:ind w:left="291"/>
              <w:jc w:val="left"/>
              <w:rPr>
                <w:sz w:val="21"/>
              </w:rPr>
            </w:pPr>
            <w:r>
              <w:rPr>
                <w:w w:val="75"/>
                <w:sz w:val="21"/>
              </w:rPr>
              <w:t>130</w:t>
            </w:r>
          </w:p>
        </w:tc>
        <w:tc>
          <w:tcPr>
            <w:tcW w:w="803" w:type="dxa"/>
            <w:tcBorders>
              <w:left w:val="single" w:sz="4" w:space="0" w:color="D3D3D3"/>
              <w:right w:val="single" w:sz="4" w:space="0" w:color="D3D3D3"/>
            </w:tcBorders>
          </w:tcPr>
          <w:p>
            <w:pPr>
              <w:pStyle w:val="TableParagraph"/>
              <w:spacing w:before="11"/>
              <w:ind w:left="200"/>
              <w:jc w:val="left"/>
              <w:rPr>
                <w:sz w:val="21"/>
              </w:rPr>
            </w:pPr>
            <w:r>
              <w:rPr>
                <w:w w:val="75"/>
                <w:sz w:val="21"/>
              </w:rPr>
              <w:t>25.914</w:t>
            </w:r>
          </w:p>
        </w:tc>
        <w:tc>
          <w:tcPr>
            <w:tcW w:w="802" w:type="dxa"/>
            <w:tcBorders>
              <w:left w:val="single" w:sz="4" w:space="0" w:color="D3D3D3"/>
              <w:right w:val="single" w:sz="4" w:space="0" w:color="D3D3D3"/>
            </w:tcBorders>
          </w:tcPr>
          <w:p>
            <w:pPr>
              <w:pStyle w:val="TableParagraph"/>
              <w:spacing w:before="11"/>
              <w:ind w:left="163" w:right="158"/>
              <w:rPr>
                <w:sz w:val="21"/>
              </w:rPr>
            </w:pPr>
            <w:r>
              <w:rPr>
                <w:w w:val="75"/>
                <w:sz w:val="21"/>
              </w:rPr>
              <w:t>4.8</w:t>
            </w:r>
          </w:p>
        </w:tc>
      </w:tr>
    </w:tbl>
    <w:p>
      <w:pPr>
        <w:spacing w:before="186"/>
        <w:ind w:left="0" w:right="117" w:firstLine="0"/>
        <w:jc w:val="right"/>
        <w:rPr>
          <w:sz w:val="20"/>
        </w:rPr>
      </w:pPr>
      <w:r>
        <w:rPr>
          <w:sz w:val="20"/>
        </w:rPr>
        <w:t>Fuente: Original</w:t>
      </w:r>
    </w:p>
    <w:p>
      <w:pPr>
        <w:spacing w:after="0"/>
        <w:jc w:val="right"/>
        <w:rPr>
          <w:sz w:val="20"/>
        </w:rPr>
        <w:sectPr>
          <w:pgSz w:w="12240" w:h="15840"/>
          <w:pgMar w:header="0" w:footer="966" w:top="1360" w:bottom="122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BodyText"/>
        <w:spacing w:line="362" w:lineRule="auto" w:before="70"/>
        <w:ind w:left="119" w:right="128"/>
        <w:jc w:val="both"/>
      </w:pPr>
      <w:r>
        <w:rPr/>
        <w:pict>
          <v:group style="position:absolute;margin-left:84.675003pt;margin-top:84.190872pt;width:441pt;height:339.75pt;mso-position-horizontal-relative:page;mso-position-vertical-relative:paragraph;z-index:1768" coordorigin="1694,1684" coordsize="8820,6795">
            <v:shape style="position:absolute;left:2142;top:5070;width:8266;height:1762" coordorigin="2142,5070" coordsize="8266,1762" path="m2142,6832l10407,6832m2142,6246l10407,6246m2142,5661l10407,5661m2142,5070l10407,5070e" filled="false" stroked="true" strokeweight=".75pt" strokecolor="#d9d9d9">
              <v:path arrowok="t"/>
            </v:shape>
            <v:shape style="position:absolute;left:2224;top:4780;width:165;height:2639" type="#_x0000_t75" stroked="false">
              <v:imagedata r:id="rId9" o:title=""/>
            </v:shape>
            <v:rect style="position:absolute;left:2224;top:4780;width:165;height:2639" filled="false" stroked="true" strokeweight=".75pt" strokecolor="#5896d0"/>
            <v:shape style="position:absolute;left:2142;top:3899;width:8266;height:586" coordorigin="2142,3899" coordsize="8266,586" path="m2142,4485l10407,4485m2142,3899l10407,3899e" filled="false" stroked="true" strokeweight=".75pt" strokecolor="#d9d9d9">
              <v:path arrowok="t"/>
            </v:shape>
            <v:shape style="position:absolute;left:2555;top:3865;width:165;height:3554" type="#_x0000_t75" stroked="false">
              <v:imagedata r:id="rId10" o:title=""/>
            </v:shape>
            <v:rect style="position:absolute;left:2555;top:3865;width:165;height:3554" filled="false" stroked="true" strokeweight=".75pt" strokecolor="#5896d0"/>
            <v:shape style="position:absolute;left:2885;top:5751;width:165;height:1669" type="#_x0000_t75" stroked="false">
              <v:imagedata r:id="rId11" o:title=""/>
            </v:shape>
            <v:rect style="position:absolute;left:2885;top:5751;width:165;height:1669" filled="false" stroked="true" strokeweight=".75pt" strokecolor="#5896d0"/>
            <v:shape style="position:absolute;left:3216;top:5793;width:165;height:1626" type="#_x0000_t75" stroked="false">
              <v:imagedata r:id="rId12" o:title=""/>
            </v:shape>
            <v:rect style="position:absolute;left:3216;top:5793;width:165;height:1626" filled="false" stroked="true" strokeweight=".75pt" strokecolor="#5896d0"/>
            <v:shape style="position:absolute;left:3547;top:5908;width:165;height:1512" type="#_x0000_t75" stroked="false">
              <v:imagedata r:id="rId13" o:title=""/>
            </v:shape>
            <v:rect style="position:absolute;left:3547;top:5908;width:165;height:1512" filled="false" stroked="true" strokeweight=".75pt" strokecolor="#5896d0"/>
            <v:shape style="position:absolute;left:2142;top:2728;width:8266;height:586" coordorigin="2142,2728" coordsize="8266,586" path="m2142,3313l10407,3313m2142,2728l10407,2728e" filled="false" stroked="true" strokeweight=".75pt" strokecolor="#d9d9d9">
              <v:path arrowok="t"/>
            </v:shape>
            <v:shape style="position:absolute;left:3877;top:2652;width:165;height:4767" type="#_x0000_t75" stroked="false">
              <v:imagedata r:id="rId14" o:title=""/>
            </v:shape>
            <v:rect style="position:absolute;left:3877;top:2652;width:165;height:4767" filled="false" stroked="true" strokeweight=".75pt" strokecolor="#5896d0"/>
            <v:shape style="position:absolute;left:4208;top:5202;width:165;height:2217" type="#_x0000_t75" stroked="false">
              <v:imagedata r:id="rId15" o:title=""/>
            </v:shape>
            <v:rect style="position:absolute;left:4208;top:5202;width:165;height:2217" filled="false" stroked="true" strokeweight=".75pt" strokecolor="#5896d0"/>
            <v:shape style="position:absolute;left:4538;top:5260;width:165;height:2159" type="#_x0000_t75" stroked="false">
              <v:imagedata r:id="rId16" o:title=""/>
            </v:shape>
            <v:rect style="position:absolute;left:4538;top:5260;width:165;height:2159" filled="false" stroked="true" strokeweight=".75pt" strokecolor="#5896d0"/>
            <v:shape style="position:absolute;left:4869;top:7167;width:165;height:253" type="#_x0000_t75" stroked="false">
              <v:imagedata r:id="rId17" o:title=""/>
            </v:shape>
            <v:rect style="position:absolute;left:4869;top:7167;width:165;height:253" filled="false" stroked="true" strokeweight=".75pt" strokecolor="#5896d0"/>
            <v:shape style="position:absolute;left:5200;top:4059;width:165;height:3361" type="#_x0000_t75" stroked="false">
              <v:imagedata r:id="rId18" o:title=""/>
            </v:shape>
            <v:rect style="position:absolute;left:5200;top:4059;width:165;height:3361" filled="false" stroked="true" strokeweight=".75pt" strokecolor="#5896d0"/>
            <v:shape style="position:absolute;left:5530;top:5916;width:165;height:1504" type="#_x0000_t75" stroked="false">
              <v:imagedata r:id="rId19" o:title=""/>
            </v:shape>
            <v:rect style="position:absolute;left:5530;top:5916;width:165;height:1504" filled="false" stroked="true" strokeweight=".75pt" strokecolor="#5896d0"/>
            <v:shape style="position:absolute;left:5861;top:5242;width:165;height:2178" type="#_x0000_t75" stroked="false">
              <v:imagedata r:id="rId20" o:title=""/>
            </v:shape>
            <v:rect style="position:absolute;left:5861;top:5242;width:165;height:2178" filled="false" stroked="true" strokeweight=".75pt" strokecolor="#5896d0"/>
            <v:shape style="position:absolute;left:6192;top:5724;width:165;height:1696" type="#_x0000_t75" stroked="false">
              <v:imagedata r:id="rId21" o:title=""/>
            </v:shape>
            <v:rect style="position:absolute;left:6192;top:5724;width:165;height:1696" filled="false" stroked="true" strokeweight=".75pt" strokecolor="#5896d0"/>
            <v:shape style="position:absolute;left:6522;top:4207;width:165;height:3213" type="#_x0000_t75" stroked="false">
              <v:imagedata r:id="rId22" o:title=""/>
            </v:shape>
            <v:rect style="position:absolute;left:6522;top:4207;width:165;height:3213" filled="false" stroked="true" strokeweight=".75pt" strokecolor="#5896d0"/>
            <v:shape style="position:absolute;left:6853;top:4485;width:165;height:2935" type="#_x0000_t75" stroked="false">
              <v:imagedata r:id="rId23" o:title=""/>
            </v:shape>
            <v:rect style="position:absolute;left:6853;top:4485;width:165;height:2935" filled="false" stroked="true" strokeweight=".75pt" strokecolor="#5896d0"/>
            <v:shape style="position:absolute;left:7183;top:5202;width:165;height:2217" type="#_x0000_t75" stroked="false">
              <v:imagedata r:id="rId24" o:title=""/>
            </v:shape>
            <v:rect style="position:absolute;left:7183;top:5202;width:165;height:2217" filled="false" stroked="true" strokeweight=".75pt" strokecolor="#5896d0"/>
            <v:shape style="position:absolute;left:7514;top:5790;width:165;height:1629" type="#_x0000_t75" stroked="false">
              <v:imagedata r:id="rId25" o:title=""/>
            </v:shape>
            <v:rect style="position:absolute;left:7514;top:5790;width:165;height:1629" filled="false" stroked="true" strokeweight=".75pt" strokecolor="#5896d0"/>
            <v:shape style="position:absolute;left:7845;top:4654;width:165;height:2766" type="#_x0000_t75" stroked="false">
              <v:imagedata r:id="rId26" o:title=""/>
            </v:shape>
            <v:rect style="position:absolute;left:7845;top:4654;width:165;height:2766" filled="false" stroked="true" strokeweight=".75pt" strokecolor="#5896d0"/>
            <v:shape style="position:absolute;left:8175;top:5633;width:165;height:1786" type="#_x0000_t75" stroked="false">
              <v:imagedata r:id="rId27" o:title=""/>
            </v:shape>
            <v:rect style="position:absolute;left:8175;top:5633;width:165;height:1786" filled="false" stroked="true" strokeweight=".75pt" strokecolor="#5896d0"/>
            <v:shape style="position:absolute;left:8506;top:5751;width:165;height:1669" type="#_x0000_t75" stroked="false">
              <v:imagedata r:id="rId11" o:title=""/>
            </v:shape>
            <v:rect style="position:absolute;left:8506;top:5751;width:165;height:1669" filled="false" stroked="true" strokeweight=".75pt" strokecolor="#5896d0"/>
            <v:shape style="position:absolute;left:8836;top:4738;width:165;height:2681" type="#_x0000_t75" stroked="false">
              <v:imagedata r:id="rId28" o:title=""/>
            </v:shape>
            <v:rect style="position:absolute;left:8836;top:4738;width:165;height:2681" filled="false" stroked="true" strokeweight=".75pt" strokecolor="#5896d0"/>
            <v:shape style="position:absolute;left:9167;top:4125;width:165;height:3294" type="#_x0000_t75" stroked="false">
              <v:imagedata r:id="rId29" o:title=""/>
            </v:shape>
            <v:rect style="position:absolute;left:9167;top:4125;width:165;height:3294" filled="false" stroked="true" strokeweight=".75pt" strokecolor="#5896d0"/>
            <v:shape style="position:absolute;left:9498;top:4028;width:165;height:3392" type="#_x0000_t75" stroked="false">
              <v:imagedata r:id="rId30" o:title=""/>
            </v:shape>
            <v:rect style="position:absolute;left:9498;top:4028;width:165;height:3392" filled="false" stroked="true" strokeweight=".75pt" strokecolor="#5896d0"/>
            <v:shape style="position:absolute;left:9828;top:4811;width:165;height:2609" type="#_x0000_t75" stroked="false">
              <v:imagedata r:id="rId31" o:title=""/>
            </v:shape>
            <v:rect style="position:absolute;left:9828;top:4811;width:165;height:2609" filled="false" stroked="true" strokeweight=".75pt" strokecolor="#5896d0"/>
            <v:shape style="position:absolute;left:10159;top:5947;width:165;height:1473" type="#_x0000_t75" stroked="false">
              <v:imagedata r:id="rId32" o:title=""/>
            </v:shape>
            <v:rect style="position:absolute;left:10159;top:5947;width:165;height:1473" filled="false" stroked="true" strokeweight=".75pt" strokecolor="#5896d0"/>
            <v:shape style="position:absolute;left:2142;top:2139;width:8266;height:5281" coordorigin="2142,2139" coordsize="8266,5281" path="m2142,7420l10407,7420m2142,2139l10407,2139e" filled="false" stroked="true" strokeweight=".75pt" strokecolor="#d9d9d9">
              <v:path arrowok="t"/>
            </v:shape>
            <v:shape style="position:absolute;left:1786;top:7567;width:8476;height:673" type="#_x0000_t75" stroked="false">
              <v:imagedata r:id="rId33" o:title=""/>
            </v:shape>
            <v:rect style="position:absolute;left:1701;top:1691;width:8805;height:6780" filled="false" stroked="true" strokeweight=".75pt" strokecolor="#d9d9d9"/>
            <v:shape style="position:absolute;left:1748;top:2057;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8.0</w:t>
                    </w:r>
                  </w:p>
                </w:txbxContent>
              </v:textbox>
              <w10:wrap type="none"/>
            </v:shape>
            <v:shape style="position:absolute;left:3847;top:2380;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7.6</w:t>
                    </w:r>
                  </w:p>
                </w:txbxContent>
              </v:textbox>
              <w10:wrap type="none"/>
            </v:shape>
            <v:shape style="position:absolute;left:1748;top:2644;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7.5</w:t>
                    </w:r>
                  </w:p>
                </w:txbxContent>
              </v:textbox>
              <w10:wrap type="none"/>
            </v:shape>
            <v:shape style="position:absolute;left:1748;top:3230;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7.0</w:t>
                    </w:r>
                  </w:p>
                </w:txbxContent>
              </v:textbox>
              <w10:wrap type="none"/>
            </v:shape>
            <v:shape style="position:absolute;left:2524;top:3594;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6.5</w:t>
                    </w:r>
                  </w:p>
                </w:txbxContent>
              </v:textbox>
              <w10:wrap type="none"/>
            </v:shape>
            <v:shape style="position:absolute;left:1748;top:3817;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6.5</w:t>
                    </w:r>
                  </w:p>
                </w:txbxContent>
              </v:textbox>
              <w10:wrap type="none"/>
            </v:shape>
            <v:shape style="position:absolute;left:5170;top:3788;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6.4</w:t>
                    </w:r>
                  </w:p>
                </w:txbxContent>
              </v:textbox>
              <w10:wrap type="none"/>
            </v:shape>
            <v:shape style="position:absolute;left:6492;top:3935;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6.2</w:t>
                    </w:r>
                  </w:p>
                </w:txbxContent>
              </v:textbox>
              <w10:wrap type="none"/>
            </v:shape>
            <v:shape style="position:absolute;left:9138;top:3756;width:563;height:280" type="#_x0000_t202" filled="false" stroked="false">
              <v:textbox inset="0,0,0,0">
                <w:txbxContent>
                  <w:p>
                    <w:pPr>
                      <w:spacing w:line="280" w:lineRule="exact" w:before="0"/>
                      <w:ind w:left="0" w:right="0" w:firstLine="0"/>
                      <w:jc w:val="left"/>
                      <w:rPr>
                        <w:rFonts w:ascii="Calibri"/>
                        <w:b/>
                        <w:sz w:val="18"/>
                      </w:rPr>
                    </w:pPr>
                    <w:r>
                      <w:rPr>
                        <w:rFonts w:ascii="Calibri"/>
                        <w:b/>
                        <w:position w:val="-9"/>
                        <w:sz w:val="18"/>
                      </w:rPr>
                      <w:t>6.3  </w:t>
                    </w:r>
                    <w:r>
                      <w:rPr>
                        <w:rFonts w:ascii="Calibri"/>
                        <w:b/>
                        <w:sz w:val="18"/>
                      </w:rPr>
                      <w:t>6.4</w:t>
                    </w:r>
                  </w:p>
                </w:txbxContent>
              </v:textbox>
              <w10:wrap type="none"/>
            </v:shape>
            <v:shape style="position:absolute;left:6823;top:4213;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6.0</w:t>
                    </w:r>
                  </w:p>
                </w:txbxContent>
              </v:textbox>
              <w10:wrap type="none"/>
            </v:shape>
            <v:shape style="position:absolute;left:1748;top:4404;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6.0</w:t>
                    </w:r>
                  </w:p>
                </w:txbxContent>
              </v:textbox>
              <w10:wrap type="none"/>
            </v:shape>
            <v:shape style="position:absolute;left:2193;top:4509;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5.7</w:t>
                    </w:r>
                  </w:p>
                </w:txbxContent>
              </v:textbox>
              <w10:wrap type="none"/>
            </v:shape>
            <v:shape style="position:absolute;left:7815;top:4382;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5.9</w:t>
                    </w:r>
                  </w:p>
                </w:txbxContent>
              </v:textbox>
              <w10:wrap type="none"/>
            </v:shape>
            <v:shape style="position:absolute;left:8808;top:4467;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5.8</w:t>
                    </w:r>
                  </w:p>
                </w:txbxContent>
              </v:textbox>
              <w10:wrap type="none"/>
            </v:shape>
            <v:shape style="position:absolute;left:9800;top:4540;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5.7</w:t>
                    </w:r>
                  </w:p>
                </w:txbxContent>
              </v:textbox>
              <w10:wrap type="none"/>
            </v:shape>
            <v:shape style="position:absolute;left:1748;top:4991;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5.5</w:t>
                    </w:r>
                  </w:p>
                </w:txbxContent>
              </v:textbox>
              <w10:wrap type="none"/>
            </v:shape>
            <v:shape style="position:absolute;left:4177;top:4931;width:563;height:240" type="#_x0000_t202" filled="false" stroked="false">
              <v:textbox inset="0,0,0,0">
                <w:txbxContent>
                  <w:p>
                    <w:pPr>
                      <w:spacing w:line="240" w:lineRule="exact" w:before="0"/>
                      <w:ind w:left="0" w:right="0" w:firstLine="0"/>
                      <w:jc w:val="left"/>
                      <w:rPr>
                        <w:rFonts w:ascii="Calibri"/>
                        <w:b/>
                        <w:sz w:val="18"/>
                      </w:rPr>
                    </w:pPr>
                    <w:r>
                      <w:rPr>
                        <w:rFonts w:ascii="Calibri"/>
                        <w:b/>
                        <w:sz w:val="18"/>
                      </w:rPr>
                      <w:t>5.4  </w:t>
                    </w:r>
                    <w:r>
                      <w:rPr>
                        <w:rFonts w:ascii="Calibri"/>
                        <w:b/>
                        <w:position w:val="-5"/>
                        <w:sz w:val="18"/>
                      </w:rPr>
                      <w:t>5.3</w:t>
                    </w:r>
                  </w:p>
                </w:txbxContent>
              </v:textbox>
              <w10:wrap type="none"/>
            </v:shape>
            <v:shape style="position:absolute;left:5831;top:4970;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5.4</w:t>
                    </w:r>
                  </w:p>
                </w:txbxContent>
              </v:textbox>
              <w10:wrap type="none"/>
            </v:shape>
            <v:shape style="position:absolute;left:7154;top:4931;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5.4</w:t>
                    </w:r>
                  </w:p>
                </w:txbxContent>
              </v:textbox>
              <w10:wrap type="none"/>
            </v:shape>
            <v:shape style="position:absolute;left:1748;top:5579;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5.0</w:t>
                    </w:r>
                  </w:p>
                </w:txbxContent>
              </v:textbox>
              <w10:wrap type="none"/>
            </v:shape>
            <v:shape style="position:absolute;left:2855;top:5480;width:893;height:340" type="#_x0000_t202" filled="false" stroked="false">
              <v:textbox inset="0,0,0,0">
                <w:txbxContent>
                  <w:p>
                    <w:pPr>
                      <w:spacing w:line="174" w:lineRule="exact" w:before="0"/>
                      <w:ind w:left="0" w:right="0" w:firstLine="0"/>
                      <w:jc w:val="left"/>
                      <w:rPr>
                        <w:rFonts w:ascii="Calibri"/>
                        <w:b/>
                        <w:sz w:val="18"/>
                      </w:rPr>
                    </w:pPr>
                    <w:r>
                      <w:rPr>
                        <w:rFonts w:ascii="Calibri"/>
                        <w:b/>
                        <w:sz w:val="18"/>
                      </w:rPr>
                      <w:t>4.9  </w:t>
                    </w:r>
                    <w:r>
                      <w:rPr>
                        <w:rFonts w:ascii="Calibri"/>
                        <w:b/>
                        <w:position w:val="-3"/>
                        <w:sz w:val="18"/>
                      </w:rPr>
                      <w:t>4.9</w:t>
                    </w:r>
                  </w:p>
                  <w:p>
                    <w:pPr>
                      <w:spacing w:line="166" w:lineRule="exact" w:before="0"/>
                      <w:ind w:left="0" w:right="0" w:firstLine="0"/>
                      <w:jc w:val="right"/>
                      <w:rPr>
                        <w:rFonts w:ascii="Calibri"/>
                        <w:b/>
                        <w:sz w:val="18"/>
                      </w:rPr>
                    </w:pPr>
                    <w:r>
                      <w:rPr>
                        <w:rFonts w:ascii="Calibri"/>
                        <w:b/>
                        <w:sz w:val="18"/>
                      </w:rPr>
                      <w:t>4.8</w:t>
                    </w:r>
                  </w:p>
                </w:txbxContent>
              </v:textbox>
              <w10:wrap type="none"/>
            </v:shape>
            <v:shape style="position:absolute;left:6162;top:5452;width:232;height:183" type="#_x0000_t202" filled="false" stroked="false">
              <v:textbox inset="0,0,0,0">
                <w:txbxContent>
                  <w:p>
                    <w:pPr>
                      <w:spacing w:line="183" w:lineRule="exact" w:before="0"/>
                      <w:ind w:left="0" w:right="-19" w:firstLine="0"/>
                      <w:jc w:val="left"/>
                      <w:rPr>
                        <w:rFonts w:ascii="Calibri"/>
                        <w:b/>
                        <w:sz w:val="18"/>
                      </w:rPr>
                    </w:pPr>
                    <w:r>
                      <w:rPr>
                        <w:rFonts w:ascii="Calibri"/>
                        <w:b/>
                        <w:sz w:val="18"/>
                      </w:rPr>
                      <w:t>4.9</w:t>
                    </w:r>
                  </w:p>
                </w:txbxContent>
              </v:textbox>
              <w10:wrap type="none"/>
            </v:shape>
            <v:shape style="position:absolute;left:5500;top:5645;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4.8</w:t>
                    </w:r>
                  </w:p>
                </w:txbxContent>
              </v:textbox>
              <w10:wrap type="none"/>
            </v:shape>
            <v:shape style="position:absolute;left:7485;top:5519;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4.9</w:t>
                    </w:r>
                  </w:p>
                </w:txbxContent>
              </v:textbox>
              <w10:wrap type="none"/>
            </v:shape>
            <v:shape style="position:absolute;left:8146;top:5363;width:563;height:300" type="#_x0000_t202" filled="false" stroked="false">
              <v:textbox inset="0,0,0,0">
                <w:txbxContent>
                  <w:p>
                    <w:pPr>
                      <w:spacing w:line="300" w:lineRule="exact" w:before="0"/>
                      <w:ind w:left="0" w:right="0" w:firstLine="0"/>
                      <w:jc w:val="left"/>
                      <w:rPr>
                        <w:rFonts w:ascii="Calibri"/>
                        <w:b/>
                        <w:sz w:val="18"/>
                      </w:rPr>
                    </w:pPr>
                    <w:r>
                      <w:rPr>
                        <w:rFonts w:ascii="Calibri"/>
                        <w:b/>
                        <w:sz w:val="18"/>
                      </w:rPr>
                      <w:t>5.0  </w:t>
                    </w:r>
                    <w:r>
                      <w:rPr>
                        <w:rFonts w:ascii="Calibri"/>
                        <w:b/>
                        <w:position w:val="-11"/>
                        <w:sz w:val="18"/>
                      </w:rPr>
                      <w:t>4.9</w:t>
                    </w:r>
                  </w:p>
                </w:txbxContent>
              </v:textbox>
              <w10:wrap type="none"/>
            </v:shape>
            <v:shape style="position:absolute;left:10130;top:5676;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4.8</w:t>
                    </w:r>
                  </w:p>
                </w:txbxContent>
              </v:textbox>
              <w10:wrap type="none"/>
            </v:shape>
            <v:shape style="position:absolute;left:1748;top:6165;width:228;height:183" type="#_x0000_t202" filled="false" stroked="false">
              <v:textbox inset="0,0,0,0">
                <w:txbxContent>
                  <w:p>
                    <w:pPr>
                      <w:spacing w:line="183" w:lineRule="exact" w:before="0"/>
                      <w:ind w:left="0" w:right="-20" w:firstLine="0"/>
                      <w:jc w:val="left"/>
                      <w:rPr>
                        <w:rFonts w:ascii="Calibri"/>
                        <w:sz w:val="18"/>
                      </w:rPr>
                    </w:pPr>
                    <w:r>
                      <w:rPr>
                        <w:rFonts w:ascii="Calibri"/>
                        <w:sz w:val="18"/>
                      </w:rPr>
                      <w:t>4.5</w:t>
                    </w:r>
                  </w:p>
                </w:txbxContent>
              </v:textbox>
              <w10:wrap type="none"/>
            </v:shape>
            <v:shape style="position:absolute;left:1748;top:6752;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4.0</w:t>
                    </w:r>
                  </w:p>
                </w:txbxContent>
              </v:textbox>
              <w10:wrap type="none"/>
            </v:shape>
            <v:shape style="position:absolute;left:4839;top:6897;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3.7</w:t>
                    </w:r>
                  </w:p>
                </w:txbxContent>
              </v:textbox>
              <w10:wrap type="none"/>
            </v:shape>
            <v:shape style="position:absolute;left:1748;top:7339;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3.5</w:t>
                    </w:r>
                  </w:p>
                </w:txbxContent>
              </v:textbox>
              <w10:wrap type="none"/>
            </v:shape>
            <w10:wrap type="none"/>
          </v:group>
        </w:pict>
      </w:r>
      <w:r>
        <w:rPr/>
        <w:t>Gráfica 1. Índice de eficiencia miocárdica en jugadores de fútbol asociación en pretemporada 2015 a 2600 metros sobre el nivel del mar.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6"/>
        </w:rPr>
      </w:pPr>
    </w:p>
    <w:p>
      <w:pPr>
        <w:spacing w:before="0"/>
        <w:ind w:left="119" w:right="0" w:firstLine="7284"/>
        <w:jc w:val="left"/>
        <w:rPr>
          <w:sz w:val="20"/>
        </w:rPr>
      </w:pPr>
      <w:r>
        <w:rPr/>
        <w:pict>
          <v:shape style="position:absolute;margin-left:100.139999pt;margin-top:-188.653488pt;width:12.1pt;height:125.8pt;mso-position-horizontal-relative:page;mso-position-vertical-relative:paragraph;z-index:1792" type="#_x0000_t202" filled="false" stroked="false">
            <v:textbox inset="0,0,0,0" style="layout-flow:vertical;mso-layout-flow-alt:bottom-to-top">
              <w:txbxContent>
                <w:p>
                  <w:pPr>
                    <w:spacing w:line="225" w:lineRule="exact" w:before="0"/>
                    <w:ind w:left="20" w:right="0" w:firstLine="0"/>
                    <w:jc w:val="left"/>
                    <w:rPr>
                      <w:rFonts w:ascii="Calibri" w:hAnsi="Calibri"/>
                      <w:b/>
                      <w:sz w:val="20"/>
                    </w:rPr>
                  </w:pPr>
                  <w:r>
                    <w:rPr>
                      <w:rFonts w:ascii="Calibri" w:hAnsi="Calibri"/>
                      <w:b/>
                      <w:spacing w:val="-1"/>
                      <w:w w:val="100"/>
                      <w:sz w:val="20"/>
                    </w:rPr>
                    <w:t>Í</w:t>
                  </w:r>
                  <w:r>
                    <w:rPr>
                      <w:rFonts w:ascii="Calibri" w:hAnsi="Calibri"/>
                      <w:b/>
                      <w:spacing w:val="2"/>
                      <w:w w:val="100"/>
                      <w:sz w:val="20"/>
                    </w:rPr>
                    <w:t>nd</w:t>
                  </w:r>
                  <w:r>
                    <w:rPr>
                      <w:rFonts w:ascii="Calibri" w:hAnsi="Calibri"/>
                      <w:b/>
                      <w:spacing w:val="-2"/>
                      <w:w w:val="100"/>
                      <w:sz w:val="20"/>
                    </w:rPr>
                    <w:t>i</w:t>
                  </w:r>
                  <w:r>
                    <w:rPr>
                      <w:rFonts w:ascii="Calibri" w:hAnsi="Calibri"/>
                      <w:b/>
                      <w:spacing w:val="1"/>
                      <w:w w:val="100"/>
                      <w:sz w:val="20"/>
                    </w:rPr>
                    <w:t>c</w:t>
                  </w:r>
                  <w:r>
                    <w:rPr>
                      <w:rFonts w:ascii="Calibri" w:hAnsi="Calibri"/>
                      <w:b/>
                      <w:w w:val="100"/>
                      <w:sz w:val="20"/>
                    </w:rPr>
                    <w:t>e</w:t>
                  </w:r>
                  <w:r>
                    <w:rPr>
                      <w:rFonts w:ascii="Calibri" w:hAnsi="Calibri"/>
                      <w:b/>
                      <w:spacing w:val="-8"/>
                      <w:sz w:val="20"/>
                    </w:rPr>
                    <w:t> </w:t>
                  </w:r>
                  <w:r>
                    <w:rPr>
                      <w:rFonts w:ascii="Calibri" w:hAnsi="Calibri"/>
                      <w:b/>
                      <w:spacing w:val="2"/>
                      <w:w w:val="100"/>
                      <w:sz w:val="20"/>
                    </w:rPr>
                    <w:t>d</w:t>
                  </w:r>
                  <w:r>
                    <w:rPr>
                      <w:rFonts w:ascii="Calibri" w:hAnsi="Calibri"/>
                      <w:b/>
                      <w:w w:val="100"/>
                      <w:sz w:val="20"/>
                    </w:rPr>
                    <w:t>e</w:t>
                  </w:r>
                  <w:r>
                    <w:rPr>
                      <w:rFonts w:ascii="Calibri" w:hAnsi="Calibri"/>
                      <w:b/>
                      <w:spacing w:val="-3"/>
                      <w:sz w:val="20"/>
                    </w:rPr>
                    <w:t> </w:t>
                  </w:r>
                  <w:r>
                    <w:rPr>
                      <w:rFonts w:ascii="Calibri" w:hAnsi="Calibri"/>
                      <w:b/>
                      <w:spacing w:val="-1"/>
                      <w:w w:val="101"/>
                      <w:sz w:val="18"/>
                    </w:rPr>
                    <w:t>ef</w:t>
                  </w:r>
                  <w:r>
                    <w:rPr>
                      <w:rFonts w:ascii="Calibri" w:hAnsi="Calibri"/>
                      <w:b/>
                      <w:spacing w:val="-2"/>
                      <w:w w:val="101"/>
                      <w:sz w:val="18"/>
                    </w:rPr>
                    <w:t>i</w:t>
                  </w:r>
                  <w:r>
                    <w:rPr>
                      <w:rFonts w:ascii="Calibri" w:hAnsi="Calibri"/>
                      <w:b/>
                      <w:w w:val="101"/>
                      <w:sz w:val="18"/>
                    </w:rPr>
                    <w:t>c</w:t>
                  </w:r>
                  <w:r>
                    <w:rPr>
                      <w:rFonts w:ascii="Calibri" w:hAnsi="Calibri"/>
                      <w:b/>
                      <w:spacing w:val="-2"/>
                      <w:w w:val="101"/>
                      <w:sz w:val="18"/>
                    </w:rPr>
                    <w:t>i</w:t>
                  </w:r>
                  <w:r>
                    <w:rPr>
                      <w:rFonts w:ascii="Calibri" w:hAnsi="Calibri"/>
                      <w:b/>
                      <w:spacing w:val="-1"/>
                      <w:w w:val="101"/>
                      <w:sz w:val="18"/>
                    </w:rPr>
                    <w:t>e</w:t>
                  </w:r>
                  <w:r>
                    <w:rPr>
                      <w:rFonts w:ascii="Calibri" w:hAnsi="Calibri"/>
                      <w:b/>
                      <w:spacing w:val="-2"/>
                      <w:w w:val="101"/>
                      <w:sz w:val="18"/>
                    </w:rPr>
                    <w:t>n</w:t>
                  </w:r>
                  <w:r>
                    <w:rPr>
                      <w:rFonts w:ascii="Calibri" w:hAnsi="Calibri"/>
                      <w:b/>
                      <w:w w:val="101"/>
                      <w:sz w:val="18"/>
                    </w:rPr>
                    <w:t>c</w:t>
                  </w:r>
                  <w:r>
                    <w:rPr>
                      <w:rFonts w:ascii="Calibri" w:hAnsi="Calibri"/>
                      <w:b/>
                      <w:spacing w:val="-2"/>
                      <w:w w:val="101"/>
                      <w:sz w:val="18"/>
                    </w:rPr>
                    <w:t>i</w:t>
                  </w:r>
                  <w:r>
                    <w:rPr>
                      <w:rFonts w:ascii="Calibri" w:hAnsi="Calibri"/>
                      <w:b/>
                      <w:w w:val="101"/>
                      <w:sz w:val="18"/>
                    </w:rPr>
                    <w:t>a</w:t>
                  </w:r>
                  <w:r>
                    <w:rPr>
                      <w:rFonts w:ascii="Calibri" w:hAnsi="Calibri"/>
                      <w:b/>
                      <w:spacing w:val="-1"/>
                      <w:sz w:val="18"/>
                    </w:rPr>
                    <w:t> </w:t>
                  </w:r>
                  <w:r>
                    <w:rPr>
                      <w:rFonts w:ascii="Calibri" w:hAnsi="Calibri"/>
                      <w:b/>
                      <w:spacing w:val="-1"/>
                      <w:w w:val="100"/>
                      <w:sz w:val="20"/>
                    </w:rPr>
                    <w:t>m</w:t>
                  </w:r>
                  <w:r>
                    <w:rPr>
                      <w:rFonts w:ascii="Calibri" w:hAnsi="Calibri"/>
                      <w:b/>
                      <w:spacing w:val="-2"/>
                      <w:w w:val="100"/>
                      <w:sz w:val="20"/>
                    </w:rPr>
                    <w:t>i</w:t>
                  </w:r>
                  <w:r>
                    <w:rPr>
                      <w:rFonts w:ascii="Calibri" w:hAnsi="Calibri"/>
                      <w:b/>
                      <w:spacing w:val="1"/>
                      <w:w w:val="100"/>
                      <w:sz w:val="20"/>
                    </w:rPr>
                    <w:t>ocá</w:t>
                  </w:r>
                  <w:r>
                    <w:rPr>
                      <w:rFonts w:ascii="Calibri" w:hAnsi="Calibri"/>
                      <w:b/>
                      <w:spacing w:val="-1"/>
                      <w:w w:val="100"/>
                      <w:sz w:val="20"/>
                    </w:rPr>
                    <w:t>r</w:t>
                  </w:r>
                  <w:r>
                    <w:rPr>
                      <w:rFonts w:ascii="Calibri" w:hAnsi="Calibri"/>
                      <w:b/>
                      <w:spacing w:val="2"/>
                      <w:w w:val="100"/>
                      <w:sz w:val="20"/>
                    </w:rPr>
                    <w:t>d</w:t>
                  </w:r>
                  <w:r>
                    <w:rPr>
                      <w:rFonts w:ascii="Calibri" w:hAnsi="Calibri"/>
                      <w:b/>
                      <w:spacing w:val="-2"/>
                      <w:w w:val="100"/>
                      <w:sz w:val="20"/>
                    </w:rPr>
                    <w:t>i</w:t>
                  </w:r>
                  <w:r>
                    <w:rPr>
                      <w:rFonts w:ascii="Calibri" w:hAnsi="Calibri"/>
                      <w:b/>
                      <w:spacing w:val="1"/>
                      <w:w w:val="100"/>
                      <w:sz w:val="20"/>
                    </w:rPr>
                    <w:t>c</w:t>
                  </w:r>
                  <w:r>
                    <w:rPr>
                      <w:rFonts w:ascii="Calibri" w:hAnsi="Calibri"/>
                      <w:b/>
                      <w:w w:val="100"/>
                      <w:sz w:val="20"/>
                    </w:rPr>
                    <w:t>a</w:t>
                  </w:r>
                </w:p>
              </w:txbxContent>
            </v:textbox>
            <w10:wrap type="none"/>
          </v:shape>
        </w:pict>
      </w:r>
      <w:r>
        <w:rPr>
          <w:sz w:val="20"/>
        </w:rPr>
        <w:t>Fuente: Cuadro 1</w:t>
      </w:r>
    </w:p>
    <w:p>
      <w:pPr>
        <w:pStyle w:val="BodyText"/>
        <w:rPr>
          <w:sz w:val="20"/>
        </w:rPr>
      </w:pPr>
    </w:p>
    <w:p>
      <w:pPr>
        <w:pStyle w:val="BodyText"/>
        <w:rPr>
          <w:sz w:val="20"/>
        </w:rPr>
      </w:pPr>
    </w:p>
    <w:p>
      <w:pPr>
        <w:pStyle w:val="BodyText"/>
        <w:spacing w:before="3"/>
        <w:rPr>
          <w:sz w:val="25"/>
        </w:rPr>
      </w:pPr>
    </w:p>
    <w:p>
      <w:pPr>
        <w:pStyle w:val="BodyText"/>
        <w:spacing w:line="360" w:lineRule="auto"/>
        <w:ind w:left="119" w:right="119"/>
        <w:jc w:val="both"/>
      </w:pPr>
      <w:r>
        <w:rPr/>
        <w:t>La media del índice de eficiencia miocárdica en jugadores de fútbol asociación en pretemporada 2015 a 2600 metros sobre el nivel del </w:t>
      </w:r>
      <w:r>
        <w:rPr>
          <w:spacing w:val="-3"/>
        </w:rPr>
        <w:t>mar </w:t>
      </w:r>
      <w:r>
        <w:rPr/>
        <w:t>es de 5.5 ± 0.80, La moda del índice de eficiencia miocárdica en jugadores de fútbol asociación en pretemporada 2015 a 2600 metros sobre el nivel del </w:t>
      </w:r>
      <w:r>
        <w:rPr>
          <w:spacing w:val="-3"/>
        </w:rPr>
        <w:t>mar </w:t>
      </w:r>
      <w:r>
        <w:rPr/>
        <w:t>es de</w:t>
      </w:r>
      <w:r>
        <w:rPr>
          <w:spacing w:val="-7"/>
        </w:rPr>
        <w:t> </w:t>
      </w:r>
      <w:r>
        <w:rPr/>
        <w:t>4.9.</w:t>
      </w:r>
    </w:p>
    <w:p>
      <w:pPr>
        <w:spacing w:after="0" w:line="360" w:lineRule="auto"/>
        <w:jc w:val="both"/>
        <w:sectPr>
          <w:pgSz w:w="12240" w:h="15840"/>
          <w:pgMar w:header="0" w:footer="966" w:top="1500" w:bottom="1220" w:left="1580" w:right="1580"/>
        </w:sectPr>
      </w:pPr>
    </w:p>
    <w:p>
      <w:pPr>
        <w:pStyle w:val="BodyText"/>
        <w:spacing w:line="360" w:lineRule="auto" w:before="52"/>
        <w:ind w:left="119" w:right="120"/>
        <w:jc w:val="both"/>
      </w:pPr>
      <w:r>
        <w:rPr/>
        <w:pict>
          <v:group style="position:absolute;margin-left:84.675003pt;margin-top:83.250877pt;width:438pt;height:395.25pt;mso-position-horizontal-relative:page;mso-position-vertical-relative:paragraph;z-index:2464" coordorigin="1694,1665" coordsize="8760,7905">
            <v:shape style="position:absolute;left:2260;top:3435;width:7831;height:4234" coordorigin="2260,3435" coordsize="7831,4234" path="m2260,7669l10091,7669m2260,7141l10091,7141m2260,6608l10091,6608m2260,6080l10091,6080m2260,5552l10091,5552m2260,5024l10091,5024m2260,4491l10091,4491m2260,3963l10091,3963m2260,3435l10091,3435e" filled="false" stroked="true" strokeweight=".75pt" strokecolor="#d9d9d9">
              <v:path arrowok="t"/>
            </v:shape>
            <v:shape style="position:absolute;left:2338;top:3259;width:157;height:4940" type="#_x0000_t75" stroked="false">
              <v:imagedata r:id="rId34" o:title=""/>
            </v:shape>
            <v:rect style="position:absolute;left:2338;top:3259;width:157;height:4940" filled="false" stroked="true" strokeweight=".75pt" strokecolor="#5896d0"/>
            <v:shape style="position:absolute;left:2652;top:3881;width:157;height:4317" type="#_x0000_t75" stroked="false">
              <v:imagedata r:id="rId35" o:title=""/>
            </v:shape>
            <v:rect style="position:absolute;left:2652;top:3881;width:157;height:4317" filled="false" stroked="true" strokeweight=".75pt" strokecolor="#5896d0"/>
            <v:shape style="position:absolute;left:2965;top:5645;width:157;height:2554" type="#_x0000_t75" stroked="false">
              <v:imagedata r:id="rId36" o:title=""/>
            </v:shape>
            <v:rect style="position:absolute;left:2965;top:5645;width:157;height:2554" filled="false" stroked="true" strokeweight=".75pt" strokecolor="#5896d0"/>
            <v:shape style="position:absolute;left:3278;top:5749;width:157;height:2450" type="#_x0000_t75" stroked="false">
              <v:imagedata r:id="rId37" o:title=""/>
            </v:shape>
            <v:rect style="position:absolute;left:3278;top:5749;width:157;height:2450" filled="false" stroked="true" strokeweight=".75pt" strokecolor="#5896d0"/>
            <v:shape style="position:absolute;left:3591;top:6030;width:157;height:2168" type="#_x0000_t75" stroked="false">
              <v:imagedata r:id="rId38" o:title=""/>
            </v:shape>
            <v:rect style="position:absolute;left:3591;top:6030;width:157;height:2168" filled="false" stroked="true" strokeweight=".75pt" strokecolor="#5896d0"/>
            <v:shape style="position:absolute;left:3905;top:4200;width:157;height:3999" type="#_x0000_t75" stroked="false">
              <v:imagedata r:id="rId39" o:title=""/>
            </v:shape>
            <v:rect style="position:absolute;left:3905;top:4200;width:157;height:3999" filled="false" stroked="true" strokeweight=".75pt" strokecolor="#5896d0"/>
            <v:shape style="position:absolute;left:4218;top:4296;width:157;height:3902" type="#_x0000_t75" stroked="false">
              <v:imagedata r:id="rId40" o:title=""/>
            </v:shape>
            <v:rect style="position:absolute;left:4218;top:4296;width:157;height:3902" filled="false" stroked="true" strokeweight=".75pt" strokecolor="#5896d0"/>
            <v:shape style="position:absolute;left:4531;top:6504;width:157;height:1694" type="#_x0000_t75" stroked="false">
              <v:imagedata r:id="rId41" o:title=""/>
            </v:shape>
            <v:rect style="position:absolute;left:4531;top:6504;width:157;height:1694" filled="false" stroked="true" strokeweight=".75pt" strokecolor="#5896d0"/>
            <v:shape style="position:absolute;left:4844;top:7690;width:157;height:508" type="#_x0000_t75" stroked="false">
              <v:imagedata r:id="rId42" o:title=""/>
            </v:shape>
            <v:rect style="position:absolute;left:4844;top:7690;width:157;height:508" filled="false" stroked="true" strokeweight=".75pt" strokecolor="#5896d0"/>
            <v:shape style="position:absolute;left:5157;top:3948;width:157;height:4251" type="#_x0000_t75" stroked="false">
              <v:imagedata r:id="rId43" o:title=""/>
            </v:shape>
            <v:rect style="position:absolute;left:5157;top:3948;width:157;height:4251" filled="false" stroked="true" strokeweight=".75pt" strokecolor="#5896d0"/>
            <v:shape style="position:absolute;left:5471;top:4200;width:157;height:3999" type="#_x0000_t75" stroked="false">
              <v:imagedata r:id="rId39" o:title=""/>
            </v:shape>
            <v:rect style="position:absolute;left:5471;top:4200;width:157;height:3999" filled="false" stroked="true" strokeweight=".75pt" strokecolor="#5896d0"/>
            <v:shape style="position:absolute;left:5784;top:4392;width:157;height:3806" type="#_x0000_t75" stroked="false">
              <v:imagedata r:id="rId44" o:title=""/>
            </v:shape>
            <v:rect style="position:absolute;left:5784;top:4392;width:157;height:3806" filled="false" stroked="true" strokeweight=".75pt" strokecolor="#5896d0"/>
            <v:shape style="position:absolute;left:6097;top:5578;width:157;height:2620" type="#_x0000_t75" stroked="false">
              <v:imagedata r:id="rId45" o:title=""/>
            </v:shape>
            <v:rect style="position:absolute;left:6097;top:5578;width:157;height:2620" filled="false" stroked="true" strokeweight=".75pt" strokecolor="#5896d0"/>
            <v:shape style="position:absolute;left:6410;top:6801;width:157;height:1397" type="#_x0000_t75" stroked="false">
              <v:imagedata r:id="rId46" o:title=""/>
            </v:shape>
            <v:rect style="position:absolute;left:6410;top:6801;width:157;height:1397" filled="false" stroked="true" strokeweight=".75pt" strokecolor="#5896d0"/>
            <v:line style="position:absolute" from="2260,2907" to="10091,2907" stroked="true" strokeweight=".75pt" strokecolor="#d9d9d9"/>
            <v:shape style="position:absolute;left:6724;top:2532;width:157;height:5666" type="#_x0000_t75" stroked="false">
              <v:imagedata r:id="rId47" o:title=""/>
            </v:shape>
            <v:rect style="position:absolute;left:6724;top:2532;width:157;height:5666" filled="false" stroked="true" strokeweight=".75pt" strokecolor="#5896d0"/>
            <v:shape style="position:absolute;left:7037;top:4296;width:157;height:3902" type="#_x0000_t75" stroked="false">
              <v:imagedata r:id="rId40" o:title=""/>
            </v:shape>
            <v:rect style="position:absolute;left:7037;top:4296;width:157;height:3902" filled="false" stroked="true" strokeweight=".75pt" strokecolor="#5896d0"/>
            <v:shape style="position:absolute;left:7350;top:5741;width:157;height:2457" type="#_x0000_t75" stroked="false">
              <v:imagedata r:id="rId48" o:title=""/>
            </v:shape>
            <v:rect style="position:absolute;left:7350;top:5741;width:157;height:2457" filled="false" stroked="true" strokeweight=".75pt" strokecolor="#5896d0"/>
            <v:shape style="position:absolute;left:7663;top:2947;width:157;height:5251" type="#_x0000_t75" stroked="false">
              <v:imagedata r:id="rId49" o:title=""/>
            </v:shape>
            <v:rect style="position:absolute;left:7663;top:2947;width:157;height:5251" filled="false" stroked="true" strokeweight=".75pt" strokecolor="#5896d0"/>
            <v:shape style="position:absolute;left:7977;top:5356;width:157;height:2843" type="#_x0000_t75" stroked="false">
              <v:imagedata r:id="rId50" o:title=""/>
            </v:shape>
            <v:rect style="position:absolute;left:7977;top:5356;width:157;height:2843" filled="false" stroked="true" strokeweight=".75pt" strokecolor="#5896d0"/>
            <v:shape style="position:absolute;left:8290;top:5645;width:157;height:2554" type="#_x0000_t75" stroked="false">
              <v:imagedata r:id="rId36" o:title=""/>
            </v:shape>
            <v:rect style="position:absolute;left:8290;top:5645;width:157;height:2554" filled="false" stroked="true" strokeweight=".75pt" strokecolor="#5896d0"/>
            <v:shape style="position:absolute;left:8603;top:3155;width:157;height:5044" type="#_x0000_t75" stroked="false">
              <v:imagedata r:id="rId51" o:title=""/>
            </v:shape>
            <v:rect style="position:absolute;left:8603;top:3155;width:157;height:5044" filled="false" stroked="true" strokeweight=".75pt" strokecolor="#5896d0"/>
            <v:shape style="position:absolute;left:8916;top:4089;width:157;height:4110" type="#_x0000_t75" stroked="false">
              <v:imagedata r:id="rId52" o:title=""/>
            </v:shape>
            <v:rect style="position:absolute;left:8916;top:4089;width:157;height:4110" filled="false" stroked="true" strokeweight=".75pt" strokecolor="#5896d0"/>
            <v:shape style="position:absolute;left:9229;top:3881;width:157;height:4317" type="#_x0000_t75" stroked="false">
              <v:imagedata r:id="rId35" o:title=""/>
            </v:shape>
            <v:rect style="position:absolute;left:9229;top:3881;width:157;height:4317" filled="false" stroked="true" strokeweight=".75pt" strokecolor="#5896d0"/>
            <v:shape style="position:absolute;left:9543;top:5548;width:157;height:2650" type="#_x0000_t75" stroked="false">
              <v:imagedata r:id="rId53" o:title=""/>
            </v:shape>
            <v:rect style="position:absolute;left:9543;top:5548;width:157;height:2650" filled="false" stroked="true" strokeweight=".75pt" strokecolor="#5896d0"/>
            <v:shape style="position:absolute;left:9856;top:6127;width:157;height:2072" type="#_x0000_t75" stroked="false">
              <v:imagedata r:id="rId54" o:title=""/>
            </v:shape>
            <v:rect style="position:absolute;left:9856;top:6127;width:157;height:2072" filled="false" stroked="true" strokeweight=".75pt" strokecolor="#5896d0"/>
            <v:line style="position:absolute" from="2260,8198" to="10091,8198" stroked="true" strokeweight=".75pt" strokecolor="#d9d9d9"/>
            <v:shape style="position:absolute;left:1896;top:8376;width:8058;height:674" type="#_x0000_t75" stroked="false">
              <v:imagedata r:id="rId55" o:title=""/>
            </v:shape>
            <v:rect style="position:absolute;left:1701;top:1673;width:8745;height:7890" filled="false" stroked="true" strokeweight=".75pt" strokecolor="#d9d9d9"/>
            <v:shape style="position:absolute;left:2569;top:3609;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30.2</w:t>
                    </w:r>
                  </w:p>
                </w:txbxContent>
              </v:textbox>
              <w10:wrap type="none"/>
            </v:shape>
            <v:shape style="position:absolute;left:5076;top:3676;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30.0</w:t>
                    </w:r>
                  </w:p>
                </w:txbxContent>
              </v:textbox>
              <w10:wrap type="none"/>
            </v:shape>
            <v:shape style="position:absolute;left:5941;top:5024;width:783;height:528" type="#_x0000_t202" filled="false" stroked="false">
              <v:textbox inset="0,0,0,0">
                <w:txbxContent>
                  <w:p>
                    <w:pPr>
                      <w:spacing w:line="240" w:lineRule="auto" w:before="6"/>
                      <w:rPr>
                        <w:sz w:val="21"/>
                      </w:rPr>
                    </w:pPr>
                  </w:p>
                  <w:p>
                    <w:pPr>
                      <w:spacing w:before="0"/>
                      <w:ind w:left="75" w:right="0" w:firstLine="0"/>
                      <w:jc w:val="left"/>
                      <w:rPr>
                        <w:rFonts w:ascii="Calibri"/>
                        <w:b/>
                        <w:sz w:val="18"/>
                      </w:rPr>
                    </w:pPr>
                    <w:r>
                      <w:rPr>
                        <w:rFonts w:ascii="Calibri"/>
                        <w:b/>
                        <w:sz w:val="18"/>
                      </w:rPr>
                      <w:t>27.0</w:t>
                    </w:r>
                  </w:p>
                </w:txbxContent>
              </v:textbox>
              <w10:wrap type="none"/>
            </v:shape>
            <v:shape style="position:absolute;left:7193;top:5552;width:470;height:190" type="#_x0000_t202" filled="false" stroked="false">
              <v:textbox inset="0,0,0,0">
                <w:txbxContent>
                  <w:p>
                    <w:pPr>
                      <w:spacing w:line="103" w:lineRule="exact" w:before="0"/>
                      <w:ind w:left="76" w:right="0" w:firstLine="0"/>
                      <w:jc w:val="left"/>
                      <w:rPr>
                        <w:rFonts w:ascii="Calibri"/>
                        <w:b/>
                        <w:sz w:val="18"/>
                      </w:rPr>
                    </w:pPr>
                    <w:r>
                      <w:rPr>
                        <w:rFonts w:ascii="Calibri"/>
                        <w:b/>
                        <w:sz w:val="18"/>
                      </w:rPr>
                      <w:t>26.6</w:t>
                    </w:r>
                  </w:p>
                </w:txbxContent>
              </v:textbox>
              <w10:wrap type="none"/>
            </v:shape>
            <v:shape style="position:absolute;left:6254;top:6608;width:470;height:193" type="#_x0000_t202" filled="false" stroked="false">
              <v:textbox inset="0,0,0,0">
                <w:txbxContent>
                  <w:p>
                    <w:pPr>
                      <w:spacing w:line="107" w:lineRule="exact" w:before="0"/>
                      <w:ind w:left="75" w:right="0" w:firstLine="0"/>
                      <w:jc w:val="left"/>
                      <w:rPr>
                        <w:rFonts w:ascii="Calibri"/>
                        <w:b/>
                        <w:sz w:val="18"/>
                      </w:rPr>
                    </w:pPr>
                    <w:r>
                      <w:rPr>
                        <w:rFonts w:ascii="Calibri"/>
                        <w:b/>
                        <w:sz w:val="18"/>
                      </w:rPr>
                      <w:t>24.6</w:t>
                    </w:r>
                  </w:p>
                </w:txbxContent>
              </v:textbox>
              <w10:wrap type="none"/>
            </v:shape>
            <v:shape style="position:absolute;left:4688;top:7141;width:470;height:528" type="#_x0000_t202" filled="false" stroked="false">
              <v:textbox inset="0,0,0,0">
                <w:txbxContent>
                  <w:p>
                    <w:pPr>
                      <w:spacing w:line="240" w:lineRule="auto" w:before="2"/>
                      <w:rPr>
                        <w:sz w:val="21"/>
                      </w:rPr>
                    </w:pPr>
                  </w:p>
                  <w:p>
                    <w:pPr>
                      <w:spacing w:before="0"/>
                      <w:ind w:left="74" w:right="0" w:firstLine="0"/>
                      <w:jc w:val="left"/>
                      <w:rPr>
                        <w:rFonts w:ascii="Calibri"/>
                        <w:b/>
                        <w:sz w:val="18"/>
                      </w:rPr>
                    </w:pPr>
                    <w:r>
                      <w:rPr>
                        <w:rFonts w:ascii="Calibri"/>
                        <w:b/>
                        <w:sz w:val="18"/>
                      </w:rPr>
                      <w:t>23.0</w:t>
                    </w:r>
                  </w:p>
                </w:txbxContent>
              </v:textbox>
              <w10:wrap type="none"/>
            </v:shape>
            <v:shape style="position:absolute;left:1775;top:2292;width:319;height:183" type="#_x0000_t202" filled="false" stroked="false">
              <v:textbox inset="0,0,0,0">
                <w:txbxContent>
                  <w:p>
                    <w:pPr>
                      <w:spacing w:line="183" w:lineRule="exact" w:before="0"/>
                      <w:ind w:left="0" w:right="-13" w:firstLine="0"/>
                      <w:jc w:val="left"/>
                      <w:rPr>
                        <w:rFonts w:ascii="Calibri"/>
                        <w:sz w:val="18"/>
                      </w:rPr>
                    </w:pPr>
                    <w:r>
                      <w:rPr>
                        <w:rFonts w:ascii="Calibri"/>
                        <w:spacing w:val="-2"/>
                        <w:sz w:val="18"/>
                      </w:rPr>
                      <w:t>33.0</w:t>
                    </w:r>
                  </w:p>
                </w:txbxContent>
              </v:textbox>
              <w10:wrap type="none"/>
            </v:shape>
            <v:shape style="position:absolute;left:2260;top:2260;width:7831;height:183" type="#_x0000_t202" filled="false" stroked="false">
              <v:textbox inset="0,0,0,0">
                <w:txbxContent>
                  <w:p>
                    <w:pPr>
                      <w:tabs>
                        <w:tab w:pos="4382" w:val="left" w:leader="none"/>
                        <w:tab w:pos="7830" w:val="left" w:leader="none"/>
                      </w:tabs>
                      <w:spacing w:line="182" w:lineRule="exact" w:before="0"/>
                      <w:ind w:left="0" w:right="0" w:firstLine="0"/>
                      <w:jc w:val="left"/>
                      <w:rPr>
                        <w:rFonts w:ascii="Calibri"/>
                        <w:b/>
                        <w:sz w:val="18"/>
                      </w:rPr>
                    </w:pPr>
                    <w:r>
                      <w:rPr>
                        <w:rFonts w:ascii="Calibri"/>
                        <w:b/>
                        <w:w w:val="101"/>
                        <w:sz w:val="18"/>
                        <w:u w:val="single" w:color="D9D9D9"/>
                      </w:rPr>
                      <w:t> </w:t>
                    </w:r>
                    <w:r>
                      <w:rPr>
                        <w:rFonts w:ascii="Calibri"/>
                        <w:b/>
                        <w:sz w:val="18"/>
                        <w:u w:val="single" w:color="D9D9D9"/>
                      </w:rPr>
                      <w:tab/>
                      <w:t>32.7</w:t>
                      <w:tab/>
                    </w:r>
                  </w:p>
                </w:txbxContent>
              </v:textbox>
              <w10:wrap type="none"/>
            </v:shape>
            <v:shape style="position:absolute;left:7583;top:2675;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31.9</w:t>
                    </w:r>
                  </w:p>
                </w:txbxContent>
              </v:textbox>
              <w10:wrap type="none"/>
            </v:shape>
            <v:shape style="position:absolute;left:1775;top:2823;width:319;height:183" type="#_x0000_t202" filled="false" stroked="false">
              <v:textbox inset="0,0,0,0">
                <w:txbxContent>
                  <w:p>
                    <w:pPr>
                      <w:spacing w:line="182" w:lineRule="exact" w:before="0"/>
                      <w:ind w:left="0" w:right="-13" w:firstLine="0"/>
                      <w:jc w:val="left"/>
                      <w:rPr>
                        <w:rFonts w:ascii="Calibri"/>
                        <w:sz w:val="18"/>
                      </w:rPr>
                    </w:pPr>
                    <w:r>
                      <w:rPr>
                        <w:rFonts w:ascii="Calibri"/>
                        <w:spacing w:val="-2"/>
                        <w:sz w:val="18"/>
                      </w:rPr>
                      <w:t>32.0</w:t>
                    </w:r>
                  </w:p>
                </w:txbxContent>
              </v:textbox>
              <w10:wrap type="none"/>
            </v:shape>
            <v:shape style="position:absolute;left:2256;top:2986;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31.3</w:t>
                    </w:r>
                  </w:p>
                </w:txbxContent>
              </v:textbox>
              <w10:wrap type="none"/>
            </v:shape>
            <v:shape style="position:absolute;left:8523;top:2883;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31.5</w:t>
                    </w:r>
                  </w:p>
                </w:txbxContent>
              </v:textbox>
              <w10:wrap type="none"/>
            </v:shape>
            <v:shape style="position:absolute;left:1775;top:3352;width:319;height:712" type="#_x0000_t202" filled="false" stroked="false">
              <v:textbox inset="0,0,0,0">
                <w:txbxContent>
                  <w:p>
                    <w:pPr>
                      <w:spacing w:line="185" w:lineRule="exact" w:before="0"/>
                      <w:ind w:left="0" w:right="-13" w:firstLine="0"/>
                      <w:jc w:val="left"/>
                      <w:rPr>
                        <w:rFonts w:ascii="Calibri"/>
                        <w:sz w:val="18"/>
                      </w:rPr>
                    </w:pPr>
                    <w:r>
                      <w:rPr>
                        <w:rFonts w:ascii="Calibri"/>
                        <w:spacing w:val="-2"/>
                        <w:sz w:val="18"/>
                      </w:rPr>
                      <w:t>31.0</w:t>
                    </w:r>
                  </w:p>
                  <w:p>
                    <w:pPr>
                      <w:spacing w:line="240" w:lineRule="auto" w:before="10"/>
                      <w:rPr>
                        <w:sz w:val="26"/>
                      </w:rPr>
                    </w:pPr>
                  </w:p>
                  <w:p>
                    <w:pPr>
                      <w:spacing w:line="217" w:lineRule="exact" w:before="0"/>
                      <w:ind w:left="0" w:right="-13" w:firstLine="0"/>
                      <w:jc w:val="left"/>
                      <w:rPr>
                        <w:rFonts w:ascii="Calibri"/>
                        <w:sz w:val="18"/>
                      </w:rPr>
                    </w:pPr>
                    <w:r>
                      <w:rPr>
                        <w:rFonts w:ascii="Calibri"/>
                        <w:spacing w:val="-2"/>
                        <w:sz w:val="18"/>
                      </w:rPr>
                      <w:t>30.0</w:t>
                    </w:r>
                  </w:p>
                </w:txbxContent>
              </v:textbox>
              <w10:wrap type="none"/>
            </v:shape>
            <v:shape style="position:absolute;left:3823;top:3928;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29.6</w:t>
                    </w:r>
                  </w:p>
                </w:txbxContent>
              </v:textbox>
              <w10:wrap type="none"/>
            </v:shape>
            <v:shape style="position:absolute;left:8836;top:3609;width:637;height:390" type="#_x0000_t202" filled="false" stroked="false">
              <v:textbox inset="0,0,0,0">
                <w:txbxContent>
                  <w:p>
                    <w:pPr>
                      <w:spacing w:line="179" w:lineRule="exact" w:before="0"/>
                      <w:ind w:left="313" w:right="-18" w:firstLine="0"/>
                      <w:jc w:val="left"/>
                      <w:rPr>
                        <w:rFonts w:ascii="Calibri"/>
                        <w:b/>
                        <w:sz w:val="18"/>
                      </w:rPr>
                    </w:pPr>
                    <w:r>
                      <w:rPr>
                        <w:rFonts w:ascii="Calibri"/>
                        <w:b/>
                        <w:sz w:val="18"/>
                      </w:rPr>
                      <w:t>30.2</w:t>
                    </w:r>
                  </w:p>
                  <w:p>
                    <w:pPr>
                      <w:spacing w:line="211" w:lineRule="exact" w:before="0"/>
                      <w:ind w:left="0" w:right="-18" w:firstLine="0"/>
                      <w:jc w:val="left"/>
                      <w:rPr>
                        <w:rFonts w:ascii="Calibri"/>
                        <w:b/>
                        <w:sz w:val="18"/>
                      </w:rPr>
                    </w:pPr>
                    <w:r>
                      <w:rPr>
                        <w:rFonts w:ascii="Calibri"/>
                        <w:b/>
                        <w:sz w:val="18"/>
                      </w:rPr>
                      <w:t>29.8</w:t>
                    </w:r>
                  </w:p>
                </w:txbxContent>
              </v:textbox>
              <w10:wrap type="none"/>
            </v:shape>
            <v:shape style="position:absolute;left:4136;top:4024;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29.4</w:t>
                    </w:r>
                  </w:p>
                </w:txbxContent>
              </v:textbox>
              <w10:wrap type="none"/>
            </v:shape>
            <v:shape style="position:absolute;left:5389;top:3928;width:637;height:376" type="#_x0000_t202" filled="false" stroked="false">
              <v:textbox inset="0,0,0,0">
                <w:txbxContent>
                  <w:p>
                    <w:pPr>
                      <w:spacing w:line="172" w:lineRule="exact" w:before="0"/>
                      <w:ind w:left="0" w:right="-18" w:firstLine="0"/>
                      <w:jc w:val="left"/>
                      <w:rPr>
                        <w:rFonts w:ascii="Calibri"/>
                        <w:b/>
                        <w:sz w:val="18"/>
                      </w:rPr>
                    </w:pPr>
                    <w:r>
                      <w:rPr>
                        <w:rFonts w:ascii="Calibri"/>
                        <w:b/>
                        <w:sz w:val="18"/>
                      </w:rPr>
                      <w:t>29.6</w:t>
                    </w:r>
                  </w:p>
                  <w:p>
                    <w:pPr>
                      <w:spacing w:line="204" w:lineRule="exact" w:before="0"/>
                      <w:ind w:left="313" w:right="-18" w:firstLine="0"/>
                      <w:jc w:val="left"/>
                      <w:rPr>
                        <w:rFonts w:ascii="Calibri"/>
                        <w:b/>
                        <w:sz w:val="18"/>
                      </w:rPr>
                    </w:pPr>
                    <w:r>
                      <w:rPr>
                        <w:rFonts w:ascii="Calibri"/>
                        <w:b/>
                        <w:sz w:val="18"/>
                      </w:rPr>
                      <w:t>29.2</w:t>
                    </w:r>
                  </w:p>
                </w:txbxContent>
              </v:textbox>
              <w10:wrap type="none"/>
            </v:shape>
            <v:shape style="position:absolute;left:6956;top:4024;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29.4</w:t>
                    </w:r>
                  </w:p>
                </w:txbxContent>
              </v:textbox>
              <w10:wrap type="none"/>
            </v:shape>
            <v:shape style="position:absolute;left:1775;top:4411;width:319;height:1242" type="#_x0000_t202" filled="false" stroked="false">
              <v:textbox inset="0,0,0,0">
                <w:txbxContent>
                  <w:p>
                    <w:pPr>
                      <w:spacing w:line="185" w:lineRule="exact" w:before="0"/>
                      <w:ind w:left="0" w:right="-13" w:firstLine="0"/>
                      <w:jc w:val="left"/>
                      <w:rPr>
                        <w:rFonts w:ascii="Calibri"/>
                        <w:sz w:val="18"/>
                      </w:rPr>
                    </w:pPr>
                    <w:r>
                      <w:rPr>
                        <w:rFonts w:ascii="Calibri"/>
                        <w:spacing w:val="-2"/>
                        <w:sz w:val="18"/>
                      </w:rPr>
                      <w:t>29.0</w:t>
                    </w:r>
                  </w:p>
                  <w:p>
                    <w:pPr>
                      <w:spacing w:line="240" w:lineRule="auto" w:before="10"/>
                      <w:rPr>
                        <w:sz w:val="26"/>
                      </w:rPr>
                    </w:pPr>
                  </w:p>
                  <w:p>
                    <w:pPr>
                      <w:spacing w:before="0"/>
                      <w:ind w:left="0" w:right="-13" w:firstLine="0"/>
                      <w:jc w:val="left"/>
                      <w:rPr>
                        <w:rFonts w:ascii="Calibri"/>
                        <w:sz w:val="18"/>
                      </w:rPr>
                    </w:pPr>
                    <w:r>
                      <w:rPr>
                        <w:rFonts w:ascii="Calibri"/>
                        <w:spacing w:val="-2"/>
                        <w:sz w:val="18"/>
                      </w:rPr>
                      <w:t>28.0</w:t>
                    </w:r>
                  </w:p>
                  <w:p>
                    <w:pPr>
                      <w:spacing w:line="240" w:lineRule="auto" w:before="10"/>
                      <w:rPr>
                        <w:sz w:val="26"/>
                      </w:rPr>
                    </w:pPr>
                  </w:p>
                  <w:p>
                    <w:pPr>
                      <w:spacing w:line="217" w:lineRule="exact" w:before="1"/>
                      <w:ind w:left="0" w:right="-13" w:firstLine="0"/>
                      <w:jc w:val="left"/>
                      <w:rPr>
                        <w:rFonts w:ascii="Calibri"/>
                        <w:sz w:val="18"/>
                      </w:rPr>
                    </w:pPr>
                    <w:r>
                      <w:rPr>
                        <w:rFonts w:ascii="Calibri"/>
                        <w:spacing w:val="-2"/>
                        <w:sz w:val="18"/>
                      </w:rPr>
                      <w:t>27.0</w:t>
                    </w:r>
                  </w:p>
                </w:txbxContent>
              </v:textbox>
              <w10:wrap type="none"/>
            </v:shape>
            <v:shape style="position:absolute;left:2883;top:5373;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26.8</w:t>
                    </w:r>
                  </w:p>
                </w:txbxContent>
              </v:textbox>
              <w10:wrap type="none"/>
            </v:shape>
            <v:shape style="position:absolute;left:7896;top:5084;width:636;height:473" type="#_x0000_t202" filled="false" stroked="false">
              <v:textbox inset="0,0,0,0">
                <w:txbxContent>
                  <w:p>
                    <w:pPr>
                      <w:spacing w:line="186" w:lineRule="exact" w:before="0"/>
                      <w:ind w:left="0" w:right="-19" w:firstLine="0"/>
                      <w:jc w:val="left"/>
                      <w:rPr>
                        <w:rFonts w:ascii="Calibri"/>
                        <w:b/>
                        <w:sz w:val="18"/>
                      </w:rPr>
                    </w:pPr>
                    <w:r>
                      <w:rPr>
                        <w:rFonts w:ascii="Calibri"/>
                        <w:b/>
                        <w:sz w:val="18"/>
                      </w:rPr>
                      <w:t>27.4</w:t>
                    </w:r>
                  </w:p>
                  <w:p>
                    <w:pPr>
                      <w:spacing w:line="217" w:lineRule="exact" w:before="69"/>
                      <w:ind w:left="313" w:right="-19" w:firstLine="0"/>
                      <w:jc w:val="left"/>
                      <w:rPr>
                        <w:rFonts w:ascii="Calibri"/>
                        <w:b/>
                        <w:sz w:val="18"/>
                      </w:rPr>
                    </w:pPr>
                    <w:r>
                      <w:rPr>
                        <w:rFonts w:ascii="Calibri"/>
                        <w:b/>
                        <w:sz w:val="18"/>
                      </w:rPr>
                      <w:t>26.8</w:t>
                    </w:r>
                  </w:p>
                </w:txbxContent>
              </v:textbox>
              <w10:wrap type="none"/>
            </v:shape>
            <v:shape style="position:absolute;left:9463;top:5277;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27.0</w:t>
                    </w:r>
                  </w:p>
                </w:txbxContent>
              </v:textbox>
              <w10:wrap type="none"/>
            </v:shape>
            <v:shape style="position:absolute;left:3196;top:5477;width:637;height:464" type="#_x0000_t202" filled="false" stroked="false">
              <v:textbox inset="0,0,0,0">
                <w:txbxContent>
                  <w:p>
                    <w:pPr>
                      <w:spacing w:line="185" w:lineRule="exact" w:before="0"/>
                      <w:ind w:left="0" w:right="-18" w:firstLine="0"/>
                      <w:jc w:val="left"/>
                      <w:rPr>
                        <w:rFonts w:ascii="Calibri"/>
                        <w:b/>
                        <w:sz w:val="18"/>
                      </w:rPr>
                    </w:pPr>
                    <w:r>
                      <w:rPr>
                        <w:rFonts w:ascii="Calibri"/>
                        <w:b/>
                        <w:sz w:val="18"/>
                      </w:rPr>
                      <w:t>26.6</w:t>
                    </w:r>
                  </w:p>
                  <w:p>
                    <w:pPr>
                      <w:spacing w:line="217" w:lineRule="exact" w:before="62"/>
                      <w:ind w:left="313" w:right="-18" w:firstLine="0"/>
                      <w:jc w:val="left"/>
                      <w:rPr>
                        <w:rFonts w:ascii="Calibri"/>
                        <w:b/>
                        <w:sz w:val="18"/>
                      </w:rPr>
                    </w:pPr>
                    <w:r>
                      <w:rPr>
                        <w:rFonts w:ascii="Calibri"/>
                        <w:b/>
                        <w:sz w:val="18"/>
                      </w:rPr>
                      <w:t>26.1</w:t>
                    </w:r>
                  </w:p>
                </w:txbxContent>
              </v:textbox>
              <w10:wrap type="none"/>
            </v:shape>
            <v:shape style="position:absolute;left:9777;top:5855;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25.9</w:t>
                    </w:r>
                  </w:p>
                </w:txbxContent>
              </v:textbox>
              <w10:wrap type="none"/>
            </v:shape>
            <v:shape style="position:absolute;left:1775;top:6000;width:319;height:183" type="#_x0000_t202" filled="false" stroked="false">
              <v:textbox inset="0,0,0,0">
                <w:txbxContent>
                  <w:p>
                    <w:pPr>
                      <w:spacing w:line="182" w:lineRule="exact" w:before="0"/>
                      <w:ind w:left="0" w:right="-13" w:firstLine="0"/>
                      <w:jc w:val="left"/>
                      <w:rPr>
                        <w:rFonts w:ascii="Calibri"/>
                        <w:sz w:val="18"/>
                      </w:rPr>
                    </w:pPr>
                    <w:r>
                      <w:rPr>
                        <w:rFonts w:ascii="Calibri"/>
                        <w:spacing w:val="-2"/>
                        <w:sz w:val="18"/>
                      </w:rPr>
                      <w:t>26.0</w:t>
                    </w:r>
                  </w:p>
                </w:txbxContent>
              </v:textbox>
              <w10:wrap type="none"/>
            </v:shape>
            <v:shape style="position:absolute;left:4450;top:6233;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25.2</w:t>
                    </w:r>
                  </w:p>
                </w:txbxContent>
              </v:textbox>
              <w10:wrap type="none"/>
            </v:shape>
            <v:shape style="position:absolute;left:1775;top:6529;width:319;height:1771" type="#_x0000_t202" filled="false" stroked="false">
              <v:textbox inset="0,0,0,0">
                <w:txbxContent>
                  <w:p>
                    <w:pPr>
                      <w:spacing w:line="185" w:lineRule="exact" w:before="0"/>
                      <w:ind w:left="0" w:right="-13" w:firstLine="0"/>
                      <w:jc w:val="left"/>
                      <w:rPr>
                        <w:rFonts w:ascii="Calibri"/>
                        <w:sz w:val="18"/>
                      </w:rPr>
                    </w:pPr>
                    <w:r>
                      <w:rPr>
                        <w:rFonts w:ascii="Calibri"/>
                        <w:spacing w:val="-2"/>
                        <w:sz w:val="18"/>
                      </w:rPr>
                      <w:t>25.0</w:t>
                    </w:r>
                  </w:p>
                  <w:p>
                    <w:pPr>
                      <w:spacing w:line="240" w:lineRule="auto" w:before="10"/>
                      <w:rPr>
                        <w:sz w:val="26"/>
                      </w:rPr>
                    </w:pPr>
                  </w:p>
                  <w:p>
                    <w:pPr>
                      <w:spacing w:before="1"/>
                      <w:ind w:left="0" w:right="-13" w:firstLine="0"/>
                      <w:jc w:val="left"/>
                      <w:rPr>
                        <w:rFonts w:ascii="Calibri"/>
                        <w:sz w:val="18"/>
                      </w:rPr>
                    </w:pPr>
                    <w:r>
                      <w:rPr>
                        <w:rFonts w:ascii="Calibri"/>
                        <w:spacing w:val="-2"/>
                        <w:sz w:val="18"/>
                      </w:rPr>
                      <w:t>24.0</w:t>
                    </w:r>
                  </w:p>
                  <w:p>
                    <w:pPr>
                      <w:spacing w:line="240" w:lineRule="auto" w:before="10"/>
                      <w:rPr>
                        <w:sz w:val="26"/>
                      </w:rPr>
                    </w:pPr>
                  </w:p>
                  <w:p>
                    <w:pPr>
                      <w:spacing w:before="0"/>
                      <w:ind w:left="0" w:right="-13" w:firstLine="0"/>
                      <w:jc w:val="left"/>
                      <w:rPr>
                        <w:rFonts w:ascii="Calibri"/>
                        <w:sz w:val="18"/>
                      </w:rPr>
                    </w:pPr>
                    <w:r>
                      <w:rPr>
                        <w:rFonts w:ascii="Calibri"/>
                        <w:spacing w:val="-2"/>
                        <w:sz w:val="18"/>
                      </w:rPr>
                      <w:t>23.0</w:t>
                    </w:r>
                  </w:p>
                  <w:p>
                    <w:pPr>
                      <w:spacing w:line="240" w:lineRule="auto" w:before="10"/>
                      <w:rPr>
                        <w:sz w:val="26"/>
                      </w:rPr>
                    </w:pPr>
                  </w:p>
                  <w:p>
                    <w:pPr>
                      <w:spacing w:line="217" w:lineRule="exact" w:before="0"/>
                      <w:ind w:left="0" w:right="-13" w:firstLine="0"/>
                      <w:jc w:val="left"/>
                      <w:rPr>
                        <w:rFonts w:ascii="Calibri"/>
                        <w:sz w:val="18"/>
                      </w:rPr>
                    </w:pPr>
                    <w:r>
                      <w:rPr>
                        <w:rFonts w:ascii="Calibri"/>
                        <w:spacing w:val="-2"/>
                        <w:sz w:val="18"/>
                      </w:rPr>
                      <w:t>22.0</w:t>
                    </w:r>
                  </w:p>
                </w:txbxContent>
              </v:textbox>
              <w10:wrap type="none"/>
            </v:shape>
            <w10:wrap type="none"/>
          </v:group>
        </w:pict>
      </w:r>
      <w:r>
        <w:rPr/>
        <w:pict>
          <v:shape style="position:absolute;margin-left:106.859993pt;margin-top:235.11705pt;width:12.1pt;height:137.2pt;mso-position-horizontal-relative:page;mso-position-vertical-relative:paragraph;z-index:2488" type="#_x0000_t202" filled="false" stroked="false">
            <v:textbox inset="0,0,0,0" style="layout-flow:vertical;mso-layout-flow-alt:bottom-to-top">
              <w:txbxContent>
                <w:p>
                  <w:pPr>
                    <w:spacing w:line="225" w:lineRule="exact" w:before="0"/>
                    <w:ind w:left="20" w:right="-706" w:firstLine="0"/>
                    <w:jc w:val="left"/>
                    <w:rPr>
                      <w:rFonts w:ascii="Calibri" w:hAnsi="Calibri"/>
                      <w:b/>
                      <w:sz w:val="20"/>
                    </w:rPr>
                  </w:pPr>
                  <w:r>
                    <w:rPr>
                      <w:rFonts w:ascii="Calibri" w:hAnsi="Calibri"/>
                      <w:b/>
                      <w:spacing w:val="-2"/>
                      <w:w w:val="100"/>
                      <w:sz w:val="20"/>
                    </w:rPr>
                    <w:t>C</w:t>
                  </w:r>
                  <w:r>
                    <w:rPr>
                      <w:rFonts w:ascii="Calibri" w:hAnsi="Calibri"/>
                      <w:b/>
                      <w:spacing w:val="1"/>
                      <w:w w:val="100"/>
                      <w:sz w:val="20"/>
                    </w:rPr>
                    <w:t>o</w:t>
                  </w:r>
                  <w:r>
                    <w:rPr>
                      <w:rFonts w:ascii="Calibri" w:hAnsi="Calibri"/>
                      <w:b/>
                      <w:spacing w:val="2"/>
                      <w:w w:val="100"/>
                      <w:sz w:val="20"/>
                    </w:rPr>
                    <w:t>n</w:t>
                  </w:r>
                  <w:r>
                    <w:rPr>
                      <w:rFonts w:ascii="Calibri" w:hAnsi="Calibri"/>
                      <w:b/>
                      <w:spacing w:val="1"/>
                      <w:w w:val="100"/>
                      <w:sz w:val="20"/>
                    </w:rPr>
                    <w:t>s</w:t>
                  </w:r>
                  <w:r>
                    <w:rPr>
                      <w:rFonts w:ascii="Calibri" w:hAnsi="Calibri"/>
                      <w:b/>
                      <w:spacing w:val="2"/>
                      <w:w w:val="100"/>
                      <w:sz w:val="20"/>
                    </w:rPr>
                    <w:t>u</w:t>
                  </w:r>
                  <w:r>
                    <w:rPr>
                      <w:rFonts w:ascii="Calibri" w:hAnsi="Calibri"/>
                      <w:b/>
                      <w:spacing w:val="-1"/>
                      <w:w w:val="100"/>
                      <w:sz w:val="20"/>
                    </w:rPr>
                    <w:t>m</w:t>
                  </w:r>
                  <w:r>
                    <w:rPr>
                      <w:rFonts w:ascii="Calibri" w:hAnsi="Calibri"/>
                      <w:b/>
                      <w:w w:val="100"/>
                      <w:sz w:val="20"/>
                    </w:rPr>
                    <w:t>o</w:t>
                  </w:r>
                  <w:r>
                    <w:rPr>
                      <w:rFonts w:ascii="Calibri" w:hAnsi="Calibri"/>
                      <w:b/>
                      <w:spacing w:val="-10"/>
                      <w:sz w:val="20"/>
                    </w:rPr>
                    <w:t> </w:t>
                  </w:r>
                  <w:r>
                    <w:rPr>
                      <w:rFonts w:ascii="Calibri" w:hAnsi="Calibri"/>
                      <w:b/>
                      <w:spacing w:val="-1"/>
                      <w:w w:val="100"/>
                      <w:sz w:val="20"/>
                    </w:rPr>
                    <w:t>m</w:t>
                  </w:r>
                  <w:r>
                    <w:rPr>
                      <w:rFonts w:ascii="Calibri" w:hAnsi="Calibri"/>
                      <w:b/>
                      <w:spacing w:val="-2"/>
                      <w:w w:val="100"/>
                      <w:sz w:val="20"/>
                    </w:rPr>
                    <w:t>i</w:t>
                  </w:r>
                  <w:r>
                    <w:rPr>
                      <w:rFonts w:ascii="Calibri" w:hAnsi="Calibri"/>
                      <w:b/>
                      <w:spacing w:val="1"/>
                      <w:w w:val="100"/>
                      <w:sz w:val="20"/>
                    </w:rPr>
                    <w:t>ocá</w:t>
                  </w:r>
                  <w:r>
                    <w:rPr>
                      <w:rFonts w:ascii="Calibri" w:hAnsi="Calibri"/>
                      <w:b/>
                      <w:spacing w:val="-1"/>
                      <w:w w:val="100"/>
                      <w:sz w:val="20"/>
                    </w:rPr>
                    <w:t>r</w:t>
                  </w:r>
                  <w:r>
                    <w:rPr>
                      <w:rFonts w:ascii="Calibri" w:hAnsi="Calibri"/>
                      <w:b/>
                      <w:spacing w:val="2"/>
                      <w:w w:val="100"/>
                      <w:sz w:val="20"/>
                    </w:rPr>
                    <w:t>d</w:t>
                  </w:r>
                  <w:r>
                    <w:rPr>
                      <w:rFonts w:ascii="Calibri" w:hAnsi="Calibri"/>
                      <w:b/>
                      <w:spacing w:val="-2"/>
                      <w:w w:val="100"/>
                      <w:sz w:val="20"/>
                    </w:rPr>
                    <w:t>i</w:t>
                  </w:r>
                  <w:r>
                    <w:rPr>
                      <w:rFonts w:ascii="Calibri" w:hAnsi="Calibri"/>
                      <w:b/>
                      <w:spacing w:val="1"/>
                      <w:w w:val="100"/>
                      <w:sz w:val="20"/>
                    </w:rPr>
                    <w:t>c</w:t>
                  </w:r>
                  <w:r>
                    <w:rPr>
                      <w:rFonts w:ascii="Calibri" w:hAnsi="Calibri"/>
                      <w:b/>
                      <w:w w:val="100"/>
                      <w:sz w:val="20"/>
                    </w:rPr>
                    <w:t>o</w:t>
                  </w:r>
                  <w:r>
                    <w:rPr>
                      <w:rFonts w:ascii="Calibri" w:hAnsi="Calibri"/>
                      <w:b/>
                      <w:spacing w:val="-15"/>
                      <w:sz w:val="20"/>
                    </w:rPr>
                    <w:t> </w:t>
                  </w:r>
                  <w:r>
                    <w:rPr>
                      <w:rFonts w:ascii="Calibri" w:hAnsi="Calibri"/>
                      <w:b/>
                      <w:spacing w:val="2"/>
                      <w:w w:val="100"/>
                      <w:sz w:val="20"/>
                    </w:rPr>
                    <w:t>d</w:t>
                  </w:r>
                  <w:r>
                    <w:rPr>
                      <w:rFonts w:ascii="Calibri" w:hAnsi="Calibri"/>
                      <w:b/>
                      <w:w w:val="100"/>
                      <w:sz w:val="20"/>
                    </w:rPr>
                    <w:t>e</w:t>
                  </w:r>
                  <w:r>
                    <w:rPr>
                      <w:rFonts w:ascii="Calibri" w:hAnsi="Calibri"/>
                      <w:b/>
                      <w:spacing w:val="-8"/>
                      <w:sz w:val="20"/>
                    </w:rPr>
                    <w:t> </w:t>
                  </w:r>
                  <w:r>
                    <w:rPr>
                      <w:rFonts w:ascii="Calibri" w:hAnsi="Calibri"/>
                      <w:b/>
                      <w:spacing w:val="1"/>
                      <w:w w:val="100"/>
                      <w:sz w:val="20"/>
                    </w:rPr>
                    <w:t>o</w:t>
                  </w:r>
                  <w:r>
                    <w:rPr>
                      <w:rFonts w:ascii="Calibri" w:hAnsi="Calibri"/>
                      <w:b/>
                      <w:spacing w:val="-2"/>
                      <w:w w:val="100"/>
                      <w:sz w:val="20"/>
                    </w:rPr>
                    <w:t>xi</w:t>
                  </w:r>
                  <w:r>
                    <w:rPr>
                      <w:rFonts w:ascii="Calibri" w:hAnsi="Calibri"/>
                      <w:b/>
                      <w:spacing w:val="-1"/>
                      <w:w w:val="100"/>
                      <w:sz w:val="20"/>
                    </w:rPr>
                    <w:t>ge</w:t>
                  </w:r>
                  <w:r>
                    <w:rPr>
                      <w:rFonts w:ascii="Calibri" w:hAnsi="Calibri"/>
                      <w:b/>
                      <w:spacing w:val="1"/>
                      <w:w w:val="100"/>
                      <w:sz w:val="20"/>
                    </w:rPr>
                    <w:t>n</w:t>
                  </w:r>
                  <w:r>
                    <w:rPr>
                      <w:rFonts w:ascii="Calibri" w:hAnsi="Calibri"/>
                      <w:b/>
                      <w:w w:val="100"/>
                      <w:sz w:val="20"/>
                    </w:rPr>
                    <w:t>o</w:t>
                  </w:r>
                </w:p>
              </w:txbxContent>
            </v:textbox>
            <w10:wrap type="none"/>
          </v:shape>
        </w:pict>
      </w:r>
      <w:r>
        <w:rPr/>
        <w:t>Gráfica 2. Consumo miocárdico de oxígeno en jugadores de fútbol asociación en pretemporada 2015 a 2600 metros a nivel del mar.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7"/>
        </w:rPr>
      </w:pPr>
    </w:p>
    <w:p>
      <w:pPr>
        <w:spacing w:before="0"/>
        <w:ind w:left="119" w:right="0" w:firstLine="7284"/>
        <w:jc w:val="left"/>
        <w:rPr>
          <w:sz w:val="20"/>
        </w:rPr>
      </w:pPr>
      <w:r>
        <w:rPr>
          <w:sz w:val="20"/>
        </w:rPr>
        <w:t>Fuente: Cuadro 1</w:t>
      </w:r>
    </w:p>
    <w:p>
      <w:pPr>
        <w:pStyle w:val="BodyText"/>
        <w:rPr>
          <w:sz w:val="20"/>
        </w:rPr>
      </w:pPr>
    </w:p>
    <w:p>
      <w:pPr>
        <w:pStyle w:val="BodyText"/>
        <w:rPr>
          <w:sz w:val="20"/>
        </w:rPr>
      </w:pPr>
    </w:p>
    <w:p>
      <w:pPr>
        <w:pStyle w:val="BodyText"/>
        <w:spacing w:line="360" w:lineRule="auto" w:before="175"/>
        <w:ind w:left="119" w:right="116"/>
        <w:jc w:val="both"/>
      </w:pPr>
      <w:r>
        <w:rPr/>
        <w:t>La media del consumo miocárdico de oxígeno en jugadores de fútbol asociación en pretemporada 2015 a 2600 metros a nivel del </w:t>
      </w:r>
      <w:r>
        <w:rPr>
          <w:spacing w:val="-3"/>
        </w:rPr>
        <w:t>mar </w:t>
      </w:r>
      <w:r>
        <w:rPr/>
        <w:t>es de 28.3 ± 2.47, la moda del consumo miocárdico de oxígeno en jugadores de fútbol asociación en pretemporada 2015 a 2600 metros a nivel del </w:t>
      </w:r>
      <w:r>
        <w:rPr>
          <w:spacing w:val="-3"/>
        </w:rPr>
        <w:t>mar </w:t>
      </w:r>
      <w:r>
        <w:rPr/>
        <w:t>es de</w:t>
      </w:r>
      <w:r>
        <w:rPr>
          <w:spacing w:val="-12"/>
        </w:rPr>
        <w:t> </w:t>
      </w:r>
      <w:r>
        <w:rPr>
          <w:spacing w:val="2"/>
        </w:rPr>
        <w:t>30.2.</w:t>
      </w:r>
    </w:p>
    <w:p>
      <w:pPr>
        <w:spacing w:after="0" w:line="360" w:lineRule="auto"/>
        <w:jc w:val="both"/>
        <w:sectPr>
          <w:pgSz w:w="12240" w:h="15840"/>
          <w:pgMar w:header="0" w:footer="966" w:top="1360" w:bottom="1220" w:left="1580" w:right="1580"/>
        </w:sectPr>
      </w:pPr>
    </w:p>
    <w:p>
      <w:pPr>
        <w:pStyle w:val="BodyText"/>
        <w:spacing w:line="360" w:lineRule="auto" w:before="52"/>
        <w:ind w:left="119" w:right="127"/>
        <w:jc w:val="both"/>
      </w:pPr>
      <w:r>
        <w:rPr/>
        <w:t>Gráfico 3. Consumo máximo de oxígeno en jugadores de fútbol asociación en pretemporada 2015 a 2600 metros a nivel del mar.</w:t>
      </w:r>
    </w:p>
    <w:p>
      <w:pPr>
        <w:pStyle w:val="BodyText"/>
        <w:rPr>
          <w:sz w:val="20"/>
        </w:rPr>
      </w:pPr>
    </w:p>
    <w:p>
      <w:pPr>
        <w:pStyle w:val="BodyText"/>
        <w:rPr>
          <w:sz w:val="20"/>
        </w:rPr>
      </w:pPr>
    </w:p>
    <w:p>
      <w:pPr>
        <w:pStyle w:val="BodyText"/>
        <w:spacing w:before="3"/>
        <w:rPr>
          <w:sz w:val="25"/>
        </w:rPr>
      </w:pPr>
      <w:r>
        <w:rPr/>
        <w:pict>
          <v:group style="position:absolute;margin-left:86.175003pt;margin-top:16.510859pt;width:438pt;height:388.5pt;mso-position-horizontal-relative:page;mso-position-vertical-relative:paragraph;z-index:3040;mso-wrap-distance-left:0;mso-wrap-distance-right:0" coordorigin="1724,330" coordsize="8760,7770">
            <v:line style="position:absolute" from="4296,558" to="4296,7192" stroked="true" strokeweight=".75pt" strokecolor="#d9d9d9"/>
            <v:line style="position:absolute" from="5678,558" to="5678,7192" stroked="true" strokeweight=".75pt" strokecolor="#d9d9d9"/>
            <v:line style="position:absolute" from="7056,558" to="7056,7192" stroked="true" strokeweight=".75pt" strokecolor="#d9d9d9"/>
            <v:shape style="position:absolute;left:2915;top:6993;width:4834;height:133" type="#_x0000_t75" stroked="false">
              <v:imagedata r:id="rId56" o:title=""/>
            </v:shape>
            <v:rect style="position:absolute;left:2915;top:6993;width:4834;height:133" filled="false" stroked="true" strokeweight=".75pt" strokecolor="#5896d0"/>
            <v:shape style="position:absolute;left:2915;top:6728;width:2538;height:133" type="#_x0000_t75" stroked="false">
              <v:imagedata r:id="rId57" o:title=""/>
            </v:shape>
            <v:rect style="position:absolute;left:2915;top:6728;width:2538;height:133" filled="false" stroked="true" strokeweight=".75pt" strokecolor="#5896d0"/>
            <v:shape style="position:absolute;left:2915;top:6462;width:4834;height:133" type="#_x0000_t75" stroked="false">
              <v:imagedata r:id="rId56" o:title=""/>
            </v:shape>
            <v:rect style="position:absolute;left:2915;top:6462;width:4834;height:133" filled="false" stroked="true" strokeweight=".75pt" strokecolor="#5896d0"/>
            <v:shape style="position:absolute;left:2915;top:6197;width:4834;height:133" type="#_x0000_t75" stroked="false">
              <v:imagedata r:id="rId56" o:title=""/>
            </v:shape>
            <v:rect style="position:absolute;left:2915;top:6197;width:4834;height:133" filled="false" stroked="true" strokeweight=".75pt" strokecolor="#5896d0"/>
            <v:shape style="position:absolute;left:2915;top:5932;width:4834;height:133" type="#_x0000_t75" stroked="false">
              <v:imagedata r:id="rId56" o:title=""/>
            </v:shape>
            <v:rect style="position:absolute;left:2915;top:5932;width:4834;height:133" filled="false" stroked="true" strokeweight=".75pt" strokecolor="#5896d0"/>
            <v:shape style="position:absolute;left:2915;top:5666;width:574;height:133" type="#_x0000_t75" stroked="false">
              <v:imagedata r:id="rId58" o:title=""/>
            </v:shape>
            <v:rect style="position:absolute;left:2915;top:5666;width:574;height:133" filled="false" stroked="true" strokeweight=".75pt" strokecolor="#5896d0"/>
            <v:shape style="position:absolute;left:2915;top:5401;width:4834;height:133" type="#_x0000_t75" stroked="false">
              <v:imagedata r:id="rId56" o:title=""/>
            </v:shape>
            <v:rect style="position:absolute;left:2915;top:5401;width:4834;height:133" filled="false" stroked="true" strokeweight=".75pt" strokecolor="#5896d0"/>
            <v:shape style="position:absolute;left:2915;top:5136;width:2815;height:133" type="#_x0000_t75" stroked="false">
              <v:imagedata r:id="rId59" o:title=""/>
            </v:shape>
            <v:rect style="position:absolute;left:2915;top:5136;width:2815;height:133" filled="false" stroked="true" strokeweight=".75pt" strokecolor="#5896d0"/>
            <v:line style="position:absolute" from="8438,558" to="8438,7192" stroked="true" strokeweight=".75pt" strokecolor="#d9d9d9"/>
            <v:line style="position:absolute" from="9820,558" to="9820,7192" stroked="true" strokeweight=".75pt" strokecolor="#d9d9d9"/>
            <v:shape style="position:absolute;left:2915;top:4870;width:6850;height:133" type="#_x0000_t75" stroked="false">
              <v:imagedata r:id="rId60" o:title=""/>
            </v:shape>
            <v:rect style="position:absolute;left:2915;top:4870;width:6850;height:133" filled="false" stroked="true" strokeweight=".75pt" strokecolor="#5896d0"/>
            <v:shape style="position:absolute;left:2915;top:4605;width:2815;height:133" type="#_x0000_t75" stroked="false">
              <v:imagedata r:id="rId59" o:title=""/>
            </v:shape>
            <v:rect style="position:absolute;left:2915;top:4605;width:2815;height:133" filled="false" stroked="true" strokeweight=".75pt" strokecolor="#5896d0"/>
            <v:shape style="position:absolute;left:2915;top:4339;width:6853;height:133" type="#_x0000_t75" stroked="false">
              <v:imagedata r:id="rId61" o:title=""/>
            </v:shape>
            <v:rect style="position:absolute;left:2915;top:4339;width:6853;height:133" filled="false" stroked="true" strokeweight=".75pt" strokecolor="#5896d0"/>
            <v:shape style="position:absolute;left:2915;top:4074;width:4834;height:133" type="#_x0000_t75" stroked="false">
              <v:imagedata r:id="rId56" o:title=""/>
            </v:shape>
            <v:rect style="position:absolute;left:2915;top:4074;width:4834;height:133" filled="false" stroked="true" strokeweight=".75pt" strokecolor="#5896d0"/>
            <v:shape style="position:absolute;left:2915;top:3809;width:4834;height:133" type="#_x0000_t75" stroked="false">
              <v:imagedata r:id="rId62" o:title=""/>
            </v:shape>
            <v:rect style="position:absolute;left:2915;top:3809;width:4834;height:133" filled="false" stroked="true" strokeweight=".75pt" strokecolor="#5896d0"/>
            <v:shape style="position:absolute;left:2915;top:3543;width:691;height:133" type="#_x0000_t75" stroked="false">
              <v:imagedata r:id="rId63" o:title=""/>
            </v:shape>
            <v:rect style="position:absolute;left:2915;top:3543;width:691;height:133" filled="false" stroked="true" strokeweight=".75pt" strokecolor="#5896d0"/>
            <v:shape style="position:absolute;left:2915;top:3278;width:4834;height:133" type="#_x0000_t75" stroked="false">
              <v:imagedata r:id="rId62" o:title=""/>
            </v:shape>
            <v:rect style="position:absolute;left:2915;top:3278;width:4834;height:133" filled="false" stroked="true" strokeweight=".75pt" strokecolor="#5896d0"/>
            <v:shape style="position:absolute;left:2915;top:3012;width:4834;height:133" type="#_x0000_t75" stroked="false">
              <v:imagedata r:id="rId56" o:title=""/>
            </v:shape>
            <v:rect style="position:absolute;left:2915;top:3012;width:4834;height:133" filled="false" stroked="true" strokeweight=".75pt" strokecolor="#5896d0"/>
            <v:shape style="position:absolute;left:2915;top:2747;width:4834;height:133" type="#_x0000_t75" stroked="false">
              <v:imagedata r:id="rId56" o:title=""/>
            </v:shape>
            <v:rect style="position:absolute;left:2915;top:2747;width:4834;height:133" filled="false" stroked="true" strokeweight=".75pt" strokecolor="#5896d0"/>
            <v:shape style="position:absolute;left:2915;top:2482;width:4834;height:133" type="#_x0000_t75" stroked="false">
              <v:imagedata r:id="rId56" o:title=""/>
            </v:shape>
            <v:rect style="position:absolute;left:2915;top:2482;width:4834;height:133" filled="false" stroked="true" strokeweight=".75pt" strokecolor="#5896d0"/>
            <v:shape style="position:absolute;left:2915;top:2216;width:4834;height:133" type="#_x0000_t75" stroked="false">
              <v:imagedata r:id="rId56" o:title=""/>
            </v:shape>
            <v:rect style="position:absolute;left:2915;top:2216;width:4834;height:133" filled="false" stroked="true" strokeweight=".75pt" strokecolor="#5896d0"/>
            <v:shape style="position:absolute;left:2915;top:1951;width:4834;height:133" type="#_x0000_t75" stroked="false">
              <v:imagedata r:id="rId56" o:title=""/>
            </v:shape>
            <v:rect style="position:absolute;left:2915;top:1951;width:4834;height:133" filled="false" stroked="true" strokeweight=".75pt" strokecolor="#5896d0"/>
            <v:shape style="position:absolute;left:2915;top:1686;width:4834;height:133" type="#_x0000_t75" stroked="false">
              <v:imagedata r:id="rId56" o:title=""/>
            </v:shape>
            <v:rect style="position:absolute;left:2915;top:1686;width:4834;height:133" filled="false" stroked="true" strokeweight=".75pt" strokecolor="#5896d0"/>
            <v:shape style="position:absolute;left:2915;top:1420;width:2815;height:133" type="#_x0000_t75" stroked="false">
              <v:imagedata r:id="rId59" o:title=""/>
            </v:shape>
            <v:rect style="position:absolute;left:2915;top:1420;width:2815;height:133" filled="false" stroked="true" strokeweight=".75pt" strokecolor="#5896d0"/>
            <v:shape style="position:absolute;left:2915;top:1155;width:2815;height:133" type="#_x0000_t75" stroked="false">
              <v:imagedata r:id="rId59" o:title=""/>
            </v:shape>
            <v:rect style="position:absolute;left:2915;top:1155;width:2815;height:133" filled="false" stroked="true" strokeweight=".75pt" strokecolor="#5896d0"/>
            <v:shape style="position:absolute;left:2915;top:889;width:2815;height:133" type="#_x0000_t75" stroked="false">
              <v:imagedata r:id="rId64" o:title=""/>
            </v:shape>
            <v:rect style="position:absolute;left:2915;top:889;width:2815;height:133" filled="false" stroked="true" strokeweight=".75pt" strokecolor="#5896d0"/>
            <v:shape style="position:absolute;left:2915;top:624;width:4834;height:133" type="#_x0000_t75" stroked="false">
              <v:imagedata r:id="rId56" o:title=""/>
            </v:shape>
            <v:rect style="position:absolute;left:2915;top:624;width:4834;height:133" filled="false" stroked="true" strokeweight=".75pt" strokecolor="#5896d0"/>
            <v:line style="position:absolute" from="2915,7192" to="2915,558" stroked="true" strokeweight=".75pt" strokecolor="#d9d9d9"/>
            <v:rect style="position:absolute;left:1731;top:338;width:8745;height:7755" filled="false" stroked="true" strokeweight=".75pt" strokecolor="#d9d9d9"/>
            <v:shape style="position:absolute;left:5678;top:757;width:1378;height:1062" type="#_x0000_t202" filled="false" stroked="false">
              <v:textbox inset="0,0,0,0">
                <w:txbxContent>
                  <w:p>
                    <w:pPr>
                      <w:spacing w:before="92"/>
                      <w:ind w:left="172" w:right="0" w:firstLine="0"/>
                      <w:jc w:val="left"/>
                      <w:rPr>
                        <w:rFonts w:ascii="Calibri"/>
                        <w:b/>
                        <w:sz w:val="18"/>
                      </w:rPr>
                    </w:pPr>
                    <w:r>
                      <w:rPr>
                        <w:rFonts w:ascii="Calibri"/>
                        <w:b/>
                        <w:sz w:val="18"/>
                      </w:rPr>
                      <w:t>47.2</w:t>
                    </w:r>
                  </w:p>
                  <w:p>
                    <w:pPr>
                      <w:spacing w:before="45"/>
                      <w:ind w:left="172" w:right="0" w:firstLine="0"/>
                      <w:jc w:val="left"/>
                      <w:rPr>
                        <w:rFonts w:ascii="Calibri"/>
                        <w:b/>
                        <w:sz w:val="18"/>
                      </w:rPr>
                    </w:pPr>
                    <w:r>
                      <w:rPr>
                        <w:rFonts w:ascii="Calibri"/>
                        <w:b/>
                        <w:sz w:val="18"/>
                      </w:rPr>
                      <w:t>47.2</w:t>
                    </w:r>
                  </w:p>
                  <w:p>
                    <w:pPr>
                      <w:spacing w:before="45"/>
                      <w:ind w:left="172" w:right="0" w:firstLine="0"/>
                      <w:jc w:val="left"/>
                      <w:rPr>
                        <w:rFonts w:ascii="Calibri"/>
                        <w:b/>
                        <w:sz w:val="18"/>
                      </w:rPr>
                    </w:pPr>
                    <w:r>
                      <w:rPr>
                        <w:rFonts w:ascii="Calibri"/>
                        <w:b/>
                        <w:sz w:val="18"/>
                      </w:rPr>
                      <w:t>47.2</w:t>
                    </w:r>
                  </w:p>
                </w:txbxContent>
              </v:textbox>
              <w10:wrap type="none"/>
            </v:shape>
            <v:shape style="position:absolute;left:5678;top:4472;width:1378;height:531" type="#_x0000_t202" filled="false" stroked="false">
              <v:textbox inset="0,0,0,0">
                <w:txbxContent>
                  <w:p>
                    <w:pPr>
                      <w:spacing w:before="93"/>
                      <w:ind w:left="172" w:right="0" w:firstLine="0"/>
                      <w:jc w:val="left"/>
                      <w:rPr>
                        <w:rFonts w:ascii="Calibri"/>
                        <w:b/>
                        <w:sz w:val="18"/>
                      </w:rPr>
                    </w:pPr>
                    <w:r>
                      <w:rPr>
                        <w:rFonts w:ascii="Calibri"/>
                        <w:b/>
                        <w:sz w:val="18"/>
                      </w:rPr>
                      <w:t>47.2</w:t>
                    </w:r>
                  </w:p>
                </w:txbxContent>
              </v:textbox>
              <w10:wrap type="none"/>
            </v:shape>
            <v:shape style="position:absolute;left:5678;top:5003;width:1378;height:531" type="#_x0000_t202" filled="false" stroked="false">
              <v:textbox inset="0,0,0,0">
                <w:txbxContent>
                  <w:p>
                    <w:pPr>
                      <w:spacing w:before="93"/>
                      <w:ind w:left="172" w:right="0" w:firstLine="0"/>
                      <w:jc w:val="left"/>
                      <w:rPr>
                        <w:rFonts w:ascii="Calibri"/>
                        <w:b/>
                        <w:sz w:val="18"/>
                      </w:rPr>
                    </w:pPr>
                    <w:r>
                      <w:rPr>
                        <w:rFonts w:ascii="Calibri"/>
                        <w:b/>
                        <w:sz w:val="18"/>
                      </w:rPr>
                      <w:t>47.2</w:t>
                    </w:r>
                  </w:p>
                </w:txbxContent>
              </v:textbox>
              <w10:wrap type="none"/>
            </v:shape>
            <v:shape style="position:absolute;left:5678;top:6595;width:1378;height:531" type="#_x0000_t202" filled="false" stroked="false">
              <v:textbox inset="0,0,0,0">
                <w:txbxContent>
                  <w:p>
                    <w:pPr>
                      <w:spacing w:before="94"/>
                      <w:ind w:left="-13" w:right="0" w:firstLine="0"/>
                      <w:jc w:val="left"/>
                      <w:rPr>
                        <w:rFonts w:ascii="Calibri"/>
                        <w:b/>
                        <w:sz w:val="18"/>
                      </w:rPr>
                    </w:pPr>
                    <w:r>
                      <w:rPr>
                        <w:rFonts w:ascii="Calibri"/>
                        <w:b/>
                        <w:sz w:val="18"/>
                      </w:rPr>
                      <w:t>6.2</w:t>
                    </w:r>
                  </w:p>
                </w:txbxContent>
              </v:textbox>
              <w10:wrap type="none"/>
            </v:shape>
            <v:shape style="position:absolute;left:1862;top:607;width:892;height:6555" type="#_x0000_t202" filled="false" stroked="false">
              <v:textbox inset="0,0,0,0">
                <w:txbxContent>
                  <w:p>
                    <w:pPr>
                      <w:spacing w:line="186" w:lineRule="exact" w:before="0"/>
                      <w:ind w:left="0" w:right="0" w:firstLine="0"/>
                      <w:jc w:val="both"/>
                      <w:rPr>
                        <w:rFonts w:ascii="Calibri"/>
                        <w:sz w:val="18"/>
                      </w:rPr>
                    </w:pPr>
                    <w:r>
                      <w:rPr>
                        <w:rFonts w:ascii="Calibri"/>
                        <w:color w:val="7E7E7E"/>
                        <w:sz w:val="18"/>
                      </w:rPr>
                      <w:t>DELANTERO</w:t>
                    </w:r>
                  </w:p>
                  <w:p>
                    <w:pPr>
                      <w:spacing w:line="290" w:lineRule="auto" w:before="45"/>
                      <w:ind w:left="0" w:right="0" w:firstLine="0"/>
                      <w:jc w:val="both"/>
                      <w:rPr>
                        <w:rFonts w:ascii="Calibri"/>
                        <w:sz w:val="18"/>
                      </w:rPr>
                    </w:pPr>
                    <w:r>
                      <w:rPr>
                        <w:rFonts w:ascii="Calibri"/>
                        <w:color w:val="7E7E7E"/>
                        <w:sz w:val="18"/>
                      </w:rPr>
                      <w:t>DELANTERO DELANTERO DELANTERO DELANTERO DELANTERO</w:t>
                    </w:r>
                  </w:p>
                  <w:p>
                    <w:pPr>
                      <w:spacing w:line="290" w:lineRule="auto" w:before="0"/>
                      <w:ind w:left="184" w:right="0" w:firstLine="185"/>
                      <w:jc w:val="right"/>
                      <w:rPr>
                        <w:rFonts w:ascii="Calibri"/>
                        <w:sz w:val="18"/>
                      </w:rPr>
                    </w:pPr>
                    <w:r>
                      <w:rPr>
                        <w:rFonts w:ascii="Calibri"/>
                        <w:color w:val="7E7E7E"/>
                        <w:sz w:val="18"/>
                      </w:rPr>
                      <w:t>MEDIO MEDIO MEDIO MEDIO MEDIO MEDIO MEDIO MEDIO MEDIO MEDIO MEDIO MEDIO DEFENSA DEFENSA DEFENSA DEFENSA DEFENSA PORTERO</w:t>
                    </w:r>
                  </w:p>
                  <w:p>
                    <w:pPr>
                      <w:spacing w:line="217" w:lineRule="exact" w:before="0"/>
                      <w:ind w:left="0" w:right="0" w:firstLine="0"/>
                      <w:jc w:val="right"/>
                      <w:rPr>
                        <w:rFonts w:ascii="Calibri"/>
                        <w:sz w:val="18"/>
                      </w:rPr>
                    </w:pPr>
                    <w:r>
                      <w:rPr>
                        <w:rFonts w:ascii="Calibri"/>
                        <w:color w:val="7E7E7E"/>
                        <w:sz w:val="18"/>
                      </w:rPr>
                      <w:t>PORTERO</w:t>
                    </w:r>
                  </w:p>
                </w:txbxContent>
              </v:textbox>
              <w10:wrap type="none"/>
            </v:shape>
            <v:shape style="position:absolute;left:7871;top:618;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54.5</w:t>
                    </w:r>
                  </w:p>
                </w:txbxContent>
              </v:textbox>
              <w10:wrap type="none"/>
            </v:shape>
            <v:shape style="position:absolute;left:7871;top:1679;width:324;height:1776" type="#_x0000_t202" filled="false" stroked="false">
              <v:textbox inset="0,0,0,0">
                <w:txbxContent>
                  <w:p>
                    <w:pPr>
                      <w:spacing w:line="185" w:lineRule="exact" w:before="0"/>
                      <w:ind w:left="0" w:right="-18" w:firstLine="0"/>
                      <w:jc w:val="left"/>
                      <w:rPr>
                        <w:rFonts w:ascii="Calibri"/>
                        <w:b/>
                        <w:sz w:val="18"/>
                      </w:rPr>
                    </w:pPr>
                    <w:r>
                      <w:rPr>
                        <w:rFonts w:ascii="Calibri"/>
                        <w:b/>
                        <w:sz w:val="18"/>
                      </w:rPr>
                      <w:t>54.5</w:t>
                    </w:r>
                  </w:p>
                  <w:p>
                    <w:pPr>
                      <w:spacing w:before="45"/>
                      <w:ind w:left="0" w:right="-18" w:firstLine="0"/>
                      <w:jc w:val="left"/>
                      <w:rPr>
                        <w:rFonts w:ascii="Calibri"/>
                        <w:b/>
                        <w:sz w:val="18"/>
                      </w:rPr>
                    </w:pPr>
                    <w:r>
                      <w:rPr>
                        <w:rFonts w:ascii="Calibri"/>
                        <w:b/>
                        <w:sz w:val="18"/>
                      </w:rPr>
                      <w:t>54.5</w:t>
                    </w:r>
                  </w:p>
                  <w:p>
                    <w:pPr>
                      <w:spacing w:before="46"/>
                      <w:ind w:left="0" w:right="-18" w:firstLine="0"/>
                      <w:jc w:val="left"/>
                      <w:rPr>
                        <w:rFonts w:ascii="Calibri"/>
                        <w:b/>
                        <w:sz w:val="18"/>
                      </w:rPr>
                    </w:pPr>
                    <w:r>
                      <w:rPr>
                        <w:rFonts w:ascii="Calibri"/>
                        <w:b/>
                        <w:sz w:val="18"/>
                      </w:rPr>
                      <w:t>54.5</w:t>
                    </w:r>
                  </w:p>
                  <w:p>
                    <w:pPr>
                      <w:spacing w:before="46"/>
                      <w:ind w:left="0" w:right="-18" w:firstLine="0"/>
                      <w:jc w:val="left"/>
                      <w:rPr>
                        <w:rFonts w:ascii="Calibri"/>
                        <w:b/>
                        <w:sz w:val="18"/>
                      </w:rPr>
                    </w:pPr>
                    <w:r>
                      <w:rPr>
                        <w:rFonts w:ascii="Calibri"/>
                        <w:b/>
                        <w:sz w:val="18"/>
                      </w:rPr>
                      <w:t>54.5</w:t>
                    </w:r>
                  </w:p>
                  <w:p>
                    <w:pPr>
                      <w:spacing w:before="45"/>
                      <w:ind w:left="0" w:right="-18" w:firstLine="0"/>
                      <w:jc w:val="left"/>
                      <w:rPr>
                        <w:rFonts w:ascii="Calibri"/>
                        <w:b/>
                        <w:sz w:val="18"/>
                      </w:rPr>
                    </w:pPr>
                    <w:r>
                      <w:rPr>
                        <w:rFonts w:ascii="Calibri"/>
                        <w:b/>
                        <w:sz w:val="18"/>
                      </w:rPr>
                      <w:t>54.5</w:t>
                    </w:r>
                  </w:p>
                  <w:p>
                    <w:pPr>
                      <w:spacing w:before="46"/>
                      <w:ind w:left="0" w:right="-18" w:firstLine="0"/>
                      <w:jc w:val="left"/>
                      <w:rPr>
                        <w:rFonts w:ascii="Calibri"/>
                        <w:b/>
                        <w:sz w:val="18"/>
                      </w:rPr>
                    </w:pPr>
                    <w:r>
                      <w:rPr>
                        <w:rFonts w:ascii="Calibri"/>
                        <w:b/>
                        <w:sz w:val="18"/>
                      </w:rPr>
                      <w:t>54.5</w:t>
                    </w:r>
                  </w:p>
                  <w:p>
                    <w:pPr>
                      <w:spacing w:line="217" w:lineRule="exact" w:before="45"/>
                      <w:ind w:left="0" w:right="-18" w:firstLine="0"/>
                      <w:jc w:val="left"/>
                      <w:rPr>
                        <w:rFonts w:ascii="Calibri"/>
                        <w:b/>
                        <w:sz w:val="18"/>
                      </w:rPr>
                    </w:pPr>
                    <w:r>
                      <w:rPr>
                        <w:rFonts w:ascii="Calibri"/>
                        <w:b/>
                        <w:sz w:val="18"/>
                      </w:rPr>
                      <w:t>54.5</w:t>
                    </w:r>
                  </w:p>
                </w:txbxContent>
              </v:textbox>
              <w10:wrap type="none"/>
            </v:shape>
            <v:shape style="position:absolute;left:3726;top:3538;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39.5</w:t>
                    </w:r>
                  </w:p>
                </w:txbxContent>
              </v:textbox>
              <w10:wrap type="none"/>
            </v:shape>
            <v:shape style="position:absolute;left:7871;top:3803;width:323;height:448" type="#_x0000_t202" filled="false" stroked="false">
              <v:textbox inset="0,0,0,0">
                <w:txbxContent>
                  <w:p>
                    <w:pPr>
                      <w:spacing w:line="185" w:lineRule="exact" w:before="0"/>
                      <w:ind w:left="0" w:right="-19" w:firstLine="0"/>
                      <w:jc w:val="left"/>
                      <w:rPr>
                        <w:rFonts w:ascii="Calibri"/>
                        <w:b/>
                        <w:sz w:val="18"/>
                      </w:rPr>
                    </w:pPr>
                    <w:r>
                      <w:rPr>
                        <w:rFonts w:ascii="Calibri"/>
                        <w:b/>
                        <w:sz w:val="18"/>
                      </w:rPr>
                      <w:t>54.5</w:t>
                    </w:r>
                  </w:p>
                  <w:p>
                    <w:pPr>
                      <w:spacing w:line="217" w:lineRule="exact" w:before="45"/>
                      <w:ind w:left="0" w:right="-19" w:firstLine="0"/>
                      <w:jc w:val="left"/>
                      <w:rPr>
                        <w:rFonts w:ascii="Calibri"/>
                        <w:b/>
                        <w:sz w:val="18"/>
                      </w:rPr>
                    </w:pPr>
                    <w:r>
                      <w:rPr>
                        <w:rFonts w:ascii="Calibri"/>
                        <w:b/>
                        <w:sz w:val="18"/>
                      </w:rPr>
                      <w:t>54.5</w:t>
                    </w:r>
                  </w:p>
                </w:txbxContent>
              </v:textbox>
              <w10:wrap type="none"/>
            </v:shape>
            <v:shape style="position:absolute;left:9888;top:4334;width:326;height:714" type="#_x0000_t202" filled="false" stroked="false">
              <v:textbox inset="0,0,0,0">
                <w:txbxContent>
                  <w:p>
                    <w:pPr>
                      <w:spacing w:line="185" w:lineRule="exact" w:before="0"/>
                      <w:ind w:left="2" w:right="-18" w:firstLine="0"/>
                      <w:jc w:val="left"/>
                      <w:rPr>
                        <w:rFonts w:ascii="Calibri"/>
                        <w:b/>
                        <w:sz w:val="18"/>
                      </w:rPr>
                    </w:pPr>
                    <w:r>
                      <w:rPr>
                        <w:rFonts w:ascii="Calibri"/>
                        <w:b/>
                        <w:sz w:val="18"/>
                      </w:rPr>
                      <w:t>61.8</w:t>
                    </w:r>
                  </w:p>
                  <w:p>
                    <w:pPr>
                      <w:spacing w:line="240" w:lineRule="auto" w:before="0"/>
                      <w:rPr>
                        <w:sz w:val="18"/>
                      </w:rPr>
                    </w:pPr>
                  </w:p>
                  <w:p>
                    <w:pPr>
                      <w:spacing w:line="217" w:lineRule="exact" w:before="104"/>
                      <w:ind w:left="0" w:right="-16" w:firstLine="0"/>
                      <w:jc w:val="left"/>
                      <w:rPr>
                        <w:rFonts w:ascii="Calibri"/>
                        <w:b/>
                        <w:sz w:val="18"/>
                      </w:rPr>
                    </w:pPr>
                    <w:r>
                      <w:rPr>
                        <w:rFonts w:ascii="Calibri"/>
                        <w:b/>
                        <w:sz w:val="18"/>
                      </w:rPr>
                      <w:t>61.8</w:t>
                    </w:r>
                  </w:p>
                </w:txbxContent>
              </v:textbox>
              <w10:wrap type="none"/>
            </v:shape>
            <v:shape style="position:absolute;left:7871;top:5396;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54.5</w:t>
                    </w:r>
                  </w:p>
                </w:txbxContent>
              </v:textbox>
              <w10:wrap type="none"/>
            </v:shape>
            <v:shape style="position:absolute;left:3610;top:5662;width:325;height:183" type="#_x0000_t202" filled="false" stroked="false">
              <v:textbox inset="0,0,0,0">
                <w:txbxContent>
                  <w:p>
                    <w:pPr>
                      <w:spacing w:line="182" w:lineRule="exact" w:before="0"/>
                      <w:ind w:left="0" w:right="-17" w:firstLine="0"/>
                      <w:jc w:val="left"/>
                      <w:rPr>
                        <w:rFonts w:ascii="Calibri"/>
                        <w:b/>
                        <w:sz w:val="18"/>
                      </w:rPr>
                    </w:pPr>
                    <w:r>
                      <w:rPr>
                        <w:rFonts w:ascii="Calibri"/>
                        <w:b/>
                        <w:sz w:val="18"/>
                      </w:rPr>
                      <w:t>39.1</w:t>
                    </w:r>
                  </w:p>
                </w:txbxContent>
              </v:textbox>
              <w10:wrap type="none"/>
            </v:shape>
            <v:shape style="position:absolute;left:7871;top:5927;width:324;height:714" type="#_x0000_t202" filled="false" stroked="false">
              <v:textbox inset="0,0,0,0">
                <w:txbxContent>
                  <w:p>
                    <w:pPr>
                      <w:spacing w:line="185" w:lineRule="exact" w:before="0"/>
                      <w:ind w:left="0" w:right="-18" w:firstLine="0"/>
                      <w:jc w:val="left"/>
                      <w:rPr>
                        <w:rFonts w:ascii="Calibri"/>
                        <w:b/>
                        <w:sz w:val="18"/>
                      </w:rPr>
                    </w:pPr>
                    <w:r>
                      <w:rPr>
                        <w:rFonts w:ascii="Calibri"/>
                        <w:b/>
                        <w:sz w:val="18"/>
                      </w:rPr>
                      <w:t>54.5</w:t>
                    </w:r>
                  </w:p>
                  <w:p>
                    <w:pPr>
                      <w:spacing w:before="45"/>
                      <w:ind w:left="0" w:right="-18" w:firstLine="0"/>
                      <w:jc w:val="left"/>
                      <w:rPr>
                        <w:rFonts w:ascii="Calibri"/>
                        <w:b/>
                        <w:sz w:val="18"/>
                      </w:rPr>
                    </w:pPr>
                    <w:r>
                      <w:rPr>
                        <w:rFonts w:ascii="Calibri"/>
                        <w:b/>
                        <w:sz w:val="18"/>
                      </w:rPr>
                      <w:t>54.5</w:t>
                    </w:r>
                  </w:p>
                  <w:p>
                    <w:pPr>
                      <w:spacing w:line="217" w:lineRule="exact" w:before="45"/>
                      <w:ind w:left="0" w:right="-18" w:firstLine="0"/>
                      <w:jc w:val="left"/>
                      <w:rPr>
                        <w:rFonts w:ascii="Calibri"/>
                        <w:b/>
                        <w:sz w:val="18"/>
                      </w:rPr>
                    </w:pPr>
                    <w:r>
                      <w:rPr>
                        <w:rFonts w:ascii="Calibri"/>
                        <w:b/>
                        <w:sz w:val="18"/>
                      </w:rPr>
                      <w:t>54.5</w:t>
                    </w:r>
                  </w:p>
                </w:txbxContent>
              </v:textbox>
              <w10:wrap type="none"/>
            </v:shape>
            <v:shape style="position:absolute;left:5575;top:6724;width:93;height:183" type="#_x0000_t202" filled="false" stroked="false">
              <v:textbox inset="0,0,0,0">
                <w:txbxContent>
                  <w:p>
                    <w:pPr>
                      <w:spacing w:line="182" w:lineRule="exact" w:before="0"/>
                      <w:ind w:left="0" w:right="0" w:firstLine="0"/>
                      <w:jc w:val="left"/>
                      <w:rPr>
                        <w:rFonts w:ascii="Calibri"/>
                        <w:b/>
                        <w:sz w:val="18"/>
                      </w:rPr>
                    </w:pPr>
                    <w:r>
                      <w:rPr>
                        <w:rFonts w:ascii="Calibri"/>
                        <w:b/>
                        <w:w w:val="101"/>
                        <w:sz w:val="18"/>
                      </w:rPr>
                      <w:t>4</w:t>
                    </w:r>
                  </w:p>
                </w:txbxContent>
              </v:textbox>
              <w10:wrap type="none"/>
            </v:shape>
            <v:shape style="position:absolute;left:7871;top:6989;width:323;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54.5</w:t>
                    </w:r>
                  </w:p>
                </w:txbxContent>
              </v:textbox>
              <w10:wrap type="none"/>
            </v:shape>
            <v:shape style="position:absolute;left:2757;top:7346;width:319;height:183" type="#_x0000_t202" filled="false" stroked="false">
              <v:textbox inset="0,0,0,0">
                <w:txbxContent>
                  <w:p>
                    <w:pPr>
                      <w:spacing w:line="182" w:lineRule="exact" w:before="0"/>
                      <w:ind w:left="0" w:right="-13" w:firstLine="0"/>
                      <w:jc w:val="left"/>
                      <w:rPr>
                        <w:rFonts w:ascii="Calibri"/>
                        <w:sz w:val="18"/>
                      </w:rPr>
                    </w:pPr>
                    <w:r>
                      <w:rPr>
                        <w:rFonts w:ascii="Calibri"/>
                        <w:color w:val="7E7E7E"/>
                        <w:spacing w:val="-2"/>
                        <w:sz w:val="18"/>
                      </w:rPr>
                      <w:t>37.0</w:t>
                    </w:r>
                  </w:p>
                </w:txbxContent>
              </v:textbox>
              <w10:wrap type="none"/>
            </v:shape>
            <v:shape style="position:absolute;left:4139;top:7346;width:319;height:183" type="#_x0000_t202" filled="false" stroked="false">
              <v:textbox inset="0,0,0,0">
                <w:txbxContent>
                  <w:p>
                    <w:pPr>
                      <w:spacing w:line="182" w:lineRule="exact" w:before="0"/>
                      <w:ind w:left="0" w:right="-13" w:firstLine="0"/>
                      <w:jc w:val="left"/>
                      <w:rPr>
                        <w:rFonts w:ascii="Calibri"/>
                        <w:sz w:val="18"/>
                      </w:rPr>
                    </w:pPr>
                    <w:r>
                      <w:rPr>
                        <w:rFonts w:ascii="Calibri"/>
                        <w:color w:val="7E7E7E"/>
                        <w:spacing w:val="-2"/>
                        <w:sz w:val="18"/>
                      </w:rPr>
                      <w:t>42.0</w:t>
                    </w:r>
                  </w:p>
                </w:txbxContent>
              </v:textbox>
              <w10:wrap type="none"/>
            </v:shape>
            <v:shape style="position:absolute;left:5520;top:7346;width:319;height:183" type="#_x0000_t202" filled="false" stroked="false">
              <v:textbox inset="0,0,0,0">
                <w:txbxContent>
                  <w:p>
                    <w:pPr>
                      <w:spacing w:line="182" w:lineRule="exact" w:before="0"/>
                      <w:ind w:left="0" w:right="-13" w:firstLine="0"/>
                      <w:jc w:val="left"/>
                      <w:rPr>
                        <w:rFonts w:ascii="Calibri"/>
                        <w:sz w:val="18"/>
                      </w:rPr>
                    </w:pPr>
                    <w:r>
                      <w:rPr>
                        <w:rFonts w:ascii="Calibri"/>
                        <w:color w:val="7E7E7E"/>
                        <w:spacing w:val="-2"/>
                        <w:sz w:val="18"/>
                      </w:rPr>
                      <w:t>47.0</w:t>
                    </w:r>
                  </w:p>
                </w:txbxContent>
              </v:textbox>
              <w10:wrap type="none"/>
            </v:shape>
            <v:shape style="position:absolute;left:6901;top:7346;width:319;height:183" type="#_x0000_t202" filled="false" stroked="false">
              <v:textbox inset="0,0,0,0">
                <w:txbxContent>
                  <w:p>
                    <w:pPr>
                      <w:spacing w:line="182" w:lineRule="exact" w:before="0"/>
                      <w:ind w:left="0" w:right="-13" w:firstLine="0"/>
                      <w:jc w:val="left"/>
                      <w:rPr>
                        <w:rFonts w:ascii="Calibri"/>
                        <w:sz w:val="18"/>
                      </w:rPr>
                    </w:pPr>
                    <w:r>
                      <w:rPr>
                        <w:rFonts w:ascii="Calibri"/>
                        <w:color w:val="7E7E7E"/>
                        <w:spacing w:val="-2"/>
                        <w:sz w:val="18"/>
                      </w:rPr>
                      <w:t>52.0</w:t>
                    </w:r>
                  </w:p>
                </w:txbxContent>
              </v:textbox>
              <w10:wrap type="none"/>
            </v:shape>
            <v:shape style="position:absolute;left:8283;top:7346;width:319;height:183" type="#_x0000_t202" filled="false" stroked="false">
              <v:textbox inset="0,0,0,0">
                <w:txbxContent>
                  <w:p>
                    <w:pPr>
                      <w:spacing w:line="182" w:lineRule="exact" w:before="0"/>
                      <w:ind w:left="0" w:right="-13" w:firstLine="0"/>
                      <w:jc w:val="left"/>
                      <w:rPr>
                        <w:rFonts w:ascii="Calibri"/>
                        <w:sz w:val="18"/>
                      </w:rPr>
                    </w:pPr>
                    <w:r>
                      <w:rPr>
                        <w:rFonts w:ascii="Calibri"/>
                        <w:color w:val="7E7E7E"/>
                        <w:spacing w:val="-2"/>
                        <w:sz w:val="18"/>
                      </w:rPr>
                      <w:t>57.0</w:t>
                    </w:r>
                  </w:p>
                </w:txbxContent>
              </v:textbox>
              <w10:wrap type="none"/>
            </v:shape>
            <v:shape style="position:absolute;left:9664;top:7346;width:320;height:183" type="#_x0000_t202" filled="false" stroked="false">
              <v:textbox inset="0,0,0,0">
                <w:txbxContent>
                  <w:p>
                    <w:pPr>
                      <w:spacing w:line="182" w:lineRule="exact" w:before="0"/>
                      <w:ind w:left="0" w:right="-20" w:firstLine="0"/>
                      <w:jc w:val="left"/>
                      <w:rPr>
                        <w:rFonts w:ascii="Calibri"/>
                        <w:sz w:val="18"/>
                      </w:rPr>
                    </w:pPr>
                    <w:r>
                      <w:rPr>
                        <w:rFonts w:ascii="Calibri"/>
                        <w:color w:val="7E7E7E"/>
                        <w:sz w:val="18"/>
                      </w:rPr>
                      <w:t>62.0</w:t>
                    </w:r>
                  </w:p>
                </w:txbxContent>
              </v:textbox>
              <w10:wrap type="none"/>
            </v:shape>
            <v:shape style="position:absolute;left:5686;top:7633;width:1640;height:212" type="#_x0000_t202" filled="false" stroked="false">
              <v:textbox inset="0,0,0,0">
                <w:txbxContent>
                  <w:p>
                    <w:pPr>
                      <w:spacing w:line="211" w:lineRule="exact" w:before="0"/>
                      <w:ind w:left="0" w:right="-11" w:firstLine="0"/>
                      <w:jc w:val="left"/>
                      <w:rPr>
                        <w:rFonts w:ascii="Calibri"/>
                        <w:b/>
                        <w:sz w:val="21"/>
                      </w:rPr>
                    </w:pPr>
                    <w:r>
                      <w:rPr>
                        <w:rFonts w:ascii="Calibri"/>
                        <w:b/>
                        <w:sz w:val="21"/>
                      </w:rPr>
                      <w:t>VO2 (ML/KG/MIN)</w:t>
                    </w:r>
                  </w:p>
                </w:txbxContent>
              </v:textbox>
              <w10:wrap type="none"/>
            </v:shape>
            <w10:wrap type="topAndBottom"/>
          </v:group>
        </w:pict>
      </w:r>
    </w:p>
    <w:p>
      <w:pPr>
        <w:spacing w:before="147"/>
        <w:ind w:left="119" w:right="0" w:firstLine="7284"/>
        <w:jc w:val="left"/>
        <w:rPr>
          <w:sz w:val="20"/>
        </w:rPr>
      </w:pPr>
      <w:r>
        <w:rPr>
          <w:sz w:val="20"/>
        </w:rPr>
        <w:t>Fuente: Cuadro 1</w:t>
      </w:r>
    </w:p>
    <w:p>
      <w:pPr>
        <w:pStyle w:val="BodyText"/>
        <w:rPr>
          <w:sz w:val="20"/>
        </w:rPr>
      </w:pPr>
    </w:p>
    <w:p>
      <w:pPr>
        <w:pStyle w:val="BodyText"/>
        <w:rPr>
          <w:sz w:val="20"/>
        </w:rPr>
      </w:pPr>
    </w:p>
    <w:p>
      <w:pPr>
        <w:pStyle w:val="BodyText"/>
        <w:spacing w:line="360" w:lineRule="auto" w:before="175"/>
        <w:ind w:left="119" w:right="123"/>
        <w:jc w:val="both"/>
      </w:pPr>
      <w:r>
        <w:rPr/>
        <w:t>La media del consumo máximo de oxígeno en jugadores de fútbol asociación en pretemporada 2015 a 2600 metros a nivel del mar es de 52 ± 5.62, la moda del consumo máximo de oxígeno en jugadores de fútbol asociación en pretemporada 2015 a 2600 metros a nivel del mar es de 54.5.</w:t>
      </w:r>
    </w:p>
    <w:p>
      <w:pPr>
        <w:spacing w:after="0" w:line="360" w:lineRule="auto"/>
        <w:jc w:val="both"/>
        <w:sectPr>
          <w:pgSz w:w="12240" w:h="15840"/>
          <w:pgMar w:header="0" w:footer="966" w:top="1360" w:bottom="1220" w:left="1580" w:right="1580"/>
        </w:sectPr>
      </w:pPr>
    </w:p>
    <w:p>
      <w:pPr>
        <w:pStyle w:val="BodyText"/>
        <w:spacing w:before="6"/>
        <w:rPr>
          <w:sz w:val="15"/>
        </w:rPr>
      </w:pPr>
    </w:p>
    <w:p>
      <w:pPr>
        <w:pStyle w:val="BodyText"/>
        <w:spacing w:line="362" w:lineRule="auto" w:before="69"/>
        <w:ind w:left="119" w:right="126"/>
        <w:jc w:val="both"/>
      </w:pPr>
      <w:r>
        <w:rPr/>
        <w:t>Gráfico 4. Consumo </w:t>
      </w:r>
      <w:r>
        <w:rPr>
          <w:spacing w:val="-2"/>
        </w:rPr>
        <w:t>máximo </w:t>
      </w:r>
      <w:r>
        <w:rPr/>
        <w:t>de oxígeno, consumo miocárdico de oxígeno e índice de eficiencia miocárdica en jugadores de fútbol asociación en pretemporada 2015 a 2600 metros a nivel del</w:t>
      </w:r>
      <w:r>
        <w:rPr>
          <w:spacing w:val="-17"/>
        </w:rPr>
        <w:t> </w:t>
      </w:r>
      <w:r>
        <w:rPr/>
        <w:t>mar.</w:t>
      </w:r>
    </w:p>
    <w:p>
      <w:pPr>
        <w:pStyle w:val="BodyText"/>
        <w:rPr>
          <w:sz w:val="20"/>
        </w:rPr>
      </w:pPr>
    </w:p>
    <w:p>
      <w:pPr>
        <w:pStyle w:val="BodyText"/>
        <w:rPr>
          <w:sz w:val="20"/>
        </w:rPr>
      </w:pPr>
    </w:p>
    <w:p>
      <w:pPr>
        <w:pStyle w:val="BodyText"/>
        <w:spacing w:before="10"/>
      </w:pPr>
      <w:r>
        <w:rPr/>
        <w:pict>
          <v:group style="position:absolute;margin-left:87.75pt;margin-top:16.256775pt;width:436.5pt;height:372.75pt;mso-position-horizontal-relative:page;mso-position-vertical-relative:paragraph;z-index:4048;mso-wrap-distance-left:0;mso-wrap-distance-right:0" coordorigin="1755,325" coordsize="8730,7455">
            <v:line style="position:absolute" from="2378,5687" to="10258,5687" stroked="true" strokeweight=".75pt" strokecolor="#d9d9d9"/>
            <v:line style="position:absolute" from="2378,4833" to="10258,4833" stroked="true" strokeweight=".75pt" strokecolor="#d9d9d9"/>
            <v:line style="position:absolute" from="2378,3974" to="10258,3974" stroked="true" strokeweight=".75pt" strokecolor="#d9d9d9"/>
            <v:line style="position:absolute" from="2378,3119" to="10258,3119" stroked="true" strokeweight=".75pt" strokecolor="#d9d9d9"/>
            <v:line style="position:absolute" from="2378,2265" to="10258,2265" stroked="true" strokeweight=".75pt" strokecolor="#d9d9d9"/>
            <v:line style="position:absolute" from="2378,1411" to="10258,1411" stroked="true" strokeweight=".75pt" strokecolor="#d9d9d9"/>
            <v:line style="position:absolute" from="2378,553" to="10258,553" stroked="true" strokeweight=".75pt" strokecolor="#d9d9d9"/>
            <v:line style="position:absolute" from="2378,553" to="2378,6544" stroked="true" strokeweight=".75pt" strokecolor="#d9d9d9"/>
            <v:line style="position:absolute" from="2693,553" to="2693,6544" stroked="true" strokeweight=".75pt" strokecolor="#d9d9d9"/>
            <v:line style="position:absolute" from="3010,553" to="3010,6544" stroked="true" strokeweight=".75pt" strokecolor="#d9d9d9"/>
            <v:line style="position:absolute" from="3322,553" to="3322,6544" stroked="true" strokeweight=".75pt" strokecolor="#d9d9d9"/>
            <v:line style="position:absolute" from="3638,553" to="3638,6544" stroked="true" strokeweight=".75pt" strokecolor="#d9d9d9"/>
            <v:line style="position:absolute" from="3955,553" to="3955,6544" stroked="true" strokeweight=".75pt" strokecolor="#d9d9d9"/>
            <v:line style="position:absolute" from="4267,553" to="4267,6544" stroked="true" strokeweight=".75pt" strokecolor="#d9d9d9"/>
            <v:line style="position:absolute" from="4584,553" to="4584,6544" stroked="true" strokeweight=".75pt" strokecolor="#d9d9d9"/>
            <v:line style="position:absolute" from="4901,553" to="4901,6544" stroked="true" strokeweight=".75pt" strokecolor="#d9d9d9"/>
            <v:line style="position:absolute" from="5213,553" to="5213,6544" stroked="true" strokeweight=".75pt" strokecolor="#d9d9d9"/>
            <v:line style="position:absolute" from="5530,553" to="5530,6544" stroked="true" strokeweight=".75pt" strokecolor="#d9d9d9"/>
            <v:line style="position:absolute" from="5846,553" to="5846,6544" stroked="true" strokeweight=".75pt" strokecolor="#d9d9d9"/>
            <v:line style="position:absolute" from="6158,553" to="6158,6544" stroked="true" strokeweight=".75pt" strokecolor="#d9d9d9"/>
            <v:line style="position:absolute" from="6475,553" to="6475,6544" stroked="true" strokeweight=".75pt" strokecolor="#d9d9d9"/>
            <v:line style="position:absolute" from="6792,553" to="6792,6544" stroked="true" strokeweight=".75pt" strokecolor="#d9d9d9"/>
            <v:line style="position:absolute" from="7104,553" to="7104,6544" stroked="true" strokeweight=".75pt" strokecolor="#d9d9d9"/>
            <v:line style="position:absolute" from="7421,553" to="7421,6544" stroked="true" strokeweight=".75pt" strokecolor="#d9d9d9"/>
            <v:line style="position:absolute" from="7738,553" to="7738,6544" stroked="true" strokeweight=".75pt" strokecolor="#d9d9d9"/>
            <v:line style="position:absolute" from="8050,553" to="8050,6544" stroked="true" strokeweight=".75pt" strokecolor="#d9d9d9"/>
            <v:line style="position:absolute" from="8366,553" to="8366,6544" stroked="true" strokeweight=".75pt" strokecolor="#d9d9d9"/>
            <v:line style="position:absolute" from="8683,553" to="8683,6544" stroked="true" strokeweight=".75pt" strokecolor="#d9d9d9"/>
            <v:line style="position:absolute" from="8995,553" to="8995,6544" stroked="true" strokeweight=".75pt" strokecolor="#d9d9d9"/>
            <v:line style="position:absolute" from="9312,553" to="9312,6544" stroked="true" strokeweight=".75pt" strokecolor="#d9d9d9"/>
            <v:line style="position:absolute" from="9629,553" to="9629,6544" stroked="true" strokeweight=".75pt" strokecolor="#d9d9d9"/>
            <v:line style="position:absolute" from="9941,553" to="9941,6544" stroked="true" strokeweight=".75pt" strokecolor="#d9d9d9"/>
            <v:line style="position:absolute" from="10258,553" to="10258,6544" stroked="true" strokeweight=".75pt" strokecolor="#d9d9d9"/>
            <v:line style="position:absolute" from="2378,6544" to="10258,6544" stroked="true" strokeweight=".75pt" strokecolor="#d9d9d9"/>
            <v:shape style="position:absolute;left:2536;top:3745;width:7564;height:834" coordorigin="2536,3745" coordsize="7564,834" path="m2536,3863l2851,3964,3168,4247,3480,4267,3797,4310,4114,4012,4426,4031,4742,4387,5059,4579,5371,3974,5688,4012,6005,4046,6317,4238,6634,4435,6950,3745,7262,4031,7579,4262,7896,3811,8208,4199,8525,4247,8842,3844,9154,3998,9470,3964,9782,4233,10100,4324e" filled="false" stroked="true" strokeweight="2.25pt" strokecolor="#5b9bd4">
              <v:path arrowok="t"/>
            </v:shape>
            <v:shape style="position:absolute;left:2483;top:3808;width:110;height:110" type="#_x0000_t75" stroked="false">
              <v:imagedata r:id="rId65" o:title=""/>
            </v:shape>
            <v:shape style="position:absolute;left:2799;top:3909;width:110;height:110" type="#_x0000_t75" stroked="false">
              <v:imagedata r:id="rId65" o:title=""/>
            </v:shape>
            <v:shape style="position:absolute;left:3111;top:4197;width:110;height:110" type="#_x0000_t75" stroked="false">
              <v:imagedata r:id="rId65" o:title=""/>
            </v:shape>
            <v:shape style="position:absolute;left:3428;top:4211;width:110;height:110" type="#_x0000_t75" stroked="false">
              <v:imagedata r:id="rId66" o:title=""/>
            </v:shape>
            <v:shape style="position:absolute;left:3740;top:4259;width:110;height:110" type="#_x0000_t75" stroked="false">
              <v:imagedata r:id="rId67" o:title=""/>
            </v:shape>
            <v:shape style="position:absolute;left:4057;top:3961;width:110;height:110" type="#_x0000_t75" stroked="false">
              <v:imagedata r:id="rId65" o:title=""/>
            </v:shape>
            <v:shape style="position:absolute;left:4374;top:3976;width:110;height:110" type="#_x0000_t75" stroked="false">
              <v:imagedata r:id="rId65" o:title=""/>
            </v:shape>
            <v:shape style="position:absolute;left:4686;top:4336;width:110;height:110" type="#_x0000_t75" stroked="false">
              <v:imagedata r:id="rId67" o:title=""/>
            </v:shape>
            <v:shape style="position:absolute;left:5003;top:4523;width:110;height:110" type="#_x0000_t75" stroked="false">
              <v:imagedata r:id="rId65" o:title=""/>
            </v:shape>
            <v:shape style="position:absolute;left:5319;top:3918;width:110;height:110" type="#_x0000_t75" stroked="false">
              <v:imagedata r:id="rId66" o:title=""/>
            </v:shape>
            <v:shape style="position:absolute;left:5631;top:3961;width:111;height:110" type="#_x0000_t75" stroked="false">
              <v:imagedata r:id="rId68" o:title=""/>
            </v:shape>
            <v:shape style="position:absolute;left:5948;top:3990;width:110;height:110" type="#_x0000_t75" stroked="false">
              <v:imagedata r:id="rId65" o:title=""/>
            </v:shape>
            <v:shape style="position:absolute;left:6265;top:4182;width:110;height:110" type="#_x0000_t75" stroked="false">
              <v:imagedata r:id="rId65" o:title=""/>
            </v:shape>
            <v:shape style="position:absolute;left:6577;top:4384;width:111;height:110" type="#_x0000_t75" stroked="false">
              <v:imagedata r:id="rId69" o:title=""/>
            </v:shape>
            <v:shape style="position:absolute;left:6894;top:3693;width:110;height:110" type="#_x0000_t75" stroked="false">
              <v:imagedata r:id="rId66" o:title=""/>
            </v:shape>
            <v:shape style="position:absolute;left:7211;top:3976;width:110;height:110" type="#_x0000_t75" stroked="false">
              <v:imagedata r:id="rId65" o:title=""/>
            </v:shape>
            <v:shape style="position:absolute;left:7523;top:4211;width:110;height:110" type="#_x0000_t75" stroked="false">
              <v:imagedata r:id="rId66" o:title=""/>
            </v:shape>
            <v:shape style="position:absolute;left:7839;top:3760;width:110;height:110" type="#_x0000_t75" stroked="false">
              <v:imagedata r:id="rId66" o:title=""/>
            </v:shape>
            <v:shape style="position:absolute;left:8156;top:4149;width:110;height:110" type="#_x0000_t75" stroked="false">
              <v:imagedata r:id="rId65" o:title=""/>
            </v:shape>
            <v:shape style="position:absolute;left:8468;top:4197;width:110;height:110" type="#_x0000_t75" stroked="false">
              <v:imagedata r:id="rId65" o:title=""/>
            </v:shape>
            <v:shape style="position:absolute;left:8785;top:3793;width:110;height:110" type="#_x0000_t75" stroked="false">
              <v:imagedata r:id="rId65" o:title=""/>
            </v:shape>
            <v:shape style="position:absolute;left:9102;top:3942;width:110;height:110" type="#_x0000_t75" stroked="false">
              <v:imagedata r:id="rId67" o:title=""/>
            </v:shape>
            <v:shape style="position:absolute;left:9414;top:3909;width:110;height:110" type="#_x0000_t75" stroked="false">
              <v:imagedata r:id="rId65" o:title=""/>
            </v:shape>
            <v:shape style="position:absolute;left:9731;top:4177;width:110;height:110" type="#_x0000_t75" stroked="false">
              <v:imagedata r:id="rId65" o:title=""/>
            </v:shape>
            <v:shape style="position:absolute;left:10047;top:4273;width:110;height:110" type="#_x0000_t75" stroked="false">
              <v:imagedata r:id="rId67" o:title=""/>
            </v:shape>
            <v:shape style="position:absolute;left:2536;top:5896;width:7564;height:330" coordorigin="2536,5896" coordsize="7564,330" path="m2536,6052l2851,5985,3168,6124,3480,6124,3797,6134,4114,5896,4426,6081,4742,6086,5059,6226,5371,5999,5688,6134,6005,6086,6317,6119,6634,6009,6950,6028,7262,6081,7579,6124,7896,6043,8208,6115,8525,6124,8842,6047,9154,6004,9470,5995,9782,6052,10100,6139e" filled="false" stroked="true" strokeweight="2.25pt" strokecolor="#ec7c30">
              <v:path arrowok="t"/>
            </v:shape>
            <v:shape style="position:absolute;left:2483;top:5997;width:110;height:110" type="#_x0000_t75" stroked="false">
              <v:imagedata r:id="rId70" o:title=""/>
            </v:shape>
            <v:shape style="position:absolute;left:2799;top:5929;width:110;height:110" type="#_x0000_t75" stroked="false">
              <v:imagedata r:id="rId70" o:title=""/>
            </v:shape>
            <v:shape style="position:absolute;left:3111;top:6069;width:110;height:110" type="#_x0000_t75" stroked="false">
              <v:imagedata r:id="rId70" o:title=""/>
            </v:shape>
            <v:shape style="position:absolute;left:3428;top:6073;width:110;height:110" type="#_x0000_t75" stroked="false">
              <v:imagedata r:id="rId70" o:title=""/>
            </v:shape>
            <v:shape style="position:absolute;left:3740;top:6078;width:110;height:110" type="#_x0000_t75" stroked="false">
              <v:imagedata r:id="rId71" o:title=""/>
            </v:shape>
            <v:shape style="position:absolute;left:4057;top:5843;width:110;height:110" type="#_x0000_t75" stroked="false">
              <v:imagedata r:id="rId70" o:title=""/>
            </v:shape>
            <v:shape style="position:absolute;left:4374;top:6030;width:110;height:110" type="#_x0000_t75" stroked="false">
              <v:imagedata r:id="rId70" o:title=""/>
            </v:shape>
            <v:shape style="position:absolute;left:4686;top:6035;width:110;height:110" type="#_x0000_t75" stroked="false">
              <v:imagedata r:id="rId72" o:title=""/>
            </v:shape>
            <v:shape style="position:absolute;left:5003;top:6174;width:110;height:110" type="#_x0000_t75" stroked="false">
              <v:imagedata r:id="rId70" o:title=""/>
            </v:shape>
            <v:shape style="position:absolute;left:5319;top:5944;width:110;height:110" type="#_x0000_t75" stroked="false">
              <v:imagedata r:id="rId73" o:title=""/>
            </v:shape>
            <v:shape style="position:absolute;left:5631;top:6083;width:111;height:110" type="#_x0000_t75" stroked="false">
              <v:imagedata r:id="rId74" o:title=""/>
            </v:shape>
            <v:shape style="position:absolute;left:5948;top:6030;width:110;height:110" type="#_x0000_t75" stroked="false">
              <v:imagedata r:id="rId70" o:title=""/>
            </v:shape>
            <v:shape style="position:absolute;left:6265;top:6069;width:110;height:110" type="#_x0000_t75" stroked="false">
              <v:imagedata r:id="rId70" o:title=""/>
            </v:shape>
            <v:shape style="position:absolute;left:6577;top:5958;width:111;height:110" type="#_x0000_t75" stroked="false">
              <v:imagedata r:id="rId75" o:title=""/>
            </v:shape>
            <v:shape style="position:absolute;left:6894;top:5977;width:110;height:110" type="#_x0000_t75" stroked="false">
              <v:imagedata r:id="rId70" o:title=""/>
            </v:shape>
            <v:shape style="position:absolute;left:7211;top:6030;width:110;height:110" type="#_x0000_t75" stroked="false">
              <v:imagedata r:id="rId70" o:title=""/>
            </v:shape>
            <v:shape style="position:absolute;left:7523;top:6073;width:110;height:110" type="#_x0000_t75" stroked="false">
              <v:imagedata r:id="rId70" o:title=""/>
            </v:shape>
            <v:shape style="position:absolute;left:7839;top:5987;width:110;height:110" type="#_x0000_t75" stroked="false">
              <v:imagedata r:id="rId73" o:title=""/>
            </v:shape>
            <v:shape style="position:absolute;left:8156;top:6059;width:110;height:110" type="#_x0000_t75" stroked="false">
              <v:imagedata r:id="rId70" o:title=""/>
            </v:shape>
            <v:shape style="position:absolute;left:8468;top:6069;width:110;height:110" type="#_x0000_t75" stroked="false">
              <v:imagedata r:id="rId70" o:title=""/>
            </v:shape>
            <v:shape style="position:absolute;left:8785;top:5997;width:110;height:110" type="#_x0000_t75" stroked="false">
              <v:imagedata r:id="rId70" o:title=""/>
            </v:shape>
            <v:shape style="position:absolute;left:9102;top:5949;width:110;height:110" type="#_x0000_t75" stroked="false">
              <v:imagedata r:id="rId72" o:title=""/>
            </v:shape>
            <v:shape style="position:absolute;left:9414;top:5944;width:110;height:110" type="#_x0000_t75" stroked="false">
              <v:imagedata r:id="rId73" o:title=""/>
            </v:shape>
            <v:shape style="position:absolute;left:9731;top:6001;width:110;height:110" type="#_x0000_t75" stroked="false">
              <v:imagedata r:id="rId70" o:title=""/>
            </v:shape>
            <v:shape style="position:absolute;left:10047;top:6083;width:110;height:110" type="#_x0000_t75" stroked="false">
              <v:imagedata r:id="rId72" o:title=""/>
            </v:shape>
            <v:shape style="position:absolute;left:2536;top:1252;width:7564;height:1947" coordorigin="2536,1252" coordsize="7564,1947" path="m2536,1881l2851,2591,3168,1881,3480,1881,3797,1881,4114,3199,4426,1881,4742,2505,5059,1252,5371,2505,5688,1254,6005,1881,6317,1881,6634,3163,6950,1881,7262,1881,8842,1881,9154,2505,9470,2505,9782,2505,10100,1881e" filled="false" stroked="true" strokeweight="2.25pt" strokecolor="#a4a4a4">
              <v:path arrowok="t"/>
            </v:shape>
            <v:shape style="position:absolute;left:2483;top:1825;width:110;height:110" type="#_x0000_t75" stroked="false">
              <v:imagedata r:id="rId76" o:title=""/>
            </v:shape>
            <v:shape style="position:absolute;left:2799;top:2536;width:110;height:110" type="#_x0000_t75" stroked="false">
              <v:imagedata r:id="rId77" o:title=""/>
            </v:shape>
            <v:shape style="position:absolute;left:3111;top:1825;width:110;height:110" type="#_x0000_t75" stroked="false">
              <v:imagedata r:id="rId76" o:title=""/>
            </v:shape>
            <v:shape style="position:absolute;left:3428;top:1825;width:110;height:110" type="#_x0000_t75" stroked="false">
              <v:imagedata r:id="rId76" o:title=""/>
            </v:shape>
            <v:shape style="position:absolute;left:3740;top:1825;width:110;height:110" type="#_x0000_t75" stroked="false">
              <v:imagedata r:id="rId78" o:title=""/>
            </v:shape>
            <v:shape style="position:absolute;left:4057;top:3145;width:110;height:110" type="#_x0000_t75" stroked="false">
              <v:imagedata r:id="rId76" o:title=""/>
            </v:shape>
            <v:shape style="position:absolute;left:4374;top:1825;width:110;height:110" type="#_x0000_t75" stroked="false">
              <v:imagedata r:id="rId76" o:title=""/>
            </v:shape>
            <v:shape style="position:absolute;left:4686;top:2449;width:110;height:110" type="#_x0000_t75" stroked="false">
              <v:imagedata r:id="rId79" o:title=""/>
            </v:shape>
            <v:shape style="position:absolute;left:5003;top:1201;width:110;height:110" type="#_x0000_t75" stroked="false">
              <v:imagedata r:id="rId77" o:title=""/>
            </v:shape>
            <v:shape style="position:absolute;left:5319;top:2449;width:110;height:110" type="#_x0000_t75" stroked="false">
              <v:imagedata r:id="rId77" o:title=""/>
            </v:shape>
            <v:shape style="position:absolute;left:5631;top:1201;width:111;height:110" type="#_x0000_t75" stroked="false">
              <v:imagedata r:id="rId80" o:title=""/>
            </v:shape>
            <v:shape style="position:absolute;left:5948;top:1825;width:110;height:110" type="#_x0000_t75" stroked="false">
              <v:imagedata r:id="rId76" o:title=""/>
            </v:shape>
            <v:shape style="position:absolute;left:6265;top:1825;width:110;height:110" type="#_x0000_t75" stroked="false">
              <v:imagedata r:id="rId76" o:title=""/>
            </v:shape>
            <v:shape style="position:absolute;left:6577;top:3112;width:111;height:110" type="#_x0000_t75" stroked="false">
              <v:imagedata r:id="rId80" o:title=""/>
            </v:shape>
            <v:shape style="position:absolute;left:6894;top:1825;width:110;height:110" type="#_x0000_t75" stroked="false">
              <v:imagedata r:id="rId76" o:title=""/>
            </v:shape>
            <v:shape style="position:absolute;left:7211;top:1825;width:110;height:110" type="#_x0000_t75" stroked="false">
              <v:imagedata r:id="rId76" o:title=""/>
            </v:shape>
            <v:shape style="position:absolute;left:7523;top:1825;width:110;height:110" type="#_x0000_t75" stroked="false">
              <v:imagedata r:id="rId76" o:title=""/>
            </v:shape>
            <v:shape style="position:absolute;left:7839;top:1825;width:110;height:110" type="#_x0000_t75" stroked="false">
              <v:imagedata r:id="rId76" o:title=""/>
            </v:shape>
            <v:shape style="position:absolute;left:8156;top:1825;width:110;height:110" type="#_x0000_t75" stroked="false">
              <v:imagedata r:id="rId76" o:title=""/>
            </v:shape>
            <v:shape style="position:absolute;left:8468;top:1825;width:110;height:110" type="#_x0000_t75" stroked="false">
              <v:imagedata r:id="rId76" o:title=""/>
            </v:shape>
            <v:shape style="position:absolute;left:8785;top:1825;width:110;height:110" type="#_x0000_t75" stroked="false">
              <v:imagedata r:id="rId76" o:title=""/>
            </v:shape>
            <v:shape style="position:absolute;left:9102;top:2449;width:110;height:110" type="#_x0000_t75" stroked="false">
              <v:imagedata r:id="rId79" o:title=""/>
            </v:shape>
            <v:shape style="position:absolute;left:9414;top:2449;width:110;height:110" type="#_x0000_t75" stroked="false">
              <v:imagedata r:id="rId77" o:title=""/>
            </v:shape>
            <v:shape style="position:absolute;left:9731;top:2449;width:110;height:110" type="#_x0000_t75" stroked="false">
              <v:imagedata r:id="rId77" o:title=""/>
            </v:shape>
            <v:shape style="position:absolute;left:10047;top:1825;width:110;height:110" type="#_x0000_t75" stroked="false">
              <v:imagedata r:id="rId78" o:title=""/>
            </v:shape>
            <v:shape style="position:absolute;left:2874;top:7122;width:429;height:111" type="#_x0000_t75" stroked="false">
              <v:imagedata r:id="rId81" o:title=""/>
            </v:shape>
            <v:shape style="position:absolute;left:6160;top:7122;width:429;height:111" type="#_x0000_t75" stroked="false">
              <v:imagedata r:id="rId82" o:title=""/>
            </v:shape>
            <v:shape style="position:absolute;left:2874;top:7458;width:429;height:111" type="#_x0000_t75" stroked="false">
              <v:imagedata r:id="rId83" o:title=""/>
            </v:shape>
            <v:rect style="position:absolute;left:1763;top:333;width:8715;height:7440" filled="false" stroked="true" strokeweight=".75pt" strokecolor="#d9d9d9"/>
            <v:shape style="position:absolute;left:1893;top:470;width:319;height:183" type="#_x0000_t202" filled="false" stroked="false">
              <v:textbox inset="0,0,0,0">
                <w:txbxContent>
                  <w:p>
                    <w:pPr>
                      <w:spacing w:line="182" w:lineRule="exact" w:before="0"/>
                      <w:ind w:left="0" w:right="-13" w:firstLine="0"/>
                      <w:jc w:val="left"/>
                      <w:rPr>
                        <w:rFonts w:ascii="Calibri"/>
                        <w:sz w:val="18"/>
                      </w:rPr>
                    </w:pPr>
                    <w:r>
                      <w:rPr>
                        <w:rFonts w:ascii="Calibri"/>
                        <w:color w:val="585858"/>
                        <w:spacing w:val="-2"/>
                        <w:sz w:val="18"/>
                      </w:rPr>
                      <w:t>70.0</w:t>
                    </w:r>
                  </w:p>
                </w:txbxContent>
              </v:textbox>
              <w10:wrap type="none"/>
            </v:shape>
            <v:shape style="position:absolute;left:1893;top:1326;width:319;height:183" type="#_x0000_t202" filled="false" stroked="false">
              <v:textbox inset="0,0,0,0">
                <w:txbxContent>
                  <w:p>
                    <w:pPr>
                      <w:spacing w:line="182" w:lineRule="exact" w:before="0"/>
                      <w:ind w:left="0" w:right="-13" w:firstLine="0"/>
                      <w:jc w:val="left"/>
                      <w:rPr>
                        <w:rFonts w:ascii="Calibri"/>
                        <w:sz w:val="18"/>
                      </w:rPr>
                    </w:pPr>
                    <w:r>
                      <w:rPr>
                        <w:rFonts w:ascii="Calibri"/>
                        <w:color w:val="585858"/>
                        <w:spacing w:val="-2"/>
                        <w:sz w:val="18"/>
                      </w:rPr>
                      <w:t>60.0</w:t>
                    </w:r>
                  </w:p>
                </w:txbxContent>
              </v:textbox>
              <w10:wrap type="none"/>
            </v:shape>
            <v:shape style="position:absolute;left:4896;top:1431;width:1002;height:184" type="#_x0000_t202" filled="false" stroked="false">
              <v:textbox inset="0,0,0,0">
                <w:txbxContent>
                  <w:p>
                    <w:pPr>
                      <w:tabs>
                        <w:tab w:pos="587" w:val="left" w:leader="none"/>
                      </w:tabs>
                      <w:spacing w:line="183" w:lineRule="exact" w:before="0"/>
                      <w:ind w:left="0" w:right="0" w:firstLine="0"/>
                      <w:jc w:val="left"/>
                      <w:rPr>
                        <w:rFonts w:ascii="Calibri"/>
                        <w:sz w:val="18"/>
                      </w:rPr>
                    </w:pPr>
                    <w:r>
                      <w:rPr>
                        <w:rFonts w:ascii="Calibri"/>
                        <w:color w:val="404040"/>
                        <w:sz w:val="18"/>
                      </w:rPr>
                      <w:t>61.8</w:t>
                      <w:tab/>
                    </w:r>
                    <w:r>
                      <w:rPr>
                        <w:rFonts w:ascii="Calibri"/>
                        <w:color w:val="404040"/>
                        <w:spacing w:val="-1"/>
                        <w:sz w:val="18"/>
                      </w:rPr>
                      <w:t>61.81</w:t>
                    </w:r>
                  </w:p>
                </w:txbxContent>
              </v:textbox>
              <w10:wrap type="none"/>
            </v:shape>
            <v:shape style="position:absolute;left:1893;top:2182;width:319;height:183" type="#_x0000_t202" filled="false" stroked="false">
              <v:textbox inset="0,0,0,0">
                <w:txbxContent>
                  <w:p>
                    <w:pPr>
                      <w:spacing w:line="182" w:lineRule="exact" w:before="0"/>
                      <w:ind w:left="0" w:right="-13" w:firstLine="0"/>
                      <w:jc w:val="left"/>
                      <w:rPr>
                        <w:rFonts w:ascii="Calibri"/>
                        <w:sz w:val="18"/>
                      </w:rPr>
                    </w:pPr>
                    <w:r>
                      <w:rPr>
                        <w:rFonts w:ascii="Calibri"/>
                        <w:color w:val="585858"/>
                        <w:spacing w:val="-2"/>
                        <w:sz w:val="18"/>
                      </w:rPr>
                      <w:t>50.0</w:t>
                    </w:r>
                  </w:p>
                </w:txbxContent>
              </v:textbox>
              <w10:wrap type="none"/>
            </v:shape>
            <v:shape style="position:absolute;left:2374;top:2057;width:2215;height:183" type="#_x0000_t202" filled="false" stroked="false">
              <v:textbox inset="0,0,0,0">
                <w:txbxContent>
                  <w:p>
                    <w:pPr>
                      <w:tabs>
                        <w:tab w:pos="630" w:val="left" w:leader="none"/>
                        <w:tab w:pos="1891" w:val="left" w:leader="none"/>
                      </w:tabs>
                      <w:spacing w:line="182" w:lineRule="exact" w:before="0"/>
                      <w:ind w:left="0" w:right="0" w:firstLine="0"/>
                      <w:jc w:val="left"/>
                      <w:rPr>
                        <w:rFonts w:ascii="Calibri"/>
                        <w:sz w:val="18"/>
                      </w:rPr>
                    </w:pPr>
                    <w:r>
                      <w:rPr>
                        <w:rFonts w:ascii="Calibri"/>
                        <w:color w:val="404040"/>
                        <w:sz w:val="18"/>
                      </w:rPr>
                      <w:t>54.5</w:t>
                      <w:tab/>
                      <w:t>54.554.554.5</w:t>
                      <w:tab/>
                    </w:r>
                    <w:r>
                      <w:rPr>
                        <w:rFonts w:ascii="Calibri"/>
                        <w:color w:val="404040"/>
                        <w:spacing w:val="-1"/>
                        <w:sz w:val="18"/>
                      </w:rPr>
                      <w:t>54.5</w:t>
                    </w:r>
                  </w:p>
                </w:txbxContent>
              </v:textbox>
              <w10:wrap type="none"/>
            </v:shape>
            <v:shape style="position:absolute;left:5842;top:2057;width:3161;height:183" type="#_x0000_t202" filled="false" stroked="false">
              <v:textbox inset="0,0,0,0">
                <w:txbxContent>
                  <w:p>
                    <w:pPr>
                      <w:tabs>
                        <w:tab w:pos="945" w:val="left" w:leader="none"/>
                      </w:tabs>
                      <w:spacing w:line="182" w:lineRule="exact" w:before="0"/>
                      <w:ind w:left="0" w:right="0" w:firstLine="0"/>
                      <w:jc w:val="left"/>
                      <w:rPr>
                        <w:rFonts w:ascii="Calibri"/>
                        <w:sz w:val="18"/>
                      </w:rPr>
                    </w:pPr>
                    <w:r>
                      <w:rPr>
                        <w:rFonts w:ascii="Calibri"/>
                        <w:color w:val="404040"/>
                        <w:sz w:val="18"/>
                      </w:rPr>
                      <w:t>54.554.5</w:t>
                      <w:tab/>
                    </w:r>
                    <w:r>
                      <w:rPr>
                        <w:rFonts w:ascii="Calibri"/>
                        <w:color w:val="404040"/>
                        <w:spacing w:val="-3"/>
                        <w:sz w:val="18"/>
                      </w:rPr>
                      <w:t>54.554.554.554.554.554.554.5</w:t>
                    </w:r>
                  </w:p>
                </w:txbxContent>
              </v:textbox>
              <w10:wrap type="none"/>
            </v:shape>
            <v:shape style="position:absolute;left:9940;top:2057;width:323;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54.5</w:t>
                    </w:r>
                  </w:p>
                </w:txbxContent>
              </v:textbox>
              <w10:wrap type="none"/>
            </v:shape>
            <v:shape style="position:absolute;left:2646;top:2769;width:414;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46.19</w:t>
                    </w:r>
                  </w:p>
                </w:txbxContent>
              </v:textbox>
              <w10:wrap type="none"/>
            </v:shape>
            <v:shape style="position:absolute;left:4537;top:2682;width:1045;height:183" type="#_x0000_t202" filled="false" stroked="false">
              <v:textbox inset="0,0,0,0">
                <w:txbxContent>
                  <w:p>
                    <w:pPr>
                      <w:tabs>
                        <w:tab w:pos="630" w:val="left" w:leader="none"/>
                      </w:tabs>
                      <w:spacing w:line="183" w:lineRule="exact" w:before="0"/>
                      <w:ind w:left="0" w:right="0" w:firstLine="0"/>
                      <w:jc w:val="left"/>
                      <w:rPr>
                        <w:rFonts w:ascii="Calibri"/>
                        <w:sz w:val="18"/>
                      </w:rPr>
                    </w:pPr>
                    <w:r>
                      <w:rPr>
                        <w:rFonts w:ascii="Calibri"/>
                        <w:color w:val="404040"/>
                        <w:sz w:val="18"/>
                      </w:rPr>
                      <w:t>47.19</w:t>
                      <w:tab/>
                    </w:r>
                    <w:r>
                      <w:rPr>
                        <w:rFonts w:ascii="Calibri"/>
                        <w:color w:val="404040"/>
                        <w:spacing w:val="-1"/>
                        <w:sz w:val="18"/>
                      </w:rPr>
                      <w:t>47.19</w:t>
                    </w:r>
                  </w:p>
                </w:txbxContent>
              </v:textbox>
              <w10:wrap type="none"/>
            </v:shape>
            <v:shape style="position:absolute;left:8951;top:2682;width:1045;height:183" type="#_x0000_t202" filled="false" stroked="false">
              <v:textbox inset="0,0,0,0">
                <w:txbxContent>
                  <w:p>
                    <w:pPr>
                      <w:spacing w:line="183" w:lineRule="exact" w:before="0"/>
                      <w:ind w:left="0" w:right="-13" w:firstLine="0"/>
                      <w:jc w:val="left"/>
                      <w:rPr>
                        <w:rFonts w:ascii="Calibri"/>
                        <w:sz w:val="18"/>
                      </w:rPr>
                    </w:pPr>
                    <w:r>
                      <w:rPr>
                        <w:rFonts w:ascii="Calibri"/>
                        <w:color w:val="404040"/>
                        <w:spacing w:val="-2"/>
                        <w:w w:val="101"/>
                        <w:sz w:val="18"/>
                      </w:rPr>
                      <w:t>47</w:t>
                    </w:r>
                    <w:r>
                      <w:rPr>
                        <w:rFonts w:ascii="Calibri"/>
                        <w:color w:val="404040"/>
                        <w:spacing w:val="1"/>
                        <w:w w:val="101"/>
                        <w:sz w:val="18"/>
                      </w:rPr>
                      <w:t>.</w:t>
                    </w:r>
                    <w:r>
                      <w:rPr>
                        <w:rFonts w:ascii="Calibri"/>
                        <w:color w:val="404040"/>
                        <w:spacing w:val="-8"/>
                        <w:w w:val="101"/>
                        <w:sz w:val="18"/>
                      </w:rPr>
                      <w:t>1</w:t>
                    </w:r>
                    <w:r>
                      <w:rPr>
                        <w:rFonts w:ascii="Calibri"/>
                        <w:color w:val="404040"/>
                        <w:spacing w:val="-87"/>
                        <w:w w:val="101"/>
                        <w:sz w:val="18"/>
                      </w:rPr>
                      <w:t>4</w:t>
                    </w:r>
                    <w:r>
                      <w:rPr>
                        <w:rFonts w:ascii="Calibri"/>
                        <w:color w:val="404040"/>
                        <w:spacing w:val="-8"/>
                        <w:w w:val="101"/>
                        <w:sz w:val="18"/>
                      </w:rPr>
                      <w:t>9</w:t>
                    </w:r>
                    <w:r>
                      <w:rPr>
                        <w:rFonts w:ascii="Calibri"/>
                        <w:color w:val="404040"/>
                        <w:spacing w:val="-2"/>
                        <w:w w:val="101"/>
                        <w:sz w:val="18"/>
                      </w:rPr>
                      <w:t>7</w:t>
                    </w:r>
                    <w:r>
                      <w:rPr>
                        <w:rFonts w:ascii="Calibri"/>
                        <w:color w:val="404040"/>
                        <w:spacing w:val="1"/>
                        <w:w w:val="101"/>
                        <w:sz w:val="18"/>
                      </w:rPr>
                      <w:t>.</w:t>
                    </w:r>
                    <w:r>
                      <w:rPr>
                        <w:rFonts w:ascii="Calibri"/>
                        <w:color w:val="404040"/>
                        <w:spacing w:val="-8"/>
                        <w:w w:val="101"/>
                        <w:sz w:val="18"/>
                      </w:rPr>
                      <w:t>1</w:t>
                    </w:r>
                    <w:r>
                      <w:rPr>
                        <w:rFonts w:ascii="Calibri"/>
                        <w:color w:val="404040"/>
                        <w:spacing w:val="-87"/>
                        <w:w w:val="101"/>
                        <w:sz w:val="18"/>
                      </w:rPr>
                      <w:t>4</w:t>
                    </w:r>
                    <w:r>
                      <w:rPr>
                        <w:rFonts w:ascii="Calibri"/>
                        <w:color w:val="404040"/>
                        <w:spacing w:val="-8"/>
                        <w:w w:val="101"/>
                        <w:sz w:val="18"/>
                      </w:rPr>
                      <w:t>9</w:t>
                    </w:r>
                    <w:r>
                      <w:rPr>
                        <w:rFonts w:ascii="Calibri"/>
                        <w:color w:val="404040"/>
                        <w:spacing w:val="-2"/>
                        <w:w w:val="101"/>
                        <w:sz w:val="18"/>
                      </w:rPr>
                      <w:t>7</w:t>
                    </w:r>
                    <w:r>
                      <w:rPr>
                        <w:rFonts w:ascii="Calibri"/>
                        <w:color w:val="404040"/>
                        <w:spacing w:val="1"/>
                        <w:w w:val="101"/>
                        <w:sz w:val="18"/>
                      </w:rPr>
                      <w:t>.</w:t>
                    </w:r>
                    <w:r>
                      <w:rPr>
                        <w:rFonts w:ascii="Calibri"/>
                        <w:color w:val="404040"/>
                        <w:spacing w:val="-2"/>
                        <w:w w:val="101"/>
                        <w:sz w:val="18"/>
                      </w:rPr>
                      <w:t>1</w:t>
                    </w:r>
                    <w:r>
                      <w:rPr>
                        <w:rFonts w:ascii="Calibri"/>
                        <w:color w:val="404040"/>
                        <w:w w:val="101"/>
                        <w:sz w:val="18"/>
                      </w:rPr>
                      <w:t>9</w:t>
                    </w:r>
                  </w:p>
                </w:txbxContent>
              </v:textbox>
              <w10:wrap type="none"/>
            </v:shape>
            <v:shape style="position:absolute;left:1893;top:3038;width:319;height:183" type="#_x0000_t202" filled="false" stroked="false">
              <v:textbox inset="0,0,0,0">
                <w:txbxContent>
                  <w:p>
                    <w:pPr>
                      <w:spacing w:line="183" w:lineRule="exact" w:before="0"/>
                      <w:ind w:left="0" w:right="-13" w:firstLine="0"/>
                      <w:jc w:val="left"/>
                      <w:rPr>
                        <w:rFonts w:ascii="Calibri"/>
                        <w:sz w:val="18"/>
                      </w:rPr>
                    </w:pPr>
                    <w:r>
                      <w:rPr>
                        <w:rFonts w:ascii="Calibri"/>
                        <w:color w:val="585858"/>
                        <w:spacing w:val="-2"/>
                        <w:sz w:val="18"/>
                      </w:rPr>
                      <w:t>40.0</w:t>
                    </w:r>
                  </w:p>
                </w:txbxContent>
              </v:textbox>
              <w10:wrap type="none"/>
            </v:shape>
            <v:shape style="position:absolute;left:3907;top:3377;width:414;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39.08</w:t>
                    </w:r>
                  </w:p>
                </w:txbxContent>
              </v:textbox>
              <w10:wrap type="none"/>
            </v:shape>
            <v:shape style="position:absolute;left:6472;top:3341;width:323;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39.5</w:t>
                    </w:r>
                  </w:p>
                </w:txbxContent>
              </v:textbox>
              <w10:wrap type="none"/>
            </v:shape>
            <v:shape style="position:absolute;left:1893;top:3895;width:319;height:183" type="#_x0000_t202" filled="false" stroked="false">
              <v:textbox inset="0,0,0,0">
                <w:txbxContent>
                  <w:p>
                    <w:pPr>
                      <w:spacing w:line="182" w:lineRule="exact" w:before="0"/>
                      <w:ind w:left="0" w:right="-13" w:firstLine="0"/>
                      <w:jc w:val="left"/>
                      <w:rPr>
                        <w:rFonts w:ascii="Calibri"/>
                        <w:sz w:val="18"/>
                      </w:rPr>
                    </w:pPr>
                    <w:r>
                      <w:rPr>
                        <w:rFonts w:ascii="Calibri"/>
                        <w:color w:val="585858"/>
                        <w:spacing w:val="-2"/>
                        <w:sz w:val="18"/>
                      </w:rPr>
                      <w:t>30.0</w:t>
                    </w:r>
                  </w:p>
                </w:txbxContent>
              </v:textbox>
              <w10:wrap type="none"/>
            </v:shape>
            <v:shape style="position:absolute;left:2374;top:4041;width:323;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31.3</w:t>
                    </w:r>
                  </w:p>
                </w:txbxContent>
              </v:textbox>
              <w10:wrap type="none"/>
            </v:shape>
            <v:shape style="position:absolute;left:3950;top:4193;width:639;height:198" type="#_x0000_t202" filled="false" stroked="false">
              <v:textbox inset="0,0,0,0">
                <w:txbxContent>
                  <w:p>
                    <w:pPr>
                      <w:spacing w:line="198" w:lineRule="exact" w:before="0"/>
                      <w:ind w:left="0" w:right="-20" w:firstLine="0"/>
                      <w:jc w:val="left"/>
                      <w:rPr>
                        <w:rFonts w:ascii="Calibri"/>
                        <w:sz w:val="18"/>
                      </w:rPr>
                    </w:pPr>
                    <w:r>
                      <w:rPr>
                        <w:rFonts w:ascii="Calibri"/>
                        <w:color w:val="404040"/>
                        <w:position w:val="2"/>
                        <w:sz w:val="18"/>
                      </w:rPr>
                      <w:t>29.6</w:t>
                    </w:r>
                    <w:r>
                      <w:rPr>
                        <w:rFonts w:ascii="Calibri"/>
                        <w:color w:val="404040"/>
                        <w:sz w:val="18"/>
                      </w:rPr>
                      <w:t>29.4</w:t>
                    </w:r>
                  </w:p>
                </w:txbxContent>
              </v:textbox>
              <w10:wrap type="none"/>
            </v:shape>
            <v:shape style="position:absolute;left:6788;top:3923;width:638;height:468" type="#_x0000_t202" filled="false" stroked="false">
              <v:textbox inset="0,0,0,0">
                <w:txbxContent>
                  <w:p>
                    <w:pPr>
                      <w:spacing w:line="185" w:lineRule="exact" w:before="0"/>
                      <w:ind w:left="0" w:right="-17" w:firstLine="0"/>
                      <w:jc w:val="left"/>
                      <w:rPr>
                        <w:rFonts w:ascii="Calibri"/>
                        <w:sz w:val="18"/>
                      </w:rPr>
                    </w:pPr>
                    <w:r>
                      <w:rPr>
                        <w:rFonts w:ascii="Calibri"/>
                        <w:color w:val="404040"/>
                        <w:sz w:val="18"/>
                      </w:rPr>
                      <w:t>32.7</w:t>
                    </w:r>
                  </w:p>
                  <w:p>
                    <w:pPr>
                      <w:spacing w:line="217" w:lineRule="exact" w:before="65"/>
                      <w:ind w:left="315" w:right="-17" w:firstLine="0"/>
                      <w:jc w:val="left"/>
                      <w:rPr>
                        <w:rFonts w:ascii="Calibri"/>
                        <w:sz w:val="18"/>
                      </w:rPr>
                    </w:pPr>
                    <w:r>
                      <w:rPr>
                        <w:rFonts w:ascii="Calibri"/>
                        <w:color w:val="404040"/>
                        <w:sz w:val="18"/>
                      </w:rPr>
                      <w:t>29.4</w:t>
                    </w:r>
                  </w:p>
                </w:txbxContent>
              </v:textbox>
              <w10:wrap type="none"/>
            </v:shape>
            <v:shape style="position:absolute;left:7733;top:3990;width:323;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31.9</w:t>
                    </w:r>
                  </w:p>
                </w:txbxContent>
              </v:textbox>
              <w10:wrap type="none"/>
            </v:shape>
            <v:shape style="position:absolute;left:2689;top:4141;width:323;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30.2</w:t>
                    </w:r>
                  </w:p>
                </w:txbxContent>
              </v:textbox>
              <w10:wrap type="none"/>
            </v:shape>
            <v:shape style="position:absolute;left:8679;top:4024;width:323;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31.5</w:t>
                    </w:r>
                  </w:p>
                </w:txbxContent>
              </v:textbox>
              <w10:wrap type="none"/>
            </v:shape>
            <v:shape style="position:absolute;left:3004;top:4426;width:954;height:245" type="#_x0000_t202" filled="false" stroked="false">
              <v:textbox inset="0,0,0,0">
                <w:txbxContent>
                  <w:p>
                    <w:pPr>
                      <w:spacing w:line="245" w:lineRule="exact" w:before="0"/>
                      <w:ind w:left="0" w:right="0" w:firstLine="0"/>
                      <w:jc w:val="left"/>
                      <w:rPr>
                        <w:rFonts w:ascii="Calibri"/>
                        <w:sz w:val="18"/>
                      </w:rPr>
                    </w:pPr>
                    <w:r>
                      <w:rPr>
                        <w:rFonts w:ascii="Calibri"/>
                        <w:color w:val="404040"/>
                        <w:spacing w:val="-2"/>
                        <w:position w:val="2"/>
                        <w:sz w:val="18"/>
                      </w:rPr>
                      <w:t>26.8</w:t>
                    </w:r>
                    <w:r>
                      <w:rPr>
                        <w:rFonts w:ascii="Calibri"/>
                        <w:color w:val="404040"/>
                        <w:spacing w:val="-2"/>
                        <w:sz w:val="18"/>
                      </w:rPr>
                      <w:t>26.6</w:t>
                    </w:r>
                    <w:r>
                      <w:rPr>
                        <w:rFonts w:ascii="Calibri"/>
                        <w:color w:val="404040"/>
                        <w:spacing w:val="-2"/>
                        <w:position w:val="-4"/>
                        <w:sz w:val="18"/>
                      </w:rPr>
                      <w:t>26.1</w:t>
                    </w:r>
                  </w:p>
                </w:txbxContent>
              </v:textbox>
              <w10:wrap type="none"/>
            </v:shape>
            <v:shape style="position:absolute;left:5211;top:4152;width:1270;height:447" type="#_x0000_t202" filled="false" stroked="false">
              <v:textbox inset="0,0,0,0">
                <w:txbxContent>
                  <w:p>
                    <w:pPr>
                      <w:spacing w:line="242" w:lineRule="exact" w:before="0"/>
                      <w:ind w:left="0" w:right="0" w:firstLine="0"/>
                      <w:jc w:val="left"/>
                      <w:rPr>
                        <w:rFonts w:ascii="Calibri"/>
                        <w:sz w:val="18"/>
                      </w:rPr>
                    </w:pPr>
                    <w:r>
                      <w:rPr>
                        <w:rFonts w:ascii="Calibri"/>
                        <w:color w:val="404040"/>
                        <w:sz w:val="18"/>
                      </w:rPr>
                      <w:t>30.0</w:t>
                    </w:r>
                    <w:r>
                      <w:rPr>
                        <w:rFonts w:ascii="Calibri"/>
                        <w:color w:val="404040"/>
                        <w:position w:val="-3"/>
                        <w:sz w:val="18"/>
                      </w:rPr>
                      <w:t>29.6</w:t>
                    </w:r>
                    <w:r>
                      <w:rPr>
                        <w:rFonts w:ascii="Calibri"/>
                        <w:color w:val="404040"/>
                        <w:position w:val="-6"/>
                        <w:sz w:val="18"/>
                      </w:rPr>
                      <w:t>29.2</w:t>
                    </w:r>
                  </w:p>
                  <w:p>
                    <w:pPr>
                      <w:spacing w:line="204" w:lineRule="exact" w:before="0"/>
                      <w:ind w:left="0" w:right="0" w:firstLine="0"/>
                      <w:jc w:val="right"/>
                      <w:rPr>
                        <w:rFonts w:ascii="Calibri"/>
                        <w:sz w:val="18"/>
                      </w:rPr>
                    </w:pPr>
                    <w:r>
                      <w:rPr>
                        <w:rFonts w:ascii="Calibri"/>
                        <w:color w:val="404040"/>
                        <w:sz w:val="18"/>
                      </w:rPr>
                      <w:t>27.0</w:t>
                    </w:r>
                  </w:p>
                </w:txbxContent>
              </v:textbox>
              <w10:wrap type="none"/>
            </v:shape>
            <v:shape style="position:absolute;left:8994;top:4141;width:639;height:216" type="#_x0000_t202" filled="false" stroked="false">
              <v:textbox inset="0,0,0,0">
                <w:txbxContent>
                  <w:p>
                    <w:pPr>
                      <w:spacing w:line="215" w:lineRule="exact" w:before="0"/>
                      <w:ind w:left="0" w:right="-20" w:firstLine="0"/>
                      <w:jc w:val="left"/>
                      <w:rPr>
                        <w:rFonts w:ascii="Calibri"/>
                        <w:sz w:val="18"/>
                      </w:rPr>
                    </w:pPr>
                    <w:r>
                      <w:rPr>
                        <w:rFonts w:ascii="Calibri"/>
                        <w:color w:val="404040"/>
                        <w:position w:val="-2"/>
                        <w:sz w:val="18"/>
                      </w:rPr>
                      <w:t>29.8</w:t>
                    </w:r>
                    <w:r>
                      <w:rPr>
                        <w:rFonts w:ascii="Calibri"/>
                        <w:color w:val="404040"/>
                        <w:sz w:val="18"/>
                      </w:rPr>
                      <w:t>30.2</w:t>
                    </w:r>
                  </w:p>
                </w:txbxContent>
              </v:textbox>
              <w10:wrap type="none"/>
            </v:shape>
            <v:shape style="position:absolute;left:4581;top:4566;width:323;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25.2</w:t>
                    </w:r>
                  </w:p>
                </w:txbxContent>
              </v:textbox>
              <w10:wrap type="none"/>
            </v:shape>
            <v:shape style="position:absolute;left:7418;top:4442;width:323;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26.6</w:t>
                    </w:r>
                  </w:p>
                </w:txbxContent>
              </v:textbox>
              <w10:wrap type="none"/>
            </v:shape>
            <v:shape style="position:absolute;left:8049;top:4380;width:639;height:229" type="#_x0000_t202" filled="false" stroked="false">
              <v:textbox inset="0,0,0,0">
                <w:txbxContent>
                  <w:p>
                    <w:pPr>
                      <w:spacing w:line="229" w:lineRule="exact" w:before="0"/>
                      <w:ind w:left="0" w:right="-20" w:firstLine="0"/>
                      <w:jc w:val="left"/>
                      <w:rPr>
                        <w:rFonts w:ascii="Calibri"/>
                        <w:sz w:val="18"/>
                      </w:rPr>
                    </w:pPr>
                    <w:r>
                      <w:rPr>
                        <w:rFonts w:ascii="Calibri"/>
                        <w:color w:val="404040"/>
                        <w:sz w:val="18"/>
                      </w:rPr>
                      <w:t>27.4</w:t>
                    </w:r>
                    <w:r>
                      <w:rPr>
                        <w:rFonts w:ascii="Calibri"/>
                        <w:color w:val="404040"/>
                        <w:position w:val="-4"/>
                        <w:sz w:val="18"/>
                      </w:rPr>
                      <w:t>26.8</w:t>
                    </w:r>
                  </w:p>
                </w:txbxContent>
              </v:textbox>
              <w10:wrap type="none"/>
            </v:shape>
            <v:shape style="position:absolute;left:9625;top:4410;width:323;height:183" type="#_x0000_t202" filled="false" stroked="false">
              <v:textbox inset="0,0,0,0">
                <w:txbxContent>
                  <w:p>
                    <w:pPr>
                      <w:spacing w:line="183" w:lineRule="exact" w:before="0"/>
                      <w:ind w:left="0" w:right="-17" w:firstLine="0"/>
                      <w:jc w:val="left"/>
                      <w:rPr>
                        <w:rFonts w:ascii="Calibri"/>
                        <w:sz w:val="18"/>
                      </w:rPr>
                    </w:pPr>
                    <w:r>
                      <w:rPr>
                        <w:rFonts w:ascii="Calibri"/>
                        <w:color w:val="404040"/>
                        <w:sz w:val="18"/>
                      </w:rPr>
                      <w:t>27.0</w:t>
                    </w:r>
                  </w:p>
                </w:txbxContent>
              </v:textbox>
              <w10:wrap type="none"/>
            </v:shape>
            <v:shape style="position:absolute;left:9940;top:4504;width:323;height:183" type="#_x0000_t202" filled="false" stroked="false">
              <v:textbox inset="0,0,0,0">
                <w:txbxContent>
                  <w:p>
                    <w:pPr>
                      <w:spacing w:line="182" w:lineRule="exact" w:before="0"/>
                      <w:ind w:left="0" w:right="-17" w:firstLine="0"/>
                      <w:jc w:val="left"/>
                      <w:rPr>
                        <w:rFonts w:ascii="Calibri"/>
                        <w:sz w:val="18"/>
                      </w:rPr>
                    </w:pPr>
                    <w:r>
                      <w:rPr>
                        <w:rFonts w:ascii="Calibri"/>
                        <w:color w:val="404040"/>
                        <w:sz w:val="18"/>
                      </w:rPr>
                      <w:t>25.9</w:t>
                    </w:r>
                  </w:p>
                </w:txbxContent>
              </v:textbox>
              <w10:wrap type="none"/>
            </v:shape>
            <v:shape style="position:absolute;left:1893;top:4751;width:319;height:183" type="#_x0000_t202" filled="false" stroked="false">
              <v:textbox inset="0,0,0,0">
                <w:txbxContent>
                  <w:p>
                    <w:pPr>
                      <w:spacing w:line="182" w:lineRule="exact" w:before="0"/>
                      <w:ind w:left="0" w:right="-13" w:firstLine="0"/>
                      <w:jc w:val="left"/>
                      <w:rPr>
                        <w:rFonts w:ascii="Calibri"/>
                        <w:sz w:val="18"/>
                      </w:rPr>
                    </w:pPr>
                    <w:r>
                      <w:rPr>
                        <w:rFonts w:ascii="Calibri"/>
                        <w:color w:val="585858"/>
                        <w:spacing w:val="-2"/>
                        <w:sz w:val="18"/>
                      </w:rPr>
                      <w:t>20.0</w:t>
                    </w:r>
                  </w:p>
                </w:txbxContent>
              </v:textbox>
              <w10:wrap type="none"/>
            </v:shape>
            <v:shape style="position:absolute;left:6472;top:4613;width:323;height:183" type="#_x0000_t202" filled="false" stroked="false">
              <v:textbox inset="0,0,0,0">
                <w:txbxContent>
                  <w:p>
                    <w:pPr>
                      <w:spacing w:line="183" w:lineRule="exact" w:before="0"/>
                      <w:ind w:left="0" w:right="-17" w:firstLine="0"/>
                      <w:jc w:val="left"/>
                      <w:rPr>
                        <w:rFonts w:ascii="Calibri"/>
                        <w:sz w:val="18"/>
                      </w:rPr>
                    </w:pPr>
                    <w:r>
                      <w:rPr>
                        <w:rFonts w:ascii="Calibri"/>
                        <w:color w:val="404040"/>
                        <w:sz w:val="18"/>
                      </w:rPr>
                      <w:t>24.6</w:t>
                    </w:r>
                  </w:p>
                </w:txbxContent>
              </v:textbox>
              <w10:wrap type="none"/>
            </v:shape>
            <v:shape style="position:absolute;left:4896;top:4757;width:325;height:183" type="#_x0000_t202" filled="false" stroked="false">
              <v:textbox inset="0,0,0,0">
                <w:txbxContent>
                  <w:p>
                    <w:pPr>
                      <w:spacing w:line="182" w:lineRule="exact" w:before="0"/>
                      <w:ind w:left="0" w:right="-15" w:firstLine="0"/>
                      <w:jc w:val="left"/>
                      <w:rPr>
                        <w:rFonts w:ascii="Calibri"/>
                        <w:sz w:val="18"/>
                      </w:rPr>
                    </w:pPr>
                    <w:r>
                      <w:rPr>
                        <w:rFonts w:ascii="Calibri"/>
                        <w:color w:val="404040"/>
                        <w:sz w:val="18"/>
                      </w:rPr>
                      <w:t>23.0</w:t>
                    </w:r>
                  </w:p>
                </w:txbxContent>
              </v:textbox>
              <w10:wrap type="none"/>
            </v:shape>
            <v:shape style="position:absolute;left:1893;top:5607;width:319;height:183" type="#_x0000_t202" filled="false" stroked="false">
              <v:textbox inset="0,0,0,0">
                <w:txbxContent>
                  <w:p>
                    <w:pPr>
                      <w:spacing w:line="182" w:lineRule="exact" w:before="0"/>
                      <w:ind w:left="0" w:right="-13" w:firstLine="0"/>
                      <w:jc w:val="left"/>
                      <w:rPr>
                        <w:rFonts w:ascii="Calibri"/>
                        <w:sz w:val="18"/>
                      </w:rPr>
                    </w:pPr>
                    <w:r>
                      <w:rPr>
                        <w:rFonts w:ascii="Calibri"/>
                        <w:color w:val="585858"/>
                        <w:spacing w:val="-2"/>
                        <w:sz w:val="18"/>
                      </w:rPr>
                      <w:t>10.0</w:t>
                    </w:r>
                  </w:p>
                </w:txbxContent>
              </v:textbox>
              <w10:wrap type="none"/>
            </v:shape>
            <v:shape style="position:absolute;left:2422;top:5663;width:1493;height:333" type="#_x0000_t202" filled="false" stroked="false">
              <v:textbox inset="0,0,0,0">
                <w:txbxContent>
                  <w:p>
                    <w:pPr>
                      <w:spacing w:line="332" w:lineRule="exact" w:before="0"/>
                      <w:ind w:left="0" w:right="0" w:firstLine="0"/>
                      <w:jc w:val="left"/>
                      <w:rPr>
                        <w:rFonts w:ascii="Calibri"/>
                        <w:sz w:val="18"/>
                      </w:rPr>
                    </w:pPr>
                    <w:r>
                      <w:rPr>
                        <w:rFonts w:ascii="Calibri"/>
                        <w:color w:val="404040"/>
                        <w:position w:val="8"/>
                        <w:sz w:val="18"/>
                      </w:rPr>
                      <w:t>5.7  </w:t>
                    </w:r>
                    <w:r>
                      <w:rPr>
                        <w:rFonts w:ascii="Calibri"/>
                        <w:color w:val="404040"/>
                        <w:position w:val="15"/>
                        <w:sz w:val="18"/>
                      </w:rPr>
                      <w:t>6.5  </w:t>
                    </w:r>
                    <w:r>
                      <w:rPr>
                        <w:rFonts w:ascii="Calibri"/>
                        <w:color w:val="404040"/>
                        <w:position w:val="1"/>
                        <w:sz w:val="18"/>
                      </w:rPr>
                      <w:t>4.9  4.9  </w:t>
                    </w:r>
                    <w:r>
                      <w:rPr>
                        <w:rFonts w:ascii="Calibri"/>
                        <w:color w:val="404040"/>
                        <w:sz w:val="18"/>
                      </w:rPr>
                      <w:t>4.8</w:t>
                    </w:r>
                  </w:p>
                </w:txbxContent>
              </v:textbox>
              <w10:wrap type="none"/>
            </v:shape>
            <v:shape style="position:absolute;left:3998;top:5576;width:23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7.6</w:t>
                    </w:r>
                  </w:p>
                </w:txbxContent>
              </v:textbox>
              <w10:wrap type="none"/>
            </v:shape>
            <v:shape style="position:absolute;left:4313;top:5762;width:548;height:187" type="#_x0000_t202" filled="false" stroked="false">
              <v:textbox inset="0,0,0,0">
                <w:txbxContent>
                  <w:p>
                    <w:pPr>
                      <w:spacing w:line="186" w:lineRule="exact" w:before="0"/>
                      <w:ind w:left="0" w:right="-10" w:firstLine="0"/>
                      <w:jc w:val="left"/>
                      <w:rPr>
                        <w:rFonts w:ascii="Calibri"/>
                        <w:sz w:val="18"/>
                      </w:rPr>
                    </w:pPr>
                    <w:r>
                      <w:rPr>
                        <w:rFonts w:ascii="Calibri"/>
                        <w:color w:val="404040"/>
                        <w:sz w:val="18"/>
                      </w:rPr>
                      <w:t>5.4  5.3</w:t>
                    </w:r>
                  </w:p>
                </w:txbxContent>
              </v:textbox>
              <w10:wrap type="none"/>
            </v:shape>
            <v:shape style="position:absolute;left:4944;top:5905;width:232;height:183" type="#_x0000_t202" filled="false" stroked="false">
              <v:textbox inset="0,0,0,0">
                <w:txbxContent>
                  <w:p>
                    <w:pPr>
                      <w:spacing w:line="182" w:lineRule="exact" w:before="0"/>
                      <w:ind w:left="0" w:right="-16" w:firstLine="0"/>
                      <w:jc w:val="left"/>
                      <w:rPr>
                        <w:rFonts w:ascii="Calibri"/>
                        <w:sz w:val="18"/>
                      </w:rPr>
                    </w:pPr>
                    <w:r>
                      <w:rPr>
                        <w:rFonts w:ascii="Calibri"/>
                        <w:color w:val="404040"/>
                        <w:sz w:val="18"/>
                      </w:rPr>
                      <w:t>3.7</w:t>
                    </w:r>
                  </w:p>
                </w:txbxContent>
              </v:textbox>
              <w10:wrap type="none"/>
            </v:shape>
            <v:shape style="position:absolute;left:5259;top:5676;width:4962;height:323" type="#_x0000_t202" filled="false" stroked="false">
              <v:textbox inset="0,0,0,0">
                <w:txbxContent>
                  <w:p>
                    <w:pPr>
                      <w:tabs>
                        <w:tab w:pos="1261" w:val="left" w:leader="none"/>
                        <w:tab w:pos="3783" w:val="left" w:leader="none"/>
                      </w:tabs>
                      <w:spacing w:line="142" w:lineRule="exact" w:before="0"/>
                      <w:ind w:left="0" w:right="0" w:firstLine="0"/>
                      <w:jc w:val="left"/>
                      <w:rPr>
                        <w:rFonts w:ascii="Calibri"/>
                        <w:sz w:val="18"/>
                      </w:rPr>
                    </w:pPr>
                    <w:r>
                      <w:rPr>
                        <w:rFonts w:ascii="Calibri"/>
                        <w:color w:val="404040"/>
                        <w:position w:val="1"/>
                        <w:sz w:val="18"/>
                      </w:rPr>
                      <w:t>6.4</w:t>
                      <w:tab/>
                    </w:r>
                    <w:r>
                      <w:rPr>
                        <w:rFonts w:ascii="Calibri"/>
                        <w:color w:val="404040"/>
                        <w:sz w:val="18"/>
                      </w:rPr>
                      <w:t>6.2 </w:t>
                    </w:r>
                    <w:r>
                      <w:rPr>
                        <w:rFonts w:ascii="Calibri"/>
                        <w:color w:val="404040"/>
                        <w:spacing w:val="3"/>
                        <w:sz w:val="18"/>
                      </w:rPr>
                      <w:t> </w:t>
                    </w:r>
                    <w:r>
                      <w:rPr>
                        <w:rFonts w:ascii="Calibri"/>
                        <w:color w:val="404040"/>
                        <w:position w:val="-1"/>
                        <w:sz w:val="18"/>
                      </w:rPr>
                      <w:t>6.0 </w:t>
                    </w:r>
                    <w:r>
                      <w:rPr>
                        <w:rFonts w:ascii="Calibri"/>
                        <w:color w:val="404040"/>
                        <w:spacing w:val="3"/>
                        <w:position w:val="-1"/>
                        <w:sz w:val="18"/>
                      </w:rPr>
                      <w:t> </w:t>
                    </w:r>
                    <w:r>
                      <w:rPr>
                        <w:rFonts w:ascii="Calibri"/>
                        <w:color w:val="404040"/>
                        <w:position w:val="-6"/>
                        <w:sz w:val="18"/>
                      </w:rPr>
                      <w:t>5.4</w:t>
                      <w:tab/>
                    </w:r>
                    <w:r>
                      <w:rPr>
                        <w:rFonts w:ascii="Calibri"/>
                        <w:color w:val="404040"/>
                        <w:position w:val="1"/>
                        <w:sz w:val="18"/>
                      </w:rPr>
                      <w:t>6.3 </w:t>
                    </w:r>
                    <w:r>
                      <w:rPr>
                        <w:rFonts w:ascii="Calibri"/>
                        <w:color w:val="404040"/>
                        <w:spacing w:val="6"/>
                        <w:position w:val="1"/>
                        <w:sz w:val="18"/>
                      </w:rPr>
                      <w:t> </w:t>
                    </w:r>
                    <w:r>
                      <w:rPr>
                        <w:rFonts w:ascii="Calibri"/>
                        <w:color w:val="404040"/>
                        <w:position w:val="1"/>
                        <w:sz w:val="18"/>
                      </w:rPr>
                      <w:t>6.4</w:t>
                    </w:r>
                  </w:p>
                  <w:p>
                    <w:pPr>
                      <w:tabs>
                        <w:tab w:pos="2207" w:val="left" w:leader="none"/>
                        <w:tab w:pos="4414" w:val="left" w:leader="none"/>
                      </w:tabs>
                      <w:spacing w:line="181" w:lineRule="exact" w:before="0"/>
                      <w:ind w:left="315" w:right="0" w:firstLine="0"/>
                      <w:jc w:val="left"/>
                      <w:rPr>
                        <w:rFonts w:ascii="Calibri"/>
                        <w:sz w:val="18"/>
                      </w:rPr>
                    </w:pPr>
                    <w:r>
                      <w:rPr>
                        <w:rFonts w:ascii="Calibri"/>
                        <w:color w:val="404040"/>
                        <w:sz w:val="18"/>
                      </w:rPr>
                      <w:t>4.8 </w:t>
                    </w:r>
                    <w:r>
                      <w:rPr>
                        <w:rFonts w:ascii="Calibri"/>
                        <w:color w:val="404040"/>
                        <w:spacing w:val="3"/>
                        <w:sz w:val="18"/>
                      </w:rPr>
                      <w:t> </w:t>
                    </w:r>
                    <w:r>
                      <w:rPr>
                        <w:rFonts w:ascii="Calibri"/>
                        <w:color w:val="404040"/>
                        <w:position w:val="5"/>
                        <w:sz w:val="18"/>
                      </w:rPr>
                      <w:t>5.4 </w:t>
                    </w:r>
                    <w:r>
                      <w:rPr>
                        <w:rFonts w:ascii="Calibri"/>
                        <w:color w:val="404040"/>
                        <w:spacing w:val="3"/>
                        <w:position w:val="5"/>
                        <w:sz w:val="18"/>
                      </w:rPr>
                      <w:t> </w:t>
                    </w:r>
                    <w:r>
                      <w:rPr>
                        <w:rFonts w:ascii="Calibri"/>
                        <w:color w:val="404040"/>
                        <w:position w:val="2"/>
                        <w:sz w:val="18"/>
                      </w:rPr>
                      <w:t>4.9</w:t>
                      <w:tab/>
                    </w:r>
                    <w:r>
                      <w:rPr>
                        <w:rFonts w:ascii="Calibri"/>
                        <w:color w:val="404040"/>
                        <w:position w:val="1"/>
                        <w:sz w:val="18"/>
                      </w:rPr>
                      <w:t>4.9  </w:t>
                    </w:r>
                    <w:r>
                      <w:rPr>
                        <w:rFonts w:ascii="Calibri"/>
                        <w:color w:val="404040"/>
                        <w:position w:val="9"/>
                        <w:sz w:val="18"/>
                      </w:rPr>
                      <w:t>5.9  </w:t>
                    </w:r>
                    <w:r>
                      <w:rPr>
                        <w:rFonts w:ascii="Calibri"/>
                        <w:color w:val="404040"/>
                        <w:position w:val="2"/>
                        <w:sz w:val="18"/>
                      </w:rPr>
                      <w:t>5.0 </w:t>
                    </w:r>
                    <w:r>
                      <w:rPr>
                        <w:rFonts w:ascii="Calibri"/>
                        <w:color w:val="404040"/>
                        <w:spacing w:val="11"/>
                        <w:position w:val="2"/>
                        <w:sz w:val="18"/>
                      </w:rPr>
                      <w:t> </w:t>
                    </w:r>
                    <w:r>
                      <w:rPr>
                        <w:rFonts w:ascii="Calibri"/>
                        <w:color w:val="404040"/>
                        <w:position w:val="1"/>
                        <w:sz w:val="18"/>
                      </w:rPr>
                      <w:t>4.9 </w:t>
                    </w:r>
                    <w:r>
                      <w:rPr>
                        <w:rFonts w:ascii="Calibri"/>
                        <w:color w:val="404040"/>
                        <w:spacing w:val="3"/>
                        <w:position w:val="1"/>
                        <w:sz w:val="18"/>
                      </w:rPr>
                      <w:t> </w:t>
                    </w:r>
                    <w:r>
                      <w:rPr>
                        <w:rFonts w:ascii="Calibri"/>
                        <w:color w:val="404040"/>
                        <w:position w:val="9"/>
                        <w:sz w:val="18"/>
                      </w:rPr>
                      <w:t>5.8</w:t>
                      <w:tab/>
                    </w:r>
                    <w:r>
                      <w:rPr>
                        <w:rFonts w:ascii="Calibri"/>
                        <w:color w:val="404040"/>
                        <w:position w:val="8"/>
                        <w:sz w:val="18"/>
                      </w:rPr>
                      <w:t>5.7 </w:t>
                    </w:r>
                    <w:r>
                      <w:rPr>
                        <w:rFonts w:ascii="Calibri"/>
                        <w:color w:val="404040"/>
                        <w:spacing w:val="6"/>
                        <w:position w:val="8"/>
                        <w:sz w:val="18"/>
                      </w:rPr>
                      <w:t> </w:t>
                    </w:r>
                    <w:r>
                      <w:rPr>
                        <w:rFonts w:ascii="Calibri"/>
                        <w:color w:val="404040"/>
                        <w:sz w:val="18"/>
                      </w:rPr>
                      <w:t>4.8</w:t>
                    </w:r>
                  </w:p>
                </w:txbxContent>
              </v:textbox>
              <w10:wrap type="none"/>
            </v:shape>
            <v:shape style="position:absolute;left:1984;top:6463;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0.0</w:t>
                    </w:r>
                  </w:p>
                </w:txbxContent>
              </v:textbox>
              <w10:wrap type="none"/>
            </v:shape>
            <v:shape style="position:absolute;left:2492;top:6697;width:7704;height:183" type="#_x0000_t202" filled="false" stroked="false">
              <v:textbox inset="0,0,0,0">
                <w:txbxContent>
                  <w:p>
                    <w:pPr>
                      <w:tabs>
                        <w:tab w:pos="314" w:val="left" w:leader="none"/>
                        <w:tab w:pos="630" w:val="left" w:leader="none"/>
                        <w:tab w:pos="945" w:val="left" w:leader="none"/>
                        <w:tab w:pos="1260" w:val="left" w:leader="none"/>
                        <w:tab w:pos="1576" w:val="left" w:leader="none"/>
                        <w:tab w:pos="1891" w:val="left" w:leader="none"/>
                        <w:tab w:pos="2206" w:val="left" w:leader="none"/>
                        <w:tab w:pos="2521" w:val="left" w:leader="none"/>
                      </w:tabs>
                      <w:spacing w:line="182" w:lineRule="exact" w:before="0"/>
                      <w:ind w:left="0" w:right="0" w:firstLine="0"/>
                      <w:jc w:val="left"/>
                      <w:rPr>
                        <w:rFonts w:ascii="Calibri"/>
                        <w:sz w:val="18"/>
                      </w:rPr>
                    </w:pPr>
                    <w:r>
                      <w:rPr>
                        <w:rFonts w:ascii="Calibri"/>
                        <w:color w:val="585858"/>
                        <w:sz w:val="18"/>
                      </w:rPr>
                      <w:t>1</w:t>
                      <w:tab/>
                      <w:t>2</w:t>
                      <w:tab/>
                      <w:t>3</w:t>
                      <w:tab/>
                      <w:t>4</w:t>
                      <w:tab/>
                      <w:t>5</w:t>
                      <w:tab/>
                      <w:t>6</w:t>
                      <w:tab/>
                      <w:t>7</w:t>
                      <w:tab/>
                      <w:t>8</w:t>
                      <w:tab/>
                      <w:t>9    10   11   12   13   14   15   16   17   18   19   20   21   22   23   24     </w:t>
                    </w:r>
                    <w:r>
                      <w:rPr>
                        <w:rFonts w:ascii="Calibri"/>
                        <w:color w:val="585858"/>
                        <w:spacing w:val="32"/>
                        <w:sz w:val="18"/>
                      </w:rPr>
                      <w:t> </w:t>
                    </w:r>
                    <w:r>
                      <w:rPr>
                        <w:rFonts w:ascii="Calibri"/>
                        <w:color w:val="585858"/>
                        <w:sz w:val="18"/>
                      </w:rPr>
                      <w:t>25</w:t>
                    </w:r>
                  </w:p>
                </w:txbxContent>
              </v:textbox>
              <w10:wrap type="none"/>
            </v:shape>
            <v:shape style="position:absolute;left:3323;top:7095;width:2823;height:521" type="#_x0000_t202" filled="false" stroked="false">
              <v:textbox inset="0,0,0,0">
                <w:txbxContent>
                  <w:p>
                    <w:pPr>
                      <w:spacing w:line="185" w:lineRule="exact" w:before="0"/>
                      <w:ind w:left="0" w:right="-3" w:firstLine="0"/>
                      <w:jc w:val="left"/>
                      <w:rPr>
                        <w:rFonts w:ascii="Calibri"/>
                        <w:sz w:val="18"/>
                      </w:rPr>
                    </w:pPr>
                    <w:r>
                      <w:rPr>
                        <w:rFonts w:ascii="Calibri"/>
                        <w:color w:val="585858"/>
                        <w:sz w:val="18"/>
                      </w:rPr>
                      <w:t>CONSUMO MIOCARDICO DE OXIGENO</w:t>
                    </w:r>
                  </w:p>
                  <w:p>
                    <w:pPr>
                      <w:spacing w:line="217" w:lineRule="exact" w:before="118"/>
                      <w:ind w:left="0" w:right="-3" w:firstLine="0"/>
                      <w:jc w:val="left"/>
                      <w:rPr>
                        <w:rFonts w:ascii="Calibri" w:hAnsi="Calibri"/>
                        <w:sz w:val="18"/>
                      </w:rPr>
                    </w:pPr>
                    <w:r>
                      <w:rPr>
                        <w:rFonts w:ascii="Calibri" w:hAnsi="Calibri"/>
                        <w:color w:val="585858"/>
                        <w:sz w:val="18"/>
                      </w:rPr>
                      <w:t>CONSUMO MÁXIMO DE OXÍGENO</w:t>
                    </w:r>
                  </w:p>
                </w:txbxContent>
              </v:textbox>
              <w10:wrap type="none"/>
            </v:shape>
            <v:shape style="position:absolute;left:6610;top:7095;width:2601;height:183" type="#_x0000_t202" filled="false" stroked="false">
              <v:textbox inset="0,0,0,0">
                <w:txbxContent>
                  <w:p>
                    <w:pPr>
                      <w:spacing w:line="183" w:lineRule="exact" w:before="0"/>
                      <w:ind w:left="0" w:right="-7" w:firstLine="0"/>
                      <w:jc w:val="left"/>
                      <w:rPr>
                        <w:rFonts w:ascii="Calibri"/>
                        <w:sz w:val="18"/>
                      </w:rPr>
                    </w:pPr>
                    <w:r>
                      <w:rPr>
                        <w:rFonts w:ascii="Calibri"/>
                        <w:color w:val="585858"/>
                        <w:sz w:val="18"/>
                      </w:rPr>
                      <w:t>INDICE DE EFICIENCIA</w:t>
                    </w:r>
                    <w:r>
                      <w:rPr>
                        <w:rFonts w:ascii="Calibri"/>
                        <w:color w:val="585858"/>
                        <w:spacing w:val="-14"/>
                        <w:sz w:val="18"/>
                      </w:rPr>
                      <w:t> </w:t>
                    </w:r>
                    <w:r>
                      <w:rPr>
                        <w:rFonts w:ascii="Calibri"/>
                        <w:color w:val="585858"/>
                        <w:sz w:val="18"/>
                      </w:rPr>
                      <w:t>MIOCARDICA</w:t>
                    </w:r>
                  </w:p>
                </w:txbxContent>
              </v:textbox>
              <w10:wrap type="none"/>
            </v:shape>
            <w10:wrap type="topAndBottom"/>
          </v:group>
        </w:pict>
      </w:r>
    </w:p>
    <w:p>
      <w:pPr>
        <w:spacing w:before="147"/>
        <w:ind w:left="119" w:right="0" w:firstLine="7284"/>
        <w:jc w:val="left"/>
        <w:rPr>
          <w:sz w:val="20"/>
        </w:rPr>
      </w:pPr>
      <w:r>
        <w:rPr>
          <w:sz w:val="20"/>
        </w:rPr>
        <w:t>Fuente: Cuadro 1</w:t>
      </w:r>
    </w:p>
    <w:p>
      <w:pPr>
        <w:pStyle w:val="BodyText"/>
        <w:rPr>
          <w:sz w:val="20"/>
        </w:rPr>
      </w:pPr>
    </w:p>
    <w:p>
      <w:pPr>
        <w:pStyle w:val="BodyText"/>
        <w:rPr>
          <w:sz w:val="20"/>
        </w:rPr>
      </w:pPr>
    </w:p>
    <w:p>
      <w:pPr>
        <w:pStyle w:val="BodyText"/>
        <w:spacing w:before="2"/>
        <w:rPr>
          <w:sz w:val="25"/>
        </w:rPr>
      </w:pPr>
    </w:p>
    <w:p>
      <w:pPr>
        <w:pStyle w:val="BodyText"/>
        <w:spacing w:line="360" w:lineRule="auto"/>
        <w:ind w:left="119" w:right="128"/>
        <w:jc w:val="both"/>
      </w:pPr>
      <w:r>
        <w:rPr/>
        <w:t>El índice de eficiencia miocárdica tiene un coeficiente de variación de 1.66 % más grande en relación con el consumo miocárdico de oxígeno donde presentan medias de 28.3 y 5.5.</w:t>
      </w:r>
    </w:p>
    <w:p>
      <w:pPr>
        <w:spacing w:after="0" w:line="360" w:lineRule="auto"/>
        <w:jc w:val="both"/>
        <w:sectPr>
          <w:pgSz w:w="12240" w:h="15840"/>
          <w:pgMar w:header="0" w:footer="966" w:top="1500" w:bottom="1220" w:left="1580" w:right="1580"/>
        </w:sectPr>
      </w:pPr>
    </w:p>
    <w:p>
      <w:pPr>
        <w:pStyle w:val="BodyText"/>
        <w:spacing w:line="360" w:lineRule="auto" w:before="52"/>
        <w:ind w:left="119" w:right="127"/>
        <w:jc w:val="both"/>
      </w:pPr>
      <w:r>
        <w:rPr/>
        <w:pict>
          <v:group style="position:absolute;margin-left:84.675003pt;margin-top:83.250877pt;width:432pt;height:423pt;mso-position-horizontal-relative:page;mso-position-vertical-relative:paragraph;z-index:4456" coordorigin="1694,1665" coordsize="8640,8460">
            <v:shape style="position:absolute;left:2385;top:2563;width:7733;height:6962" coordorigin="2385,2563" coordsize="7733,6962" path="m9456,7722l10118,7722m7522,7722l8846,7722m5587,7722l6917,7722m3653,7722l4982,7722m2385,7722l3048,7722m2385,6690l3048,6690m2385,5658l3048,5658m2385,4626l3048,4626m2385,3594l3048,3594m2385,2563l10118,2563m2385,2563l2385,8753m3653,6690l4982,6690m3653,5658l8846,5658m3653,4626l10118,4626m3653,3594l10118,3594m4320,2563l4320,8753m5587,6690l8846,6690m6250,2563l6250,8753m8184,2563l8184,8753m9456,6690l10118,6690m9456,5658l10118,5658m10118,2563l10118,8753m2385,8753l10118,8753m2385,8753l2385,9139m10118,8753l10118,9139m2385,9139l2385,9525m10118,9139l10118,9525e" filled="false" stroked="true" strokeweight=".75pt" strokecolor="#d9d9d9">
              <v:path arrowok="t"/>
            </v:shape>
            <v:rect style="position:absolute;left:1701;top:1673;width:8625;height:8445" filled="false" stroked="true" strokeweight=".75pt" strokecolor="#d9d9d9"/>
            <v:shape style="position:absolute;left:1992;top:2481;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6.2</w:t>
                    </w:r>
                  </w:p>
                </w:txbxContent>
              </v:textbox>
              <w10:wrap type="none"/>
            </v:shape>
            <v:shape style="position:absolute;left:1992;top:3513;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6.0</w:t>
                    </w:r>
                  </w:p>
                </w:txbxContent>
              </v:textbox>
              <w10:wrap type="none"/>
            </v:shape>
            <v:shape style="position:absolute;left:1992;top:4545;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5.8</w:t>
                    </w:r>
                  </w:p>
                </w:txbxContent>
              </v:textbox>
              <w10:wrap type="none"/>
            </v:shape>
            <v:shape style="position:absolute;left:1992;top:5577;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5.6</w:t>
                    </w:r>
                  </w:p>
                </w:txbxContent>
              </v:textbox>
              <w10:wrap type="none"/>
            </v:shape>
            <v:shape style="position:absolute;left:1992;top:6609;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5.4</w:t>
                    </w:r>
                  </w:p>
                </w:txbxContent>
              </v:textbox>
              <w10:wrap type="none"/>
            </v:shape>
            <v:shape style="position:absolute;left:1992;top:7641;width:227;height:183" type="#_x0000_t202" filled="false" stroked="false">
              <v:textbox inset="0,0,0,0">
                <w:txbxContent>
                  <w:p>
                    <w:pPr>
                      <w:spacing w:line="182" w:lineRule="exact" w:before="0"/>
                      <w:ind w:left="0" w:right="-15" w:firstLine="0"/>
                      <w:jc w:val="left"/>
                      <w:rPr>
                        <w:rFonts w:ascii="Calibri"/>
                        <w:sz w:val="18"/>
                      </w:rPr>
                    </w:pPr>
                    <w:r>
                      <w:rPr>
                        <w:rFonts w:ascii="Calibri"/>
                        <w:spacing w:val="-2"/>
                        <w:sz w:val="18"/>
                      </w:rPr>
                      <w:t>5.2</w:t>
                    </w:r>
                  </w:p>
                </w:txbxContent>
              </v:textbox>
              <w10:wrap type="none"/>
            </v:shape>
            <v:shape style="position:absolute;left:1992;top:8672;width:228;height:183" type="#_x0000_t202" filled="false" stroked="false">
              <v:textbox inset="0,0,0,0">
                <w:txbxContent>
                  <w:p>
                    <w:pPr>
                      <w:spacing w:line="183" w:lineRule="exact" w:before="0"/>
                      <w:ind w:left="0" w:right="-20" w:firstLine="0"/>
                      <w:jc w:val="left"/>
                      <w:rPr>
                        <w:rFonts w:ascii="Calibri"/>
                        <w:sz w:val="18"/>
                      </w:rPr>
                    </w:pPr>
                    <w:r>
                      <w:rPr>
                        <w:rFonts w:ascii="Calibri"/>
                        <w:sz w:val="18"/>
                      </w:rPr>
                      <w:t>5.0</w:t>
                    </w:r>
                  </w:p>
                </w:txbxContent>
              </v:textbox>
              <w10:wrap type="none"/>
            </v:shape>
            <v:shape style="position:absolute;left:2997;top:8924;width:714;height:202" type="#_x0000_t202" filled="false" stroked="false">
              <v:textbox inset="0,0,0,0">
                <w:txbxContent>
                  <w:p>
                    <w:pPr>
                      <w:spacing w:line="202" w:lineRule="exact" w:before="0"/>
                      <w:ind w:left="0" w:right="-20" w:firstLine="0"/>
                      <w:jc w:val="left"/>
                      <w:rPr>
                        <w:rFonts w:ascii="Calibri"/>
                        <w:b/>
                        <w:sz w:val="20"/>
                      </w:rPr>
                    </w:pPr>
                    <w:r>
                      <w:rPr>
                        <w:rFonts w:ascii="Calibri"/>
                        <w:b/>
                        <w:sz w:val="20"/>
                      </w:rPr>
                      <w:t>Porteros</w:t>
                    </w:r>
                  </w:p>
                </w:txbxContent>
              </v:textbox>
              <w10:wrap type="none"/>
            </v:shape>
            <v:shape style="position:absolute;left:4909;top:8924;width:757;height:202" type="#_x0000_t202" filled="false" stroked="false">
              <v:textbox inset="0,0,0,0">
                <w:txbxContent>
                  <w:p>
                    <w:pPr>
                      <w:spacing w:line="202" w:lineRule="exact" w:before="0"/>
                      <w:ind w:left="0" w:right="-20" w:firstLine="0"/>
                      <w:jc w:val="left"/>
                      <w:rPr>
                        <w:rFonts w:ascii="Calibri"/>
                        <w:b/>
                        <w:sz w:val="20"/>
                      </w:rPr>
                    </w:pPr>
                    <w:r>
                      <w:rPr>
                        <w:rFonts w:ascii="Calibri"/>
                        <w:b/>
                        <w:sz w:val="20"/>
                      </w:rPr>
                      <w:t>Defensas</w:t>
                    </w:r>
                  </w:p>
                </w:txbxContent>
              </v:textbox>
              <w10:wrap type="none"/>
            </v:shape>
            <v:shape style="position:absolute;left:6912;top:8924;width:618;height:202" type="#_x0000_t202" filled="false" stroked="false">
              <v:textbox inset="0,0,0,0">
                <w:txbxContent>
                  <w:p>
                    <w:pPr>
                      <w:spacing w:line="202" w:lineRule="exact" w:before="0"/>
                      <w:ind w:left="0" w:right="-10" w:firstLine="0"/>
                      <w:jc w:val="left"/>
                      <w:rPr>
                        <w:rFonts w:ascii="Calibri"/>
                        <w:b/>
                        <w:sz w:val="20"/>
                      </w:rPr>
                    </w:pPr>
                    <w:r>
                      <w:rPr>
                        <w:rFonts w:ascii="Calibri"/>
                        <w:b/>
                        <w:spacing w:val="-2"/>
                        <w:sz w:val="20"/>
                      </w:rPr>
                      <w:t>Medios</w:t>
                    </w:r>
                  </w:p>
                </w:txbxContent>
              </v:textbox>
              <w10:wrap type="none"/>
            </v:shape>
            <v:shape style="position:absolute;left:8700;top:8924;width:911;height:202" type="#_x0000_t202" filled="false" stroked="false">
              <v:textbox inset="0,0,0,0">
                <w:txbxContent>
                  <w:p>
                    <w:pPr>
                      <w:spacing w:line="202" w:lineRule="exact" w:before="0"/>
                      <w:ind w:left="0" w:right="-20" w:firstLine="0"/>
                      <w:jc w:val="left"/>
                      <w:rPr>
                        <w:rFonts w:ascii="Calibri"/>
                        <w:b/>
                        <w:sz w:val="20"/>
                      </w:rPr>
                    </w:pPr>
                    <w:r>
                      <w:rPr>
                        <w:rFonts w:ascii="Calibri"/>
                        <w:b/>
                        <w:sz w:val="20"/>
                      </w:rPr>
                      <w:t>Delanteros</w:t>
                    </w:r>
                  </w:p>
                </w:txbxContent>
              </v:textbox>
              <w10:wrap type="none"/>
            </v:shape>
            <v:shape style="position:absolute;left:4901;top:9310;width:2708;height:202" type="#_x0000_t202" filled="false" stroked="false">
              <v:textbox inset="0,0,0,0">
                <w:txbxContent>
                  <w:p>
                    <w:pPr>
                      <w:spacing w:line="202" w:lineRule="exact" w:before="0"/>
                      <w:ind w:left="0" w:right="-17" w:firstLine="0"/>
                      <w:jc w:val="left"/>
                      <w:rPr>
                        <w:rFonts w:ascii="Calibri" w:hAnsi="Calibri"/>
                        <w:b/>
                        <w:sz w:val="20"/>
                      </w:rPr>
                    </w:pPr>
                    <w:r>
                      <w:rPr>
                        <w:rFonts w:ascii="Calibri" w:hAnsi="Calibri"/>
                        <w:b/>
                        <w:sz w:val="20"/>
                      </w:rPr>
                      <w:t>MEDIA POR POSICIÓN DE JUEGO</w:t>
                    </w:r>
                  </w:p>
                </w:txbxContent>
              </v:textbox>
              <w10:wrap type="none"/>
            </v:shape>
            <v:shape style="position:absolute;left:3048;top:2878;width:605;height:5875" type="#_x0000_t202" filled="true" fillcolor="#5b9bd4" stroked="false">
              <v:textbox inset="0,0,0,0">
                <w:txbxContent>
                  <w:p>
                    <w:pPr>
                      <w:spacing w:before="93"/>
                      <w:ind w:left="174" w:right="0" w:firstLine="0"/>
                      <w:jc w:val="left"/>
                      <w:rPr>
                        <w:rFonts w:ascii="Calibri"/>
                        <w:b/>
                        <w:sz w:val="20"/>
                      </w:rPr>
                    </w:pPr>
                    <w:r>
                      <w:rPr>
                        <w:rFonts w:ascii="Calibri"/>
                        <w:b/>
                        <w:sz w:val="20"/>
                      </w:rPr>
                      <w:t>6.1</w:t>
                    </w:r>
                  </w:p>
                </w:txbxContent>
              </v:textbox>
              <v:fill type="solid"/>
              <w10:wrap type="none"/>
            </v:shape>
            <v:shape style="position:absolute;left:8846;top:5418;width:610;height:3336" type="#_x0000_t202" filled="true" fillcolor="#5b9bd4" stroked="false">
              <v:textbox inset="0,0,0,0">
                <w:txbxContent>
                  <w:p>
                    <w:pPr>
                      <w:spacing w:before="92"/>
                      <w:ind w:left="178" w:right="0" w:firstLine="0"/>
                      <w:jc w:val="left"/>
                      <w:rPr>
                        <w:rFonts w:ascii="Calibri"/>
                        <w:b/>
                        <w:sz w:val="20"/>
                      </w:rPr>
                    </w:pPr>
                    <w:r>
                      <w:rPr>
                        <w:rFonts w:ascii="Calibri"/>
                        <w:b/>
                        <w:sz w:val="20"/>
                      </w:rPr>
                      <w:t>5.6</w:t>
                    </w:r>
                  </w:p>
                </w:txbxContent>
              </v:textbox>
              <v:fill type="solid"/>
              <w10:wrap type="none"/>
            </v:shape>
            <v:shape style="position:absolute;left:4982;top:6123;width:605;height:2630" type="#_x0000_t202" filled="true" fillcolor="#5b9bd4" stroked="false">
              <v:textbox inset="0,0,0,0">
                <w:txbxContent>
                  <w:p>
                    <w:pPr>
                      <w:spacing w:before="95"/>
                      <w:ind w:left="174" w:right="0" w:firstLine="0"/>
                      <w:jc w:val="left"/>
                      <w:rPr>
                        <w:rFonts w:ascii="Calibri"/>
                        <w:b/>
                        <w:sz w:val="20"/>
                      </w:rPr>
                    </w:pPr>
                    <w:r>
                      <w:rPr>
                        <w:rFonts w:ascii="Calibri"/>
                        <w:b/>
                        <w:sz w:val="20"/>
                      </w:rPr>
                      <w:t>5.5</w:t>
                    </w:r>
                  </w:p>
                </w:txbxContent>
              </v:textbox>
              <v:fill type="solid"/>
              <w10:wrap type="none"/>
            </v:shape>
            <v:shape style="position:absolute;left:6917;top:7078;width:605;height:1675" type="#_x0000_t202" filled="true" fillcolor="#5b9bd4" stroked="false">
              <v:textbox inset="0,0,0,0">
                <w:txbxContent>
                  <w:p>
                    <w:pPr>
                      <w:spacing w:before="94"/>
                      <w:ind w:left="173" w:right="0" w:firstLine="0"/>
                      <w:jc w:val="left"/>
                      <w:rPr>
                        <w:rFonts w:ascii="Calibri"/>
                        <w:b/>
                        <w:sz w:val="20"/>
                      </w:rPr>
                    </w:pPr>
                    <w:r>
                      <w:rPr>
                        <w:rFonts w:ascii="Calibri"/>
                        <w:b/>
                        <w:sz w:val="20"/>
                      </w:rPr>
                      <w:t>5.3</w:t>
                    </w:r>
                  </w:p>
                </w:txbxContent>
              </v:textbox>
              <v:fill type="solid"/>
              <w10:wrap type="none"/>
            </v:shape>
            <w10:wrap type="none"/>
          </v:group>
        </w:pict>
      </w:r>
      <w:r>
        <w:rPr/>
        <w:pict>
          <v:shape style="position:absolute;margin-left:124.979996pt;margin-top:220.135376pt;width:12.1pt;height:129.8pt;mso-position-horizontal-relative:page;mso-position-vertical-relative:paragraph;z-index:4480" type="#_x0000_t202" filled="false" stroked="false">
            <v:textbox inset="0,0,0,0" style="layout-flow:vertical;mso-layout-flow-alt:bottom-to-top">
              <w:txbxContent>
                <w:p>
                  <w:pPr>
                    <w:spacing w:line="225" w:lineRule="exact" w:before="0"/>
                    <w:ind w:left="20" w:right="0" w:firstLine="0"/>
                    <w:jc w:val="left"/>
                    <w:rPr>
                      <w:rFonts w:ascii="Calibri" w:hAnsi="Calibri"/>
                      <w:b/>
                      <w:sz w:val="20"/>
                    </w:rPr>
                  </w:pPr>
                  <w:r>
                    <w:rPr>
                      <w:rFonts w:ascii="Calibri" w:hAnsi="Calibri"/>
                      <w:b/>
                      <w:spacing w:val="-1"/>
                      <w:w w:val="100"/>
                      <w:sz w:val="20"/>
                    </w:rPr>
                    <w:t>Í</w:t>
                  </w:r>
                  <w:r>
                    <w:rPr>
                      <w:rFonts w:ascii="Calibri" w:hAnsi="Calibri"/>
                      <w:b/>
                      <w:spacing w:val="2"/>
                      <w:w w:val="100"/>
                      <w:sz w:val="20"/>
                    </w:rPr>
                    <w:t>nd</w:t>
                  </w:r>
                  <w:r>
                    <w:rPr>
                      <w:rFonts w:ascii="Calibri" w:hAnsi="Calibri"/>
                      <w:b/>
                      <w:spacing w:val="-2"/>
                      <w:w w:val="100"/>
                      <w:sz w:val="20"/>
                    </w:rPr>
                    <w:t>i</w:t>
                  </w:r>
                  <w:r>
                    <w:rPr>
                      <w:rFonts w:ascii="Calibri" w:hAnsi="Calibri"/>
                      <w:b/>
                      <w:spacing w:val="1"/>
                      <w:w w:val="100"/>
                      <w:sz w:val="20"/>
                    </w:rPr>
                    <w:t>c</w:t>
                  </w:r>
                  <w:r>
                    <w:rPr>
                      <w:rFonts w:ascii="Calibri" w:hAnsi="Calibri"/>
                      <w:b/>
                      <w:w w:val="100"/>
                      <w:sz w:val="20"/>
                    </w:rPr>
                    <w:t>e</w:t>
                  </w:r>
                  <w:r>
                    <w:rPr>
                      <w:rFonts w:ascii="Calibri" w:hAnsi="Calibri"/>
                      <w:b/>
                      <w:spacing w:val="-8"/>
                      <w:sz w:val="20"/>
                    </w:rPr>
                    <w:t> </w:t>
                  </w:r>
                  <w:r>
                    <w:rPr>
                      <w:rFonts w:ascii="Calibri" w:hAnsi="Calibri"/>
                      <w:b/>
                      <w:spacing w:val="2"/>
                      <w:w w:val="100"/>
                      <w:sz w:val="20"/>
                    </w:rPr>
                    <w:t>d</w:t>
                  </w:r>
                  <w:r>
                    <w:rPr>
                      <w:rFonts w:ascii="Calibri" w:hAnsi="Calibri"/>
                      <w:b/>
                      <w:w w:val="100"/>
                      <w:sz w:val="20"/>
                    </w:rPr>
                    <w:t>e</w:t>
                  </w:r>
                  <w:r>
                    <w:rPr>
                      <w:rFonts w:ascii="Calibri" w:hAnsi="Calibri"/>
                      <w:b/>
                      <w:spacing w:val="-3"/>
                      <w:sz w:val="20"/>
                    </w:rPr>
                    <w:t> </w:t>
                  </w:r>
                  <w:r>
                    <w:rPr>
                      <w:rFonts w:ascii="Calibri" w:hAnsi="Calibri"/>
                      <w:b/>
                      <w:spacing w:val="-1"/>
                      <w:w w:val="100"/>
                      <w:sz w:val="20"/>
                    </w:rPr>
                    <w:t>e</w:t>
                  </w:r>
                  <w:r>
                    <w:rPr>
                      <w:rFonts w:ascii="Calibri" w:hAnsi="Calibri"/>
                      <w:b/>
                      <w:spacing w:val="-2"/>
                      <w:w w:val="100"/>
                      <w:sz w:val="20"/>
                    </w:rPr>
                    <w:t>fi</w:t>
                  </w:r>
                  <w:r>
                    <w:rPr>
                      <w:rFonts w:ascii="Calibri" w:hAnsi="Calibri"/>
                      <w:b/>
                      <w:spacing w:val="1"/>
                      <w:w w:val="100"/>
                      <w:sz w:val="20"/>
                    </w:rPr>
                    <w:t>c</w:t>
                  </w:r>
                  <w:r>
                    <w:rPr>
                      <w:rFonts w:ascii="Calibri" w:hAnsi="Calibri"/>
                      <w:b/>
                      <w:spacing w:val="-2"/>
                      <w:w w:val="100"/>
                      <w:sz w:val="20"/>
                    </w:rPr>
                    <w:t>i</w:t>
                  </w:r>
                  <w:r>
                    <w:rPr>
                      <w:rFonts w:ascii="Calibri" w:hAnsi="Calibri"/>
                      <w:b/>
                      <w:spacing w:val="-1"/>
                      <w:w w:val="100"/>
                      <w:sz w:val="20"/>
                    </w:rPr>
                    <w:t>e</w:t>
                  </w:r>
                  <w:r>
                    <w:rPr>
                      <w:rFonts w:ascii="Calibri" w:hAnsi="Calibri"/>
                      <w:b/>
                      <w:spacing w:val="2"/>
                      <w:w w:val="100"/>
                      <w:sz w:val="20"/>
                    </w:rPr>
                    <w:t>n</w:t>
                  </w:r>
                  <w:r>
                    <w:rPr>
                      <w:rFonts w:ascii="Calibri" w:hAnsi="Calibri"/>
                      <w:b/>
                      <w:spacing w:val="1"/>
                      <w:w w:val="100"/>
                      <w:sz w:val="20"/>
                    </w:rPr>
                    <w:t>c</w:t>
                  </w:r>
                  <w:r>
                    <w:rPr>
                      <w:rFonts w:ascii="Calibri" w:hAnsi="Calibri"/>
                      <w:b/>
                      <w:spacing w:val="-2"/>
                      <w:w w:val="100"/>
                      <w:sz w:val="20"/>
                    </w:rPr>
                    <w:t>i</w:t>
                  </w:r>
                  <w:r>
                    <w:rPr>
                      <w:rFonts w:ascii="Calibri" w:hAnsi="Calibri"/>
                      <w:b/>
                      <w:w w:val="100"/>
                      <w:sz w:val="20"/>
                    </w:rPr>
                    <w:t>a</w:t>
                  </w:r>
                  <w:r>
                    <w:rPr>
                      <w:rFonts w:ascii="Calibri" w:hAnsi="Calibri"/>
                      <w:b/>
                      <w:spacing w:val="-6"/>
                      <w:sz w:val="20"/>
                    </w:rPr>
                    <w:t> </w:t>
                  </w:r>
                  <w:r>
                    <w:rPr>
                      <w:rFonts w:ascii="Calibri" w:hAnsi="Calibri"/>
                      <w:b/>
                      <w:spacing w:val="-1"/>
                      <w:w w:val="100"/>
                      <w:sz w:val="20"/>
                    </w:rPr>
                    <w:t>m</w:t>
                  </w:r>
                  <w:r>
                    <w:rPr>
                      <w:rFonts w:ascii="Calibri" w:hAnsi="Calibri"/>
                      <w:b/>
                      <w:spacing w:val="-2"/>
                      <w:w w:val="100"/>
                      <w:sz w:val="20"/>
                    </w:rPr>
                    <w:t>i</w:t>
                  </w:r>
                  <w:r>
                    <w:rPr>
                      <w:rFonts w:ascii="Calibri" w:hAnsi="Calibri"/>
                      <w:b/>
                      <w:spacing w:val="1"/>
                      <w:w w:val="100"/>
                      <w:sz w:val="20"/>
                    </w:rPr>
                    <w:t>ocá</w:t>
                  </w:r>
                  <w:r>
                    <w:rPr>
                      <w:rFonts w:ascii="Calibri" w:hAnsi="Calibri"/>
                      <w:b/>
                      <w:spacing w:val="-1"/>
                      <w:w w:val="100"/>
                      <w:sz w:val="20"/>
                    </w:rPr>
                    <w:t>r</w:t>
                  </w:r>
                  <w:r>
                    <w:rPr>
                      <w:rFonts w:ascii="Calibri" w:hAnsi="Calibri"/>
                      <w:b/>
                      <w:spacing w:val="2"/>
                      <w:w w:val="100"/>
                      <w:sz w:val="20"/>
                    </w:rPr>
                    <w:t>d</w:t>
                  </w:r>
                  <w:r>
                    <w:rPr>
                      <w:rFonts w:ascii="Calibri" w:hAnsi="Calibri"/>
                      <w:b/>
                      <w:spacing w:val="-2"/>
                      <w:w w:val="100"/>
                      <w:sz w:val="20"/>
                    </w:rPr>
                    <w:t>i</w:t>
                  </w:r>
                  <w:r>
                    <w:rPr>
                      <w:rFonts w:ascii="Calibri" w:hAnsi="Calibri"/>
                      <w:b/>
                      <w:spacing w:val="1"/>
                      <w:w w:val="100"/>
                      <w:sz w:val="20"/>
                    </w:rPr>
                    <w:t>c</w:t>
                  </w:r>
                  <w:r>
                    <w:rPr>
                      <w:rFonts w:ascii="Calibri" w:hAnsi="Calibri"/>
                      <w:b/>
                      <w:w w:val="100"/>
                      <w:sz w:val="20"/>
                    </w:rPr>
                    <w:t>a</w:t>
                  </w:r>
                </w:p>
              </w:txbxContent>
            </v:textbox>
            <w10:wrap type="none"/>
          </v:shape>
        </w:pict>
      </w:r>
      <w:r>
        <w:rPr/>
        <w:t>Gráfico 5. Índice de eficiencia miocárdica por posición de juego en jugadores de fútbol asociación en pretemporada 2015 a 2600 metros a nivel del mar.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7"/>
        </w:rPr>
      </w:pPr>
    </w:p>
    <w:p>
      <w:pPr>
        <w:spacing w:before="0"/>
        <w:ind w:left="119" w:right="0" w:firstLine="7284"/>
        <w:jc w:val="left"/>
        <w:rPr>
          <w:sz w:val="20"/>
        </w:rPr>
      </w:pPr>
      <w:r>
        <w:rPr>
          <w:sz w:val="20"/>
        </w:rPr>
        <w:t>Fuente: Cuadro 1</w:t>
      </w:r>
    </w:p>
    <w:p>
      <w:pPr>
        <w:pStyle w:val="BodyText"/>
        <w:rPr>
          <w:sz w:val="20"/>
        </w:rPr>
      </w:pPr>
    </w:p>
    <w:p>
      <w:pPr>
        <w:pStyle w:val="BodyText"/>
        <w:rPr>
          <w:sz w:val="20"/>
        </w:rPr>
      </w:pPr>
    </w:p>
    <w:p>
      <w:pPr>
        <w:pStyle w:val="BodyText"/>
        <w:spacing w:line="362" w:lineRule="auto" w:before="170"/>
        <w:ind w:left="119" w:right="129"/>
        <w:jc w:val="both"/>
      </w:pPr>
      <w:r>
        <w:rPr/>
        <w:t>La media del índice de eficiencia miocárdica por posición de juego en jugadores  de fútbol asociación en pretemporada 2015 a 2600 metros a nivel del </w:t>
      </w:r>
      <w:r>
        <w:rPr>
          <w:spacing w:val="-3"/>
        </w:rPr>
        <w:t>mar </w:t>
      </w:r>
      <w:r>
        <w:rPr/>
        <w:t>es de 5.7 ±</w:t>
      </w:r>
      <w:r>
        <w:rPr>
          <w:spacing w:val="1"/>
        </w:rPr>
        <w:t> </w:t>
      </w:r>
      <w:r>
        <w:rPr/>
        <w:t>0.34.</w:t>
      </w:r>
    </w:p>
    <w:p>
      <w:pPr>
        <w:spacing w:after="0" w:line="362" w:lineRule="auto"/>
        <w:jc w:val="both"/>
        <w:sectPr>
          <w:pgSz w:w="12240" w:h="15840"/>
          <w:pgMar w:header="0" w:footer="966" w:top="1360" w:bottom="1220" w:left="1580" w:right="1580"/>
        </w:sectPr>
      </w:pPr>
    </w:p>
    <w:p>
      <w:pPr>
        <w:pStyle w:val="BodyText"/>
        <w:spacing w:line="362" w:lineRule="auto" w:before="52"/>
        <w:ind w:left="119" w:right="121"/>
        <w:jc w:val="both"/>
      </w:pPr>
      <w:r>
        <w:rPr/>
        <w:pict>
          <v:group style="position:absolute;margin-left:84.675003pt;margin-top:110.150871pt;width:432.75pt;height:394.5pt;mso-position-horizontal-relative:page;mso-position-vertical-relative:paragraph;z-index:4888" coordorigin="1694,2203" coordsize="8655,7890">
            <v:shape style="position:absolute;left:2650;top:2431;width:7472;height:7555" coordorigin="2650,2431" coordsize="7472,7555" path="m9374,8461l10121,8461m6883,8461l8376,8461m4392,8461l5890,8461m2650,8461l3398,8461m2650,7707l3398,7707m2650,6954l3398,6954m2650,6200l5890,6200m2650,5446l5890,5446m2650,4693l5890,4693m2650,3939l5890,3939m2650,3186l10121,3186m2650,2431l10121,2431m2650,2431l2650,9214m4392,7707l5890,7707m4392,6954l5890,6954m5141,2431l5141,9214m6883,7707l8376,7707m6883,6954l10121,6954m6883,6200l10121,6200m6883,5446l10121,5446m6883,4693l10121,4693m6883,3939l10121,3939m7632,2431l7632,9214m9374,7707l10121,7707m10121,2431l10121,9214m2650,9214l10121,9214m2650,9214l2650,9600m10121,9214l10121,9600m2650,9600l2650,9986m10121,9600l10121,9986e" filled="false" stroked="true" strokeweight=".75pt" strokecolor="#d9d9d9">
              <v:path arrowok="t"/>
            </v:shape>
            <v:rect style="position:absolute;left:1701;top:2211;width:8640;height:7875" filled="false" stroked="true" strokeweight=".75pt" strokecolor="#d9d9d9"/>
            <v:shape style="position:absolute;left:2256;top:2348;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6.3</w:t>
                    </w:r>
                  </w:p>
                </w:txbxContent>
              </v:textbox>
              <w10:wrap type="none"/>
            </v:shape>
            <v:shape style="position:absolute;left:2256;top:3102;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6.1</w:t>
                    </w:r>
                  </w:p>
                </w:txbxContent>
              </v:textbox>
              <w10:wrap type="none"/>
            </v:shape>
            <v:shape style="position:absolute;left:2256;top:3856;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5.9</w:t>
                    </w:r>
                  </w:p>
                </w:txbxContent>
              </v:textbox>
              <w10:wrap type="none"/>
            </v:shape>
            <v:shape style="position:absolute;left:2256;top:4610;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5.7</w:t>
                    </w:r>
                  </w:p>
                </w:txbxContent>
              </v:textbox>
              <w10:wrap type="none"/>
            </v:shape>
            <v:shape style="position:absolute;left:2256;top:5364;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5.5</w:t>
                    </w:r>
                  </w:p>
                </w:txbxContent>
              </v:textbox>
              <w10:wrap type="none"/>
            </v:shape>
            <v:shape style="position:absolute;left:2256;top:6117;width:228;height:183"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5.3</w:t>
                    </w:r>
                  </w:p>
                </w:txbxContent>
              </v:textbox>
              <w10:wrap type="none"/>
            </v:shape>
            <v:shape style="position:absolute;left:2256;top:6872;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5.1</w:t>
                    </w:r>
                  </w:p>
                </w:txbxContent>
              </v:textbox>
              <w10:wrap type="none"/>
            </v:shape>
            <v:shape style="position:absolute;left:2256;top:7626;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4.9</w:t>
                    </w:r>
                  </w:p>
                </w:txbxContent>
              </v:textbox>
              <w10:wrap type="none"/>
            </v:shape>
            <v:shape style="position:absolute;left:2256;top:8379;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4.7</w:t>
                    </w:r>
                  </w:p>
                </w:txbxContent>
              </v:textbox>
              <w10:wrap type="none"/>
            </v:shape>
            <v:shape style="position:absolute;left:2256;top:9133;width:227;height:183" type="#_x0000_t202" filled="false" stroked="false">
              <v:textbox inset="0,0,0,0">
                <w:txbxContent>
                  <w:p>
                    <w:pPr>
                      <w:spacing w:line="182" w:lineRule="exact" w:before="0"/>
                      <w:ind w:left="0" w:right="-15" w:firstLine="0"/>
                      <w:jc w:val="left"/>
                      <w:rPr>
                        <w:rFonts w:ascii="Calibri"/>
                        <w:sz w:val="18"/>
                      </w:rPr>
                    </w:pPr>
                    <w:r>
                      <w:rPr>
                        <w:rFonts w:ascii="Calibri"/>
                        <w:color w:val="585858"/>
                        <w:spacing w:val="-2"/>
                        <w:sz w:val="18"/>
                      </w:rPr>
                      <w:t>4.5</w:t>
                    </w:r>
                  </w:p>
                </w:txbxContent>
              </v:textbox>
              <w10:wrap type="none"/>
            </v:shape>
            <v:shape style="position:absolute;left:3444;top:9385;width:906;height:202" type="#_x0000_t202" filled="false" stroked="false">
              <v:textbox inset="0,0,0,0">
                <w:txbxContent>
                  <w:p>
                    <w:pPr>
                      <w:spacing w:line="202" w:lineRule="exact" w:before="0"/>
                      <w:ind w:left="0" w:right="-20" w:firstLine="0"/>
                      <w:jc w:val="left"/>
                      <w:rPr>
                        <w:rFonts w:ascii="Calibri" w:hAnsi="Calibri"/>
                        <w:b/>
                        <w:sz w:val="20"/>
                      </w:rPr>
                    </w:pPr>
                    <w:r>
                      <w:rPr>
                        <w:rFonts w:ascii="Calibri" w:hAnsi="Calibri"/>
                        <w:b/>
                        <w:sz w:val="20"/>
                      </w:rPr>
                      <w:t>15-19 años</w:t>
                    </w:r>
                  </w:p>
                </w:txbxContent>
              </v:textbox>
              <w10:wrap type="none"/>
            </v:shape>
            <v:shape style="position:absolute;left:4431;top:9385;width:3910;height:588" type="#_x0000_t202" filled="false" stroked="false">
              <v:textbox inset="0,0,0,0">
                <w:txbxContent>
                  <w:p>
                    <w:pPr>
                      <w:spacing w:line="205" w:lineRule="exact" w:before="0"/>
                      <w:ind w:left="4" w:right="0" w:firstLine="0"/>
                      <w:jc w:val="center"/>
                      <w:rPr>
                        <w:rFonts w:ascii="Calibri" w:hAnsi="Calibri"/>
                        <w:b/>
                        <w:sz w:val="20"/>
                      </w:rPr>
                    </w:pPr>
                    <w:r>
                      <w:rPr>
                        <w:rFonts w:ascii="Calibri" w:hAnsi="Calibri"/>
                        <w:b/>
                        <w:sz w:val="20"/>
                      </w:rPr>
                      <w:t>20-24 años</w:t>
                    </w:r>
                  </w:p>
                  <w:p>
                    <w:pPr>
                      <w:spacing w:line="241" w:lineRule="exact" w:before="142"/>
                      <w:ind w:left="-1" w:right="0" w:firstLine="0"/>
                      <w:jc w:val="center"/>
                      <w:rPr>
                        <w:rFonts w:ascii="Calibri"/>
                        <w:b/>
                        <w:sz w:val="20"/>
                      </w:rPr>
                    </w:pPr>
                    <w:r>
                      <w:rPr>
                        <w:rFonts w:ascii="Calibri"/>
                        <w:b/>
                        <w:sz w:val="20"/>
                      </w:rPr>
                      <w:t>Media por rangos de tiempo de</w:t>
                    </w:r>
                    <w:r>
                      <w:rPr>
                        <w:rFonts w:ascii="Calibri"/>
                        <w:b/>
                        <w:spacing w:val="-20"/>
                        <w:sz w:val="20"/>
                      </w:rPr>
                      <w:t> </w:t>
                    </w:r>
                    <w:r>
                      <w:rPr>
                        <w:rFonts w:ascii="Calibri"/>
                        <w:b/>
                        <w:sz w:val="20"/>
                      </w:rPr>
                      <w:t>entrenamiento</w:t>
                    </w:r>
                  </w:p>
                </w:txbxContent>
              </v:textbox>
              <w10:wrap type="none"/>
            </v:shape>
            <v:shape style="position:absolute;left:8426;top:9385;width:906;height:202" type="#_x0000_t202" filled="false" stroked="false">
              <v:textbox inset="0,0,0,0">
                <w:txbxContent>
                  <w:p>
                    <w:pPr>
                      <w:spacing w:line="202" w:lineRule="exact" w:before="0"/>
                      <w:ind w:left="0" w:right="-20" w:firstLine="0"/>
                      <w:jc w:val="left"/>
                      <w:rPr>
                        <w:rFonts w:ascii="Calibri" w:hAnsi="Calibri"/>
                        <w:b/>
                        <w:sz w:val="20"/>
                      </w:rPr>
                    </w:pPr>
                    <w:r>
                      <w:rPr>
                        <w:rFonts w:ascii="Calibri" w:hAnsi="Calibri"/>
                        <w:b/>
                        <w:sz w:val="20"/>
                      </w:rPr>
                      <w:t>25-29 años</w:t>
                    </w:r>
                  </w:p>
                </w:txbxContent>
              </v:textbox>
              <w10:wrap type="none"/>
            </v:shape>
            <v:shape style="position:absolute;left:5890;top:3397;width:994;height:5817" type="#_x0000_t202" filled="true" fillcolor="#5b9bd4" stroked="false">
              <v:textbox inset="0,0,0,0">
                <w:txbxContent>
                  <w:p>
                    <w:pPr>
                      <w:spacing w:before="95"/>
                      <w:ind w:left="350" w:right="346" w:firstLine="0"/>
                      <w:jc w:val="center"/>
                      <w:rPr>
                        <w:rFonts w:ascii="Calibri"/>
                        <w:b/>
                        <w:sz w:val="20"/>
                      </w:rPr>
                    </w:pPr>
                    <w:r>
                      <w:rPr>
                        <w:rFonts w:ascii="Calibri"/>
                        <w:b/>
                        <w:sz w:val="20"/>
                      </w:rPr>
                      <w:t>6.0</w:t>
                    </w:r>
                  </w:p>
                </w:txbxContent>
              </v:textbox>
              <v:fill type="solid"/>
              <w10:wrap type="none"/>
            </v:shape>
            <v:shape style="position:absolute;left:3398;top:6459;width:994;height:2755" type="#_x0000_t202" filled="true" fillcolor="#5b9bd4" stroked="false">
              <v:textbox inset="0,0,0,0">
                <w:txbxContent>
                  <w:p>
                    <w:pPr>
                      <w:spacing w:before="94"/>
                      <w:ind w:left="350" w:right="346" w:firstLine="0"/>
                      <w:jc w:val="center"/>
                      <w:rPr>
                        <w:rFonts w:ascii="Calibri"/>
                        <w:b/>
                        <w:sz w:val="20"/>
                      </w:rPr>
                    </w:pPr>
                    <w:r>
                      <w:rPr>
                        <w:rFonts w:ascii="Calibri"/>
                        <w:b/>
                        <w:sz w:val="20"/>
                      </w:rPr>
                      <w:t>5.2</w:t>
                    </w:r>
                  </w:p>
                </w:txbxContent>
              </v:textbox>
              <v:fill type="solid"/>
              <w10:wrap type="none"/>
            </v:shape>
            <v:shape style="position:absolute;left:8376;top:7592;width:999;height:1622" type="#_x0000_t202" filled="true" fillcolor="#5b9bd4" stroked="false">
              <v:textbox inset="0,0,0,0">
                <w:txbxContent>
                  <w:p>
                    <w:pPr>
                      <w:spacing w:before="94"/>
                      <w:ind w:left="355" w:right="347" w:firstLine="0"/>
                      <w:jc w:val="center"/>
                      <w:rPr>
                        <w:rFonts w:ascii="Calibri"/>
                        <w:b/>
                        <w:sz w:val="20"/>
                      </w:rPr>
                    </w:pPr>
                    <w:r>
                      <w:rPr>
                        <w:rFonts w:ascii="Calibri"/>
                        <w:b/>
                        <w:sz w:val="20"/>
                      </w:rPr>
                      <w:t>4.9</w:t>
                    </w:r>
                  </w:p>
                </w:txbxContent>
              </v:textbox>
              <v:fill type="solid"/>
              <w10:wrap type="none"/>
            </v:shape>
            <w10:wrap type="none"/>
          </v:group>
        </w:pict>
      </w:r>
      <w:r>
        <w:rPr/>
        <w:pict>
          <v:shape style="position:absolute;margin-left:98.601997pt;margin-top:226.463989pt;width:12.15pt;height:129.8pt;mso-position-horizontal-relative:page;mso-position-vertical-relative:paragraph;z-index:4912" type="#_x0000_t202" filled="false" stroked="false">
            <v:textbox inset="0,0,0,0" style="layout-flow:vertical;mso-layout-flow-alt:bottom-to-top">
              <w:txbxContent>
                <w:p>
                  <w:pPr>
                    <w:spacing w:line="225" w:lineRule="exact" w:before="0"/>
                    <w:ind w:left="20" w:right="0" w:firstLine="0"/>
                    <w:jc w:val="left"/>
                    <w:rPr>
                      <w:rFonts w:ascii="Calibri" w:hAnsi="Calibri"/>
                      <w:b/>
                      <w:sz w:val="20"/>
                    </w:rPr>
                  </w:pPr>
                  <w:r>
                    <w:rPr>
                      <w:rFonts w:ascii="Calibri" w:hAnsi="Calibri"/>
                      <w:b/>
                      <w:spacing w:val="-2"/>
                      <w:w w:val="101"/>
                      <w:sz w:val="20"/>
                    </w:rPr>
                    <w:t>Í</w:t>
                  </w:r>
                  <w:r>
                    <w:rPr>
                      <w:rFonts w:ascii="Calibri" w:hAnsi="Calibri"/>
                      <w:b/>
                      <w:spacing w:val="1"/>
                      <w:w w:val="101"/>
                      <w:sz w:val="20"/>
                    </w:rPr>
                    <w:t>nd</w:t>
                  </w:r>
                  <w:r>
                    <w:rPr>
                      <w:rFonts w:ascii="Calibri" w:hAnsi="Calibri"/>
                      <w:b/>
                      <w:spacing w:val="-2"/>
                      <w:w w:val="101"/>
                      <w:sz w:val="20"/>
                    </w:rPr>
                    <w:t>i</w:t>
                  </w:r>
                  <w:r>
                    <w:rPr>
                      <w:rFonts w:ascii="Calibri" w:hAnsi="Calibri"/>
                      <w:b/>
                      <w:spacing w:val="1"/>
                      <w:w w:val="101"/>
                      <w:sz w:val="20"/>
                    </w:rPr>
                    <w:t>c</w:t>
                  </w:r>
                  <w:r>
                    <w:rPr>
                      <w:rFonts w:ascii="Calibri" w:hAnsi="Calibri"/>
                      <w:b/>
                      <w:w w:val="101"/>
                      <w:sz w:val="20"/>
                    </w:rPr>
                    <w:t>e</w:t>
                  </w:r>
                  <w:r>
                    <w:rPr>
                      <w:rFonts w:ascii="Calibri" w:hAnsi="Calibri"/>
                      <w:b/>
                      <w:spacing w:val="-8"/>
                      <w:sz w:val="20"/>
                    </w:rPr>
                    <w:t> </w:t>
                  </w:r>
                  <w:r>
                    <w:rPr>
                      <w:rFonts w:ascii="Calibri" w:hAnsi="Calibri"/>
                      <w:b/>
                      <w:spacing w:val="1"/>
                      <w:w w:val="101"/>
                      <w:sz w:val="20"/>
                    </w:rPr>
                    <w:t>d</w:t>
                  </w:r>
                  <w:r>
                    <w:rPr>
                      <w:rFonts w:ascii="Calibri" w:hAnsi="Calibri"/>
                      <w:b/>
                      <w:w w:val="101"/>
                      <w:sz w:val="20"/>
                    </w:rPr>
                    <w:t>e</w:t>
                  </w:r>
                  <w:r>
                    <w:rPr>
                      <w:rFonts w:ascii="Calibri" w:hAnsi="Calibri"/>
                      <w:b/>
                      <w:spacing w:val="-3"/>
                      <w:sz w:val="20"/>
                    </w:rPr>
                    <w:t> </w:t>
                  </w:r>
                  <w:r>
                    <w:rPr>
                      <w:rFonts w:ascii="Calibri" w:hAnsi="Calibri"/>
                      <w:b/>
                      <w:spacing w:val="-1"/>
                      <w:w w:val="101"/>
                      <w:sz w:val="20"/>
                    </w:rPr>
                    <w:t>e</w:t>
                  </w:r>
                  <w:r>
                    <w:rPr>
                      <w:rFonts w:ascii="Calibri" w:hAnsi="Calibri"/>
                      <w:b/>
                      <w:spacing w:val="-2"/>
                      <w:w w:val="101"/>
                      <w:sz w:val="20"/>
                    </w:rPr>
                    <w:t>fi</w:t>
                  </w:r>
                  <w:r>
                    <w:rPr>
                      <w:rFonts w:ascii="Calibri" w:hAnsi="Calibri"/>
                      <w:b/>
                      <w:spacing w:val="1"/>
                      <w:w w:val="101"/>
                      <w:sz w:val="20"/>
                    </w:rPr>
                    <w:t>c</w:t>
                  </w:r>
                  <w:r>
                    <w:rPr>
                      <w:rFonts w:ascii="Calibri" w:hAnsi="Calibri"/>
                      <w:b/>
                      <w:spacing w:val="-2"/>
                      <w:w w:val="101"/>
                      <w:sz w:val="20"/>
                    </w:rPr>
                    <w:t>i</w:t>
                  </w:r>
                  <w:r>
                    <w:rPr>
                      <w:rFonts w:ascii="Calibri" w:hAnsi="Calibri"/>
                      <w:b/>
                      <w:spacing w:val="-1"/>
                      <w:w w:val="101"/>
                      <w:sz w:val="20"/>
                    </w:rPr>
                    <w:t>e</w:t>
                  </w:r>
                  <w:r>
                    <w:rPr>
                      <w:rFonts w:ascii="Calibri" w:hAnsi="Calibri"/>
                      <w:b/>
                      <w:spacing w:val="1"/>
                      <w:w w:val="101"/>
                      <w:sz w:val="20"/>
                    </w:rPr>
                    <w:t>nc</w:t>
                  </w:r>
                  <w:r>
                    <w:rPr>
                      <w:rFonts w:ascii="Calibri" w:hAnsi="Calibri"/>
                      <w:b/>
                      <w:spacing w:val="-2"/>
                      <w:w w:val="101"/>
                      <w:sz w:val="20"/>
                    </w:rPr>
                    <w:t>i</w:t>
                  </w:r>
                  <w:r>
                    <w:rPr>
                      <w:rFonts w:ascii="Calibri" w:hAnsi="Calibri"/>
                      <w:b/>
                      <w:w w:val="101"/>
                      <w:sz w:val="20"/>
                    </w:rPr>
                    <w:t>a</w:t>
                  </w:r>
                  <w:r>
                    <w:rPr>
                      <w:rFonts w:ascii="Calibri" w:hAnsi="Calibri"/>
                      <w:b/>
                      <w:spacing w:val="-6"/>
                      <w:sz w:val="20"/>
                    </w:rPr>
                    <w:t> </w:t>
                  </w:r>
                  <w:r>
                    <w:rPr>
                      <w:rFonts w:ascii="Calibri" w:hAnsi="Calibri"/>
                      <w:b/>
                      <w:spacing w:val="-2"/>
                      <w:w w:val="101"/>
                      <w:sz w:val="20"/>
                    </w:rPr>
                    <w:t>mi</w:t>
                  </w:r>
                  <w:r>
                    <w:rPr>
                      <w:rFonts w:ascii="Calibri" w:hAnsi="Calibri"/>
                      <w:b/>
                      <w:spacing w:val="1"/>
                      <w:w w:val="101"/>
                      <w:sz w:val="20"/>
                    </w:rPr>
                    <w:t>oc</w:t>
                  </w:r>
                  <w:r>
                    <w:rPr>
                      <w:rFonts w:ascii="Calibri" w:hAnsi="Calibri"/>
                      <w:b/>
                      <w:w w:val="101"/>
                      <w:sz w:val="20"/>
                    </w:rPr>
                    <w:t>á</w:t>
                  </w:r>
                  <w:r>
                    <w:rPr>
                      <w:rFonts w:ascii="Calibri" w:hAnsi="Calibri"/>
                      <w:b/>
                      <w:spacing w:val="-1"/>
                      <w:w w:val="101"/>
                      <w:sz w:val="20"/>
                    </w:rPr>
                    <w:t>r</w:t>
                  </w:r>
                  <w:r>
                    <w:rPr>
                      <w:rFonts w:ascii="Calibri" w:hAnsi="Calibri"/>
                      <w:b/>
                      <w:spacing w:val="2"/>
                      <w:w w:val="101"/>
                      <w:sz w:val="20"/>
                    </w:rPr>
                    <w:t>d</w:t>
                  </w:r>
                  <w:r>
                    <w:rPr>
                      <w:rFonts w:ascii="Calibri" w:hAnsi="Calibri"/>
                      <w:b/>
                      <w:spacing w:val="-2"/>
                      <w:w w:val="101"/>
                      <w:sz w:val="20"/>
                    </w:rPr>
                    <w:t>i</w:t>
                  </w:r>
                  <w:r>
                    <w:rPr>
                      <w:rFonts w:ascii="Calibri" w:hAnsi="Calibri"/>
                      <w:b/>
                      <w:spacing w:val="1"/>
                      <w:w w:val="101"/>
                      <w:sz w:val="20"/>
                    </w:rPr>
                    <w:t>c</w:t>
                  </w:r>
                  <w:r>
                    <w:rPr>
                      <w:rFonts w:ascii="Calibri" w:hAnsi="Calibri"/>
                      <w:b/>
                      <w:w w:val="101"/>
                      <w:sz w:val="20"/>
                    </w:rPr>
                    <w:t>a</w:t>
                  </w:r>
                </w:p>
              </w:txbxContent>
            </v:textbox>
            <w10:wrap type="none"/>
          </v:shape>
        </w:pict>
      </w:r>
      <w:r>
        <w:rPr/>
        <w:t>Gráfico 6. Índice de eficiencia miocárdica por tiempo de entrenamiento en jugadores de fútbol asociación en pretemporada 2015 a 2600 metros a nivel del mar.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2"/>
        <w:ind w:left="119" w:right="0" w:firstLine="7284"/>
        <w:jc w:val="left"/>
        <w:rPr>
          <w:sz w:val="20"/>
        </w:rPr>
      </w:pPr>
      <w:r>
        <w:rPr>
          <w:sz w:val="20"/>
        </w:rPr>
        <w:t>Fuente: Cuadro 1</w:t>
      </w:r>
    </w:p>
    <w:p>
      <w:pPr>
        <w:pStyle w:val="BodyText"/>
        <w:rPr>
          <w:sz w:val="20"/>
        </w:rPr>
      </w:pPr>
    </w:p>
    <w:p>
      <w:pPr>
        <w:pStyle w:val="BodyText"/>
        <w:rPr>
          <w:sz w:val="20"/>
        </w:rPr>
      </w:pPr>
    </w:p>
    <w:p>
      <w:pPr>
        <w:pStyle w:val="BodyText"/>
        <w:spacing w:line="259" w:lineRule="auto" w:before="175"/>
        <w:ind w:left="119" w:right="114"/>
        <w:jc w:val="both"/>
      </w:pPr>
      <w:r>
        <w:rPr/>
        <w:t>El rango de entrenamiento de 15-19 años con 5.2 y 25-29 años con 4.9 se encuentran por debajo de la media del índice de eficiencia miocárdica en jugadores de fútbol asociación en pretemporada 2015 a 2600 metros a nivel del </w:t>
      </w:r>
      <w:r>
        <w:rPr>
          <w:spacing w:val="-3"/>
        </w:rPr>
        <w:t>mar </w:t>
      </w:r>
      <w:r>
        <w:rPr/>
        <w:t>así como el rango de 20-24 años con 6.0 se encuentra por arriba, teniendo mejor resultado el rango de 25-29 años de</w:t>
      </w:r>
      <w:r>
        <w:rPr>
          <w:spacing w:val="-15"/>
        </w:rPr>
        <w:t> </w:t>
      </w:r>
      <w:r>
        <w:rPr/>
        <w:t>4.9.</w:t>
      </w:r>
    </w:p>
    <w:p>
      <w:pPr>
        <w:spacing w:after="0" w:line="259" w:lineRule="auto"/>
        <w:jc w:val="both"/>
        <w:sectPr>
          <w:pgSz w:w="12240" w:h="15840"/>
          <w:pgMar w:header="0" w:footer="966" w:top="1360" w:bottom="1220" w:left="1580" w:right="1580"/>
        </w:sectPr>
      </w:pPr>
    </w:p>
    <w:p>
      <w:pPr>
        <w:pStyle w:val="BodyText"/>
        <w:spacing w:line="360" w:lineRule="auto" w:before="52"/>
        <w:ind w:left="119" w:right="126"/>
        <w:jc w:val="both"/>
      </w:pPr>
      <w:r>
        <w:rPr/>
        <w:pict>
          <v:group style="position:absolute;margin-left:84.675003pt;margin-top:83.250877pt;width:435pt;height:436.5pt;mso-position-horizontal-relative:page;mso-position-vertical-relative:paragraph;z-index:5392" coordorigin="1694,1665" coordsize="8700,8730">
            <v:shape style="position:absolute;left:2653;top:1893;width:7514;height:8395" coordorigin="2653,1893" coordsize="7514,8395" path="m9734,8048l10166,8048m8482,8048l9346,8048m7234,8048l8093,8048m5981,8048l6840,8048m4728,8048l5587,8048m2653,8048l4334,8048m2653,6512l6840,6512m2653,4971l8093,4971m2653,3430l8093,3430m2653,1893l10166,1893m2653,1893l2653,9590m3907,1893l3907,9590m5155,1893l5155,9590m6408,1893l6408,9590m7234,6512l8093,6512m7661,1893l7661,9590m8482,6512l10166,6512m8482,4971l10166,4971m8482,3430l10166,3430m8914,1893l8914,9590m10166,1893l10166,9590m2653,9590l10166,9590m2653,9590l2653,9939m10166,9590l10166,9939m2653,9939l2653,10288m10166,9939l10166,10288e" filled="false" stroked="true" strokeweight=".75pt" strokecolor="#d9d9d9">
              <v:path arrowok="t"/>
            </v:shape>
            <v:rect style="position:absolute;left:1701;top:1673;width:8685;height:8715" filled="false" stroked="true" strokeweight=".75pt" strokecolor="#d9d9d9"/>
            <v:shape style="position:absolute;left:2256;top:1810;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7.0</w:t>
                    </w:r>
                  </w:p>
                </w:txbxContent>
              </v:textbox>
              <w10:wrap type="none"/>
            </v:shape>
            <v:shape style="position:absolute;left:2256;top:3350;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6.5</w:t>
                    </w:r>
                  </w:p>
                </w:txbxContent>
              </v:textbox>
              <w10:wrap type="none"/>
            </v:shape>
            <v:shape style="position:absolute;left:2256;top:4890;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6.0</w:t>
                    </w:r>
                  </w:p>
                </w:txbxContent>
              </v:textbox>
              <w10:wrap type="none"/>
            </v:shape>
            <v:shape style="position:absolute;left:2256;top:6429;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5.5</w:t>
                    </w:r>
                  </w:p>
                </w:txbxContent>
              </v:textbox>
              <w10:wrap type="none"/>
            </v:shape>
            <v:shape style="position:absolute;left:2256;top:7969;width:232;height:183" type="#_x0000_t202" filled="false" stroked="false">
              <v:textbox inset="0,0,0,0">
                <w:txbxContent>
                  <w:p>
                    <w:pPr>
                      <w:spacing w:line="183" w:lineRule="exact" w:before="0"/>
                      <w:ind w:left="0" w:right="-19" w:firstLine="0"/>
                      <w:jc w:val="left"/>
                      <w:rPr>
                        <w:rFonts w:ascii="Calibri"/>
                        <w:b/>
                        <w:sz w:val="18"/>
                      </w:rPr>
                    </w:pPr>
                    <w:r>
                      <w:rPr>
                        <w:rFonts w:ascii="Calibri"/>
                        <w:b/>
                        <w:sz w:val="18"/>
                      </w:rPr>
                      <w:t>5.0</w:t>
                    </w:r>
                  </w:p>
                </w:txbxContent>
              </v:textbox>
              <w10:wrap type="none"/>
            </v:shape>
            <v:shape style="position:absolute;left:2256;top:9510;width:232;height:183" type="#_x0000_t202" filled="false" stroked="false">
              <v:textbox inset="0,0,0,0">
                <w:txbxContent>
                  <w:p>
                    <w:pPr>
                      <w:spacing w:line="182" w:lineRule="exact" w:before="0"/>
                      <w:ind w:left="0" w:right="-19" w:firstLine="0"/>
                      <w:jc w:val="left"/>
                      <w:rPr>
                        <w:rFonts w:ascii="Calibri"/>
                        <w:b/>
                        <w:sz w:val="18"/>
                      </w:rPr>
                    </w:pPr>
                    <w:r>
                      <w:rPr>
                        <w:rFonts w:ascii="Calibri"/>
                        <w:b/>
                        <w:sz w:val="18"/>
                      </w:rPr>
                      <w:t>4.5</w:t>
                    </w:r>
                  </w:p>
                </w:txbxContent>
              </v:textbox>
              <w10:wrap type="none"/>
            </v:shape>
            <v:shape style="position:absolute;left:2872;top:9743;width:817;height:183" type="#_x0000_t202" filled="false" stroked="false">
              <v:textbox inset="0,0,0,0">
                <w:txbxContent>
                  <w:p>
                    <w:pPr>
                      <w:spacing w:line="182" w:lineRule="exact" w:before="0"/>
                      <w:ind w:left="0" w:right="-18" w:firstLine="0"/>
                      <w:jc w:val="left"/>
                      <w:rPr>
                        <w:rFonts w:ascii="Calibri" w:hAnsi="Calibri"/>
                        <w:b/>
                        <w:sz w:val="18"/>
                      </w:rPr>
                    </w:pPr>
                    <w:r>
                      <w:rPr>
                        <w:rFonts w:ascii="Calibri" w:hAnsi="Calibri"/>
                        <w:b/>
                        <w:sz w:val="18"/>
                      </w:rPr>
                      <w:t>18-20 años</w:t>
                    </w:r>
                  </w:p>
                </w:txbxContent>
              </v:textbox>
              <w10:wrap type="none"/>
            </v:shape>
            <v:shape style="position:absolute;left:4125;top:9743;width:817;height:183" type="#_x0000_t202" filled="false" stroked="false">
              <v:textbox inset="0,0,0,0">
                <w:txbxContent>
                  <w:p>
                    <w:pPr>
                      <w:spacing w:line="182" w:lineRule="exact" w:before="0"/>
                      <w:ind w:left="0" w:right="-18" w:firstLine="0"/>
                      <w:jc w:val="left"/>
                      <w:rPr>
                        <w:rFonts w:ascii="Calibri" w:hAnsi="Calibri"/>
                        <w:b/>
                        <w:sz w:val="18"/>
                      </w:rPr>
                    </w:pPr>
                    <w:r>
                      <w:rPr>
                        <w:rFonts w:ascii="Calibri" w:hAnsi="Calibri"/>
                        <w:b/>
                        <w:sz w:val="18"/>
                      </w:rPr>
                      <w:t>21-23 años</w:t>
                    </w:r>
                  </w:p>
                </w:txbxContent>
              </v:textbox>
              <w10:wrap type="none"/>
            </v:shape>
            <v:shape style="position:absolute;left:5378;top:9743;width:817;height:183" type="#_x0000_t202" filled="false" stroked="false">
              <v:textbox inset="0,0,0,0">
                <w:txbxContent>
                  <w:p>
                    <w:pPr>
                      <w:spacing w:line="182" w:lineRule="exact" w:before="0"/>
                      <w:ind w:left="0" w:right="-18" w:firstLine="0"/>
                      <w:jc w:val="left"/>
                      <w:rPr>
                        <w:rFonts w:ascii="Calibri" w:hAnsi="Calibri"/>
                        <w:b/>
                        <w:sz w:val="18"/>
                      </w:rPr>
                    </w:pPr>
                    <w:r>
                      <w:rPr>
                        <w:rFonts w:ascii="Calibri" w:hAnsi="Calibri"/>
                        <w:b/>
                        <w:sz w:val="18"/>
                      </w:rPr>
                      <w:t>24-26 años</w:t>
                    </w:r>
                  </w:p>
                </w:txbxContent>
              </v:textbox>
              <w10:wrap type="none"/>
            </v:shape>
            <v:shape style="position:absolute;left:6631;top:9743;width:817;height:183" type="#_x0000_t202" filled="false" stroked="false">
              <v:textbox inset="0,0,0,0">
                <w:txbxContent>
                  <w:p>
                    <w:pPr>
                      <w:spacing w:line="182" w:lineRule="exact" w:before="0"/>
                      <w:ind w:left="0" w:right="-18" w:firstLine="0"/>
                      <w:jc w:val="left"/>
                      <w:rPr>
                        <w:rFonts w:ascii="Calibri" w:hAnsi="Calibri"/>
                        <w:b/>
                        <w:sz w:val="18"/>
                      </w:rPr>
                    </w:pPr>
                    <w:r>
                      <w:rPr>
                        <w:rFonts w:ascii="Calibri" w:hAnsi="Calibri"/>
                        <w:b/>
                        <w:sz w:val="18"/>
                      </w:rPr>
                      <w:t>27-29 años</w:t>
                    </w:r>
                  </w:p>
                </w:txbxContent>
              </v:textbox>
              <w10:wrap type="none"/>
            </v:shape>
            <v:shape style="position:absolute;left:7884;top:9743;width:817;height:183" type="#_x0000_t202" filled="false" stroked="false">
              <v:textbox inset="0,0,0,0">
                <w:txbxContent>
                  <w:p>
                    <w:pPr>
                      <w:spacing w:line="182" w:lineRule="exact" w:before="0"/>
                      <w:ind w:left="0" w:right="-18" w:firstLine="0"/>
                      <w:jc w:val="left"/>
                      <w:rPr>
                        <w:rFonts w:ascii="Calibri" w:hAnsi="Calibri"/>
                        <w:b/>
                        <w:sz w:val="18"/>
                      </w:rPr>
                    </w:pPr>
                    <w:r>
                      <w:rPr>
                        <w:rFonts w:ascii="Calibri" w:hAnsi="Calibri"/>
                        <w:b/>
                        <w:sz w:val="18"/>
                      </w:rPr>
                      <w:t>30-32 años</w:t>
                    </w:r>
                  </w:p>
                </w:txbxContent>
              </v:textbox>
              <w10:wrap type="none"/>
            </v:shape>
            <v:shape style="position:absolute;left:9136;top:9743;width:821;height:183" type="#_x0000_t202" filled="false" stroked="false">
              <v:textbox inset="0,0,0,0">
                <w:txbxContent>
                  <w:p>
                    <w:pPr>
                      <w:spacing w:line="182" w:lineRule="exact" w:before="0"/>
                      <w:ind w:left="0" w:right="-14" w:firstLine="0"/>
                      <w:jc w:val="left"/>
                      <w:rPr>
                        <w:rFonts w:ascii="Calibri" w:hAnsi="Calibri"/>
                        <w:b/>
                        <w:sz w:val="18"/>
                      </w:rPr>
                    </w:pPr>
                    <w:r>
                      <w:rPr>
                        <w:rFonts w:ascii="Calibri" w:hAnsi="Calibri"/>
                        <w:b/>
                        <w:sz w:val="18"/>
                      </w:rPr>
                      <w:t>33-35 años</w:t>
                    </w:r>
                  </w:p>
                </w:txbxContent>
              </v:textbox>
              <w10:wrap type="none"/>
            </v:shape>
            <v:shape style="position:absolute;left:5431;top:10093;width:1960;height:183" type="#_x0000_t202" filled="false" stroked="false">
              <v:textbox inset="0,0,0,0">
                <w:txbxContent>
                  <w:p>
                    <w:pPr>
                      <w:spacing w:line="182" w:lineRule="exact" w:before="0"/>
                      <w:ind w:left="0" w:right="-10" w:firstLine="0"/>
                      <w:jc w:val="left"/>
                      <w:rPr>
                        <w:rFonts w:ascii="Calibri"/>
                        <w:b/>
                        <w:sz w:val="18"/>
                      </w:rPr>
                    </w:pPr>
                    <w:r>
                      <w:rPr>
                        <w:rFonts w:ascii="Calibri"/>
                        <w:b/>
                        <w:sz w:val="18"/>
                      </w:rPr>
                      <w:t>Media por rangos de</w:t>
                    </w:r>
                    <w:r>
                      <w:rPr>
                        <w:rFonts w:ascii="Calibri"/>
                        <w:b/>
                        <w:spacing w:val="-11"/>
                        <w:sz w:val="18"/>
                      </w:rPr>
                      <w:t> </w:t>
                    </w:r>
                    <w:r>
                      <w:rPr>
                        <w:rFonts w:ascii="Calibri"/>
                        <w:b/>
                        <w:sz w:val="18"/>
                      </w:rPr>
                      <w:t>edad</w:t>
                    </w:r>
                  </w:p>
                </w:txbxContent>
              </v:textbox>
              <w10:wrap type="none"/>
            </v:shape>
            <v:shape style="position:absolute;left:8093;top:3224;width:389;height:6366" type="#_x0000_t202" filled="true" fillcolor="#5b9bd4" stroked="false">
              <v:textbox inset="0,0,0,0">
                <w:txbxContent>
                  <w:p>
                    <w:pPr>
                      <w:spacing w:before="94"/>
                      <w:ind w:left="71" w:right="0" w:firstLine="0"/>
                      <w:jc w:val="left"/>
                      <w:rPr>
                        <w:rFonts w:ascii="Calibri"/>
                        <w:b/>
                        <w:sz w:val="20"/>
                      </w:rPr>
                    </w:pPr>
                    <w:r>
                      <w:rPr>
                        <w:rFonts w:ascii="Calibri"/>
                        <w:b/>
                        <w:sz w:val="20"/>
                      </w:rPr>
                      <w:t>6.6</w:t>
                    </w:r>
                  </w:p>
                </w:txbxContent>
              </v:textbox>
              <v:fill type="solid"/>
              <w10:wrap type="none"/>
            </v:shape>
            <v:shape style="position:absolute;left:6840;top:6435;width:394;height:3155" type="#_x0000_t202" filled="true" fillcolor="#5b9bd4" stroked="false">
              <v:textbox inset="0,0,0,0">
                <w:txbxContent>
                  <w:p>
                    <w:pPr>
                      <w:spacing w:before="91"/>
                      <w:ind w:left="71" w:right="0" w:firstLine="0"/>
                      <w:jc w:val="left"/>
                      <w:rPr>
                        <w:rFonts w:ascii="Calibri"/>
                        <w:b/>
                        <w:sz w:val="20"/>
                      </w:rPr>
                    </w:pPr>
                    <w:r>
                      <w:rPr>
                        <w:rFonts w:ascii="Calibri"/>
                        <w:b/>
                        <w:sz w:val="20"/>
                      </w:rPr>
                      <w:t>5.5</w:t>
                    </w:r>
                  </w:p>
                </w:txbxContent>
              </v:textbox>
              <v:fill type="solid"/>
              <w10:wrap type="none"/>
            </v:shape>
            <v:shape style="position:absolute;left:4334;top:6574;width:394;height:3016" type="#_x0000_t202" filled="true" fillcolor="#5b9bd4" stroked="false">
              <v:textbox inset="0,0,0,0">
                <w:txbxContent>
                  <w:p>
                    <w:pPr>
                      <w:spacing w:before="92"/>
                      <w:ind w:left="71" w:right="0" w:firstLine="0"/>
                      <w:jc w:val="left"/>
                      <w:rPr>
                        <w:rFonts w:ascii="Calibri"/>
                        <w:b/>
                        <w:sz w:val="20"/>
                      </w:rPr>
                    </w:pPr>
                    <w:r>
                      <w:rPr>
                        <w:rFonts w:ascii="Calibri"/>
                        <w:b/>
                        <w:sz w:val="20"/>
                      </w:rPr>
                      <w:t>5.5</w:t>
                    </w:r>
                  </w:p>
                </w:txbxContent>
              </v:textbox>
              <v:fill type="solid"/>
              <w10:wrap type="none"/>
            </v:shape>
            <v:shape style="position:absolute;left:5587;top:7213;width:394;height:2377" type="#_x0000_t202" filled="true" fillcolor="#5b9bd4" stroked="false">
              <v:textbox inset="0,0,0,0">
                <w:txbxContent>
                  <w:p>
                    <w:pPr>
                      <w:spacing w:before="92"/>
                      <w:ind w:left="71" w:right="0" w:firstLine="0"/>
                      <w:jc w:val="left"/>
                      <w:rPr>
                        <w:rFonts w:ascii="Calibri"/>
                        <w:b/>
                        <w:sz w:val="20"/>
                      </w:rPr>
                    </w:pPr>
                    <w:r>
                      <w:rPr>
                        <w:rFonts w:ascii="Calibri"/>
                        <w:b/>
                        <w:sz w:val="20"/>
                      </w:rPr>
                      <w:t>5.3</w:t>
                    </w:r>
                  </w:p>
                </w:txbxContent>
              </v:textbox>
              <v:fill type="solid"/>
              <w10:wrap type="none"/>
            </v:shape>
            <v:shape style="position:absolute;left:9346;top:7246;width:389;height:2344" type="#_x0000_t202" filled="true" fillcolor="#5b9bd4" stroked="false">
              <v:textbox inset="0,0,0,0">
                <w:txbxContent>
                  <w:p>
                    <w:pPr>
                      <w:spacing w:before="96"/>
                      <w:ind w:left="71" w:right="0" w:firstLine="0"/>
                      <w:jc w:val="left"/>
                      <w:rPr>
                        <w:rFonts w:ascii="Calibri"/>
                        <w:b/>
                        <w:sz w:val="20"/>
                      </w:rPr>
                    </w:pPr>
                    <w:r>
                      <w:rPr>
                        <w:rFonts w:ascii="Calibri"/>
                        <w:b/>
                        <w:sz w:val="20"/>
                      </w:rPr>
                      <w:t>5.3</w:t>
                    </w:r>
                  </w:p>
                </w:txbxContent>
              </v:textbox>
              <v:fill type="solid"/>
              <w10:wrap type="none"/>
            </v:shape>
            <v:shape style="position:absolute;left:3082;top:8470;width:394;height:1120" type="#_x0000_t202" filled="true" fillcolor="#5b9bd4" stroked="false">
              <v:textbox inset="0,0,0,0">
                <w:txbxContent>
                  <w:p>
                    <w:pPr>
                      <w:spacing w:before="95"/>
                      <w:ind w:left="71" w:right="0" w:firstLine="0"/>
                      <w:jc w:val="left"/>
                      <w:rPr>
                        <w:rFonts w:ascii="Calibri"/>
                        <w:b/>
                        <w:sz w:val="20"/>
                      </w:rPr>
                    </w:pPr>
                    <w:r>
                      <w:rPr>
                        <w:rFonts w:ascii="Calibri"/>
                        <w:b/>
                        <w:sz w:val="20"/>
                      </w:rPr>
                      <w:t>4.9</w:t>
                    </w:r>
                  </w:p>
                </w:txbxContent>
              </v:textbox>
              <v:fill type="solid"/>
              <w10:wrap type="none"/>
            </v:shape>
            <w10:wrap type="none"/>
          </v:group>
        </w:pict>
      </w:r>
      <w:r>
        <w:rPr/>
        <w:pict>
          <v:shape style="position:absolute;margin-left:98.601997pt;margin-top:222.413986pt;width:12.15pt;height:129.8pt;mso-position-horizontal-relative:page;mso-position-vertical-relative:paragraph;z-index:5416" type="#_x0000_t202" filled="false" stroked="false">
            <v:textbox inset="0,0,0,0" style="layout-flow:vertical;mso-layout-flow-alt:bottom-to-top">
              <w:txbxContent>
                <w:p>
                  <w:pPr>
                    <w:spacing w:line="225" w:lineRule="exact" w:before="0"/>
                    <w:ind w:left="20" w:right="0" w:firstLine="0"/>
                    <w:jc w:val="left"/>
                    <w:rPr>
                      <w:rFonts w:ascii="Calibri" w:hAnsi="Calibri"/>
                      <w:b/>
                      <w:sz w:val="20"/>
                    </w:rPr>
                  </w:pPr>
                  <w:r>
                    <w:rPr>
                      <w:rFonts w:ascii="Calibri" w:hAnsi="Calibri"/>
                      <w:b/>
                      <w:spacing w:val="-2"/>
                      <w:w w:val="101"/>
                      <w:sz w:val="20"/>
                    </w:rPr>
                    <w:t>Í</w:t>
                  </w:r>
                  <w:r>
                    <w:rPr>
                      <w:rFonts w:ascii="Calibri" w:hAnsi="Calibri"/>
                      <w:b/>
                      <w:spacing w:val="1"/>
                      <w:w w:val="101"/>
                      <w:sz w:val="20"/>
                    </w:rPr>
                    <w:t>nd</w:t>
                  </w:r>
                  <w:r>
                    <w:rPr>
                      <w:rFonts w:ascii="Calibri" w:hAnsi="Calibri"/>
                      <w:b/>
                      <w:spacing w:val="-2"/>
                      <w:w w:val="101"/>
                      <w:sz w:val="20"/>
                    </w:rPr>
                    <w:t>i</w:t>
                  </w:r>
                  <w:r>
                    <w:rPr>
                      <w:rFonts w:ascii="Calibri" w:hAnsi="Calibri"/>
                      <w:b/>
                      <w:spacing w:val="1"/>
                      <w:w w:val="101"/>
                      <w:sz w:val="20"/>
                    </w:rPr>
                    <w:t>c</w:t>
                  </w:r>
                  <w:r>
                    <w:rPr>
                      <w:rFonts w:ascii="Calibri" w:hAnsi="Calibri"/>
                      <w:b/>
                      <w:w w:val="101"/>
                      <w:sz w:val="20"/>
                    </w:rPr>
                    <w:t>e</w:t>
                  </w:r>
                  <w:r>
                    <w:rPr>
                      <w:rFonts w:ascii="Calibri" w:hAnsi="Calibri"/>
                      <w:b/>
                      <w:spacing w:val="-8"/>
                      <w:sz w:val="20"/>
                    </w:rPr>
                    <w:t> </w:t>
                  </w:r>
                  <w:r>
                    <w:rPr>
                      <w:rFonts w:ascii="Calibri" w:hAnsi="Calibri"/>
                      <w:b/>
                      <w:spacing w:val="1"/>
                      <w:w w:val="101"/>
                      <w:sz w:val="20"/>
                    </w:rPr>
                    <w:t>d</w:t>
                  </w:r>
                  <w:r>
                    <w:rPr>
                      <w:rFonts w:ascii="Calibri" w:hAnsi="Calibri"/>
                      <w:b/>
                      <w:w w:val="101"/>
                      <w:sz w:val="20"/>
                    </w:rPr>
                    <w:t>e</w:t>
                  </w:r>
                  <w:r>
                    <w:rPr>
                      <w:rFonts w:ascii="Calibri" w:hAnsi="Calibri"/>
                      <w:b/>
                      <w:spacing w:val="-3"/>
                      <w:sz w:val="20"/>
                    </w:rPr>
                    <w:t> </w:t>
                  </w:r>
                  <w:r>
                    <w:rPr>
                      <w:rFonts w:ascii="Calibri" w:hAnsi="Calibri"/>
                      <w:b/>
                      <w:spacing w:val="-1"/>
                      <w:w w:val="101"/>
                      <w:sz w:val="20"/>
                    </w:rPr>
                    <w:t>e</w:t>
                  </w:r>
                  <w:r>
                    <w:rPr>
                      <w:rFonts w:ascii="Calibri" w:hAnsi="Calibri"/>
                      <w:b/>
                      <w:spacing w:val="-2"/>
                      <w:w w:val="101"/>
                      <w:sz w:val="20"/>
                    </w:rPr>
                    <w:t>fi</w:t>
                  </w:r>
                  <w:r>
                    <w:rPr>
                      <w:rFonts w:ascii="Calibri" w:hAnsi="Calibri"/>
                      <w:b/>
                      <w:spacing w:val="1"/>
                      <w:w w:val="101"/>
                      <w:sz w:val="20"/>
                    </w:rPr>
                    <w:t>c</w:t>
                  </w:r>
                  <w:r>
                    <w:rPr>
                      <w:rFonts w:ascii="Calibri" w:hAnsi="Calibri"/>
                      <w:b/>
                      <w:spacing w:val="-2"/>
                      <w:w w:val="101"/>
                      <w:sz w:val="20"/>
                    </w:rPr>
                    <w:t>i</w:t>
                  </w:r>
                  <w:r>
                    <w:rPr>
                      <w:rFonts w:ascii="Calibri" w:hAnsi="Calibri"/>
                      <w:b/>
                      <w:spacing w:val="-1"/>
                      <w:w w:val="101"/>
                      <w:sz w:val="20"/>
                    </w:rPr>
                    <w:t>e</w:t>
                  </w:r>
                  <w:r>
                    <w:rPr>
                      <w:rFonts w:ascii="Calibri" w:hAnsi="Calibri"/>
                      <w:b/>
                      <w:spacing w:val="1"/>
                      <w:w w:val="101"/>
                      <w:sz w:val="20"/>
                    </w:rPr>
                    <w:t>nc</w:t>
                  </w:r>
                  <w:r>
                    <w:rPr>
                      <w:rFonts w:ascii="Calibri" w:hAnsi="Calibri"/>
                      <w:b/>
                      <w:spacing w:val="-2"/>
                      <w:w w:val="101"/>
                      <w:sz w:val="20"/>
                    </w:rPr>
                    <w:t>i</w:t>
                  </w:r>
                  <w:r>
                    <w:rPr>
                      <w:rFonts w:ascii="Calibri" w:hAnsi="Calibri"/>
                      <w:b/>
                      <w:w w:val="101"/>
                      <w:sz w:val="20"/>
                    </w:rPr>
                    <w:t>a</w:t>
                  </w:r>
                  <w:r>
                    <w:rPr>
                      <w:rFonts w:ascii="Calibri" w:hAnsi="Calibri"/>
                      <w:b/>
                      <w:spacing w:val="-6"/>
                      <w:sz w:val="20"/>
                    </w:rPr>
                    <w:t> </w:t>
                  </w:r>
                  <w:r>
                    <w:rPr>
                      <w:rFonts w:ascii="Calibri" w:hAnsi="Calibri"/>
                      <w:b/>
                      <w:spacing w:val="-2"/>
                      <w:w w:val="101"/>
                      <w:sz w:val="20"/>
                    </w:rPr>
                    <w:t>mi</w:t>
                  </w:r>
                  <w:r>
                    <w:rPr>
                      <w:rFonts w:ascii="Calibri" w:hAnsi="Calibri"/>
                      <w:b/>
                      <w:spacing w:val="1"/>
                      <w:w w:val="101"/>
                      <w:sz w:val="20"/>
                    </w:rPr>
                    <w:t>oc</w:t>
                  </w:r>
                  <w:r>
                    <w:rPr>
                      <w:rFonts w:ascii="Calibri" w:hAnsi="Calibri"/>
                      <w:b/>
                      <w:w w:val="101"/>
                      <w:sz w:val="20"/>
                    </w:rPr>
                    <w:t>á</w:t>
                  </w:r>
                  <w:r>
                    <w:rPr>
                      <w:rFonts w:ascii="Calibri" w:hAnsi="Calibri"/>
                      <w:b/>
                      <w:spacing w:val="-1"/>
                      <w:w w:val="101"/>
                      <w:sz w:val="20"/>
                    </w:rPr>
                    <w:t>r</w:t>
                  </w:r>
                  <w:r>
                    <w:rPr>
                      <w:rFonts w:ascii="Calibri" w:hAnsi="Calibri"/>
                      <w:b/>
                      <w:spacing w:val="2"/>
                      <w:w w:val="101"/>
                      <w:sz w:val="20"/>
                    </w:rPr>
                    <w:t>d</w:t>
                  </w:r>
                  <w:r>
                    <w:rPr>
                      <w:rFonts w:ascii="Calibri" w:hAnsi="Calibri"/>
                      <w:b/>
                      <w:spacing w:val="-2"/>
                      <w:w w:val="101"/>
                      <w:sz w:val="20"/>
                    </w:rPr>
                    <w:t>i</w:t>
                  </w:r>
                  <w:r>
                    <w:rPr>
                      <w:rFonts w:ascii="Calibri" w:hAnsi="Calibri"/>
                      <w:b/>
                      <w:spacing w:val="1"/>
                      <w:w w:val="101"/>
                      <w:sz w:val="20"/>
                    </w:rPr>
                    <w:t>c</w:t>
                  </w:r>
                  <w:r>
                    <w:rPr>
                      <w:rFonts w:ascii="Calibri" w:hAnsi="Calibri"/>
                      <w:b/>
                      <w:w w:val="101"/>
                      <w:sz w:val="20"/>
                    </w:rPr>
                    <w:t>a</w:t>
                  </w:r>
                </w:p>
              </w:txbxContent>
            </v:textbox>
            <w10:wrap type="none"/>
          </v:shape>
        </w:pict>
      </w:r>
      <w:r>
        <w:rPr/>
        <w:t>Gráfico 7. Índice de eficiencia miocárdica por rango de edad en jugadores de  fútbol asociación en pretemporada 2015 a 2600 metros a nivel del</w:t>
      </w:r>
      <w:r>
        <w:rPr>
          <w:spacing w:val="-36"/>
        </w:rPr>
        <w:t> </w:t>
      </w:r>
      <w:r>
        <w:rPr/>
        <w:t>mar.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p>
    <w:p>
      <w:pPr>
        <w:spacing w:before="1"/>
        <w:ind w:left="119" w:right="0" w:firstLine="7284"/>
        <w:jc w:val="left"/>
        <w:rPr>
          <w:sz w:val="20"/>
        </w:rPr>
      </w:pPr>
      <w:r>
        <w:rPr>
          <w:sz w:val="20"/>
        </w:rPr>
        <w:t>Fuente: Cuadro 1</w:t>
      </w:r>
    </w:p>
    <w:p>
      <w:pPr>
        <w:pStyle w:val="BodyText"/>
        <w:rPr>
          <w:sz w:val="20"/>
        </w:rPr>
      </w:pPr>
    </w:p>
    <w:p>
      <w:pPr>
        <w:pStyle w:val="BodyText"/>
        <w:rPr>
          <w:sz w:val="20"/>
        </w:rPr>
      </w:pPr>
    </w:p>
    <w:p>
      <w:pPr>
        <w:pStyle w:val="BodyText"/>
        <w:spacing w:line="259" w:lineRule="auto" w:before="175"/>
        <w:ind w:left="119" w:right="114"/>
        <w:jc w:val="both"/>
      </w:pPr>
      <w:r>
        <w:rPr/>
        <w:t>Los rangos por edad se comportan </w:t>
      </w:r>
      <w:r>
        <w:rPr>
          <w:spacing w:val="-3"/>
        </w:rPr>
        <w:t>muy </w:t>
      </w:r>
      <w:r>
        <w:rPr/>
        <w:t>similares y cercanos a la media del índice de eficiencia miocárdica en jugadores de fútbol asociación en pretemporada 2015 a 2600 metros a nivel del </w:t>
      </w:r>
      <w:r>
        <w:rPr>
          <w:spacing w:val="-3"/>
        </w:rPr>
        <w:t>mar </w:t>
      </w:r>
      <w:r>
        <w:rPr/>
        <w:t>teniendo mejor resultado el rango de 18-20 años </w:t>
      </w:r>
      <w:r>
        <w:rPr>
          <w:spacing w:val="16"/>
        </w:rPr>
        <w:t> </w:t>
      </w:r>
      <w:r>
        <w:rPr/>
        <w:t>de</w:t>
      </w:r>
    </w:p>
    <w:p>
      <w:pPr>
        <w:pStyle w:val="BodyText"/>
        <w:ind w:left="119"/>
        <w:jc w:val="both"/>
      </w:pPr>
      <w:r>
        <w:rPr/>
        <w:t>4.9 y el peor resultado los de 30-32 años por rango de edad con 6.6.</w:t>
      </w:r>
    </w:p>
    <w:p>
      <w:pPr>
        <w:spacing w:after="0"/>
        <w:jc w:val="both"/>
        <w:sectPr>
          <w:pgSz w:w="12240" w:h="15840"/>
          <w:pgMar w:header="0" w:footer="966" w:top="1360" w:bottom="1220" w:left="1580" w:right="1580"/>
        </w:sectPr>
      </w:pPr>
    </w:p>
    <w:p>
      <w:pPr>
        <w:pStyle w:val="ListParagraph"/>
        <w:numPr>
          <w:ilvl w:val="0"/>
          <w:numId w:val="4"/>
        </w:numPr>
        <w:tabs>
          <w:tab w:pos="413" w:val="left" w:leader="none"/>
        </w:tabs>
        <w:spacing w:line="240" w:lineRule="auto" w:before="47" w:after="0"/>
        <w:ind w:left="412" w:right="0" w:hanging="293"/>
        <w:jc w:val="both"/>
        <w:rPr>
          <w:b/>
          <w:sz w:val="24"/>
        </w:rPr>
      </w:pPr>
      <w:r>
        <w:rPr>
          <w:b/>
          <w:sz w:val="24"/>
        </w:rPr>
        <w:t>CONCLUSIONES</w:t>
      </w:r>
    </w:p>
    <w:p>
      <w:pPr>
        <w:pStyle w:val="BodyText"/>
        <w:spacing w:before="5"/>
        <w:rPr>
          <w:b/>
          <w:sz w:val="26"/>
        </w:rPr>
      </w:pPr>
    </w:p>
    <w:p>
      <w:pPr>
        <w:pStyle w:val="BodyText"/>
        <w:spacing w:line="360" w:lineRule="auto" w:before="1"/>
        <w:ind w:left="119" w:right="121"/>
        <w:jc w:val="both"/>
      </w:pPr>
      <w:r>
        <w:rPr/>
        <w:t>El índice de eficiencia miocárdica en jugadores de fútbol asociación en pretemporada 2015 a 2600 metros sobre el nivel del mar concuerda con el esperado en la bibliografía revisada.</w:t>
      </w:r>
    </w:p>
    <w:p>
      <w:pPr>
        <w:pStyle w:val="BodyText"/>
        <w:spacing w:line="360" w:lineRule="auto" w:before="166"/>
        <w:ind w:left="119" w:right="122"/>
        <w:jc w:val="both"/>
      </w:pPr>
      <w:r>
        <w:rPr/>
        <w:t>El índice de eficiencia miocárdica como un indicador que nos informa de la integridad cardiovascular del jugador es adecuado en todos los integrantes del grupo de estudio presentando un valor normal óptimo en una media de 5.5, en rangos normales de acuerdo a las guías clínicas cardiológicas de Norteamérica.</w:t>
      </w:r>
    </w:p>
    <w:p>
      <w:pPr>
        <w:pStyle w:val="BodyText"/>
        <w:spacing w:line="360" w:lineRule="auto" w:before="161"/>
        <w:ind w:left="119" w:right="117"/>
        <w:jc w:val="both"/>
      </w:pPr>
      <w:r>
        <w:rPr/>
        <w:t>El consumo máximo de oxígeno y consumo miocárdico de oxigeno son directamente proporcionales al índice de eficiencia miocárdica sin olvidar la relación del doble producto con la frecuencia cardiaca máxima y presión arterial máxima como indicadores cardiovasculares de un mejor trabajo cardiaco.</w:t>
      </w:r>
    </w:p>
    <w:p>
      <w:pPr>
        <w:pStyle w:val="BodyText"/>
        <w:spacing w:line="360" w:lineRule="auto" w:before="161"/>
        <w:ind w:left="119" w:right="127"/>
        <w:jc w:val="both"/>
      </w:pPr>
      <w:r>
        <w:rPr/>
        <w:t>Se encuentra en este grupo de estudio mejores resultados en el índice de eficiencia miocárdica en los jugadores jóvenes y con mayor tiempo de entrenamiento en relación con los años practicando el fútbol asociación y obteniendo una mejor optimización cardiovascular.</w:t>
      </w:r>
    </w:p>
    <w:p>
      <w:pPr>
        <w:pStyle w:val="BodyText"/>
        <w:spacing w:line="360" w:lineRule="auto" w:before="166"/>
        <w:ind w:left="119" w:right="128"/>
        <w:jc w:val="both"/>
      </w:pPr>
      <w:r>
        <w:rPr/>
        <w:t>Los jugadores en este grupo de estudio con posición de medios tienen un mejor índice de eficiencia miocárdica en comparación con los demás siendo los segundos los defensas, terceros los delanteros y por último los porteros los que tiene menor optimización cardiovascular que los mencionados.</w:t>
      </w:r>
    </w:p>
    <w:p>
      <w:pPr>
        <w:pStyle w:val="BodyText"/>
        <w:spacing w:line="362" w:lineRule="auto" w:before="166"/>
        <w:ind w:left="119" w:right="117"/>
        <w:jc w:val="both"/>
      </w:pPr>
      <w:r>
        <w:rPr/>
        <w:t>La presión arterial máxima y frecuencia cardiaca juega un papel importante para determinar el índice de eficiencia miocárdica, ya que sus valores subestimados pueden arrojar cambios significativos al determinar este índice.</w:t>
      </w:r>
    </w:p>
    <w:p>
      <w:pPr>
        <w:spacing w:after="0" w:line="362" w:lineRule="auto"/>
        <w:jc w:val="both"/>
        <w:sectPr>
          <w:pgSz w:w="12240" w:h="15840"/>
          <w:pgMar w:header="0" w:footer="966" w:top="1360" w:bottom="1220" w:left="1580" w:right="1580"/>
        </w:sectPr>
      </w:pPr>
    </w:p>
    <w:p>
      <w:pPr>
        <w:pStyle w:val="Heading1"/>
        <w:numPr>
          <w:ilvl w:val="0"/>
          <w:numId w:val="4"/>
        </w:numPr>
        <w:tabs>
          <w:tab w:pos="476" w:val="left" w:leader="none"/>
        </w:tabs>
        <w:spacing w:line="240" w:lineRule="auto" w:before="47" w:after="0"/>
        <w:ind w:left="475" w:right="0" w:hanging="356"/>
        <w:jc w:val="both"/>
      </w:pPr>
      <w:bookmarkStart w:name="_TOC_250001" w:id="65"/>
      <w:r>
        <w:rPr/>
        <w:t>DISCUSIÓN Y</w:t>
      </w:r>
      <w:r>
        <w:rPr>
          <w:spacing w:val="-4"/>
        </w:rPr>
        <w:t> </w:t>
      </w:r>
      <w:bookmarkEnd w:id="65"/>
      <w:r>
        <w:rPr/>
        <w:t>SUGERENCIAS</w:t>
      </w:r>
    </w:p>
    <w:p>
      <w:pPr>
        <w:pStyle w:val="BodyText"/>
        <w:rPr>
          <w:b/>
        </w:rPr>
      </w:pPr>
    </w:p>
    <w:p>
      <w:pPr>
        <w:pStyle w:val="BodyText"/>
        <w:spacing w:line="360" w:lineRule="auto" w:before="202"/>
        <w:ind w:left="119" w:right="131"/>
        <w:jc w:val="both"/>
      </w:pPr>
      <w:r>
        <w:rPr/>
        <w:t>La muestra que se utilizó en este estudio fue de 25 jugadores de fútbol asociación a 2600 metros sobre el nivel del mar con 2 porteros, 5 defensas, 12 medios, 6 delanteros en pretemporada 2015.</w:t>
      </w:r>
    </w:p>
    <w:p>
      <w:pPr>
        <w:pStyle w:val="BodyText"/>
        <w:spacing w:line="360" w:lineRule="auto" w:before="166"/>
        <w:ind w:left="119" w:right="118"/>
        <w:jc w:val="both"/>
      </w:pPr>
      <w:r>
        <w:rPr/>
        <w:t>Los hallazgos que se obtuvieron en la muestra fue que la media del índice de eficiencia miocárdica en jugadores de fútbol asociación en pretemporada 2015 a 2600 metros sobre el nivel del mar es de 5.5 (Gráfica 1) en relación con las guías cardiológicas de Norteamérica (52) se encuentran en un parámetro normal y nos refiere un trabajo cardiaco óptimo en este grupo de estudio. En lo individual podemos observar que existe un valor máximo de 7.6 y menor de 3.7 donde el máximo refiere un mayor trabajo cardiovascular en este grupo de estudio y el mínimo hacia una optimización cardiovascular.</w:t>
      </w:r>
    </w:p>
    <w:p>
      <w:pPr>
        <w:pStyle w:val="BodyText"/>
        <w:spacing w:line="360" w:lineRule="auto" w:before="161"/>
        <w:ind w:left="119" w:right="115"/>
        <w:jc w:val="both"/>
      </w:pPr>
      <w:r>
        <w:rPr/>
        <w:t>La media del consumo miocárdico de oxígeno en jugadores de fútbol asociación en pretemporada 2015 a 2600 metros a nivel del </w:t>
      </w:r>
      <w:r>
        <w:rPr>
          <w:spacing w:val="-3"/>
        </w:rPr>
        <w:t>mar </w:t>
      </w:r>
      <w:r>
        <w:rPr/>
        <w:t>es de 28.3 donde los resultados individuales con un </w:t>
      </w:r>
      <w:r>
        <w:rPr>
          <w:spacing w:val="-3"/>
        </w:rPr>
        <w:t>máximo </w:t>
      </w:r>
      <w:r>
        <w:rPr>
          <w:spacing w:val="2"/>
        </w:rPr>
        <w:t>de </w:t>
      </w:r>
      <w:r>
        <w:rPr/>
        <w:t>32.7 ml/Kg/min y un mínimo 23 ml/Kg/min, lo significativo es que se obtuvieron pocos resultados mínimos en su mayoría superiores a 26 ml/Kg/min (Gráfica 2). La media del consumo máximo de oxígeno en jugadores de fútbol asociación en pretemporada 2015 a 2600 metros a nivel </w:t>
      </w:r>
      <w:r>
        <w:rPr>
          <w:spacing w:val="-3"/>
        </w:rPr>
        <w:t>del mar </w:t>
      </w:r>
      <w:r>
        <w:rPr/>
        <w:t>es de 52 ml/Kg/min (Gráfica 3) en donde no existe gran diferencia en resultados máximos y mínimos, en general el grupo de jugadores de fútbol asociación se mantiene con un estado adecuado para la práctica de fútbol asociación de acuerdo al consumo máximo de oxígeno.</w:t>
      </w:r>
      <w:r>
        <w:rPr>
          <w:spacing w:val="-25"/>
        </w:rPr>
        <w:t> </w:t>
      </w:r>
      <w:r>
        <w:rPr/>
        <w:t>(32)</w:t>
      </w:r>
    </w:p>
    <w:p>
      <w:pPr>
        <w:pStyle w:val="BodyText"/>
        <w:spacing w:line="360" w:lineRule="auto" w:before="166"/>
        <w:ind w:left="119" w:right="117"/>
        <w:jc w:val="both"/>
      </w:pPr>
      <w:r>
        <w:rPr/>
        <w:t>En relación individual con el jugador 6, 9 en este estudio (Gráfica 4), el jugador 6 presenta un consumo máximo de oxígeno de 39.08 ml/Kg/min, consumo miocárdico de oxígeno de 29.6 ml/Kg/min e índice de eficiencia miocárdica de 7.6 en comparativa del jugador 9 con consumo máximo de oxígeno de 61.8 ml/Kg/min, consumo miocárdico de oxígeno de 23 ml/Kg/min e índice de eficiencia miocárdica</w:t>
      </w:r>
    </w:p>
    <w:p>
      <w:pPr>
        <w:pStyle w:val="BodyText"/>
        <w:spacing w:line="362" w:lineRule="auto" w:before="2"/>
        <w:ind w:left="119" w:right="128"/>
        <w:jc w:val="both"/>
      </w:pPr>
      <w:r>
        <w:rPr/>
        <w:t>3.7 nos permite comentar que el índice de eficiencia miocárdica es directamente proporcional al consumo máximo de oxígeno y consumo miocárdico de oxígeno   a</w:t>
      </w:r>
    </w:p>
    <w:p>
      <w:pPr>
        <w:spacing w:after="0" w:line="362" w:lineRule="auto"/>
        <w:jc w:val="both"/>
        <w:sectPr>
          <w:pgSz w:w="12240" w:h="15840"/>
          <w:pgMar w:header="0" w:footer="966" w:top="1360" w:bottom="1220" w:left="1580" w:right="1580"/>
        </w:sectPr>
      </w:pPr>
    </w:p>
    <w:p>
      <w:pPr>
        <w:pStyle w:val="BodyText"/>
        <w:spacing w:line="360" w:lineRule="auto" w:before="52"/>
        <w:ind w:left="119" w:right="130"/>
        <w:jc w:val="both"/>
      </w:pPr>
      <w:r>
        <w:rPr/>
        <w:t>mayor consumo máximo de oxigeno se espera una optimización cardiovascular para el jugador y un mejor indicador para el índice de eficiencia miocárdica.</w:t>
      </w:r>
    </w:p>
    <w:p>
      <w:pPr>
        <w:pStyle w:val="BodyText"/>
        <w:spacing w:line="360" w:lineRule="auto" w:before="166"/>
        <w:ind w:left="119" w:right="113"/>
        <w:jc w:val="both"/>
      </w:pPr>
      <w:r>
        <w:rPr/>
        <w:t>La optimización cardiovascular y mejores resultados del índice de eficiencia miocárdica se encuentra en los medios con 5.3 siendo en los porteros el peor resultado 6.1 de acuerdo al grupo por posición de juego en este grupo de estudio, (Gráfica 5) los defensas y delanteros se encuentran </w:t>
      </w:r>
      <w:r>
        <w:rPr>
          <w:spacing w:val="-3"/>
        </w:rPr>
        <w:t>más </w:t>
      </w:r>
      <w:r>
        <w:rPr/>
        <w:t>cercanos a la media </w:t>
      </w:r>
      <w:r>
        <w:rPr>
          <w:spacing w:val="60"/>
        </w:rPr>
        <w:t> </w:t>
      </w:r>
      <w:r>
        <w:rPr/>
        <w:t>con</w:t>
      </w:r>
    </w:p>
    <w:p>
      <w:pPr>
        <w:pStyle w:val="BodyText"/>
        <w:spacing w:before="2"/>
        <w:ind w:left="119"/>
        <w:jc w:val="both"/>
      </w:pPr>
      <w:r>
        <w:rPr/>
        <w:t>5.5 y 5.6 respectivamente.</w:t>
      </w:r>
    </w:p>
    <w:p>
      <w:pPr>
        <w:pStyle w:val="BodyText"/>
        <w:spacing w:before="1"/>
        <w:rPr>
          <w:sz w:val="26"/>
        </w:rPr>
      </w:pPr>
    </w:p>
    <w:p>
      <w:pPr>
        <w:pStyle w:val="BodyText"/>
        <w:spacing w:line="360" w:lineRule="auto"/>
        <w:ind w:left="119" w:right="119"/>
        <w:jc w:val="both"/>
      </w:pPr>
      <w:r>
        <w:rPr/>
        <w:t>El índice de eficiencia miocárdica por tiempo de entrenamiento en jugadores de fútbol asociación en pretemporada 2015 a 2600 metros a nivel del </w:t>
      </w:r>
      <w:r>
        <w:rPr>
          <w:spacing w:val="-3"/>
        </w:rPr>
        <w:t>mar </w:t>
      </w:r>
      <w:r>
        <w:rPr/>
        <w:t>observamos que a mayor años de entrenamiento mejora la capacidad cardiovascular con rango de 25-29 años con 4.9 y mejora el índice de eficiencia miocárdica en este grupo de estudio. (Gráfica</w:t>
      </w:r>
      <w:r>
        <w:rPr>
          <w:spacing w:val="-21"/>
        </w:rPr>
        <w:t> </w:t>
      </w:r>
      <w:r>
        <w:rPr/>
        <w:t>6)</w:t>
      </w:r>
    </w:p>
    <w:p>
      <w:pPr>
        <w:pStyle w:val="BodyText"/>
        <w:spacing w:line="360" w:lineRule="auto" w:before="161"/>
        <w:ind w:left="119" w:right="115"/>
        <w:jc w:val="both"/>
      </w:pPr>
      <w:r>
        <w:rPr/>
        <w:t>Los rangos de 18-20 años presentaron 4.9, como el mejor resultado de índice de eficiencia miocárdica por rango de edad en jugadores de fútbol asociación en pretemporada 2015 a 2600 metros a nivel del mar, los rangos de 21-23 años de 5.5, de 24-26 años de 5.3 y 33-35 años presentaron 5.3, </w:t>
      </w:r>
      <w:r>
        <w:rPr>
          <w:spacing w:val="-4"/>
        </w:rPr>
        <w:t>como </w:t>
      </w:r>
      <w:r>
        <w:rPr/>
        <w:t>una media del</w:t>
      </w:r>
    </w:p>
    <w:p>
      <w:pPr>
        <w:pStyle w:val="BodyText"/>
        <w:spacing w:before="2"/>
        <w:ind w:left="119"/>
        <w:jc w:val="both"/>
      </w:pPr>
      <w:r>
        <w:rPr/>
        <w:t>grupo en 5.5  y el peor de 27-29 años de 6.6 (Gráfica 7).</w:t>
      </w:r>
    </w:p>
    <w:p>
      <w:pPr>
        <w:pStyle w:val="BodyText"/>
        <w:spacing w:before="1"/>
        <w:rPr>
          <w:sz w:val="26"/>
        </w:rPr>
      </w:pPr>
    </w:p>
    <w:p>
      <w:pPr>
        <w:pStyle w:val="BodyText"/>
        <w:spacing w:line="360" w:lineRule="auto"/>
        <w:ind w:left="119" w:right="114"/>
        <w:jc w:val="both"/>
      </w:pPr>
      <w:r>
        <w:rPr/>
        <w:t>Una variable que se detectó que es significativa para la obtención del índice de eficiencia miocárdica en la fórmula: consumo miocárdico de oxigeno = [(Doble producto x 0.14 x 0.01) – 6.3] entre </w:t>
      </w:r>
      <w:r>
        <w:rPr>
          <w:spacing w:val="-3"/>
        </w:rPr>
        <w:t>consumo </w:t>
      </w:r>
      <w:r>
        <w:rPr/>
        <w:t>máximo de oxígeno</w:t>
      </w:r>
      <w:r>
        <w:rPr>
          <w:rFonts w:ascii="Calibri" w:hAnsi="Calibri"/>
          <w:sz w:val="22"/>
        </w:rPr>
        <w:t>. </w:t>
      </w:r>
      <w:r>
        <w:rPr/>
        <w:t>Fue el doble producto siendo el resultado de multiplicar la presión arterial </w:t>
      </w:r>
      <w:r>
        <w:rPr>
          <w:spacing w:val="-3"/>
        </w:rPr>
        <w:t>máxima </w:t>
      </w:r>
      <w:r>
        <w:rPr/>
        <w:t>y frecuencia cardiaca máxima. Se observó que el valor de presión arterial </w:t>
      </w:r>
      <w:r>
        <w:rPr>
          <w:spacing w:val="-2"/>
        </w:rPr>
        <w:t>máxima </w:t>
      </w:r>
      <w:r>
        <w:rPr/>
        <w:t>se encuentra subestimado en la hoja de reporte de la prueba de esfuerzo del jugador (Anexo 1) a la percepción del tomador de dicho parámetro a entrenamiento auditivo de la presión arterial sistólica </w:t>
      </w:r>
      <w:r>
        <w:rPr>
          <w:spacing w:val="-3"/>
        </w:rPr>
        <w:t>máxima </w:t>
      </w:r>
      <w:r>
        <w:rPr/>
        <w:t>durante la prueba de esfuerzo </w:t>
      </w:r>
      <w:r>
        <w:rPr>
          <w:spacing w:val="-3"/>
        </w:rPr>
        <w:t>ya </w:t>
      </w:r>
      <w:r>
        <w:rPr/>
        <w:t>que los referentes bibliográficos establecen que es directamente proporcional al esfuerzo y las cifras normales de 120 mmHg, el estudio manejo presión arterial sistólica máximas de 130 </w:t>
      </w:r>
      <w:r>
        <w:rPr>
          <w:spacing w:val="-3"/>
        </w:rPr>
        <w:t>mmHg </w:t>
      </w:r>
      <w:r>
        <w:rPr/>
        <w:t>en promedio. Por lo que se sugiere que </w:t>
      </w:r>
      <w:r>
        <w:rPr>
          <w:spacing w:val="3"/>
        </w:rPr>
        <w:t>los </w:t>
      </w:r>
      <w:r>
        <w:rPr/>
        <w:t>profesionales en esta área deben ser médicos con un adiestramiento específico en medicina de la actividad física  y deporte  </w:t>
      </w:r>
      <w:r>
        <w:rPr>
          <w:spacing w:val="-2"/>
        </w:rPr>
        <w:t>además  </w:t>
      </w:r>
      <w:r>
        <w:rPr/>
        <w:t>en  toma  de la  presión  arterial y frecuencia</w:t>
      </w:r>
    </w:p>
    <w:p>
      <w:pPr>
        <w:spacing w:after="0" w:line="360" w:lineRule="auto"/>
        <w:jc w:val="both"/>
        <w:sectPr>
          <w:pgSz w:w="12240" w:h="15840"/>
          <w:pgMar w:header="0" w:footer="966" w:top="1360" w:bottom="1220" w:left="1580" w:right="1580"/>
        </w:sectPr>
      </w:pPr>
    </w:p>
    <w:p>
      <w:pPr>
        <w:pStyle w:val="BodyText"/>
        <w:spacing w:line="360" w:lineRule="auto" w:before="52"/>
        <w:ind w:left="119" w:right="116"/>
        <w:jc w:val="both"/>
      </w:pPr>
      <w:r>
        <w:rPr/>
        <w:t>cardiaca en esfuerzo o ejercicio para obtener resultados más exactos en las pruebas funcionales; además de la utilización de dispositivos electrónicos o automatizados con alta fidelidad a la toma de presión arterial en prueba de esfuerzo para generar mejores resultados y  obtener parámetros más precisos.</w:t>
      </w:r>
    </w:p>
    <w:p>
      <w:pPr>
        <w:pStyle w:val="BodyText"/>
        <w:spacing w:line="360" w:lineRule="auto" w:before="166"/>
        <w:ind w:left="119" w:right="121"/>
        <w:jc w:val="both"/>
      </w:pPr>
      <w:r>
        <w:rPr/>
        <w:t>Se sugiere realizar evaluación morfo-funcional incluyendo prueba de esfuerzo con analizador de gases para obtener el consumo máximo de oxígeno de una </w:t>
      </w:r>
      <w:r>
        <w:rPr>
          <w:spacing w:val="-3"/>
        </w:rPr>
        <w:t>forma </w:t>
      </w:r>
      <w:r>
        <w:rPr/>
        <w:t>directa y objetiva para obtener parámetros como el índice de  eficiencia  miocárdica, ya que existe la relación directamente proporcional entre las variables. Realizar estudios posteriores de índice de eficiencia miocárdica en jugadores de futbol asociación u otro deporte teniendo variables como la edad, tiempo de entrenamiento, actividad anaeróbica y</w:t>
      </w:r>
      <w:r>
        <w:rPr>
          <w:spacing w:val="-25"/>
        </w:rPr>
        <w:t> </w:t>
      </w:r>
      <w:r>
        <w:rPr/>
        <w:t>aeróbica.</w:t>
      </w:r>
    </w:p>
    <w:p>
      <w:pPr>
        <w:spacing w:after="0" w:line="360" w:lineRule="auto"/>
        <w:jc w:val="both"/>
        <w:sectPr>
          <w:pgSz w:w="12240" w:h="15840"/>
          <w:pgMar w:header="0" w:footer="966" w:top="1360" w:bottom="1220" w:left="1580" w:right="1580"/>
        </w:sectPr>
      </w:pPr>
    </w:p>
    <w:p>
      <w:pPr>
        <w:pStyle w:val="Heading1"/>
        <w:numPr>
          <w:ilvl w:val="0"/>
          <w:numId w:val="4"/>
        </w:numPr>
        <w:tabs>
          <w:tab w:pos="543" w:val="left" w:leader="none"/>
        </w:tabs>
        <w:spacing w:line="240" w:lineRule="auto" w:before="47" w:after="0"/>
        <w:ind w:left="542" w:right="0" w:hanging="423"/>
        <w:jc w:val="both"/>
      </w:pPr>
      <w:bookmarkStart w:name="_bookmark33" w:id="66"/>
      <w:bookmarkEnd w:id="66"/>
      <w:r>
        <w:rPr>
          <w:b w:val="0"/>
        </w:rPr>
      </w:r>
      <w:bookmarkStart w:name="_bookmark33" w:id="67"/>
      <w:bookmarkEnd w:id="67"/>
      <w:r>
        <w:rPr/>
        <w:t>B</w:t>
      </w:r>
      <w:r>
        <w:rPr/>
        <w:t>IBLIOGRAFÍA</w:t>
      </w:r>
    </w:p>
    <w:p>
      <w:pPr>
        <w:pStyle w:val="BodyText"/>
        <w:rPr>
          <w:b/>
        </w:rPr>
      </w:pPr>
    </w:p>
    <w:p>
      <w:pPr>
        <w:pStyle w:val="BodyText"/>
        <w:spacing w:before="1"/>
        <w:rPr>
          <w:b/>
          <w:sz w:val="25"/>
        </w:rPr>
      </w:pPr>
    </w:p>
    <w:p>
      <w:pPr>
        <w:pStyle w:val="BodyText"/>
        <w:spacing w:line="360" w:lineRule="auto"/>
        <w:ind w:left="119" w:right="116"/>
        <w:jc w:val="both"/>
      </w:pPr>
      <w:r>
        <w:rPr/>
        <w:t>1. - Holman rl, McGill hc Jr, Strong jp, geer jc. The natural history of atherosclerosis: the early aortic lesions as </w:t>
      </w:r>
      <w:r>
        <w:rPr>
          <w:spacing w:val="-3"/>
        </w:rPr>
        <w:t>seen </w:t>
      </w:r>
      <w:r>
        <w:rPr/>
        <w:t>in new orleans in the middle of the 20th century. am j pathol.</w:t>
      </w:r>
      <w:r>
        <w:rPr>
          <w:spacing w:val="-14"/>
        </w:rPr>
        <w:t> </w:t>
      </w:r>
      <w:r>
        <w:rPr/>
        <w:t>1958.</w:t>
      </w:r>
    </w:p>
    <w:p>
      <w:pPr>
        <w:pStyle w:val="BodyText"/>
        <w:spacing w:line="360" w:lineRule="auto" w:before="161"/>
        <w:ind w:left="119" w:right="123"/>
        <w:jc w:val="both"/>
      </w:pPr>
      <w:r>
        <w:rPr/>
        <w:t>2.- Wissler rw, Strong jp and the pathobiological determinants of atherosclerosis in youth (pday) research group. Risk factorsand progression of atherosclerosis in youth. Am j pathol. 1998; 153.</w:t>
      </w:r>
    </w:p>
    <w:p>
      <w:pPr>
        <w:pStyle w:val="BodyText"/>
        <w:spacing w:line="360" w:lineRule="auto" w:before="161"/>
        <w:ind w:left="119" w:right="122"/>
        <w:jc w:val="both"/>
      </w:pPr>
      <w:r>
        <w:rPr/>
        <w:t>3.- Swain dp, franklin ba, Comparison of cardioprotective benefits of vigorous versus moderate intensity aerobic exercise. Am j cardiol. 2006.</w:t>
      </w:r>
    </w:p>
    <w:p>
      <w:pPr>
        <w:pStyle w:val="BodyText"/>
        <w:spacing w:line="360" w:lineRule="auto" w:before="166"/>
        <w:ind w:left="119" w:right="122"/>
        <w:jc w:val="both"/>
      </w:pPr>
      <w:r>
        <w:rPr/>
        <w:t>4.- Basso c, Corrado d, thiene g. Cardiovascular causes of sudden death in young individuals  including athletes. Cardiol rev. 1999.</w:t>
      </w:r>
    </w:p>
    <w:p>
      <w:pPr>
        <w:pStyle w:val="BodyText"/>
        <w:spacing w:line="355" w:lineRule="auto" w:before="166"/>
        <w:ind w:left="119" w:right="129"/>
        <w:jc w:val="both"/>
      </w:pPr>
      <w:r>
        <w:rPr/>
        <w:t>5.- Macauley d. does Preseason screening for cardiac disease really work?: the britsh perspective. Med sci sports exerc 1998.</w:t>
      </w:r>
    </w:p>
    <w:p>
      <w:pPr>
        <w:pStyle w:val="BodyText"/>
        <w:spacing w:line="355" w:lineRule="auto" w:before="215"/>
        <w:ind w:left="119" w:right="122"/>
        <w:jc w:val="both"/>
      </w:pPr>
      <w:r>
        <w:rPr/>
        <w:t>6.- Rouviére h., y Delmas a. Anatomía Humana Descriptiva, topográfica y funcional. 10ª edición. Masson s.a. Barcelona</w:t>
      </w:r>
      <w:r>
        <w:rPr>
          <w:spacing w:val="-17"/>
        </w:rPr>
        <w:t> </w:t>
      </w:r>
      <w:r>
        <w:rPr/>
        <w:t>(1999).</w:t>
      </w:r>
    </w:p>
    <w:p>
      <w:pPr>
        <w:pStyle w:val="BodyText"/>
        <w:spacing w:line="355" w:lineRule="auto" w:before="214"/>
        <w:ind w:left="119" w:right="122"/>
        <w:jc w:val="both"/>
      </w:pPr>
      <w:r>
        <w:rPr/>
        <w:t>7.- Latarjet m. Ruiz liard a. Anatomía Humana. Tomo ii. Cuarta edición. Argentina. Editorial médica panamericana. 2004.</w:t>
      </w:r>
    </w:p>
    <w:p>
      <w:pPr>
        <w:pStyle w:val="BodyText"/>
        <w:spacing w:line="360" w:lineRule="auto" w:before="215"/>
        <w:ind w:left="119" w:right="117"/>
        <w:jc w:val="both"/>
      </w:pPr>
      <w:r>
        <w:rPr/>
        <w:t>8.- Sobotta. Atlas de anatomía humana. España. Editorial médica panamericana. 2001.</w:t>
      </w:r>
    </w:p>
    <w:p>
      <w:pPr>
        <w:pStyle w:val="BodyText"/>
        <w:spacing w:before="200"/>
        <w:ind w:left="119"/>
        <w:jc w:val="both"/>
      </w:pPr>
      <w:r>
        <w:rPr/>
        <w:t>9.- Guadalajara bjf. Cardiología. Cuarta edición. México: Méndez editores, 1996.</w:t>
      </w:r>
    </w:p>
    <w:p>
      <w:pPr>
        <w:pStyle w:val="BodyText"/>
        <w:spacing w:before="9"/>
        <w:rPr>
          <w:sz w:val="29"/>
        </w:rPr>
      </w:pPr>
    </w:p>
    <w:p>
      <w:pPr>
        <w:pStyle w:val="BodyText"/>
        <w:spacing w:line="360" w:lineRule="auto"/>
        <w:ind w:left="119" w:right="121"/>
        <w:jc w:val="both"/>
      </w:pPr>
      <w:r>
        <w:rPr/>
        <w:t>10.- Chorro gascó francisco Javier, cardiología clínica, universidad de valencia 2007. Guada impresores, sl.</w:t>
      </w:r>
    </w:p>
    <w:p>
      <w:pPr>
        <w:pStyle w:val="BodyText"/>
        <w:spacing w:line="355" w:lineRule="auto" w:before="209"/>
        <w:ind w:left="119" w:right="113"/>
        <w:jc w:val="both"/>
      </w:pPr>
      <w:r>
        <w:rPr/>
        <w:t>11.- Guyton ac. Tratado de fisiología médica. Octava edición. Madrid, España:  edit. Interamericana,</w:t>
      </w:r>
      <w:r>
        <w:rPr>
          <w:spacing w:val="-6"/>
        </w:rPr>
        <w:t> </w:t>
      </w:r>
      <w:r>
        <w:rPr/>
        <w:t>1992.</w:t>
      </w:r>
    </w:p>
    <w:p>
      <w:pPr>
        <w:spacing w:after="0" w:line="355" w:lineRule="auto"/>
        <w:jc w:val="both"/>
        <w:sectPr>
          <w:pgSz w:w="12240" w:h="15840"/>
          <w:pgMar w:header="0" w:footer="966" w:top="1360" w:bottom="1220" w:left="1580" w:right="1580"/>
        </w:sectPr>
      </w:pPr>
    </w:p>
    <w:p>
      <w:pPr>
        <w:pStyle w:val="BodyText"/>
        <w:spacing w:line="355" w:lineRule="auto" w:before="52"/>
        <w:ind w:left="119" w:right="118"/>
        <w:jc w:val="both"/>
      </w:pPr>
      <w:r>
        <w:rPr/>
        <w:t>12.- Wilmore, jack h. fisiología del esfuerzo y del deporte. Editorial paidotribo. 5ª ed. España,</w:t>
      </w:r>
      <w:r>
        <w:rPr>
          <w:spacing w:val="-4"/>
        </w:rPr>
        <w:t> </w:t>
      </w:r>
      <w:r>
        <w:rPr/>
        <w:t>2007.</w:t>
      </w:r>
    </w:p>
    <w:p>
      <w:pPr>
        <w:pStyle w:val="BodyText"/>
        <w:spacing w:line="360" w:lineRule="auto" w:before="215"/>
        <w:ind w:left="119" w:right="124"/>
        <w:jc w:val="both"/>
      </w:pPr>
      <w:r>
        <w:rPr/>
        <w:t>13. - Taylor, Andrea. Et.al. isometric training lowers resting blood pressure and modulates autonomic control. 2003.</w:t>
      </w:r>
    </w:p>
    <w:p>
      <w:pPr>
        <w:pStyle w:val="BodyText"/>
        <w:spacing w:line="355" w:lineRule="auto" w:before="209"/>
        <w:ind w:left="119" w:right="118"/>
        <w:jc w:val="both"/>
      </w:pPr>
      <w:r>
        <w:rPr/>
        <w:t>14.- Barbany. j.r. fisiología del ejercicio físico y el entrenamiento. Editorial paidotribo, 2ª ed. 2006.</w:t>
      </w:r>
    </w:p>
    <w:p>
      <w:pPr>
        <w:pStyle w:val="BodyText"/>
        <w:spacing w:line="357" w:lineRule="auto" w:before="214"/>
        <w:ind w:left="119" w:right="113"/>
        <w:jc w:val="both"/>
      </w:pPr>
      <w:r>
        <w:rPr/>
        <w:t>15.- Dimas, carrasco bellido, et. al. Fisiología humana y anatomía de los sistemas. Editorial instituto nacional de educación física. Universidad politécnica de Madrid. 2008</w:t>
      </w:r>
    </w:p>
    <w:p>
      <w:pPr>
        <w:pStyle w:val="BodyText"/>
        <w:spacing w:line="355" w:lineRule="auto" w:before="212"/>
        <w:ind w:left="119" w:right="115"/>
        <w:jc w:val="both"/>
      </w:pPr>
      <w:r>
        <w:rPr/>
        <w:t>16.- Meri, Alex. Fundamentos de fisiología de la actividad física y el deporte. Editorial panamericana, 2005.</w:t>
      </w:r>
    </w:p>
    <w:p>
      <w:pPr>
        <w:pStyle w:val="BodyText"/>
        <w:spacing w:line="355" w:lineRule="auto" w:before="215"/>
        <w:ind w:left="119" w:right="119"/>
        <w:jc w:val="both"/>
      </w:pPr>
      <w:r>
        <w:rPr/>
        <w:t>17.- López chicharro, José. Fisiología del ejercicio. Editorial médica panamericana.3ª ed. España, 2006.</w:t>
      </w:r>
    </w:p>
    <w:p>
      <w:pPr>
        <w:pStyle w:val="BodyText"/>
        <w:spacing w:line="360" w:lineRule="auto" w:before="214"/>
        <w:ind w:left="119" w:right="120"/>
        <w:jc w:val="both"/>
      </w:pPr>
      <w:r>
        <w:rPr/>
        <w:t>18.- Mora, rodríguez. Fisiología del deporte y el ejercicio, prácticas de campo y laboratorio. Editorial panamericana. 2010.</w:t>
      </w:r>
    </w:p>
    <w:p>
      <w:pPr>
        <w:pStyle w:val="ListParagraph"/>
        <w:numPr>
          <w:ilvl w:val="0"/>
          <w:numId w:val="12"/>
        </w:numPr>
        <w:tabs>
          <w:tab w:pos="529" w:val="left" w:leader="none"/>
        </w:tabs>
        <w:spacing w:line="355" w:lineRule="auto" w:before="209" w:after="0"/>
        <w:ind w:left="119" w:right="125" w:firstLine="0"/>
        <w:jc w:val="both"/>
        <w:rPr>
          <w:sz w:val="24"/>
        </w:rPr>
      </w:pPr>
      <w:r>
        <w:rPr>
          <w:sz w:val="24"/>
        </w:rPr>
        <w:t>- Alvarado, Oscar. e. Croix rabdomized cecum double study in 42 patients with severe coronary disease: isosorbide 5 mononitrate placebo.</w:t>
      </w:r>
      <w:r>
        <w:rPr>
          <w:spacing w:val="-29"/>
          <w:sz w:val="24"/>
        </w:rPr>
        <w:t> </w:t>
      </w:r>
      <w:r>
        <w:rPr>
          <w:sz w:val="24"/>
        </w:rPr>
        <w:t>2012.</w:t>
      </w:r>
    </w:p>
    <w:p>
      <w:pPr>
        <w:pStyle w:val="ListParagraph"/>
        <w:numPr>
          <w:ilvl w:val="0"/>
          <w:numId w:val="12"/>
        </w:numPr>
        <w:tabs>
          <w:tab w:pos="524" w:val="left" w:leader="none"/>
        </w:tabs>
        <w:spacing w:line="240" w:lineRule="auto" w:before="210" w:after="0"/>
        <w:ind w:left="523" w:right="0" w:hanging="404"/>
        <w:jc w:val="both"/>
        <w:rPr>
          <w:sz w:val="24"/>
        </w:rPr>
      </w:pPr>
      <w:r>
        <w:rPr>
          <w:sz w:val="24"/>
        </w:rPr>
        <w:t>- O’Connor, Francis. Et.al. sports medicine. Editorial McGraw- hill.</w:t>
      </w:r>
      <w:r>
        <w:rPr>
          <w:spacing w:val="-25"/>
          <w:sz w:val="24"/>
        </w:rPr>
        <w:t> </w:t>
      </w:r>
      <w:r>
        <w:rPr>
          <w:sz w:val="24"/>
        </w:rPr>
        <w:t>2005.</w:t>
      </w:r>
    </w:p>
    <w:p>
      <w:pPr>
        <w:pStyle w:val="BodyText"/>
        <w:spacing w:before="9"/>
        <w:rPr>
          <w:sz w:val="29"/>
        </w:rPr>
      </w:pPr>
    </w:p>
    <w:p>
      <w:pPr>
        <w:pStyle w:val="BodyText"/>
        <w:spacing w:line="357" w:lineRule="auto"/>
        <w:ind w:left="119" w:right="116"/>
        <w:jc w:val="both"/>
      </w:pPr>
      <w:r>
        <w:rPr/>
        <w:t>21.- Simao, Roberto, et. al. Comportamiento del doble-producto en diferentes posiciones corporales en los ejercicios contra-resistencia. Colegio brasileiro de actividad física, saúde e esporte. 2003.</w:t>
      </w:r>
    </w:p>
    <w:p>
      <w:pPr>
        <w:pStyle w:val="BodyText"/>
        <w:spacing w:line="355" w:lineRule="auto" w:before="212"/>
        <w:ind w:left="119" w:right="114"/>
        <w:jc w:val="both"/>
      </w:pPr>
      <w:r>
        <w:rPr/>
        <w:t>22.- Sanagua, Jorge, et.al. Cardiología del ejercicio. Federation Argentina de cardiología. Editorial científica universitaria. 2005.</w:t>
      </w:r>
    </w:p>
    <w:p>
      <w:pPr>
        <w:pStyle w:val="BodyText"/>
        <w:spacing w:line="360" w:lineRule="auto" w:before="215"/>
        <w:ind w:left="119" w:right="115"/>
        <w:jc w:val="both"/>
      </w:pPr>
      <w:r>
        <w:rPr/>
        <w:t>23.- Serratosa Fernández, Luis. Adaptaciones cardiovasculares del deportista. Centro de medicina del deporte. Caricd. Consejo superior de deportes. Ministerio de educación, cultura y deporte, Madrid, España.</w:t>
      </w:r>
    </w:p>
    <w:p>
      <w:pPr>
        <w:spacing w:after="0" w:line="360" w:lineRule="auto"/>
        <w:jc w:val="both"/>
        <w:sectPr>
          <w:pgSz w:w="12240" w:h="15840"/>
          <w:pgMar w:header="0" w:footer="966" w:top="1360" w:bottom="1220" w:left="1580" w:right="1580"/>
        </w:sectPr>
      </w:pPr>
    </w:p>
    <w:p>
      <w:pPr>
        <w:pStyle w:val="BodyText"/>
        <w:spacing w:before="52"/>
        <w:ind w:left="119"/>
        <w:jc w:val="both"/>
      </w:pPr>
      <w:r>
        <w:rPr/>
        <w:t>24.- Esposito, f.; impellizzeri, f. </w:t>
      </w:r>
      <w:r>
        <w:rPr>
          <w:spacing w:val="-3"/>
        </w:rPr>
        <w:t>m.; </w:t>
      </w:r>
      <w:r>
        <w:rPr/>
        <w:t>margonato, v.; vanni, r.; pizzini, g.; </w:t>
      </w:r>
      <w:r>
        <w:rPr>
          <w:spacing w:val="53"/>
        </w:rPr>
        <w:t> </w:t>
      </w:r>
      <w:r>
        <w:rPr/>
        <w:t>veicsteinas,</w:t>
      </w:r>
    </w:p>
    <w:p>
      <w:pPr>
        <w:pStyle w:val="BodyText"/>
        <w:spacing w:line="360" w:lineRule="auto" w:before="137"/>
        <w:ind w:left="119" w:right="114"/>
        <w:jc w:val="both"/>
      </w:pPr>
      <w:r>
        <w:rPr/>
        <w:t>a. validity of heart rate as an indicator of aerobic demand during soccer activities in amateur soccer players. European journal of applied physiology, v. 93, p. 167-172, 2004.</w:t>
      </w:r>
    </w:p>
    <w:p>
      <w:pPr>
        <w:pStyle w:val="ListParagraph"/>
        <w:numPr>
          <w:ilvl w:val="0"/>
          <w:numId w:val="13"/>
        </w:numPr>
        <w:tabs>
          <w:tab w:pos="596" w:val="left" w:leader="none"/>
        </w:tabs>
        <w:spacing w:line="357" w:lineRule="auto" w:before="209" w:after="0"/>
        <w:ind w:left="119" w:right="120" w:firstLine="0"/>
        <w:jc w:val="both"/>
        <w:rPr>
          <w:sz w:val="24"/>
        </w:rPr>
      </w:pPr>
      <w:r>
        <w:rPr>
          <w:sz w:val="24"/>
        </w:rPr>
        <w:t>- Bloomfield, j.; polman, r.; o’donoghue, p. physical demands of different positions in fa premier league soccer. Journal of sports science and medicine, v. 6, p. 63-70,</w:t>
      </w:r>
      <w:r>
        <w:rPr>
          <w:spacing w:val="-6"/>
          <w:sz w:val="24"/>
        </w:rPr>
        <w:t> </w:t>
      </w:r>
      <w:r>
        <w:rPr>
          <w:sz w:val="24"/>
        </w:rPr>
        <w:t>2007.</w:t>
      </w:r>
    </w:p>
    <w:p>
      <w:pPr>
        <w:pStyle w:val="ListParagraph"/>
        <w:numPr>
          <w:ilvl w:val="0"/>
          <w:numId w:val="13"/>
        </w:numPr>
        <w:tabs>
          <w:tab w:pos="529" w:val="left" w:leader="none"/>
        </w:tabs>
        <w:spacing w:line="355" w:lineRule="auto" w:before="212" w:after="0"/>
        <w:ind w:left="119" w:right="115" w:firstLine="0"/>
        <w:jc w:val="both"/>
        <w:rPr>
          <w:sz w:val="24"/>
        </w:rPr>
      </w:pPr>
      <w:r>
        <w:rPr>
          <w:sz w:val="24"/>
        </w:rPr>
        <w:t>- Shephard, r. </w:t>
      </w:r>
      <w:r>
        <w:rPr>
          <w:spacing w:val="-3"/>
          <w:sz w:val="24"/>
        </w:rPr>
        <w:t>j. </w:t>
      </w:r>
      <w:r>
        <w:rPr>
          <w:sz w:val="24"/>
        </w:rPr>
        <w:t>The energy needs of the soccer player. Clinical journal of sport medicine, v. 2, n. 1, p. 62-70,</w:t>
      </w:r>
      <w:r>
        <w:rPr>
          <w:spacing w:val="-11"/>
          <w:sz w:val="24"/>
        </w:rPr>
        <w:t> </w:t>
      </w:r>
      <w:r>
        <w:rPr>
          <w:sz w:val="24"/>
        </w:rPr>
        <w:t>1992.</w:t>
      </w:r>
    </w:p>
    <w:p>
      <w:pPr>
        <w:pStyle w:val="BodyText"/>
        <w:spacing w:line="360" w:lineRule="auto" w:before="214"/>
        <w:ind w:left="119" w:right="127"/>
        <w:jc w:val="both"/>
      </w:pPr>
      <w:r>
        <w:rPr/>
        <w:t>27.- Bangsbo, j. the physiology of soccer, with special reference to intense intermittent exercise. Acta physiologica scandinavica, v. 619, p. 1-151,1994a.</w:t>
      </w:r>
    </w:p>
    <w:p>
      <w:pPr>
        <w:pStyle w:val="BodyText"/>
        <w:spacing w:line="355" w:lineRule="auto" w:before="209"/>
        <w:ind w:left="119" w:right="119"/>
        <w:jc w:val="both"/>
      </w:pPr>
      <w:r>
        <w:rPr/>
        <w:t>28.- Achten, j.; jeukendrup, a. e. heart rate monitoring: applications and limitations. Sports medicine, v. 33, n. 7, p. 517-538, 2003.</w:t>
      </w:r>
    </w:p>
    <w:p>
      <w:pPr>
        <w:pStyle w:val="BodyText"/>
        <w:spacing w:before="214"/>
        <w:ind w:left="119"/>
        <w:jc w:val="both"/>
      </w:pPr>
      <w:r>
        <w:rPr/>
        <w:t>29.-  Ainsworth, b. e.; haskell, w. l.; whitt, m. c.; irwin, m. l.; swartz, a. m.; strath,   s.</w:t>
      </w:r>
    </w:p>
    <w:p>
      <w:pPr>
        <w:pStyle w:val="BodyText"/>
        <w:spacing w:line="355" w:lineRule="auto" w:before="137"/>
        <w:ind w:left="119" w:right="131"/>
        <w:jc w:val="both"/>
      </w:pPr>
      <w:r>
        <w:rPr>
          <w:spacing w:val="-3"/>
        </w:rPr>
        <w:t>j. </w:t>
      </w:r>
      <w:r>
        <w:rPr/>
        <w:t>compendium of physical activities: an update of activity codes and </w:t>
      </w:r>
      <w:r>
        <w:rPr>
          <w:spacing w:val="-3"/>
        </w:rPr>
        <w:t>met  </w:t>
      </w:r>
      <w:r>
        <w:rPr/>
        <w:t>intensities. Medicine and science in sports and exercise, v. 32, p. 498-516,</w:t>
      </w:r>
      <w:r>
        <w:rPr>
          <w:spacing w:val="-25"/>
        </w:rPr>
        <w:t> </w:t>
      </w:r>
      <w:r>
        <w:rPr/>
        <w:t>2000.</w:t>
      </w:r>
    </w:p>
    <w:p>
      <w:pPr>
        <w:pStyle w:val="BodyText"/>
        <w:spacing w:line="355" w:lineRule="auto" w:before="214"/>
        <w:ind w:left="119" w:right="131"/>
        <w:jc w:val="both"/>
      </w:pPr>
      <w:r>
        <w:rPr/>
        <w:t>30.- Stolen, t.; chamari, k.; castagna, c.; wisloff, u. physiology of soccer: an update. Sports medicine, v. 35, p. 501-536, 2005</w:t>
      </w:r>
    </w:p>
    <w:p>
      <w:pPr>
        <w:pStyle w:val="BodyText"/>
        <w:spacing w:before="209"/>
        <w:ind w:left="119"/>
        <w:jc w:val="both"/>
      </w:pPr>
      <w:r>
        <w:rPr/>
        <w:t>31.- Flandrois r. monod h manual de fisiología del deporte masson 1986 españa.</w:t>
      </w:r>
    </w:p>
    <w:p>
      <w:pPr>
        <w:pStyle w:val="BodyText"/>
        <w:spacing w:before="9"/>
        <w:rPr>
          <w:sz w:val="29"/>
        </w:rPr>
      </w:pPr>
    </w:p>
    <w:p>
      <w:pPr>
        <w:pStyle w:val="BodyText"/>
        <w:spacing w:line="355" w:lineRule="auto"/>
        <w:ind w:left="119" w:right="131"/>
        <w:jc w:val="both"/>
      </w:pPr>
      <w:r>
        <w:rPr/>
        <w:t>32.- Reilly thomas aspectos fisiológicos del futbol. Centro de ciencias del deporte y del ejercicio. Universidad John Moore, Liverpool, Inglaterra. 2006.</w:t>
      </w:r>
    </w:p>
    <w:p>
      <w:pPr>
        <w:pStyle w:val="BodyText"/>
        <w:spacing w:line="360" w:lineRule="auto" w:before="214"/>
        <w:ind w:left="119" w:right="115"/>
        <w:jc w:val="both"/>
      </w:pPr>
      <w:r>
        <w:rPr/>
        <w:t>33.- Peidro roberto m. hallazgos cardiológicos y de capacidad física en futbolistas argentinos de alto rendimiento. Cardiología y deporte. Revista argentina de cardiología. Abril 2004.</w:t>
      </w:r>
    </w:p>
    <w:p>
      <w:pPr>
        <w:spacing w:after="0" w:line="360" w:lineRule="auto"/>
        <w:jc w:val="both"/>
        <w:sectPr>
          <w:pgSz w:w="12240" w:h="15840"/>
          <w:pgMar w:header="0" w:footer="966" w:top="1360" w:bottom="1220" w:left="1580" w:right="1580"/>
        </w:sectPr>
      </w:pPr>
    </w:p>
    <w:p>
      <w:pPr>
        <w:pStyle w:val="BodyText"/>
        <w:spacing w:line="360" w:lineRule="auto" w:before="52"/>
        <w:ind w:left="119" w:right="114"/>
        <w:jc w:val="both"/>
      </w:pPr>
      <w:r>
        <w:rPr/>
        <w:t>34.- Sanuy bescós xavier et al. Fisiología del fútbol. Departamento de ciencias aplicadas. inefc-lleida, servicios médicos unión esportiva lleida. Educación física y deportes 1995.</w:t>
      </w:r>
    </w:p>
    <w:p>
      <w:pPr>
        <w:pStyle w:val="BodyText"/>
        <w:spacing w:line="355" w:lineRule="auto" w:before="209"/>
        <w:ind w:left="119" w:right="114"/>
        <w:jc w:val="both"/>
      </w:pPr>
      <w:r>
        <w:rPr/>
        <w:t>35. - Blake b. work capacity and its limiting factors at high altitude. In: the physiological effects of high altitude. W.h. weihe, New York: Macmillan, 1964.</w:t>
      </w:r>
    </w:p>
    <w:p>
      <w:pPr>
        <w:pStyle w:val="BodyText"/>
        <w:spacing w:line="357" w:lineRule="auto" w:before="215"/>
        <w:ind w:left="119" w:right="122"/>
        <w:jc w:val="both"/>
      </w:pPr>
      <w:r>
        <w:rPr/>
        <w:t>36.- Kollias j et cols, exercise and altitude, science and medicine of exercise and sport, second edition, w.r. Johnson and e.r. buskirk, New York: harper and row,  Inc, 1974.</w:t>
      </w:r>
    </w:p>
    <w:p>
      <w:pPr>
        <w:pStyle w:val="BodyText"/>
        <w:spacing w:line="355" w:lineRule="auto" w:before="212"/>
        <w:ind w:left="119" w:right="128"/>
        <w:jc w:val="both"/>
      </w:pPr>
      <w:r>
        <w:rPr/>
        <w:t>37.- Astrand po, heart rate during muscular work in man exposed to prolonged hypoxia. J appl physiol, 1958.</w:t>
      </w:r>
    </w:p>
    <w:p>
      <w:pPr>
        <w:pStyle w:val="BodyText"/>
        <w:spacing w:line="360" w:lineRule="auto" w:before="214"/>
        <w:ind w:left="119" w:right="128"/>
        <w:jc w:val="both"/>
      </w:pPr>
      <w:r>
        <w:rPr/>
        <w:t>38.- Dejours p. et cols, regulations of respiration and heart rate response in exercise during altitude acclimatization, j appl physiol, 1963.</w:t>
      </w:r>
    </w:p>
    <w:p>
      <w:pPr>
        <w:pStyle w:val="BodyText"/>
        <w:spacing w:line="360" w:lineRule="auto" w:before="204"/>
        <w:ind w:left="119" w:right="128"/>
        <w:jc w:val="both"/>
      </w:pPr>
      <w:r>
        <w:rPr/>
        <w:t>39.- Hermansen l, et cols, blood lactate concentration during exercise at acute exposure to altitude, exercise at altitude, edited by r. margaria, new york excerpta medica foundation, 1967.</w:t>
      </w:r>
    </w:p>
    <w:p>
      <w:pPr>
        <w:pStyle w:val="BodyText"/>
        <w:spacing w:line="355" w:lineRule="auto" w:before="209"/>
        <w:ind w:left="119" w:right="127"/>
        <w:jc w:val="both"/>
      </w:pPr>
      <w:r>
        <w:rPr/>
        <w:t>40.- Jones nl, et cols, effect of hypoxia on free fatty acid metabolism during exercise. j appl physiol, 1972.</w:t>
      </w:r>
    </w:p>
    <w:p>
      <w:pPr>
        <w:pStyle w:val="BodyText"/>
        <w:spacing w:line="355" w:lineRule="auto" w:before="215"/>
        <w:ind w:left="119" w:right="128"/>
        <w:jc w:val="both"/>
      </w:pPr>
      <w:r>
        <w:rPr/>
        <w:t>41.- Bubb </w:t>
      </w:r>
      <w:r>
        <w:rPr>
          <w:spacing w:val="-4"/>
        </w:rPr>
        <w:t>wj,</w:t>
      </w:r>
      <w:r>
        <w:rPr>
          <w:spacing w:val="58"/>
        </w:rPr>
        <w:t> </w:t>
      </w:r>
      <w:r>
        <w:rPr/>
        <w:t>et cols, effects of various levels of hypoxia on plasma catecholamines at rest and during exercise, aviat space environ medicine, 1983.</w:t>
      </w:r>
    </w:p>
    <w:p>
      <w:pPr>
        <w:pStyle w:val="BodyText"/>
        <w:spacing w:line="355" w:lineRule="auto" w:before="214"/>
        <w:ind w:left="119" w:right="115"/>
        <w:jc w:val="both"/>
      </w:pPr>
      <w:r>
        <w:rPr/>
        <w:t>42.- Flenley dc, arterial catecholamines in hypoxic exercise in man. Clin sci and </w:t>
      </w:r>
      <w:r>
        <w:rPr>
          <w:spacing w:val="-3"/>
        </w:rPr>
        <w:t>mol </w:t>
      </w:r>
      <w:r>
        <w:rPr/>
        <w:t>med,</w:t>
      </w:r>
      <w:r>
        <w:rPr>
          <w:spacing w:val="4"/>
        </w:rPr>
        <w:t> </w:t>
      </w:r>
      <w:r>
        <w:rPr/>
        <w:t>1975.</w:t>
      </w:r>
    </w:p>
    <w:p>
      <w:pPr>
        <w:pStyle w:val="BodyText"/>
        <w:spacing w:line="360" w:lineRule="auto" w:before="214"/>
        <w:ind w:left="119" w:right="119"/>
        <w:jc w:val="both"/>
      </w:pPr>
      <w:r>
        <w:rPr/>
        <w:t>43.- Hackett ph, et cols, the incidence, importance and prophylaxis of acute mountain sickness, lancet, 1976.</w:t>
      </w:r>
    </w:p>
    <w:p>
      <w:pPr>
        <w:pStyle w:val="BodyText"/>
        <w:spacing w:line="360" w:lineRule="auto" w:before="205"/>
        <w:ind w:left="119" w:right="115"/>
        <w:jc w:val="both"/>
      </w:pPr>
      <w:r>
        <w:rPr/>
        <w:t>44.- Brutsaert td, et cols. performance of altitude acclimatized and non- acclimatized professional football (soccer) players at 3,600 m. jeponline. 2000.</w:t>
      </w:r>
    </w:p>
    <w:p>
      <w:pPr>
        <w:spacing w:after="0" w:line="360" w:lineRule="auto"/>
        <w:jc w:val="both"/>
        <w:sectPr>
          <w:pgSz w:w="12240" w:h="15840"/>
          <w:pgMar w:header="0" w:footer="966" w:top="1360" w:bottom="1220" w:left="1580" w:right="1580"/>
        </w:sectPr>
      </w:pPr>
    </w:p>
    <w:p>
      <w:pPr>
        <w:pStyle w:val="BodyText"/>
        <w:spacing w:line="355" w:lineRule="auto" w:before="52"/>
        <w:ind w:left="119" w:right="116"/>
        <w:jc w:val="both"/>
      </w:pPr>
      <w:r>
        <w:rPr/>
        <w:t>45.- Bartsch p, saltin b, dvorak j. consensus statement on playing football at different altitude. scand j med sci sports. 2008</w:t>
      </w:r>
    </w:p>
    <w:p>
      <w:pPr>
        <w:pStyle w:val="BodyText"/>
        <w:spacing w:line="360" w:lineRule="auto" w:before="215"/>
        <w:ind w:left="119" w:right="125"/>
        <w:jc w:val="both"/>
      </w:pPr>
      <w:r>
        <w:rPr/>
        <w:t>46.- Hilde spielvogel, et cols. Futbol en la altura en bolivia, cuadernos del hospital de clínicas, 54, 1: 3-9, 2009.</w:t>
      </w:r>
    </w:p>
    <w:p>
      <w:pPr>
        <w:pStyle w:val="BodyText"/>
        <w:spacing w:line="355" w:lineRule="auto" w:before="209"/>
        <w:ind w:left="119" w:right="117"/>
        <w:jc w:val="both"/>
      </w:pPr>
      <w:r>
        <w:rPr/>
        <w:t>47.- Mesa gisbert cd. la epopeya del fútbol boliviano 1896 - 1994. la paz, 1994, editado por “periodistas asociados televisión” y federación boliviana de fútbol.</w:t>
      </w:r>
    </w:p>
    <w:p>
      <w:pPr>
        <w:pStyle w:val="BodyText"/>
        <w:spacing w:line="357" w:lineRule="auto" w:before="214"/>
        <w:ind w:left="119" w:right="118"/>
        <w:jc w:val="both"/>
      </w:pPr>
      <w:r>
        <w:rPr/>
        <w:t>48.- Gonzales gf, villena a. football and altitude: the eliminatories of the world cups (in spanish). in: football and acclimatization to altitude. lima, 1998; universidad cayetano heredia</w:t>
      </w:r>
    </w:p>
    <w:p>
      <w:pPr>
        <w:pStyle w:val="BodyText"/>
        <w:spacing w:line="360" w:lineRule="auto" w:before="212"/>
        <w:ind w:left="119" w:right="121"/>
        <w:jc w:val="both"/>
      </w:pPr>
      <w:r>
        <w:rPr/>
        <w:t>49.- Bender pr, mc cullough re, mc cullough rg, huang sy, wagner pd, cymerman, hamilton aj, reeves jt. increased exercise sao2 independent of ventilatory acclimatization at 4300 m. j appl physiol 1989.</w:t>
      </w:r>
    </w:p>
    <w:p>
      <w:pPr>
        <w:pStyle w:val="BodyText"/>
        <w:spacing w:line="360" w:lineRule="auto" w:before="204"/>
        <w:ind w:left="119" w:right="114"/>
        <w:jc w:val="both"/>
      </w:pPr>
      <w:r>
        <w:rPr/>
        <w:t>50.- Pugh. oxygen intake in track and treadmill running observations on the effect of air resistance. national institute for medical research, london.</w:t>
      </w:r>
      <w:r>
        <w:rPr>
          <w:spacing w:val="-23"/>
        </w:rPr>
        <w:t> </w:t>
      </w:r>
      <w:r>
        <w:rPr/>
        <w:t>1969</w:t>
      </w:r>
    </w:p>
    <w:p>
      <w:pPr>
        <w:pStyle w:val="BodyText"/>
        <w:spacing w:line="357" w:lineRule="auto" w:before="209"/>
        <w:ind w:left="119" w:right="116"/>
        <w:jc w:val="both"/>
      </w:pPr>
      <w:r>
        <w:rPr/>
        <w:t>51.- SICCED, Manual del entrenador de fútbol, Sistema de capacitación y certificación para entrenadores deportivos, Nivel 3 teórico, México, Comisión Nacional del Deporte, 1999.</w:t>
      </w:r>
    </w:p>
    <w:p>
      <w:pPr>
        <w:pStyle w:val="BodyText"/>
        <w:spacing w:line="355" w:lineRule="auto" w:before="212"/>
        <w:ind w:left="119" w:right="117"/>
        <w:jc w:val="both"/>
      </w:pPr>
      <w:r>
        <w:rPr/>
        <w:t>52.- Guías cardiológicas de Norteamérica, capitulo medicina del deporte, el corazón del deportista, Estados Unidos, edición 2000.</w:t>
      </w:r>
    </w:p>
    <w:p>
      <w:pPr>
        <w:spacing w:after="0" w:line="355" w:lineRule="auto"/>
        <w:jc w:val="both"/>
        <w:sectPr>
          <w:pgSz w:w="12240" w:h="15840"/>
          <w:pgMar w:header="0" w:footer="966" w:top="1360" w:bottom="1220" w:left="1580" w:right="1580"/>
        </w:sectPr>
      </w:pPr>
    </w:p>
    <w:p>
      <w:pPr>
        <w:pStyle w:val="Heading1"/>
        <w:numPr>
          <w:ilvl w:val="0"/>
          <w:numId w:val="4"/>
        </w:numPr>
        <w:tabs>
          <w:tab w:pos="615" w:val="left" w:leader="none"/>
        </w:tabs>
        <w:spacing w:line="240" w:lineRule="auto" w:before="47" w:after="0"/>
        <w:ind w:left="614" w:right="0" w:hanging="495"/>
        <w:jc w:val="left"/>
      </w:pPr>
      <w:bookmarkStart w:name="_bookmark34" w:id="68"/>
      <w:bookmarkEnd w:id="68"/>
      <w:r>
        <w:rPr>
          <w:b w:val="0"/>
        </w:rPr>
      </w:r>
      <w:bookmarkStart w:name="_bookmark34" w:id="69"/>
      <w:bookmarkEnd w:id="69"/>
      <w:r>
        <w:rPr/>
        <w:t>A</w:t>
      </w:r>
      <w:r>
        <w:rPr/>
        <w:t>NEXOS</w:t>
      </w:r>
    </w:p>
    <w:p>
      <w:pPr>
        <w:pStyle w:val="BodyText"/>
        <w:rPr>
          <w:b/>
        </w:rPr>
      </w:pPr>
    </w:p>
    <w:p>
      <w:pPr>
        <w:pStyle w:val="BodyText"/>
        <w:rPr>
          <w:b/>
          <w:sz w:val="33"/>
        </w:rPr>
      </w:pPr>
    </w:p>
    <w:p>
      <w:pPr>
        <w:pStyle w:val="Heading1"/>
        <w:spacing w:before="0"/>
        <w:ind w:left="840" w:right="130"/>
      </w:pPr>
      <w:bookmarkStart w:name="_bookmark35" w:id="70"/>
      <w:bookmarkEnd w:id="70"/>
      <w:r>
        <w:rPr>
          <w:b w:val="0"/>
        </w:rPr>
      </w:r>
      <w:r>
        <w:rPr/>
        <w:t>Anexo 1. Hoja de vaciado</w:t>
      </w:r>
    </w:p>
    <w:p>
      <w:pPr>
        <w:pStyle w:val="BodyText"/>
        <w:rPr>
          <w:b/>
          <w:sz w:val="20"/>
        </w:rPr>
      </w:pPr>
    </w:p>
    <w:p>
      <w:pPr>
        <w:pStyle w:val="BodyText"/>
        <w:spacing w:before="4"/>
        <w:rPr>
          <w:b/>
          <w:sz w:val="29"/>
        </w:rPr>
      </w:pPr>
    </w:p>
    <w:tbl>
      <w:tblPr>
        <w:tblW w:w="0" w:type="auto"/>
        <w:jc w:val="left"/>
        <w:tblInd w:w="120"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top w:w="0" w:type="dxa"/>
          <w:left w:w="0" w:type="dxa"/>
          <w:bottom w:w="0" w:type="dxa"/>
          <w:right w:w="0" w:type="dxa"/>
        </w:tblCellMar>
        <w:tblLook w:val="01E0"/>
      </w:tblPr>
      <w:tblGrid>
        <w:gridCol w:w="803"/>
        <w:gridCol w:w="802"/>
        <w:gridCol w:w="803"/>
        <w:gridCol w:w="803"/>
        <w:gridCol w:w="802"/>
        <w:gridCol w:w="803"/>
        <w:gridCol w:w="803"/>
        <w:gridCol w:w="802"/>
        <w:gridCol w:w="803"/>
        <w:gridCol w:w="803"/>
        <w:gridCol w:w="802"/>
      </w:tblGrid>
      <w:tr>
        <w:trPr>
          <w:trHeight w:val="730" w:hRule="exact"/>
        </w:trPr>
        <w:tc>
          <w:tcPr>
            <w:tcW w:w="803" w:type="dxa"/>
          </w:tcPr>
          <w:p>
            <w:pPr>
              <w:pStyle w:val="TableParagraph"/>
              <w:spacing w:before="0"/>
              <w:ind w:left="0" w:right="0"/>
              <w:jc w:val="left"/>
              <w:rPr>
                <w:rFonts w:ascii="Arial"/>
                <w:b/>
                <w:sz w:val="14"/>
              </w:rPr>
            </w:pPr>
          </w:p>
          <w:p>
            <w:pPr>
              <w:pStyle w:val="TableParagraph"/>
              <w:spacing w:before="125"/>
              <w:ind w:right="20"/>
              <w:rPr>
                <w:sz w:val="13"/>
              </w:rPr>
            </w:pPr>
            <w:r>
              <w:rPr>
                <w:w w:val="105"/>
                <w:sz w:val="13"/>
              </w:rPr>
              <w:t>POSICIÓN</w:t>
            </w:r>
          </w:p>
        </w:tc>
        <w:tc>
          <w:tcPr>
            <w:tcW w:w="802" w:type="dxa"/>
          </w:tcPr>
          <w:p>
            <w:pPr>
              <w:pStyle w:val="TableParagraph"/>
              <w:spacing w:before="0"/>
              <w:ind w:left="0" w:right="0"/>
              <w:jc w:val="left"/>
              <w:rPr>
                <w:rFonts w:ascii="Arial"/>
                <w:b/>
                <w:sz w:val="14"/>
              </w:rPr>
            </w:pPr>
          </w:p>
          <w:p>
            <w:pPr>
              <w:pStyle w:val="TableParagraph"/>
              <w:spacing w:before="125"/>
              <w:ind w:left="217" w:right="221"/>
              <w:rPr>
                <w:sz w:val="13"/>
              </w:rPr>
            </w:pPr>
            <w:r>
              <w:rPr>
                <w:w w:val="105"/>
                <w:sz w:val="13"/>
              </w:rPr>
              <w:t>EDAD</w:t>
            </w:r>
          </w:p>
        </w:tc>
        <w:tc>
          <w:tcPr>
            <w:tcW w:w="803" w:type="dxa"/>
          </w:tcPr>
          <w:p>
            <w:pPr>
              <w:pStyle w:val="TableParagraph"/>
              <w:spacing w:line="276" w:lineRule="auto" w:before="104"/>
              <w:ind w:right="23"/>
              <w:rPr>
                <w:sz w:val="13"/>
              </w:rPr>
            </w:pPr>
            <w:r>
              <w:rPr>
                <w:w w:val="105"/>
                <w:sz w:val="13"/>
              </w:rPr>
              <w:t>TIEMPO DE ENTRENAMIE NTO</w:t>
            </w:r>
          </w:p>
        </w:tc>
        <w:tc>
          <w:tcPr>
            <w:tcW w:w="803" w:type="dxa"/>
          </w:tcPr>
          <w:p>
            <w:pPr>
              <w:pStyle w:val="TableParagraph"/>
              <w:spacing w:before="0"/>
              <w:ind w:left="0" w:right="0"/>
              <w:jc w:val="left"/>
              <w:rPr>
                <w:rFonts w:ascii="Arial"/>
                <w:b/>
                <w:sz w:val="14"/>
              </w:rPr>
            </w:pPr>
          </w:p>
          <w:p>
            <w:pPr>
              <w:pStyle w:val="TableParagraph"/>
              <w:spacing w:before="125"/>
              <w:ind w:right="23"/>
              <w:rPr>
                <w:sz w:val="13"/>
              </w:rPr>
            </w:pPr>
            <w:r>
              <w:rPr>
                <w:w w:val="105"/>
                <w:sz w:val="13"/>
              </w:rPr>
              <w:t>VO2 REAL</w:t>
            </w:r>
          </w:p>
        </w:tc>
        <w:tc>
          <w:tcPr>
            <w:tcW w:w="802" w:type="dxa"/>
          </w:tcPr>
          <w:p>
            <w:pPr>
              <w:pStyle w:val="TableParagraph"/>
              <w:spacing w:before="0"/>
              <w:ind w:left="0" w:right="0"/>
              <w:jc w:val="left"/>
              <w:rPr>
                <w:rFonts w:ascii="Arial"/>
                <w:b/>
                <w:sz w:val="14"/>
              </w:rPr>
            </w:pPr>
          </w:p>
          <w:p>
            <w:pPr>
              <w:pStyle w:val="TableParagraph"/>
              <w:spacing w:before="125"/>
              <w:ind w:left="190" w:right="200"/>
              <w:rPr>
                <w:sz w:val="13"/>
              </w:rPr>
            </w:pPr>
            <w:r>
              <w:rPr>
                <w:w w:val="105"/>
                <w:sz w:val="13"/>
              </w:rPr>
              <w:t>ETAPA</w:t>
            </w:r>
          </w:p>
        </w:tc>
        <w:tc>
          <w:tcPr>
            <w:tcW w:w="803" w:type="dxa"/>
          </w:tcPr>
          <w:p>
            <w:pPr>
              <w:pStyle w:val="TableParagraph"/>
              <w:spacing w:before="0"/>
              <w:ind w:left="0" w:right="0"/>
              <w:jc w:val="left"/>
              <w:rPr>
                <w:rFonts w:ascii="Arial"/>
                <w:b/>
                <w:sz w:val="17"/>
              </w:rPr>
            </w:pPr>
          </w:p>
          <w:p>
            <w:pPr>
              <w:pStyle w:val="TableParagraph"/>
              <w:spacing w:line="276" w:lineRule="auto" w:before="0"/>
              <w:ind w:left="45" w:firstLine="282"/>
              <w:jc w:val="left"/>
              <w:rPr>
                <w:sz w:val="13"/>
              </w:rPr>
            </w:pPr>
            <w:r>
              <w:rPr>
                <w:w w:val="105"/>
                <w:sz w:val="13"/>
              </w:rPr>
              <w:t>FC ALCANZADA</w:t>
            </w:r>
          </w:p>
        </w:tc>
        <w:tc>
          <w:tcPr>
            <w:tcW w:w="803" w:type="dxa"/>
          </w:tcPr>
          <w:p>
            <w:pPr>
              <w:pStyle w:val="TableParagraph"/>
              <w:spacing w:before="0"/>
              <w:ind w:left="0" w:right="0"/>
              <w:jc w:val="left"/>
              <w:rPr>
                <w:rFonts w:ascii="Arial"/>
                <w:b/>
                <w:sz w:val="17"/>
              </w:rPr>
            </w:pPr>
          </w:p>
          <w:p>
            <w:pPr>
              <w:pStyle w:val="TableParagraph"/>
              <w:spacing w:line="276" w:lineRule="auto" w:before="0"/>
              <w:ind w:left="72" w:right="65" w:firstLine="136"/>
              <w:jc w:val="left"/>
              <w:rPr>
                <w:sz w:val="13"/>
              </w:rPr>
            </w:pPr>
            <w:r>
              <w:rPr>
                <w:w w:val="105"/>
                <w:sz w:val="13"/>
              </w:rPr>
              <w:t>DOBLE PRODUCTO</w:t>
            </w:r>
          </w:p>
        </w:tc>
        <w:tc>
          <w:tcPr>
            <w:tcW w:w="802" w:type="dxa"/>
          </w:tcPr>
          <w:p>
            <w:pPr>
              <w:pStyle w:val="TableParagraph"/>
              <w:spacing w:before="0"/>
              <w:ind w:left="0" w:right="0"/>
              <w:jc w:val="left"/>
              <w:rPr>
                <w:rFonts w:ascii="Arial"/>
                <w:b/>
                <w:sz w:val="17"/>
              </w:rPr>
            </w:pPr>
          </w:p>
          <w:p>
            <w:pPr>
              <w:pStyle w:val="TableParagraph"/>
              <w:spacing w:line="276" w:lineRule="auto" w:before="0"/>
              <w:ind w:left="45" w:firstLine="246"/>
              <w:jc w:val="left"/>
              <w:rPr>
                <w:sz w:val="13"/>
              </w:rPr>
            </w:pPr>
            <w:r>
              <w:rPr>
                <w:w w:val="105"/>
                <w:sz w:val="13"/>
              </w:rPr>
              <w:t>T/A ALCANZADA</w:t>
            </w:r>
          </w:p>
        </w:tc>
        <w:tc>
          <w:tcPr>
            <w:tcW w:w="803" w:type="dxa"/>
          </w:tcPr>
          <w:p>
            <w:pPr>
              <w:pStyle w:val="TableParagraph"/>
              <w:spacing w:line="276" w:lineRule="auto" w:before="104"/>
              <w:ind w:left="45" w:right="56"/>
              <w:rPr>
                <w:sz w:val="13"/>
              </w:rPr>
            </w:pPr>
            <w:r>
              <w:rPr>
                <w:w w:val="105"/>
                <w:sz w:val="13"/>
              </w:rPr>
              <w:t>T/A  SISTOLICA ALCANZADA</w:t>
            </w:r>
          </w:p>
        </w:tc>
        <w:tc>
          <w:tcPr>
            <w:tcW w:w="803" w:type="dxa"/>
          </w:tcPr>
          <w:p>
            <w:pPr>
              <w:pStyle w:val="TableParagraph"/>
              <w:spacing w:line="276" w:lineRule="auto" w:before="104"/>
              <w:ind w:right="18" w:firstLine="9"/>
              <w:rPr>
                <w:sz w:val="13"/>
              </w:rPr>
            </w:pPr>
            <w:r>
              <w:rPr>
                <w:w w:val="105"/>
                <w:sz w:val="13"/>
              </w:rPr>
              <w:t>CONSUMO MIOCARDICO DE OXIGENO</w:t>
            </w:r>
          </w:p>
        </w:tc>
        <w:tc>
          <w:tcPr>
            <w:tcW w:w="802" w:type="dxa"/>
          </w:tcPr>
          <w:p>
            <w:pPr>
              <w:pStyle w:val="TableParagraph"/>
              <w:spacing w:line="276" w:lineRule="auto" w:before="104"/>
              <w:ind w:right="29" w:firstLine="100"/>
              <w:jc w:val="both"/>
              <w:rPr>
                <w:sz w:val="13"/>
              </w:rPr>
            </w:pPr>
            <w:r>
              <w:rPr>
                <w:w w:val="105"/>
                <w:sz w:val="13"/>
              </w:rPr>
              <w:t>INDICE DE EFICIENCIA MIOCARDICA</w:t>
            </w:r>
          </w:p>
        </w:tc>
      </w:tr>
      <w:tr>
        <w:trPr>
          <w:trHeight w:val="182" w:hRule="exact"/>
        </w:trPr>
        <w:tc>
          <w:tcPr>
            <w:tcW w:w="803" w:type="dxa"/>
          </w:tcPr>
          <w:p>
            <w:pPr>
              <w:pStyle w:val="TableParagraph"/>
              <w:ind w:right="10"/>
              <w:rPr>
                <w:sz w:val="13"/>
              </w:rPr>
            </w:pPr>
            <w:r>
              <w:rPr>
                <w:w w:val="105"/>
                <w:sz w:val="13"/>
              </w:rPr>
              <w:t>PORTERO</w:t>
            </w:r>
          </w:p>
        </w:tc>
        <w:tc>
          <w:tcPr>
            <w:tcW w:w="802" w:type="dxa"/>
          </w:tcPr>
          <w:p>
            <w:pPr>
              <w:pStyle w:val="TableParagraph"/>
              <w:ind w:left="217" w:right="208"/>
              <w:rPr>
                <w:sz w:val="13"/>
              </w:rPr>
            </w:pPr>
            <w:r>
              <w:rPr>
                <w:w w:val="105"/>
                <w:sz w:val="13"/>
              </w:rPr>
              <w:t>31</w:t>
            </w:r>
          </w:p>
        </w:tc>
        <w:tc>
          <w:tcPr>
            <w:tcW w:w="803" w:type="dxa"/>
          </w:tcPr>
          <w:p>
            <w:pPr>
              <w:pStyle w:val="TableParagraph"/>
              <w:ind w:left="0" w:right="317"/>
              <w:jc w:val="right"/>
              <w:rPr>
                <w:sz w:val="13"/>
              </w:rPr>
            </w:pPr>
            <w:r>
              <w:rPr>
                <w:w w:val="105"/>
                <w:sz w:val="13"/>
              </w:rPr>
              <w:t>26</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192</w:t>
            </w:r>
          </w:p>
        </w:tc>
        <w:tc>
          <w:tcPr>
            <w:tcW w:w="803" w:type="dxa"/>
          </w:tcPr>
          <w:p>
            <w:pPr>
              <w:pStyle w:val="TableParagraph"/>
              <w:ind w:left="218" w:right="65"/>
              <w:jc w:val="left"/>
              <w:rPr>
                <w:sz w:val="13"/>
              </w:rPr>
            </w:pPr>
            <w:r>
              <w:rPr>
                <w:w w:val="105"/>
                <w:sz w:val="13"/>
              </w:rPr>
              <w:t>26880</w:t>
            </w:r>
          </w:p>
        </w:tc>
        <w:tc>
          <w:tcPr>
            <w:tcW w:w="802" w:type="dxa"/>
          </w:tcPr>
          <w:p>
            <w:pPr>
              <w:pStyle w:val="TableParagraph"/>
              <w:ind w:left="191"/>
              <w:jc w:val="left"/>
              <w:rPr>
                <w:sz w:val="13"/>
              </w:rPr>
            </w:pPr>
            <w:r>
              <w:rPr>
                <w:w w:val="105"/>
                <w:sz w:val="13"/>
              </w:rPr>
              <w:t>140/80</w:t>
            </w:r>
          </w:p>
        </w:tc>
        <w:tc>
          <w:tcPr>
            <w:tcW w:w="803" w:type="dxa"/>
          </w:tcPr>
          <w:p>
            <w:pPr>
              <w:pStyle w:val="TableParagraph"/>
              <w:ind w:left="291" w:right="65"/>
              <w:jc w:val="left"/>
              <w:rPr>
                <w:sz w:val="13"/>
              </w:rPr>
            </w:pPr>
            <w:r>
              <w:rPr>
                <w:w w:val="105"/>
                <w:sz w:val="13"/>
              </w:rPr>
              <w:t>140</w:t>
            </w:r>
          </w:p>
        </w:tc>
        <w:tc>
          <w:tcPr>
            <w:tcW w:w="803" w:type="dxa"/>
          </w:tcPr>
          <w:p>
            <w:pPr>
              <w:pStyle w:val="TableParagraph"/>
              <w:ind w:left="200"/>
              <w:jc w:val="left"/>
              <w:rPr>
                <w:sz w:val="13"/>
              </w:rPr>
            </w:pPr>
            <w:r>
              <w:rPr>
                <w:w w:val="105"/>
                <w:sz w:val="13"/>
              </w:rPr>
              <w:t>31.332</w:t>
            </w:r>
          </w:p>
        </w:tc>
        <w:tc>
          <w:tcPr>
            <w:tcW w:w="802" w:type="dxa"/>
          </w:tcPr>
          <w:p>
            <w:pPr>
              <w:pStyle w:val="TableParagraph"/>
              <w:ind w:left="190" w:right="185"/>
              <w:rPr>
                <w:sz w:val="13"/>
              </w:rPr>
            </w:pPr>
            <w:r>
              <w:rPr>
                <w:w w:val="105"/>
                <w:sz w:val="13"/>
              </w:rPr>
              <w:t>5.7</w:t>
            </w:r>
          </w:p>
        </w:tc>
      </w:tr>
      <w:tr>
        <w:trPr>
          <w:trHeight w:val="182" w:hRule="exact"/>
        </w:trPr>
        <w:tc>
          <w:tcPr>
            <w:tcW w:w="803" w:type="dxa"/>
          </w:tcPr>
          <w:p>
            <w:pPr>
              <w:pStyle w:val="TableParagraph"/>
              <w:ind w:right="10"/>
              <w:rPr>
                <w:sz w:val="13"/>
              </w:rPr>
            </w:pPr>
            <w:r>
              <w:rPr>
                <w:w w:val="105"/>
                <w:sz w:val="13"/>
              </w:rPr>
              <w:t>PORTERO</w:t>
            </w:r>
          </w:p>
        </w:tc>
        <w:tc>
          <w:tcPr>
            <w:tcW w:w="802" w:type="dxa"/>
          </w:tcPr>
          <w:p>
            <w:pPr>
              <w:pStyle w:val="TableParagraph"/>
              <w:ind w:left="217" w:right="208"/>
              <w:rPr>
                <w:sz w:val="13"/>
              </w:rPr>
            </w:pPr>
            <w:r>
              <w:rPr>
                <w:w w:val="105"/>
                <w:sz w:val="13"/>
              </w:rPr>
              <w:t>25</w:t>
            </w:r>
          </w:p>
        </w:tc>
        <w:tc>
          <w:tcPr>
            <w:tcW w:w="803" w:type="dxa"/>
          </w:tcPr>
          <w:p>
            <w:pPr>
              <w:pStyle w:val="TableParagraph"/>
              <w:ind w:left="0" w:right="317"/>
              <w:jc w:val="right"/>
              <w:rPr>
                <w:sz w:val="13"/>
              </w:rPr>
            </w:pPr>
            <w:r>
              <w:rPr>
                <w:w w:val="105"/>
                <w:sz w:val="13"/>
              </w:rPr>
              <w:t>21</w:t>
            </w:r>
          </w:p>
        </w:tc>
        <w:tc>
          <w:tcPr>
            <w:tcW w:w="803" w:type="dxa"/>
          </w:tcPr>
          <w:p>
            <w:pPr>
              <w:pStyle w:val="TableParagraph"/>
              <w:ind w:right="14"/>
              <w:rPr>
                <w:sz w:val="13"/>
              </w:rPr>
            </w:pPr>
            <w:r>
              <w:rPr>
                <w:w w:val="105"/>
                <w:sz w:val="13"/>
              </w:rPr>
              <w:t>46.19</w:t>
            </w:r>
          </w:p>
        </w:tc>
        <w:tc>
          <w:tcPr>
            <w:tcW w:w="802" w:type="dxa"/>
          </w:tcPr>
          <w:p>
            <w:pPr>
              <w:pStyle w:val="TableParagraph"/>
              <w:ind w:left="190" w:right="188"/>
              <w:rPr>
                <w:sz w:val="13"/>
              </w:rPr>
            </w:pPr>
            <w:r>
              <w:rPr>
                <w:w w:val="105"/>
                <w:sz w:val="13"/>
              </w:rPr>
              <w:t>VI</w:t>
            </w:r>
          </w:p>
        </w:tc>
        <w:tc>
          <w:tcPr>
            <w:tcW w:w="803" w:type="dxa"/>
          </w:tcPr>
          <w:p>
            <w:pPr>
              <w:pStyle w:val="TableParagraph"/>
              <w:ind w:right="10"/>
              <w:rPr>
                <w:sz w:val="13"/>
              </w:rPr>
            </w:pPr>
            <w:r>
              <w:rPr>
                <w:w w:val="105"/>
                <w:sz w:val="13"/>
              </w:rPr>
              <w:t>186</w:t>
            </w:r>
          </w:p>
        </w:tc>
        <w:tc>
          <w:tcPr>
            <w:tcW w:w="803" w:type="dxa"/>
          </w:tcPr>
          <w:p>
            <w:pPr>
              <w:pStyle w:val="TableParagraph"/>
              <w:ind w:left="218" w:right="65"/>
              <w:jc w:val="left"/>
              <w:rPr>
                <w:sz w:val="13"/>
              </w:rPr>
            </w:pPr>
            <w:r>
              <w:rPr>
                <w:w w:val="105"/>
                <w:sz w:val="13"/>
              </w:rPr>
              <w:t>26040</w:t>
            </w:r>
          </w:p>
        </w:tc>
        <w:tc>
          <w:tcPr>
            <w:tcW w:w="802" w:type="dxa"/>
          </w:tcPr>
          <w:p>
            <w:pPr>
              <w:pStyle w:val="TableParagraph"/>
              <w:ind w:left="191"/>
              <w:jc w:val="left"/>
              <w:rPr>
                <w:sz w:val="13"/>
              </w:rPr>
            </w:pPr>
            <w:r>
              <w:rPr>
                <w:w w:val="105"/>
                <w:sz w:val="13"/>
              </w:rPr>
              <w:t>140/80</w:t>
            </w:r>
          </w:p>
        </w:tc>
        <w:tc>
          <w:tcPr>
            <w:tcW w:w="803" w:type="dxa"/>
          </w:tcPr>
          <w:p>
            <w:pPr>
              <w:pStyle w:val="TableParagraph"/>
              <w:ind w:left="291" w:right="65"/>
              <w:jc w:val="left"/>
              <w:rPr>
                <w:sz w:val="13"/>
              </w:rPr>
            </w:pPr>
            <w:r>
              <w:rPr>
                <w:w w:val="105"/>
                <w:sz w:val="13"/>
              </w:rPr>
              <w:t>140</w:t>
            </w:r>
          </w:p>
        </w:tc>
        <w:tc>
          <w:tcPr>
            <w:tcW w:w="803" w:type="dxa"/>
          </w:tcPr>
          <w:p>
            <w:pPr>
              <w:pStyle w:val="TableParagraph"/>
              <w:ind w:left="200"/>
              <w:jc w:val="left"/>
              <w:rPr>
                <w:sz w:val="13"/>
              </w:rPr>
            </w:pPr>
            <w:r>
              <w:rPr>
                <w:w w:val="105"/>
                <w:sz w:val="13"/>
              </w:rPr>
              <w:t>30.156</w:t>
            </w:r>
          </w:p>
        </w:tc>
        <w:tc>
          <w:tcPr>
            <w:tcW w:w="802" w:type="dxa"/>
          </w:tcPr>
          <w:p>
            <w:pPr>
              <w:pStyle w:val="TableParagraph"/>
              <w:ind w:left="190" w:right="185"/>
              <w:rPr>
                <w:sz w:val="13"/>
              </w:rPr>
            </w:pPr>
            <w:r>
              <w:rPr>
                <w:w w:val="105"/>
                <w:sz w:val="13"/>
              </w:rPr>
              <w:t>6.5</w:t>
            </w:r>
          </w:p>
        </w:tc>
      </w:tr>
      <w:tr>
        <w:trPr>
          <w:trHeight w:val="182" w:hRule="exact"/>
        </w:trPr>
        <w:tc>
          <w:tcPr>
            <w:tcW w:w="803" w:type="dxa"/>
          </w:tcPr>
          <w:p>
            <w:pPr>
              <w:pStyle w:val="TableParagraph"/>
              <w:ind w:right="13"/>
              <w:rPr>
                <w:sz w:val="13"/>
              </w:rPr>
            </w:pPr>
            <w:r>
              <w:rPr>
                <w:w w:val="105"/>
                <w:sz w:val="13"/>
              </w:rPr>
              <w:t>DEFENSA</w:t>
            </w:r>
          </w:p>
        </w:tc>
        <w:tc>
          <w:tcPr>
            <w:tcW w:w="802" w:type="dxa"/>
          </w:tcPr>
          <w:p>
            <w:pPr>
              <w:pStyle w:val="TableParagraph"/>
              <w:ind w:left="217" w:right="208"/>
              <w:rPr>
                <w:sz w:val="13"/>
              </w:rPr>
            </w:pPr>
            <w:r>
              <w:rPr>
                <w:w w:val="105"/>
                <w:sz w:val="13"/>
              </w:rPr>
              <w:t>22</w:t>
            </w:r>
          </w:p>
        </w:tc>
        <w:tc>
          <w:tcPr>
            <w:tcW w:w="803" w:type="dxa"/>
          </w:tcPr>
          <w:p>
            <w:pPr>
              <w:pStyle w:val="TableParagraph"/>
              <w:ind w:left="0" w:right="317"/>
              <w:jc w:val="right"/>
              <w:rPr>
                <w:sz w:val="13"/>
              </w:rPr>
            </w:pPr>
            <w:r>
              <w:rPr>
                <w:w w:val="105"/>
                <w:sz w:val="13"/>
              </w:rPr>
              <w:t>18</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182</w:t>
            </w:r>
          </w:p>
        </w:tc>
        <w:tc>
          <w:tcPr>
            <w:tcW w:w="803" w:type="dxa"/>
          </w:tcPr>
          <w:p>
            <w:pPr>
              <w:pStyle w:val="TableParagraph"/>
              <w:ind w:left="218" w:right="65"/>
              <w:jc w:val="left"/>
              <w:rPr>
                <w:sz w:val="13"/>
              </w:rPr>
            </w:pPr>
            <w:r>
              <w:rPr>
                <w:w w:val="105"/>
                <w:sz w:val="13"/>
              </w:rPr>
              <w:t>23660</w:t>
            </w:r>
          </w:p>
        </w:tc>
        <w:tc>
          <w:tcPr>
            <w:tcW w:w="802" w:type="dxa"/>
          </w:tcPr>
          <w:p>
            <w:pPr>
              <w:pStyle w:val="TableParagraph"/>
              <w:ind w:left="191"/>
              <w:jc w:val="left"/>
              <w:rPr>
                <w:sz w:val="13"/>
              </w:rPr>
            </w:pPr>
            <w:r>
              <w:rPr>
                <w:w w:val="105"/>
                <w:sz w:val="13"/>
              </w:rPr>
              <w:t>130/90</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26.824</w:t>
            </w:r>
          </w:p>
        </w:tc>
        <w:tc>
          <w:tcPr>
            <w:tcW w:w="802" w:type="dxa"/>
          </w:tcPr>
          <w:p>
            <w:pPr>
              <w:pStyle w:val="TableParagraph"/>
              <w:ind w:left="190" w:right="185"/>
              <w:rPr>
                <w:sz w:val="13"/>
              </w:rPr>
            </w:pPr>
            <w:r>
              <w:rPr>
                <w:w w:val="105"/>
                <w:sz w:val="13"/>
              </w:rPr>
              <w:t>4.9</w:t>
            </w:r>
          </w:p>
        </w:tc>
      </w:tr>
      <w:tr>
        <w:trPr>
          <w:trHeight w:val="182" w:hRule="exact"/>
        </w:trPr>
        <w:tc>
          <w:tcPr>
            <w:tcW w:w="803" w:type="dxa"/>
          </w:tcPr>
          <w:p>
            <w:pPr>
              <w:pStyle w:val="TableParagraph"/>
              <w:ind w:right="13"/>
              <w:rPr>
                <w:sz w:val="13"/>
              </w:rPr>
            </w:pPr>
            <w:r>
              <w:rPr>
                <w:w w:val="105"/>
                <w:sz w:val="13"/>
              </w:rPr>
              <w:t>DEFENSA</w:t>
            </w:r>
          </w:p>
        </w:tc>
        <w:tc>
          <w:tcPr>
            <w:tcW w:w="802" w:type="dxa"/>
          </w:tcPr>
          <w:p>
            <w:pPr>
              <w:pStyle w:val="TableParagraph"/>
              <w:ind w:left="217" w:right="208"/>
              <w:rPr>
                <w:sz w:val="13"/>
              </w:rPr>
            </w:pPr>
            <w:r>
              <w:rPr>
                <w:w w:val="105"/>
                <w:sz w:val="13"/>
              </w:rPr>
              <w:t>29</w:t>
            </w:r>
          </w:p>
        </w:tc>
        <w:tc>
          <w:tcPr>
            <w:tcW w:w="803" w:type="dxa"/>
          </w:tcPr>
          <w:p>
            <w:pPr>
              <w:pStyle w:val="TableParagraph"/>
              <w:ind w:left="0" w:right="317"/>
              <w:jc w:val="right"/>
              <w:rPr>
                <w:sz w:val="13"/>
              </w:rPr>
            </w:pPr>
            <w:r>
              <w:rPr>
                <w:w w:val="105"/>
                <w:sz w:val="13"/>
              </w:rPr>
              <w:t>25</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168</w:t>
            </w:r>
          </w:p>
        </w:tc>
        <w:tc>
          <w:tcPr>
            <w:tcW w:w="803" w:type="dxa"/>
          </w:tcPr>
          <w:p>
            <w:pPr>
              <w:pStyle w:val="TableParagraph"/>
              <w:ind w:left="218" w:right="65"/>
              <w:jc w:val="left"/>
              <w:rPr>
                <w:sz w:val="13"/>
              </w:rPr>
            </w:pPr>
            <w:r>
              <w:rPr>
                <w:w w:val="105"/>
                <w:sz w:val="13"/>
              </w:rPr>
              <w:t>23520</w:t>
            </w:r>
          </w:p>
        </w:tc>
        <w:tc>
          <w:tcPr>
            <w:tcW w:w="802" w:type="dxa"/>
          </w:tcPr>
          <w:p>
            <w:pPr>
              <w:pStyle w:val="TableParagraph"/>
              <w:ind w:left="191"/>
              <w:jc w:val="left"/>
              <w:rPr>
                <w:sz w:val="13"/>
              </w:rPr>
            </w:pPr>
            <w:r>
              <w:rPr>
                <w:w w:val="105"/>
                <w:sz w:val="13"/>
              </w:rPr>
              <w:t>140/80</w:t>
            </w:r>
          </w:p>
        </w:tc>
        <w:tc>
          <w:tcPr>
            <w:tcW w:w="803" w:type="dxa"/>
          </w:tcPr>
          <w:p>
            <w:pPr>
              <w:pStyle w:val="TableParagraph"/>
              <w:ind w:left="291" w:right="65"/>
              <w:jc w:val="left"/>
              <w:rPr>
                <w:sz w:val="13"/>
              </w:rPr>
            </w:pPr>
            <w:r>
              <w:rPr>
                <w:w w:val="105"/>
                <w:sz w:val="13"/>
              </w:rPr>
              <w:t>140</w:t>
            </w:r>
          </w:p>
        </w:tc>
        <w:tc>
          <w:tcPr>
            <w:tcW w:w="803" w:type="dxa"/>
          </w:tcPr>
          <w:p>
            <w:pPr>
              <w:pStyle w:val="TableParagraph"/>
              <w:ind w:left="200"/>
              <w:jc w:val="left"/>
              <w:rPr>
                <w:sz w:val="13"/>
              </w:rPr>
            </w:pPr>
            <w:r>
              <w:rPr>
                <w:w w:val="105"/>
                <w:sz w:val="13"/>
              </w:rPr>
              <w:t>26.628</w:t>
            </w:r>
          </w:p>
        </w:tc>
        <w:tc>
          <w:tcPr>
            <w:tcW w:w="802" w:type="dxa"/>
          </w:tcPr>
          <w:p>
            <w:pPr>
              <w:pStyle w:val="TableParagraph"/>
              <w:ind w:left="190" w:right="185"/>
              <w:rPr>
                <w:sz w:val="13"/>
              </w:rPr>
            </w:pPr>
            <w:r>
              <w:rPr>
                <w:w w:val="105"/>
                <w:sz w:val="13"/>
              </w:rPr>
              <w:t>4.9</w:t>
            </w:r>
          </w:p>
        </w:tc>
      </w:tr>
      <w:tr>
        <w:trPr>
          <w:trHeight w:val="182" w:hRule="exact"/>
        </w:trPr>
        <w:tc>
          <w:tcPr>
            <w:tcW w:w="803" w:type="dxa"/>
          </w:tcPr>
          <w:p>
            <w:pPr>
              <w:pStyle w:val="TableParagraph"/>
              <w:ind w:right="13"/>
              <w:rPr>
                <w:sz w:val="13"/>
              </w:rPr>
            </w:pPr>
            <w:r>
              <w:rPr>
                <w:w w:val="105"/>
                <w:sz w:val="13"/>
              </w:rPr>
              <w:t>DEFENSA</w:t>
            </w:r>
          </w:p>
        </w:tc>
        <w:tc>
          <w:tcPr>
            <w:tcW w:w="802" w:type="dxa"/>
          </w:tcPr>
          <w:p>
            <w:pPr>
              <w:pStyle w:val="TableParagraph"/>
              <w:ind w:left="217" w:right="208"/>
              <w:rPr>
                <w:sz w:val="13"/>
              </w:rPr>
            </w:pPr>
            <w:r>
              <w:rPr>
                <w:w w:val="105"/>
                <w:sz w:val="13"/>
              </w:rPr>
              <w:t>33</w:t>
            </w:r>
          </w:p>
        </w:tc>
        <w:tc>
          <w:tcPr>
            <w:tcW w:w="803" w:type="dxa"/>
          </w:tcPr>
          <w:p>
            <w:pPr>
              <w:pStyle w:val="TableParagraph"/>
              <w:ind w:left="0" w:right="317"/>
              <w:jc w:val="right"/>
              <w:rPr>
                <w:sz w:val="13"/>
              </w:rPr>
            </w:pPr>
            <w:r>
              <w:rPr>
                <w:w w:val="105"/>
                <w:sz w:val="13"/>
              </w:rPr>
              <w:t>28</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178</w:t>
            </w:r>
          </w:p>
        </w:tc>
        <w:tc>
          <w:tcPr>
            <w:tcW w:w="803" w:type="dxa"/>
          </w:tcPr>
          <w:p>
            <w:pPr>
              <w:pStyle w:val="TableParagraph"/>
              <w:ind w:left="218" w:right="65"/>
              <w:jc w:val="left"/>
              <w:rPr>
                <w:sz w:val="13"/>
              </w:rPr>
            </w:pPr>
            <w:r>
              <w:rPr>
                <w:w w:val="105"/>
                <w:sz w:val="13"/>
              </w:rPr>
              <w:t>23140</w:t>
            </w:r>
          </w:p>
        </w:tc>
        <w:tc>
          <w:tcPr>
            <w:tcW w:w="802" w:type="dxa"/>
          </w:tcPr>
          <w:p>
            <w:pPr>
              <w:pStyle w:val="TableParagraph"/>
              <w:ind w:left="191"/>
              <w:jc w:val="left"/>
              <w:rPr>
                <w:sz w:val="13"/>
              </w:rPr>
            </w:pPr>
            <w:r>
              <w:rPr>
                <w:w w:val="105"/>
                <w:sz w:val="13"/>
              </w:rPr>
              <w:t>130/80</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26.096</w:t>
            </w:r>
          </w:p>
        </w:tc>
        <w:tc>
          <w:tcPr>
            <w:tcW w:w="802" w:type="dxa"/>
          </w:tcPr>
          <w:p>
            <w:pPr>
              <w:pStyle w:val="TableParagraph"/>
              <w:ind w:left="190" w:right="185"/>
              <w:rPr>
                <w:sz w:val="13"/>
              </w:rPr>
            </w:pPr>
            <w:r>
              <w:rPr>
                <w:w w:val="105"/>
                <w:sz w:val="13"/>
              </w:rPr>
              <w:t>4.8</w:t>
            </w:r>
          </w:p>
        </w:tc>
      </w:tr>
      <w:tr>
        <w:trPr>
          <w:trHeight w:val="183" w:hRule="exact"/>
        </w:trPr>
        <w:tc>
          <w:tcPr>
            <w:tcW w:w="803" w:type="dxa"/>
            <w:tcBorders>
              <w:bottom w:val="single" w:sz="4" w:space="0" w:color="D3D3D3"/>
            </w:tcBorders>
          </w:tcPr>
          <w:p>
            <w:pPr>
              <w:pStyle w:val="TableParagraph"/>
              <w:ind w:right="13"/>
              <w:rPr>
                <w:sz w:val="13"/>
              </w:rPr>
            </w:pPr>
            <w:r>
              <w:rPr>
                <w:w w:val="105"/>
                <w:sz w:val="13"/>
              </w:rPr>
              <w:t>DEFENSA</w:t>
            </w:r>
          </w:p>
        </w:tc>
        <w:tc>
          <w:tcPr>
            <w:tcW w:w="802" w:type="dxa"/>
            <w:tcBorders>
              <w:bottom w:val="single" w:sz="4" w:space="0" w:color="D3D3D3"/>
            </w:tcBorders>
          </w:tcPr>
          <w:p>
            <w:pPr>
              <w:pStyle w:val="TableParagraph"/>
              <w:ind w:left="217" w:right="208"/>
              <w:rPr>
                <w:sz w:val="13"/>
              </w:rPr>
            </w:pPr>
            <w:r>
              <w:rPr>
                <w:w w:val="105"/>
                <w:sz w:val="13"/>
              </w:rPr>
              <w:t>30</w:t>
            </w:r>
          </w:p>
        </w:tc>
        <w:tc>
          <w:tcPr>
            <w:tcW w:w="803" w:type="dxa"/>
            <w:tcBorders>
              <w:bottom w:val="single" w:sz="4" w:space="0" w:color="D3D3D3"/>
            </w:tcBorders>
          </w:tcPr>
          <w:p>
            <w:pPr>
              <w:pStyle w:val="TableParagraph"/>
              <w:ind w:left="0" w:right="317"/>
              <w:jc w:val="right"/>
              <w:rPr>
                <w:sz w:val="13"/>
              </w:rPr>
            </w:pPr>
            <w:r>
              <w:rPr>
                <w:w w:val="105"/>
                <w:sz w:val="13"/>
              </w:rPr>
              <w:t>26</w:t>
            </w:r>
          </w:p>
        </w:tc>
        <w:tc>
          <w:tcPr>
            <w:tcW w:w="803" w:type="dxa"/>
            <w:tcBorders>
              <w:bottom w:val="single" w:sz="4" w:space="0" w:color="D3D3D3"/>
            </w:tcBorders>
          </w:tcPr>
          <w:p>
            <w:pPr>
              <w:pStyle w:val="TableParagraph"/>
              <w:ind w:right="14"/>
              <w:rPr>
                <w:sz w:val="13"/>
              </w:rPr>
            </w:pPr>
            <w:r>
              <w:rPr>
                <w:w w:val="105"/>
                <w:sz w:val="13"/>
              </w:rPr>
              <w:t>39.08</w:t>
            </w:r>
          </w:p>
        </w:tc>
        <w:tc>
          <w:tcPr>
            <w:tcW w:w="802" w:type="dxa"/>
            <w:tcBorders>
              <w:bottom w:val="single" w:sz="4" w:space="0" w:color="D3D3D3"/>
            </w:tcBorders>
          </w:tcPr>
          <w:p>
            <w:pPr>
              <w:pStyle w:val="TableParagraph"/>
              <w:ind w:left="0" w:right="2"/>
              <w:rPr>
                <w:sz w:val="13"/>
              </w:rPr>
            </w:pPr>
            <w:r>
              <w:rPr>
                <w:w w:val="105"/>
                <w:sz w:val="13"/>
              </w:rPr>
              <w:t>V</w:t>
            </w:r>
          </w:p>
        </w:tc>
        <w:tc>
          <w:tcPr>
            <w:tcW w:w="803" w:type="dxa"/>
            <w:tcBorders>
              <w:bottom w:val="single" w:sz="4" w:space="0" w:color="D3D3D3"/>
            </w:tcBorders>
          </w:tcPr>
          <w:p>
            <w:pPr>
              <w:pStyle w:val="TableParagraph"/>
              <w:ind w:right="10"/>
              <w:rPr>
                <w:sz w:val="13"/>
              </w:rPr>
            </w:pPr>
            <w:r>
              <w:rPr>
                <w:w w:val="105"/>
                <w:sz w:val="13"/>
              </w:rPr>
              <w:t>197</w:t>
            </w:r>
          </w:p>
        </w:tc>
        <w:tc>
          <w:tcPr>
            <w:tcW w:w="803" w:type="dxa"/>
            <w:tcBorders>
              <w:bottom w:val="single" w:sz="4" w:space="0" w:color="D3D3D3"/>
            </w:tcBorders>
          </w:tcPr>
          <w:p>
            <w:pPr>
              <w:pStyle w:val="TableParagraph"/>
              <w:ind w:left="218" w:right="65"/>
              <w:jc w:val="left"/>
              <w:rPr>
                <w:sz w:val="13"/>
              </w:rPr>
            </w:pPr>
            <w:r>
              <w:rPr>
                <w:w w:val="105"/>
                <w:sz w:val="13"/>
              </w:rPr>
              <w:t>25610</w:t>
            </w:r>
          </w:p>
        </w:tc>
        <w:tc>
          <w:tcPr>
            <w:tcW w:w="802" w:type="dxa"/>
            <w:tcBorders>
              <w:bottom w:val="single" w:sz="4" w:space="0" w:color="D3D3D3"/>
            </w:tcBorders>
          </w:tcPr>
          <w:p>
            <w:pPr>
              <w:pStyle w:val="TableParagraph"/>
              <w:ind w:left="191"/>
              <w:jc w:val="left"/>
              <w:rPr>
                <w:sz w:val="13"/>
              </w:rPr>
            </w:pPr>
            <w:r>
              <w:rPr>
                <w:w w:val="105"/>
                <w:sz w:val="13"/>
              </w:rPr>
              <w:t>130/90</w:t>
            </w:r>
          </w:p>
        </w:tc>
        <w:tc>
          <w:tcPr>
            <w:tcW w:w="803" w:type="dxa"/>
            <w:tcBorders>
              <w:bottom w:val="single" w:sz="4" w:space="0" w:color="D3D3D3"/>
            </w:tcBorders>
          </w:tcPr>
          <w:p>
            <w:pPr>
              <w:pStyle w:val="TableParagraph"/>
              <w:ind w:left="291" w:right="65"/>
              <w:jc w:val="left"/>
              <w:rPr>
                <w:sz w:val="13"/>
              </w:rPr>
            </w:pPr>
            <w:r>
              <w:rPr>
                <w:w w:val="105"/>
                <w:sz w:val="13"/>
              </w:rPr>
              <w:t>130</w:t>
            </w:r>
          </w:p>
        </w:tc>
        <w:tc>
          <w:tcPr>
            <w:tcW w:w="803" w:type="dxa"/>
            <w:tcBorders>
              <w:bottom w:val="single" w:sz="4" w:space="0" w:color="D3D3D3"/>
            </w:tcBorders>
          </w:tcPr>
          <w:p>
            <w:pPr>
              <w:pStyle w:val="TableParagraph"/>
              <w:ind w:left="200"/>
              <w:jc w:val="left"/>
              <w:rPr>
                <w:sz w:val="13"/>
              </w:rPr>
            </w:pPr>
            <w:r>
              <w:rPr>
                <w:w w:val="105"/>
                <w:sz w:val="13"/>
              </w:rPr>
              <w:t>29.554</w:t>
            </w:r>
          </w:p>
        </w:tc>
        <w:tc>
          <w:tcPr>
            <w:tcW w:w="802" w:type="dxa"/>
            <w:tcBorders>
              <w:bottom w:val="single" w:sz="4" w:space="0" w:color="D3D3D3"/>
            </w:tcBorders>
          </w:tcPr>
          <w:p>
            <w:pPr>
              <w:pStyle w:val="TableParagraph"/>
              <w:ind w:left="190" w:right="185"/>
              <w:rPr>
                <w:sz w:val="13"/>
              </w:rPr>
            </w:pPr>
            <w:r>
              <w:rPr>
                <w:w w:val="105"/>
                <w:sz w:val="13"/>
              </w:rPr>
              <w:t>7.6</w:t>
            </w:r>
          </w:p>
        </w:tc>
      </w:tr>
      <w:tr>
        <w:trPr>
          <w:trHeight w:val="183" w:hRule="exact"/>
        </w:trPr>
        <w:tc>
          <w:tcPr>
            <w:tcW w:w="803" w:type="dxa"/>
            <w:tcBorders>
              <w:top w:val="single" w:sz="4" w:space="0" w:color="D3D3D3"/>
            </w:tcBorders>
          </w:tcPr>
          <w:p>
            <w:pPr>
              <w:pStyle w:val="TableParagraph"/>
              <w:spacing w:before="12"/>
              <w:ind w:right="13"/>
              <w:rPr>
                <w:sz w:val="13"/>
              </w:rPr>
            </w:pPr>
            <w:r>
              <w:rPr>
                <w:w w:val="105"/>
                <w:sz w:val="13"/>
              </w:rPr>
              <w:t>DEFENSA</w:t>
            </w:r>
          </w:p>
        </w:tc>
        <w:tc>
          <w:tcPr>
            <w:tcW w:w="802" w:type="dxa"/>
            <w:tcBorders>
              <w:top w:val="single" w:sz="4" w:space="0" w:color="D3D3D3"/>
            </w:tcBorders>
          </w:tcPr>
          <w:p>
            <w:pPr>
              <w:pStyle w:val="TableParagraph"/>
              <w:spacing w:before="12"/>
              <w:ind w:left="217" w:right="208"/>
              <w:rPr>
                <w:sz w:val="13"/>
              </w:rPr>
            </w:pPr>
            <w:r>
              <w:rPr>
                <w:w w:val="105"/>
                <w:sz w:val="13"/>
              </w:rPr>
              <w:t>25</w:t>
            </w:r>
          </w:p>
        </w:tc>
        <w:tc>
          <w:tcPr>
            <w:tcW w:w="803" w:type="dxa"/>
            <w:tcBorders>
              <w:top w:val="single" w:sz="4" w:space="0" w:color="D3D3D3"/>
            </w:tcBorders>
          </w:tcPr>
          <w:p>
            <w:pPr>
              <w:pStyle w:val="TableParagraph"/>
              <w:spacing w:before="12"/>
              <w:ind w:left="0" w:right="317"/>
              <w:jc w:val="right"/>
              <w:rPr>
                <w:sz w:val="13"/>
              </w:rPr>
            </w:pPr>
            <w:r>
              <w:rPr>
                <w:w w:val="105"/>
                <w:sz w:val="13"/>
              </w:rPr>
              <w:t>21</w:t>
            </w:r>
          </w:p>
        </w:tc>
        <w:tc>
          <w:tcPr>
            <w:tcW w:w="803" w:type="dxa"/>
            <w:tcBorders>
              <w:top w:val="single" w:sz="4" w:space="0" w:color="D3D3D3"/>
            </w:tcBorders>
          </w:tcPr>
          <w:p>
            <w:pPr>
              <w:pStyle w:val="TableParagraph"/>
              <w:spacing w:before="12"/>
              <w:ind w:right="14"/>
              <w:rPr>
                <w:sz w:val="13"/>
              </w:rPr>
            </w:pPr>
            <w:r>
              <w:rPr>
                <w:w w:val="105"/>
                <w:sz w:val="13"/>
              </w:rPr>
              <w:t>54.5</w:t>
            </w:r>
          </w:p>
        </w:tc>
        <w:tc>
          <w:tcPr>
            <w:tcW w:w="802" w:type="dxa"/>
            <w:tcBorders>
              <w:top w:val="single" w:sz="4" w:space="0" w:color="D3D3D3"/>
            </w:tcBorders>
          </w:tcPr>
          <w:p>
            <w:pPr>
              <w:pStyle w:val="TableParagraph"/>
              <w:spacing w:before="12"/>
              <w:ind w:left="190" w:right="190"/>
              <w:rPr>
                <w:sz w:val="13"/>
              </w:rPr>
            </w:pPr>
            <w:r>
              <w:rPr>
                <w:w w:val="105"/>
                <w:sz w:val="13"/>
              </w:rPr>
              <w:t>VII</w:t>
            </w:r>
          </w:p>
        </w:tc>
        <w:tc>
          <w:tcPr>
            <w:tcW w:w="803" w:type="dxa"/>
            <w:tcBorders>
              <w:top w:val="single" w:sz="4" w:space="0" w:color="D3D3D3"/>
            </w:tcBorders>
          </w:tcPr>
          <w:p>
            <w:pPr>
              <w:pStyle w:val="TableParagraph"/>
              <w:spacing w:before="12"/>
              <w:ind w:right="10"/>
              <w:rPr>
                <w:sz w:val="13"/>
              </w:rPr>
            </w:pPr>
            <w:r>
              <w:rPr>
                <w:w w:val="105"/>
                <w:sz w:val="13"/>
              </w:rPr>
              <w:t>196</w:t>
            </w:r>
          </w:p>
        </w:tc>
        <w:tc>
          <w:tcPr>
            <w:tcW w:w="803" w:type="dxa"/>
            <w:tcBorders>
              <w:top w:val="single" w:sz="4" w:space="0" w:color="D3D3D3"/>
            </w:tcBorders>
          </w:tcPr>
          <w:p>
            <w:pPr>
              <w:pStyle w:val="TableParagraph"/>
              <w:spacing w:before="12"/>
              <w:ind w:left="218" w:right="65"/>
              <w:jc w:val="left"/>
              <w:rPr>
                <w:sz w:val="13"/>
              </w:rPr>
            </w:pPr>
            <w:r>
              <w:rPr>
                <w:w w:val="105"/>
                <w:sz w:val="13"/>
              </w:rPr>
              <w:t>25400</w:t>
            </w:r>
          </w:p>
        </w:tc>
        <w:tc>
          <w:tcPr>
            <w:tcW w:w="802" w:type="dxa"/>
            <w:tcBorders>
              <w:top w:val="single" w:sz="4" w:space="0" w:color="D3D3D3"/>
            </w:tcBorders>
          </w:tcPr>
          <w:p>
            <w:pPr>
              <w:pStyle w:val="TableParagraph"/>
              <w:spacing w:before="12"/>
              <w:ind w:left="191"/>
              <w:jc w:val="left"/>
              <w:rPr>
                <w:sz w:val="13"/>
              </w:rPr>
            </w:pPr>
            <w:r>
              <w:rPr>
                <w:w w:val="105"/>
                <w:sz w:val="13"/>
              </w:rPr>
              <w:t>130/90</w:t>
            </w:r>
          </w:p>
        </w:tc>
        <w:tc>
          <w:tcPr>
            <w:tcW w:w="803" w:type="dxa"/>
            <w:tcBorders>
              <w:top w:val="single" w:sz="4" w:space="0" w:color="D3D3D3"/>
            </w:tcBorders>
          </w:tcPr>
          <w:p>
            <w:pPr>
              <w:pStyle w:val="TableParagraph"/>
              <w:spacing w:before="12"/>
              <w:ind w:left="291" w:right="65"/>
              <w:jc w:val="left"/>
              <w:rPr>
                <w:sz w:val="13"/>
              </w:rPr>
            </w:pPr>
            <w:r>
              <w:rPr>
                <w:w w:val="105"/>
                <w:sz w:val="13"/>
              </w:rPr>
              <w:t>130</w:t>
            </w:r>
          </w:p>
        </w:tc>
        <w:tc>
          <w:tcPr>
            <w:tcW w:w="803" w:type="dxa"/>
            <w:tcBorders>
              <w:top w:val="single" w:sz="4" w:space="0" w:color="D3D3D3"/>
            </w:tcBorders>
          </w:tcPr>
          <w:p>
            <w:pPr>
              <w:pStyle w:val="TableParagraph"/>
              <w:spacing w:before="12"/>
              <w:ind w:left="200"/>
              <w:jc w:val="left"/>
              <w:rPr>
                <w:sz w:val="13"/>
              </w:rPr>
            </w:pPr>
            <w:r>
              <w:rPr>
                <w:w w:val="105"/>
                <w:sz w:val="13"/>
              </w:rPr>
              <w:t>29.372</w:t>
            </w:r>
          </w:p>
        </w:tc>
        <w:tc>
          <w:tcPr>
            <w:tcW w:w="802" w:type="dxa"/>
            <w:tcBorders>
              <w:top w:val="single" w:sz="4" w:space="0" w:color="D3D3D3"/>
            </w:tcBorders>
          </w:tcPr>
          <w:p>
            <w:pPr>
              <w:pStyle w:val="TableParagraph"/>
              <w:spacing w:before="12"/>
              <w:ind w:left="190" w:right="185"/>
              <w:rPr>
                <w:sz w:val="13"/>
              </w:rPr>
            </w:pPr>
            <w:r>
              <w:rPr>
                <w:w w:val="105"/>
                <w:sz w:val="13"/>
              </w:rPr>
              <w:t>5.4</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25</w:t>
            </w:r>
          </w:p>
        </w:tc>
        <w:tc>
          <w:tcPr>
            <w:tcW w:w="803" w:type="dxa"/>
          </w:tcPr>
          <w:p>
            <w:pPr>
              <w:pStyle w:val="TableParagraph"/>
              <w:ind w:left="0" w:right="317"/>
              <w:jc w:val="right"/>
              <w:rPr>
                <w:sz w:val="13"/>
              </w:rPr>
            </w:pPr>
            <w:r>
              <w:rPr>
                <w:w w:val="105"/>
                <w:sz w:val="13"/>
              </w:rPr>
              <w:t>22</w:t>
            </w:r>
          </w:p>
        </w:tc>
        <w:tc>
          <w:tcPr>
            <w:tcW w:w="803" w:type="dxa"/>
          </w:tcPr>
          <w:p>
            <w:pPr>
              <w:pStyle w:val="TableParagraph"/>
              <w:ind w:right="14"/>
              <w:rPr>
                <w:sz w:val="13"/>
              </w:rPr>
            </w:pPr>
            <w:r>
              <w:rPr>
                <w:w w:val="105"/>
                <w:sz w:val="13"/>
              </w:rPr>
              <w:t>47.19</w:t>
            </w:r>
          </w:p>
        </w:tc>
        <w:tc>
          <w:tcPr>
            <w:tcW w:w="802" w:type="dxa"/>
          </w:tcPr>
          <w:p>
            <w:pPr>
              <w:pStyle w:val="TableParagraph"/>
              <w:ind w:left="190" w:right="188"/>
              <w:rPr>
                <w:sz w:val="13"/>
              </w:rPr>
            </w:pPr>
            <w:r>
              <w:rPr>
                <w:w w:val="105"/>
                <w:sz w:val="13"/>
              </w:rPr>
              <w:t>VI</w:t>
            </w:r>
          </w:p>
        </w:tc>
        <w:tc>
          <w:tcPr>
            <w:tcW w:w="803" w:type="dxa"/>
          </w:tcPr>
          <w:p>
            <w:pPr>
              <w:pStyle w:val="TableParagraph"/>
              <w:ind w:right="10"/>
              <w:rPr>
                <w:sz w:val="13"/>
              </w:rPr>
            </w:pPr>
            <w:r>
              <w:rPr>
                <w:w w:val="105"/>
                <w:sz w:val="13"/>
              </w:rPr>
              <w:t>180</w:t>
            </w:r>
          </w:p>
        </w:tc>
        <w:tc>
          <w:tcPr>
            <w:tcW w:w="803" w:type="dxa"/>
          </w:tcPr>
          <w:p>
            <w:pPr>
              <w:pStyle w:val="TableParagraph"/>
              <w:ind w:left="218" w:right="65"/>
              <w:jc w:val="left"/>
              <w:rPr>
                <w:sz w:val="13"/>
              </w:rPr>
            </w:pPr>
            <w:r>
              <w:rPr>
                <w:w w:val="105"/>
                <w:sz w:val="13"/>
              </w:rPr>
              <w:t>22500</w:t>
            </w:r>
          </w:p>
        </w:tc>
        <w:tc>
          <w:tcPr>
            <w:tcW w:w="802" w:type="dxa"/>
          </w:tcPr>
          <w:p>
            <w:pPr>
              <w:pStyle w:val="TableParagraph"/>
              <w:ind w:left="191"/>
              <w:jc w:val="left"/>
              <w:rPr>
                <w:sz w:val="13"/>
              </w:rPr>
            </w:pPr>
            <w:r>
              <w:rPr>
                <w:w w:val="105"/>
                <w:sz w:val="13"/>
              </w:rPr>
              <w:t>125/85</w:t>
            </w:r>
          </w:p>
        </w:tc>
        <w:tc>
          <w:tcPr>
            <w:tcW w:w="803" w:type="dxa"/>
          </w:tcPr>
          <w:p>
            <w:pPr>
              <w:pStyle w:val="TableParagraph"/>
              <w:ind w:left="291" w:right="65"/>
              <w:jc w:val="left"/>
              <w:rPr>
                <w:sz w:val="13"/>
              </w:rPr>
            </w:pPr>
            <w:r>
              <w:rPr>
                <w:w w:val="105"/>
                <w:sz w:val="13"/>
              </w:rPr>
              <w:t>125</w:t>
            </w:r>
          </w:p>
        </w:tc>
        <w:tc>
          <w:tcPr>
            <w:tcW w:w="803" w:type="dxa"/>
          </w:tcPr>
          <w:p>
            <w:pPr>
              <w:pStyle w:val="TableParagraph"/>
              <w:ind w:left="200"/>
              <w:jc w:val="left"/>
              <w:rPr>
                <w:sz w:val="13"/>
              </w:rPr>
            </w:pPr>
            <w:r>
              <w:rPr>
                <w:w w:val="105"/>
                <w:sz w:val="13"/>
              </w:rPr>
              <w:t>25.200</w:t>
            </w:r>
          </w:p>
        </w:tc>
        <w:tc>
          <w:tcPr>
            <w:tcW w:w="802" w:type="dxa"/>
          </w:tcPr>
          <w:p>
            <w:pPr>
              <w:pStyle w:val="TableParagraph"/>
              <w:ind w:left="190" w:right="185"/>
              <w:rPr>
                <w:sz w:val="13"/>
              </w:rPr>
            </w:pPr>
            <w:r>
              <w:rPr>
                <w:w w:val="105"/>
                <w:sz w:val="13"/>
              </w:rPr>
              <w:t>5.3</w:t>
            </w:r>
          </w:p>
        </w:tc>
      </w:tr>
      <w:tr>
        <w:trPr>
          <w:trHeight w:val="182" w:hRule="exact"/>
        </w:trPr>
        <w:tc>
          <w:tcPr>
            <w:tcW w:w="803" w:type="dxa"/>
          </w:tcPr>
          <w:p>
            <w:pPr>
              <w:pStyle w:val="TableParagraph"/>
              <w:spacing w:before="12"/>
              <w:ind w:right="18"/>
              <w:rPr>
                <w:sz w:val="13"/>
              </w:rPr>
            </w:pPr>
            <w:r>
              <w:rPr>
                <w:w w:val="105"/>
                <w:sz w:val="13"/>
              </w:rPr>
              <w:t>MEDIO</w:t>
            </w:r>
          </w:p>
        </w:tc>
        <w:tc>
          <w:tcPr>
            <w:tcW w:w="802" w:type="dxa"/>
          </w:tcPr>
          <w:p>
            <w:pPr>
              <w:pStyle w:val="TableParagraph"/>
              <w:spacing w:before="12"/>
              <w:ind w:left="217" w:right="208"/>
              <w:rPr>
                <w:sz w:val="13"/>
              </w:rPr>
            </w:pPr>
            <w:r>
              <w:rPr>
                <w:w w:val="105"/>
                <w:sz w:val="13"/>
              </w:rPr>
              <w:t>25</w:t>
            </w:r>
          </w:p>
        </w:tc>
        <w:tc>
          <w:tcPr>
            <w:tcW w:w="803" w:type="dxa"/>
          </w:tcPr>
          <w:p>
            <w:pPr>
              <w:pStyle w:val="TableParagraph"/>
              <w:spacing w:before="12"/>
              <w:ind w:left="0" w:right="317"/>
              <w:jc w:val="right"/>
              <w:rPr>
                <w:sz w:val="13"/>
              </w:rPr>
            </w:pPr>
            <w:r>
              <w:rPr>
                <w:w w:val="105"/>
                <w:sz w:val="13"/>
              </w:rPr>
              <w:t>21</w:t>
            </w:r>
          </w:p>
        </w:tc>
        <w:tc>
          <w:tcPr>
            <w:tcW w:w="803" w:type="dxa"/>
          </w:tcPr>
          <w:p>
            <w:pPr>
              <w:pStyle w:val="TableParagraph"/>
              <w:spacing w:before="12"/>
              <w:ind w:right="14"/>
              <w:rPr>
                <w:sz w:val="13"/>
              </w:rPr>
            </w:pPr>
            <w:r>
              <w:rPr>
                <w:w w:val="105"/>
                <w:sz w:val="13"/>
              </w:rPr>
              <w:t>61.8</w:t>
            </w:r>
          </w:p>
        </w:tc>
        <w:tc>
          <w:tcPr>
            <w:tcW w:w="802" w:type="dxa"/>
          </w:tcPr>
          <w:p>
            <w:pPr>
              <w:pStyle w:val="TableParagraph"/>
              <w:spacing w:before="12"/>
              <w:ind w:left="190" w:right="190"/>
              <w:rPr>
                <w:sz w:val="13"/>
              </w:rPr>
            </w:pPr>
            <w:r>
              <w:rPr>
                <w:w w:val="105"/>
                <w:sz w:val="13"/>
              </w:rPr>
              <w:t>VIII</w:t>
            </w:r>
          </w:p>
        </w:tc>
        <w:tc>
          <w:tcPr>
            <w:tcW w:w="803" w:type="dxa"/>
          </w:tcPr>
          <w:p>
            <w:pPr>
              <w:pStyle w:val="TableParagraph"/>
              <w:spacing w:before="12"/>
              <w:ind w:right="10"/>
              <w:rPr>
                <w:sz w:val="13"/>
              </w:rPr>
            </w:pPr>
            <w:r>
              <w:rPr>
                <w:w w:val="105"/>
                <w:sz w:val="13"/>
              </w:rPr>
              <w:t>190</w:t>
            </w:r>
          </w:p>
        </w:tc>
        <w:tc>
          <w:tcPr>
            <w:tcW w:w="803" w:type="dxa"/>
          </w:tcPr>
          <w:p>
            <w:pPr>
              <w:pStyle w:val="TableParagraph"/>
              <w:spacing w:before="12"/>
              <w:ind w:left="218" w:right="65"/>
              <w:jc w:val="left"/>
              <w:rPr>
                <w:sz w:val="13"/>
              </w:rPr>
            </w:pPr>
            <w:r>
              <w:rPr>
                <w:w w:val="105"/>
                <w:sz w:val="13"/>
              </w:rPr>
              <w:t>20900</w:t>
            </w:r>
          </w:p>
        </w:tc>
        <w:tc>
          <w:tcPr>
            <w:tcW w:w="802" w:type="dxa"/>
          </w:tcPr>
          <w:p>
            <w:pPr>
              <w:pStyle w:val="TableParagraph"/>
              <w:spacing w:before="12"/>
              <w:ind w:left="191"/>
              <w:jc w:val="left"/>
              <w:rPr>
                <w:sz w:val="13"/>
              </w:rPr>
            </w:pPr>
            <w:r>
              <w:rPr>
                <w:w w:val="105"/>
                <w:sz w:val="13"/>
              </w:rPr>
              <w:t>110/70</w:t>
            </w:r>
          </w:p>
        </w:tc>
        <w:tc>
          <w:tcPr>
            <w:tcW w:w="803" w:type="dxa"/>
          </w:tcPr>
          <w:p>
            <w:pPr>
              <w:pStyle w:val="TableParagraph"/>
              <w:spacing w:before="12"/>
              <w:ind w:left="291" w:right="65"/>
              <w:jc w:val="left"/>
              <w:rPr>
                <w:sz w:val="13"/>
              </w:rPr>
            </w:pPr>
            <w:r>
              <w:rPr>
                <w:w w:val="105"/>
                <w:sz w:val="13"/>
              </w:rPr>
              <w:t>110</w:t>
            </w:r>
          </w:p>
        </w:tc>
        <w:tc>
          <w:tcPr>
            <w:tcW w:w="803" w:type="dxa"/>
          </w:tcPr>
          <w:p>
            <w:pPr>
              <w:pStyle w:val="TableParagraph"/>
              <w:spacing w:before="12"/>
              <w:ind w:left="200"/>
              <w:jc w:val="left"/>
              <w:rPr>
                <w:sz w:val="13"/>
              </w:rPr>
            </w:pPr>
            <w:r>
              <w:rPr>
                <w:w w:val="105"/>
                <w:sz w:val="13"/>
              </w:rPr>
              <w:t>22.960</w:t>
            </w:r>
          </w:p>
        </w:tc>
        <w:tc>
          <w:tcPr>
            <w:tcW w:w="802" w:type="dxa"/>
          </w:tcPr>
          <w:p>
            <w:pPr>
              <w:pStyle w:val="TableParagraph"/>
              <w:spacing w:before="12"/>
              <w:ind w:left="190" w:right="185"/>
              <w:rPr>
                <w:sz w:val="13"/>
              </w:rPr>
            </w:pPr>
            <w:r>
              <w:rPr>
                <w:w w:val="105"/>
                <w:sz w:val="13"/>
              </w:rPr>
              <w:t>3.7</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28</w:t>
            </w:r>
          </w:p>
        </w:tc>
        <w:tc>
          <w:tcPr>
            <w:tcW w:w="803" w:type="dxa"/>
          </w:tcPr>
          <w:p>
            <w:pPr>
              <w:pStyle w:val="TableParagraph"/>
              <w:ind w:left="0" w:right="317"/>
              <w:jc w:val="right"/>
              <w:rPr>
                <w:sz w:val="13"/>
              </w:rPr>
            </w:pPr>
            <w:r>
              <w:rPr>
                <w:w w:val="105"/>
                <w:sz w:val="13"/>
              </w:rPr>
              <w:t>24</w:t>
            </w:r>
          </w:p>
        </w:tc>
        <w:tc>
          <w:tcPr>
            <w:tcW w:w="803" w:type="dxa"/>
          </w:tcPr>
          <w:p>
            <w:pPr>
              <w:pStyle w:val="TableParagraph"/>
              <w:ind w:right="14"/>
              <w:rPr>
                <w:sz w:val="13"/>
              </w:rPr>
            </w:pPr>
            <w:r>
              <w:rPr>
                <w:w w:val="105"/>
                <w:sz w:val="13"/>
              </w:rPr>
              <w:t>47.19</w:t>
            </w:r>
          </w:p>
        </w:tc>
        <w:tc>
          <w:tcPr>
            <w:tcW w:w="802" w:type="dxa"/>
          </w:tcPr>
          <w:p>
            <w:pPr>
              <w:pStyle w:val="TableParagraph"/>
              <w:ind w:left="190" w:right="188"/>
              <w:rPr>
                <w:sz w:val="13"/>
              </w:rPr>
            </w:pPr>
            <w:r>
              <w:rPr>
                <w:w w:val="105"/>
                <w:sz w:val="13"/>
              </w:rPr>
              <w:t>VI</w:t>
            </w:r>
          </w:p>
        </w:tc>
        <w:tc>
          <w:tcPr>
            <w:tcW w:w="803" w:type="dxa"/>
          </w:tcPr>
          <w:p>
            <w:pPr>
              <w:pStyle w:val="TableParagraph"/>
              <w:ind w:right="10"/>
              <w:rPr>
                <w:sz w:val="13"/>
              </w:rPr>
            </w:pPr>
            <w:r>
              <w:rPr>
                <w:w w:val="105"/>
                <w:sz w:val="13"/>
              </w:rPr>
              <w:t>173</w:t>
            </w:r>
          </w:p>
        </w:tc>
        <w:tc>
          <w:tcPr>
            <w:tcW w:w="803" w:type="dxa"/>
          </w:tcPr>
          <w:p>
            <w:pPr>
              <w:pStyle w:val="TableParagraph"/>
              <w:ind w:left="218" w:right="65"/>
              <w:jc w:val="left"/>
              <w:rPr>
                <w:sz w:val="13"/>
              </w:rPr>
            </w:pPr>
            <w:r>
              <w:rPr>
                <w:w w:val="105"/>
                <w:sz w:val="13"/>
              </w:rPr>
              <w:t>25950</w:t>
            </w:r>
          </w:p>
        </w:tc>
        <w:tc>
          <w:tcPr>
            <w:tcW w:w="802" w:type="dxa"/>
          </w:tcPr>
          <w:p>
            <w:pPr>
              <w:pStyle w:val="TableParagraph"/>
              <w:ind w:left="191"/>
              <w:jc w:val="left"/>
              <w:rPr>
                <w:sz w:val="13"/>
              </w:rPr>
            </w:pPr>
            <w:r>
              <w:rPr>
                <w:w w:val="105"/>
                <w:sz w:val="13"/>
              </w:rPr>
              <w:t>150/90</w:t>
            </w:r>
          </w:p>
        </w:tc>
        <w:tc>
          <w:tcPr>
            <w:tcW w:w="803" w:type="dxa"/>
          </w:tcPr>
          <w:p>
            <w:pPr>
              <w:pStyle w:val="TableParagraph"/>
              <w:ind w:left="291" w:right="65"/>
              <w:jc w:val="left"/>
              <w:rPr>
                <w:sz w:val="13"/>
              </w:rPr>
            </w:pPr>
            <w:r>
              <w:rPr>
                <w:w w:val="105"/>
                <w:sz w:val="13"/>
              </w:rPr>
              <w:t>150</w:t>
            </w:r>
          </w:p>
        </w:tc>
        <w:tc>
          <w:tcPr>
            <w:tcW w:w="803" w:type="dxa"/>
          </w:tcPr>
          <w:p>
            <w:pPr>
              <w:pStyle w:val="TableParagraph"/>
              <w:ind w:left="200"/>
              <w:jc w:val="left"/>
              <w:rPr>
                <w:sz w:val="13"/>
              </w:rPr>
            </w:pPr>
            <w:r>
              <w:rPr>
                <w:w w:val="105"/>
                <w:sz w:val="13"/>
              </w:rPr>
              <w:t>30.030</w:t>
            </w:r>
          </w:p>
        </w:tc>
        <w:tc>
          <w:tcPr>
            <w:tcW w:w="802" w:type="dxa"/>
          </w:tcPr>
          <w:p>
            <w:pPr>
              <w:pStyle w:val="TableParagraph"/>
              <w:ind w:left="190" w:right="185"/>
              <w:rPr>
                <w:sz w:val="13"/>
              </w:rPr>
            </w:pPr>
            <w:r>
              <w:rPr>
                <w:w w:val="105"/>
                <w:sz w:val="13"/>
              </w:rPr>
              <w:t>6.4</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19</w:t>
            </w:r>
          </w:p>
        </w:tc>
        <w:tc>
          <w:tcPr>
            <w:tcW w:w="803" w:type="dxa"/>
          </w:tcPr>
          <w:p>
            <w:pPr>
              <w:pStyle w:val="TableParagraph"/>
              <w:ind w:left="0" w:right="317"/>
              <w:jc w:val="right"/>
              <w:rPr>
                <w:sz w:val="13"/>
              </w:rPr>
            </w:pPr>
            <w:r>
              <w:rPr>
                <w:w w:val="105"/>
                <w:sz w:val="13"/>
              </w:rPr>
              <w:t>15</w:t>
            </w:r>
          </w:p>
        </w:tc>
        <w:tc>
          <w:tcPr>
            <w:tcW w:w="803" w:type="dxa"/>
          </w:tcPr>
          <w:p>
            <w:pPr>
              <w:pStyle w:val="TableParagraph"/>
              <w:ind w:right="14"/>
              <w:rPr>
                <w:sz w:val="13"/>
              </w:rPr>
            </w:pPr>
            <w:r>
              <w:rPr>
                <w:w w:val="105"/>
                <w:sz w:val="13"/>
              </w:rPr>
              <w:t>61.81</w:t>
            </w:r>
          </w:p>
        </w:tc>
        <w:tc>
          <w:tcPr>
            <w:tcW w:w="802" w:type="dxa"/>
          </w:tcPr>
          <w:p>
            <w:pPr>
              <w:pStyle w:val="TableParagraph"/>
              <w:ind w:left="190" w:right="190"/>
              <w:rPr>
                <w:sz w:val="13"/>
              </w:rPr>
            </w:pPr>
            <w:r>
              <w:rPr>
                <w:w w:val="105"/>
                <w:sz w:val="13"/>
              </w:rPr>
              <w:t>VIII</w:t>
            </w:r>
          </w:p>
        </w:tc>
        <w:tc>
          <w:tcPr>
            <w:tcW w:w="803" w:type="dxa"/>
          </w:tcPr>
          <w:p>
            <w:pPr>
              <w:pStyle w:val="TableParagraph"/>
              <w:ind w:right="10"/>
              <w:rPr>
                <w:sz w:val="13"/>
              </w:rPr>
            </w:pPr>
            <w:r>
              <w:rPr>
                <w:w w:val="105"/>
                <w:sz w:val="13"/>
              </w:rPr>
              <w:t>197</w:t>
            </w:r>
          </w:p>
        </w:tc>
        <w:tc>
          <w:tcPr>
            <w:tcW w:w="803" w:type="dxa"/>
          </w:tcPr>
          <w:p>
            <w:pPr>
              <w:pStyle w:val="TableParagraph"/>
              <w:ind w:left="218" w:right="65"/>
              <w:jc w:val="left"/>
              <w:rPr>
                <w:sz w:val="13"/>
              </w:rPr>
            </w:pPr>
            <w:r>
              <w:rPr>
                <w:w w:val="105"/>
                <w:sz w:val="13"/>
              </w:rPr>
              <w:t>25610</w:t>
            </w:r>
          </w:p>
        </w:tc>
        <w:tc>
          <w:tcPr>
            <w:tcW w:w="802" w:type="dxa"/>
          </w:tcPr>
          <w:p>
            <w:pPr>
              <w:pStyle w:val="TableParagraph"/>
              <w:ind w:left="191"/>
              <w:jc w:val="left"/>
              <w:rPr>
                <w:sz w:val="13"/>
              </w:rPr>
            </w:pPr>
            <w:r>
              <w:rPr>
                <w:w w:val="105"/>
                <w:sz w:val="13"/>
              </w:rPr>
              <w:t>130/90</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29.554</w:t>
            </w:r>
          </w:p>
        </w:tc>
        <w:tc>
          <w:tcPr>
            <w:tcW w:w="802" w:type="dxa"/>
          </w:tcPr>
          <w:p>
            <w:pPr>
              <w:pStyle w:val="TableParagraph"/>
              <w:ind w:left="190" w:right="185"/>
              <w:rPr>
                <w:sz w:val="13"/>
              </w:rPr>
            </w:pPr>
            <w:r>
              <w:rPr>
                <w:w w:val="105"/>
                <w:sz w:val="13"/>
              </w:rPr>
              <w:t>4.8</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23</w:t>
            </w:r>
          </w:p>
        </w:tc>
        <w:tc>
          <w:tcPr>
            <w:tcW w:w="803" w:type="dxa"/>
          </w:tcPr>
          <w:p>
            <w:pPr>
              <w:pStyle w:val="TableParagraph"/>
              <w:ind w:left="0" w:right="317"/>
              <w:jc w:val="right"/>
              <w:rPr>
                <w:sz w:val="13"/>
              </w:rPr>
            </w:pPr>
            <w:r>
              <w:rPr>
                <w:w w:val="105"/>
                <w:sz w:val="13"/>
              </w:rPr>
              <w:t>18</w:t>
            </w:r>
          </w:p>
        </w:tc>
        <w:tc>
          <w:tcPr>
            <w:tcW w:w="803" w:type="dxa"/>
          </w:tcPr>
          <w:p>
            <w:pPr>
              <w:pStyle w:val="TableParagraph"/>
              <w:ind w:right="14"/>
              <w:rPr>
                <w:sz w:val="13"/>
              </w:rPr>
            </w:pPr>
            <w:r>
              <w:rPr>
                <w:w w:val="105"/>
                <w:sz w:val="13"/>
              </w:rPr>
              <w:t>54.5</w:t>
            </w:r>
          </w:p>
        </w:tc>
        <w:tc>
          <w:tcPr>
            <w:tcW w:w="802" w:type="dxa"/>
          </w:tcPr>
          <w:p>
            <w:pPr>
              <w:pStyle w:val="TableParagraph"/>
              <w:ind w:left="190" w:right="188"/>
              <w:rPr>
                <w:sz w:val="13"/>
              </w:rPr>
            </w:pPr>
            <w:r>
              <w:rPr>
                <w:w w:val="105"/>
                <w:sz w:val="13"/>
              </w:rPr>
              <w:t>VI</w:t>
            </w:r>
          </w:p>
        </w:tc>
        <w:tc>
          <w:tcPr>
            <w:tcW w:w="803" w:type="dxa"/>
          </w:tcPr>
          <w:p>
            <w:pPr>
              <w:pStyle w:val="TableParagraph"/>
              <w:ind w:right="10"/>
              <w:rPr>
                <w:sz w:val="13"/>
              </w:rPr>
            </w:pPr>
            <w:r>
              <w:rPr>
                <w:w w:val="105"/>
                <w:sz w:val="13"/>
              </w:rPr>
              <w:t>195</w:t>
            </w:r>
          </w:p>
        </w:tc>
        <w:tc>
          <w:tcPr>
            <w:tcW w:w="803" w:type="dxa"/>
          </w:tcPr>
          <w:p>
            <w:pPr>
              <w:pStyle w:val="TableParagraph"/>
              <w:ind w:left="218" w:right="65"/>
              <w:jc w:val="left"/>
              <w:rPr>
                <w:sz w:val="13"/>
              </w:rPr>
            </w:pPr>
            <w:r>
              <w:rPr>
                <w:w w:val="105"/>
                <w:sz w:val="13"/>
              </w:rPr>
              <w:t>25350</w:t>
            </w:r>
          </w:p>
        </w:tc>
        <w:tc>
          <w:tcPr>
            <w:tcW w:w="802" w:type="dxa"/>
          </w:tcPr>
          <w:p>
            <w:pPr>
              <w:pStyle w:val="TableParagraph"/>
              <w:ind w:left="191"/>
              <w:jc w:val="left"/>
              <w:rPr>
                <w:sz w:val="13"/>
              </w:rPr>
            </w:pPr>
            <w:r>
              <w:rPr>
                <w:w w:val="105"/>
                <w:sz w:val="13"/>
              </w:rPr>
              <w:t>130/80</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29.190</w:t>
            </w:r>
          </w:p>
        </w:tc>
        <w:tc>
          <w:tcPr>
            <w:tcW w:w="802" w:type="dxa"/>
          </w:tcPr>
          <w:p>
            <w:pPr>
              <w:pStyle w:val="TableParagraph"/>
              <w:ind w:left="190" w:right="185"/>
              <w:rPr>
                <w:sz w:val="13"/>
              </w:rPr>
            </w:pPr>
            <w:r>
              <w:rPr>
                <w:w w:val="105"/>
                <w:sz w:val="13"/>
              </w:rPr>
              <w:t>5.4</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20</w:t>
            </w:r>
          </w:p>
        </w:tc>
        <w:tc>
          <w:tcPr>
            <w:tcW w:w="803" w:type="dxa"/>
          </w:tcPr>
          <w:p>
            <w:pPr>
              <w:pStyle w:val="TableParagraph"/>
              <w:ind w:left="0" w:right="317"/>
              <w:jc w:val="right"/>
              <w:rPr>
                <w:sz w:val="13"/>
              </w:rPr>
            </w:pPr>
            <w:r>
              <w:rPr>
                <w:w w:val="105"/>
                <w:sz w:val="13"/>
              </w:rPr>
              <w:t>16</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190</w:t>
            </w:r>
          </w:p>
        </w:tc>
        <w:tc>
          <w:tcPr>
            <w:tcW w:w="803" w:type="dxa"/>
          </w:tcPr>
          <w:p>
            <w:pPr>
              <w:pStyle w:val="TableParagraph"/>
              <w:ind w:left="218" w:right="65"/>
              <w:jc w:val="left"/>
              <w:rPr>
                <w:sz w:val="13"/>
              </w:rPr>
            </w:pPr>
            <w:r>
              <w:rPr>
                <w:w w:val="105"/>
                <w:sz w:val="13"/>
              </w:rPr>
              <w:t>23750</w:t>
            </w:r>
          </w:p>
        </w:tc>
        <w:tc>
          <w:tcPr>
            <w:tcW w:w="802" w:type="dxa"/>
          </w:tcPr>
          <w:p>
            <w:pPr>
              <w:pStyle w:val="TableParagraph"/>
              <w:ind w:left="191"/>
              <w:jc w:val="left"/>
              <w:rPr>
                <w:sz w:val="13"/>
              </w:rPr>
            </w:pPr>
            <w:r>
              <w:rPr>
                <w:w w:val="105"/>
                <w:sz w:val="13"/>
              </w:rPr>
              <w:t>125/85</w:t>
            </w:r>
          </w:p>
        </w:tc>
        <w:tc>
          <w:tcPr>
            <w:tcW w:w="803" w:type="dxa"/>
          </w:tcPr>
          <w:p>
            <w:pPr>
              <w:pStyle w:val="TableParagraph"/>
              <w:ind w:left="291" w:right="65"/>
              <w:jc w:val="left"/>
              <w:rPr>
                <w:sz w:val="13"/>
              </w:rPr>
            </w:pPr>
            <w:r>
              <w:rPr>
                <w:w w:val="105"/>
                <w:sz w:val="13"/>
              </w:rPr>
              <w:t>125</w:t>
            </w:r>
          </w:p>
        </w:tc>
        <w:tc>
          <w:tcPr>
            <w:tcW w:w="803" w:type="dxa"/>
          </w:tcPr>
          <w:p>
            <w:pPr>
              <w:pStyle w:val="TableParagraph"/>
              <w:ind w:left="200"/>
              <w:jc w:val="left"/>
              <w:rPr>
                <w:sz w:val="13"/>
              </w:rPr>
            </w:pPr>
            <w:r>
              <w:rPr>
                <w:w w:val="105"/>
                <w:sz w:val="13"/>
              </w:rPr>
              <w:t>26.950</w:t>
            </w:r>
          </w:p>
        </w:tc>
        <w:tc>
          <w:tcPr>
            <w:tcW w:w="802" w:type="dxa"/>
          </w:tcPr>
          <w:p>
            <w:pPr>
              <w:pStyle w:val="TableParagraph"/>
              <w:ind w:left="190" w:right="185"/>
              <w:rPr>
                <w:sz w:val="13"/>
              </w:rPr>
            </w:pPr>
            <w:r>
              <w:rPr>
                <w:w w:val="105"/>
                <w:sz w:val="13"/>
              </w:rPr>
              <w:t>4.9</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33</w:t>
            </w:r>
          </w:p>
        </w:tc>
        <w:tc>
          <w:tcPr>
            <w:tcW w:w="803" w:type="dxa"/>
          </w:tcPr>
          <w:p>
            <w:pPr>
              <w:pStyle w:val="TableParagraph"/>
              <w:ind w:left="0" w:right="317"/>
              <w:jc w:val="right"/>
              <w:rPr>
                <w:sz w:val="13"/>
              </w:rPr>
            </w:pPr>
            <w:r>
              <w:rPr>
                <w:w w:val="105"/>
                <w:sz w:val="13"/>
              </w:rPr>
              <w:t>28</w:t>
            </w:r>
          </w:p>
        </w:tc>
        <w:tc>
          <w:tcPr>
            <w:tcW w:w="803" w:type="dxa"/>
          </w:tcPr>
          <w:p>
            <w:pPr>
              <w:pStyle w:val="TableParagraph"/>
              <w:ind w:right="14"/>
              <w:rPr>
                <w:sz w:val="13"/>
              </w:rPr>
            </w:pPr>
            <w:r>
              <w:rPr>
                <w:w w:val="105"/>
                <w:sz w:val="13"/>
              </w:rPr>
              <w:t>39.5</w:t>
            </w:r>
          </w:p>
        </w:tc>
        <w:tc>
          <w:tcPr>
            <w:tcW w:w="802" w:type="dxa"/>
          </w:tcPr>
          <w:p>
            <w:pPr>
              <w:pStyle w:val="TableParagraph"/>
              <w:ind w:left="0" w:right="2"/>
              <w:rPr>
                <w:sz w:val="13"/>
              </w:rPr>
            </w:pPr>
            <w:r>
              <w:rPr>
                <w:w w:val="105"/>
                <w:sz w:val="13"/>
              </w:rPr>
              <w:t>V</w:t>
            </w:r>
          </w:p>
        </w:tc>
        <w:tc>
          <w:tcPr>
            <w:tcW w:w="803" w:type="dxa"/>
          </w:tcPr>
          <w:p>
            <w:pPr>
              <w:pStyle w:val="TableParagraph"/>
              <w:ind w:right="10"/>
              <w:rPr>
                <w:sz w:val="13"/>
              </w:rPr>
            </w:pPr>
            <w:r>
              <w:rPr>
                <w:w w:val="105"/>
                <w:sz w:val="13"/>
              </w:rPr>
              <w:t>170</w:t>
            </w:r>
          </w:p>
        </w:tc>
        <w:tc>
          <w:tcPr>
            <w:tcW w:w="803" w:type="dxa"/>
          </w:tcPr>
          <w:p>
            <w:pPr>
              <w:pStyle w:val="TableParagraph"/>
              <w:ind w:left="218" w:right="65"/>
              <w:jc w:val="left"/>
              <w:rPr>
                <w:sz w:val="13"/>
              </w:rPr>
            </w:pPr>
            <w:r>
              <w:rPr>
                <w:w w:val="105"/>
                <w:sz w:val="13"/>
              </w:rPr>
              <w:t>22100</w:t>
            </w:r>
          </w:p>
        </w:tc>
        <w:tc>
          <w:tcPr>
            <w:tcW w:w="802" w:type="dxa"/>
          </w:tcPr>
          <w:p>
            <w:pPr>
              <w:pStyle w:val="TableParagraph"/>
              <w:ind w:left="191"/>
              <w:jc w:val="left"/>
              <w:rPr>
                <w:sz w:val="13"/>
              </w:rPr>
            </w:pPr>
            <w:r>
              <w:rPr>
                <w:w w:val="105"/>
                <w:sz w:val="13"/>
              </w:rPr>
              <w:t>130/90</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24.640</w:t>
            </w:r>
          </w:p>
        </w:tc>
        <w:tc>
          <w:tcPr>
            <w:tcW w:w="802" w:type="dxa"/>
          </w:tcPr>
          <w:p>
            <w:pPr>
              <w:pStyle w:val="TableParagraph"/>
              <w:ind w:left="190" w:right="185"/>
              <w:rPr>
                <w:sz w:val="13"/>
              </w:rPr>
            </w:pPr>
            <w:r>
              <w:rPr>
                <w:w w:val="105"/>
                <w:sz w:val="13"/>
              </w:rPr>
              <w:t>6.2</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21</w:t>
            </w:r>
          </w:p>
        </w:tc>
        <w:tc>
          <w:tcPr>
            <w:tcW w:w="803" w:type="dxa"/>
          </w:tcPr>
          <w:p>
            <w:pPr>
              <w:pStyle w:val="TableParagraph"/>
              <w:ind w:left="0" w:right="317"/>
              <w:jc w:val="right"/>
              <w:rPr>
                <w:sz w:val="13"/>
              </w:rPr>
            </w:pPr>
            <w:r>
              <w:rPr>
                <w:w w:val="105"/>
                <w:sz w:val="13"/>
              </w:rPr>
              <w:t>17</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199</w:t>
            </w:r>
          </w:p>
        </w:tc>
        <w:tc>
          <w:tcPr>
            <w:tcW w:w="803" w:type="dxa"/>
          </w:tcPr>
          <w:p>
            <w:pPr>
              <w:pStyle w:val="TableParagraph"/>
              <w:ind w:left="218" w:right="65"/>
              <w:jc w:val="left"/>
              <w:rPr>
                <w:sz w:val="13"/>
              </w:rPr>
            </w:pPr>
            <w:r>
              <w:rPr>
                <w:w w:val="105"/>
                <w:sz w:val="13"/>
              </w:rPr>
              <w:t>27869</w:t>
            </w:r>
          </w:p>
        </w:tc>
        <w:tc>
          <w:tcPr>
            <w:tcW w:w="802" w:type="dxa"/>
          </w:tcPr>
          <w:p>
            <w:pPr>
              <w:pStyle w:val="TableParagraph"/>
              <w:ind w:left="191"/>
              <w:jc w:val="left"/>
              <w:rPr>
                <w:sz w:val="13"/>
              </w:rPr>
            </w:pPr>
            <w:r>
              <w:rPr>
                <w:w w:val="105"/>
                <w:sz w:val="13"/>
              </w:rPr>
              <w:t>140/80</w:t>
            </w:r>
          </w:p>
        </w:tc>
        <w:tc>
          <w:tcPr>
            <w:tcW w:w="803" w:type="dxa"/>
          </w:tcPr>
          <w:p>
            <w:pPr>
              <w:pStyle w:val="TableParagraph"/>
              <w:ind w:left="291" w:right="65"/>
              <w:jc w:val="left"/>
              <w:rPr>
                <w:sz w:val="13"/>
              </w:rPr>
            </w:pPr>
            <w:r>
              <w:rPr>
                <w:w w:val="105"/>
                <w:sz w:val="13"/>
              </w:rPr>
              <w:t>140</w:t>
            </w:r>
          </w:p>
        </w:tc>
        <w:tc>
          <w:tcPr>
            <w:tcW w:w="803" w:type="dxa"/>
          </w:tcPr>
          <w:p>
            <w:pPr>
              <w:pStyle w:val="TableParagraph"/>
              <w:ind w:left="200"/>
              <w:jc w:val="left"/>
              <w:rPr>
                <w:sz w:val="13"/>
              </w:rPr>
            </w:pPr>
            <w:r>
              <w:rPr>
                <w:w w:val="105"/>
                <w:sz w:val="13"/>
              </w:rPr>
              <w:t>32.704</w:t>
            </w:r>
          </w:p>
        </w:tc>
        <w:tc>
          <w:tcPr>
            <w:tcW w:w="802" w:type="dxa"/>
          </w:tcPr>
          <w:p>
            <w:pPr>
              <w:pStyle w:val="TableParagraph"/>
              <w:ind w:left="190" w:right="185"/>
              <w:rPr>
                <w:sz w:val="13"/>
              </w:rPr>
            </w:pPr>
            <w:r>
              <w:rPr>
                <w:w w:val="105"/>
                <w:sz w:val="13"/>
              </w:rPr>
              <w:t>6.0</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26</w:t>
            </w:r>
          </w:p>
        </w:tc>
        <w:tc>
          <w:tcPr>
            <w:tcW w:w="803" w:type="dxa"/>
          </w:tcPr>
          <w:p>
            <w:pPr>
              <w:pStyle w:val="TableParagraph"/>
              <w:ind w:left="0" w:right="317"/>
              <w:jc w:val="right"/>
              <w:rPr>
                <w:sz w:val="13"/>
              </w:rPr>
            </w:pPr>
            <w:r>
              <w:rPr>
                <w:w w:val="105"/>
                <w:sz w:val="13"/>
              </w:rPr>
              <w:t>21</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196</w:t>
            </w:r>
          </w:p>
        </w:tc>
        <w:tc>
          <w:tcPr>
            <w:tcW w:w="803" w:type="dxa"/>
          </w:tcPr>
          <w:p>
            <w:pPr>
              <w:pStyle w:val="TableParagraph"/>
              <w:ind w:left="218" w:right="65"/>
              <w:jc w:val="left"/>
              <w:rPr>
                <w:sz w:val="13"/>
              </w:rPr>
            </w:pPr>
            <w:r>
              <w:rPr>
                <w:w w:val="105"/>
                <w:sz w:val="13"/>
              </w:rPr>
              <w:t>25400</w:t>
            </w:r>
          </w:p>
        </w:tc>
        <w:tc>
          <w:tcPr>
            <w:tcW w:w="802" w:type="dxa"/>
          </w:tcPr>
          <w:p>
            <w:pPr>
              <w:pStyle w:val="TableParagraph"/>
              <w:ind w:left="191"/>
              <w:jc w:val="left"/>
              <w:rPr>
                <w:sz w:val="13"/>
              </w:rPr>
            </w:pPr>
            <w:r>
              <w:rPr>
                <w:w w:val="105"/>
                <w:sz w:val="13"/>
              </w:rPr>
              <w:t>130/90</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29.372</w:t>
            </w:r>
          </w:p>
        </w:tc>
        <w:tc>
          <w:tcPr>
            <w:tcW w:w="802" w:type="dxa"/>
          </w:tcPr>
          <w:p>
            <w:pPr>
              <w:pStyle w:val="TableParagraph"/>
              <w:ind w:left="190" w:right="185"/>
              <w:rPr>
                <w:sz w:val="13"/>
              </w:rPr>
            </w:pPr>
            <w:r>
              <w:rPr>
                <w:w w:val="105"/>
                <w:sz w:val="13"/>
              </w:rPr>
              <w:t>5.4</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27</w:t>
            </w:r>
          </w:p>
        </w:tc>
        <w:tc>
          <w:tcPr>
            <w:tcW w:w="803" w:type="dxa"/>
          </w:tcPr>
          <w:p>
            <w:pPr>
              <w:pStyle w:val="TableParagraph"/>
              <w:ind w:left="0" w:right="317"/>
              <w:jc w:val="right"/>
              <w:rPr>
                <w:sz w:val="13"/>
              </w:rPr>
            </w:pPr>
            <w:r>
              <w:rPr>
                <w:w w:val="105"/>
                <w:sz w:val="13"/>
              </w:rPr>
              <w:t>22</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181</w:t>
            </w:r>
          </w:p>
        </w:tc>
        <w:tc>
          <w:tcPr>
            <w:tcW w:w="803" w:type="dxa"/>
          </w:tcPr>
          <w:p>
            <w:pPr>
              <w:pStyle w:val="TableParagraph"/>
              <w:ind w:left="218" w:right="65"/>
              <w:jc w:val="left"/>
              <w:rPr>
                <w:sz w:val="13"/>
              </w:rPr>
            </w:pPr>
            <w:r>
              <w:rPr>
                <w:w w:val="105"/>
                <w:sz w:val="13"/>
              </w:rPr>
              <w:t>23350</w:t>
            </w:r>
          </w:p>
        </w:tc>
        <w:tc>
          <w:tcPr>
            <w:tcW w:w="802" w:type="dxa"/>
          </w:tcPr>
          <w:p>
            <w:pPr>
              <w:pStyle w:val="TableParagraph"/>
              <w:ind w:left="191"/>
              <w:jc w:val="left"/>
              <w:rPr>
                <w:sz w:val="13"/>
              </w:rPr>
            </w:pPr>
            <w:r>
              <w:rPr>
                <w:w w:val="105"/>
                <w:sz w:val="13"/>
              </w:rPr>
              <w:t>130/90</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26.642</w:t>
            </w:r>
          </w:p>
        </w:tc>
        <w:tc>
          <w:tcPr>
            <w:tcW w:w="802" w:type="dxa"/>
          </w:tcPr>
          <w:p>
            <w:pPr>
              <w:pStyle w:val="TableParagraph"/>
              <w:ind w:left="190" w:right="185"/>
              <w:rPr>
                <w:sz w:val="13"/>
              </w:rPr>
            </w:pPr>
            <w:r>
              <w:rPr>
                <w:w w:val="105"/>
                <w:sz w:val="13"/>
              </w:rPr>
              <w:t>4.9</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23</w:t>
            </w:r>
          </w:p>
        </w:tc>
        <w:tc>
          <w:tcPr>
            <w:tcW w:w="803" w:type="dxa"/>
          </w:tcPr>
          <w:p>
            <w:pPr>
              <w:pStyle w:val="TableParagraph"/>
              <w:ind w:left="0" w:right="317"/>
              <w:jc w:val="right"/>
              <w:rPr>
                <w:sz w:val="13"/>
              </w:rPr>
            </w:pPr>
            <w:r>
              <w:rPr>
                <w:w w:val="105"/>
                <w:sz w:val="13"/>
              </w:rPr>
              <w:t>19</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195</w:t>
            </w:r>
          </w:p>
        </w:tc>
        <w:tc>
          <w:tcPr>
            <w:tcW w:w="803" w:type="dxa"/>
          </w:tcPr>
          <w:p>
            <w:pPr>
              <w:pStyle w:val="TableParagraph"/>
              <w:ind w:left="218" w:right="65"/>
              <w:jc w:val="left"/>
              <w:rPr>
                <w:sz w:val="13"/>
              </w:rPr>
            </w:pPr>
            <w:r>
              <w:rPr>
                <w:w w:val="105"/>
                <w:sz w:val="13"/>
              </w:rPr>
              <w:t>27300</w:t>
            </w:r>
          </w:p>
        </w:tc>
        <w:tc>
          <w:tcPr>
            <w:tcW w:w="802" w:type="dxa"/>
          </w:tcPr>
          <w:p>
            <w:pPr>
              <w:pStyle w:val="TableParagraph"/>
              <w:ind w:left="191"/>
              <w:jc w:val="left"/>
              <w:rPr>
                <w:sz w:val="13"/>
              </w:rPr>
            </w:pPr>
            <w:r>
              <w:rPr>
                <w:w w:val="105"/>
                <w:sz w:val="13"/>
              </w:rPr>
              <w:t>140/90</w:t>
            </w:r>
          </w:p>
        </w:tc>
        <w:tc>
          <w:tcPr>
            <w:tcW w:w="803" w:type="dxa"/>
          </w:tcPr>
          <w:p>
            <w:pPr>
              <w:pStyle w:val="TableParagraph"/>
              <w:ind w:left="291" w:right="65"/>
              <w:jc w:val="left"/>
              <w:rPr>
                <w:sz w:val="13"/>
              </w:rPr>
            </w:pPr>
            <w:r>
              <w:rPr>
                <w:w w:val="105"/>
                <w:sz w:val="13"/>
              </w:rPr>
              <w:t>140</w:t>
            </w:r>
          </w:p>
        </w:tc>
        <w:tc>
          <w:tcPr>
            <w:tcW w:w="803" w:type="dxa"/>
          </w:tcPr>
          <w:p>
            <w:pPr>
              <w:pStyle w:val="TableParagraph"/>
              <w:ind w:left="200"/>
              <w:jc w:val="left"/>
              <w:rPr>
                <w:sz w:val="13"/>
              </w:rPr>
            </w:pPr>
            <w:r>
              <w:rPr>
                <w:w w:val="105"/>
                <w:sz w:val="13"/>
              </w:rPr>
              <w:t>31.920</w:t>
            </w:r>
          </w:p>
        </w:tc>
        <w:tc>
          <w:tcPr>
            <w:tcW w:w="802" w:type="dxa"/>
          </w:tcPr>
          <w:p>
            <w:pPr>
              <w:pStyle w:val="TableParagraph"/>
              <w:ind w:left="190" w:right="185"/>
              <w:rPr>
                <w:sz w:val="13"/>
              </w:rPr>
            </w:pPr>
            <w:r>
              <w:rPr>
                <w:w w:val="105"/>
                <w:sz w:val="13"/>
              </w:rPr>
              <w:t>5.9</w:t>
            </w:r>
          </w:p>
        </w:tc>
      </w:tr>
      <w:tr>
        <w:trPr>
          <w:trHeight w:val="182" w:hRule="exact"/>
        </w:trPr>
        <w:tc>
          <w:tcPr>
            <w:tcW w:w="803" w:type="dxa"/>
          </w:tcPr>
          <w:p>
            <w:pPr>
              <w:pStyle w:val="TableParagraph"/>
              <w:ind w:right="18"/>
              <w:rPr>
                <w:sz w:val="13"/>
              </w:rPr>
            </w:pPr>
            <w:r>
              <w:rPr>
                <w:w w:val="105"/>
                <w:sz w:val="13"/>
              </w:rPr>
              <w:t>MEDIO</w:t>
            </w:r>
          </w:p>
        </w:tc>
        <w:tc>
          <w:tcPr>
            <w:tcW w:w="802" w:type="dxa"/>
          </w:tcPr>
          <w:p>
            <w:pPr>
              <w:pStyle w:val="TableParagraph"/>
              <w:ind w:left="217" w:right="208"/>
              <w:rPr>
                <w:sz w:val="13"/>
              </w:rPr>
            </w:pPr>
            <w:r>
              <w:rPr>
                <w:w w:val="105"/>
                <w:sz w:val="13"/>
              </w:rPr>
              <w:t>21</w:t>
            </w:r>
          </w:p>
        </w:tc>
        <w:tc>
          <w:tcPr>
            <w:tcW w:w="803" w:type="dxa"/>
          </w:tcPr>
          <w:p>
            <w:pPr>
              <w:pStyle w:val="TableParagraph"/>
              <w:ind w:left="0" w:right="317"/>
              <w:jc w:val="right"/>
              <w:rPr>
                <w:sz w:val="13"/>
              </w:rPr>
            </w:pPr>
            <w:r>
              <w:rPr>
                <w:w w:val="105"/>
                <w:sz w:val="13"/>
              </w:rPr>
              <w:t>16</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185</w:t>
            </w:r>
          </w:p>
        </w:tc>
        <w:tc>
          <w:tcPr>
            <w:tcW w:w="803" w:type="dxa"/>
          </w:tcPr>
          <w:p>
            <w:pPr>
              <w:pStyle w:val="TableParagraph"/>
              <w:ind w:left="218" w:right="65"/>
              <w:jc w:val="left"/>
              <w:rPr>
                <w:sz w:val="13"/>
              </w:rPr>
            </w:pPr>
            <w:r>
              <w:rPr>
                <w:w w:val="105"/>
                <w:sz w:val="13"/>
              </w:rPr>
              <w:t>24050</w:t>
            </w:r>
          </w:p>
        </w:tc>
        <w:tc>
          <w:tcPr>
            <w:tcW w:w="802" w:type="dxa"/>
          </w:tcPr>
          <w:p>
            <w:pPr>
              <w:pStyle w:val="TableParagraph"/>
              <w:ind w:left="191"/>
              <w:jc w:val="left"/>
              <w:rPr>
                <w:sz w:val="13"/>
              </w:rPr>
            </w:pPr>
            <w:r>
              <w:rPr>
                <w:w w:val="105"/>
                <w:sz w:val="13"/>
              </w:rPr>
              <w:t>130/85</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27.370</w:t>
            </w:r>
          </w:p>
        </w:tc>
        <w:tc>
          <w:tcPr>
            <w:tcW w:w="802" w:type="dxa"/>
          </w:tcPr>
          <w:p>
            <w:pPr>
              <w:pStyle w:val="TableParagraph"/>
              <w:ind w:left="190" w:right="185"/>
              <w:rPr>
                <w:sz w:val="13"/>
              </w:rPr>
            </w:pPr>
            <w:r>
              <w:rPr>
                <w:w w:val="105"/>
                <w:sz w:val="13"/>
              </w:rPr>
              <w:t>5.0</w:t>
            </w:r>
          </w:p>
        </w:tc>
      </w:tr>
      <w:tr>
        <w:trPr>
          <w:trHeight w:val="182" w:hRule="exact"/>
        </w:trPr>
        <w:tc>
          <w:tcPr>
            <w:tcW w:w="803" w:type="dxa"/>
          </w:tcPr>
          <w:p>
            <w:pPr>
              <w:pStyle w:val="TableParagraph"/>
              <w:ind w:right="19"/>
              <w:rPr>
                <w:sz w:val="13"/>
              </w:rPr>
            </w:pPr>
            <w:r>
              <w:rPr>
                <w:w w:val="105"/>
                <w:sz w:val="13"/>
              </w:rPr>
              <w:t>DELANTERO</w:t>
            </w:r>
          </w:p>
        </w:tc>
        <w:tc>
          <w:tcPr>
            <w:tcW w:w="802" w:type="dxa"/>
          </w:tcPr>
          <w:p>
            <w:pPr>
              <w:pStyle w:val="TableParagraph"/>
              <w:ind w:left="217" w:right="208"/>
              <w:rPr>
                <w:sz w:val="13"/>
              </w:rPr>
            </w:pPr>
            <w:r>
              <w:rPr>
                <w:w w:val="105"/>
                <w:sz w:val="13"/>
              </w:rPr>
              <w:t>27</w:t>
            </w:r>
          </w:p>
        </w:tc>
        <w:tc>
          <w:tcPr>
            <w:tcW w:w="803" w:type="dxa"/>
          </w:tcPr>
          <w:p>
            <w:pPr>
              <w:pStyle w:val="TableParagraph"/>
              <w:ind w:left="0" w:right="317"/>
              <w:jc w:val="right"/>
              <w:rPr>
                <w:sz w:val="13"/>
              </w:rPr>
            </w:pPr>
            <w:r>
              <w:rPr>
                <w:w w:val="105"/>
                <w:sz w:val="13"/>
              </w:rPr>
              <w:t>22</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182</w:t>
            </w:r>
          </w:p>
        </w:tc>
        <w:tc>
          <w:tcPr>
            <w:tcW w:w="803" w:type="dxa"/>
          </w:tcPr>
          <w:p>
            <w:pPr>
              <w:pStyle w:val="TableParagraph"/>
              <w:ind w:left="218" w:right="65"/>
              <w:jc w:val="left"/>
              <w:rPr>
                <w:sz w:val="13"/>
              </w:rPr>
            </w:pPr>
            <w:r>
              <w:rPr>
                <w:w w:val="105"/>
                <w:sz w:val="13"/>
              </w:rPr>
              <w:t>23660</w:t>
            </w:r>
          </w:p>
        </w:tc>
        <w:tc>
          <w:tcPr>
            <w:tcW w:w="802" w:type="dxa"/>
          </w:tcPr>
          <w:p>
            <w:pPr>
              <w:pStyle w:val="TableParagraph"/>
              <w:ind w:left="191"/>
              <w:jc w:val="left"/>
              <w:rPr>
                <w:sz w:val="13"/>
              </w:rPr>
            </w:pPr>
            <w:r>
              <w:rPr>
                <w:w w:val="105"/>
                <w:sz w:val="13"/>
              </w:rPr>
              <w:t>130/86</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26.824</w:t>
            </w:r>
          </w:p>
        </w:tc>
        <w:tc>
          <w:tcPr>
            <w:tcW w:w="802" w:type="dxa"/>
          </w:tcPr>
          <w:p>
            <w:pPr>
              <w:pStyle w:val="TableParagraph"/>
              <w:ind w:left="190" w:right="185"/>
              <w:rPr>
                <w:sz w:val="13"/>
              </w:rPr>
            </w:pPr>
            <w:r>
              <w:rPr>
                <w:w w:val="105"/>
                <w:sz w:val="13"/>
              </w:rPr>
              <w:t>4.9</w:t>
            </w:r>
          </w:p>
        </w:tc>
      </w:tr>
      <w:tr>
        <w:trPr>
          <w:trHeight w:val="182" w:hRule="exact"/>
        </w:trPr>
        <w:tc>
          <w:tcPr>
            <w:tcW w:w="803" w:type="dxa"/>
          </w:tcPr>
          <w:p>
            <w:pPr>
              <w:pStyle w:val="TableParagraph"/>
              <w:ind w:right="19"/>
              <w:rPr>
                <w:sz w:val="13"/>
              </w:rPr>
            </w:pPr>
            <w:r>
              <w:rPr>
                <w:w w:val="105"/>
                <w:sz w:val="13"/>
              </w:rPr>
              <w:t>DELANTERO</w:t>
            </w:r>
          </w:p>
        </w:tc>
        <w:tc>
          <w:tcPr>
            <w:tcW w:w="802" w:type="dxa"/>
          </w:tcPr>
          <w:p>
            <w:pPr>
              <w:pStyle w:val="TableParagraph"/>
              <w:ind w:left="217" w:right="208"/>
              <w:rPr>
                <w:sz w:val="13"/>
              </w:rPr>
            </w:pPr>
            <w:r>
              <w:rPr>
                <w:w w:val="105"/>
                <w:sz w:val="13"/>
              </w:rPr>
              <w:t>27</w:t>
            </w:r>
          </w:p>
        </w:tc>
        <w:tc>
          <w:tcPr>
            <w:tcW w:w="803" w:type="dxa"/>
          </w:tcPr>
          <w:p>
            <w:pPr>
              <w:pStyle w:val="TableParagraph"/>
              <w:ind w:left="0" w:right="317"/>
              <w:jc w:val="right"/>
              <w:rPr>
                <w:sz w:val="13"/>
              </w:rPr>
            </w:pPr>
            <w:r>
              <w:rPr>
                <w:w w:val="105"/>
                <w:sz w:val="13"/>
              </w:rPr>
              <w:t>23</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193</w:t>
            </w:r>
          </w:p>
        </w:tc>
        <w:tc>
          <w:tcPr>
            <w:tcW w:w="803" w:type="dxa"/>
          </w:tcPr>
          <w:p>
            <w:pPr>
              <w:pStyle w:val="TableParagraph"/>
              <w:ind w:left="218" w:right="65"/>
              <w:jc w:val="left"/>
              <w:rPr>
                <w:sz w:val="13"/>
              </w:rPr>
            </w:pPr>
            <w:r>
              <w:rPr>
                <w:w w:val="105"/>
                <w:sz w:val="13"/>
              </w:rPr>
              <w:t>27020</w:t>
            </w:r>
          </w:p>
        </w:tc>
        <w:tc>
          <w:tcPr>
            <w:tcW w:w="802" w:type="dxa"/>
          </w:tcPr>
          <w:p>
            <w:pPr>
              <w:pStyle w:val="TableParagraph"/>
              <w:ind w:left="191"/>
              <w:jc w:val="left"/>
              <w:rPr>
                <w:sz w:val="13"/>
              </w:rPr>
            </w:pPr>
            <w:r>
              <w:rPr>
                <w:w w:val="105"/>
                <w:sz w:val="13"/>
              </w:rPr>
              <w:t>140/80</w:t>
            </w:r>
          </w:p>
        </w:tc>
        <w:tc>
          <w:tcPr>
            <w:tcW w:w="803" w:type="dxa"/>
          </w:tcPr>
          <w:p>
            <w:pPr>
              <w:pStyle w:val="TableParagraph"/>
              <w:ind w:left="291" w:right="65"/>
              <w:jc w:val="left"/>
              <w:rPr>
                <w:sz w:val="13"/>
              </w:rPr>
            </w:pPr>
            <w:r>
              <w:rPr>
                <w:w w:val="105"/>
                <w:sz w:val="13"/>
              </w:rPr>
              <w:t>140</w:t>
            </w:r>
          </w:p>
        </w:tc>
        <w:tc>
          <w:tcPr>
            <w:tcW w:w="803" w:type="dxa"/>
          </w:tcPr>
          <w:p>
            <w:pPr>
              <w:pStyle w:val="TableParagraph"/>
              <w:ind w:left="200"/>
              <w:jc w:val="left"/>
              <w:rPr>
                <w:sz w:val="13"/>
              </w:rPr>
            </w:pPr>
            <w:r>
              <w:rPr>
                <w:w w:val="105"/>
                <w:sz w:val="13"/>
              </w:rPr>
              <w:t>31.528</w:t>
            </w:r>
          </w:p>
        </w:tc>
        <w:tc>
          <w:tcPr>
            <w:tcW w:w="802" w:type="dxa"/>
          </w:tcPr>
          <w:p>
            <w:pPr>
              <w:pStyle w:val="TableParagraph"/>
              <w:ind w:left="190" w:right="185"/>
              <w:rPr>
                <w:sz w:val="13"/>
              </w:rPr>
            </w:pPr>
            <w:r>
              <w:rPr>
                <w:w w:val="105"/>
                <w:sz w:val="13"/>
              </w:rPr>
              <w:t>5.8</w:t>
            </w:r>
          </w:p>
        </w:tc>
      </w:tr>
      <w:tr>
        <w:trPr>
          <w:trHeight w:val="182" w:hRule="exact"/>
        </w:trPr>
        <w:tc>
          <w:tcPr>
            <w:tcW w:w="803" w:type="dxa"/>
          </w:tcPr>
          <w:p>
            <w:pPr>
              <w:pStyle w:val="TableParagraph"/>
              <w:ind w:right="19"/>
              <w:rPr>
                <w:sz w:val="13"/>
              </w:rPr>
            </w:pPr>
            <w:r>
              <w:rPr>
                <w:w w:val="105"/>
                <w:sz w:val="13"/>
              </w:rPr>
              <w:t>DELANTERO</w:t>
            </w:r>
          </w:p>
        </w:tc>
        <w:tc>
          <w:tcPr>
            <w:tcW w:w="802" w:type="dxa"/>
          </w:tcPr>
          <w:p>
            <w:pPr>
              <w:pStyle w:val="TableParagraph"/>
              <w:ind w:left="217" w:right="208"/>
              <w:rPr>
                <w:sz w:val="13"/>
              </w:rPr>
            </w:pPr>
            <w:r>
              <w:rPr>
                <w:w w:val="105"/>
                <w:sz w:val="13"/>
              </w:rPr>
              <w:t>27</w:t>
            </w:r>
          </w:p>
        </w:tc>
        <w:tc>
          <w:tcPr>
            <w:tcW w:w="803" w:type="dxa"/>
          </w:tcPr>
          <w:p>
            <w:pPr>
              <w:pStyle w:val="TableParagraph"/>
              <w:ind w:left="0" w:right="317"/>
              <w:jc w:val="right"/>
              <w:rPr>
                <w:sz w:val="13"/>
              </w:rPr>
            </w:pPr>
            <w:r>
              <w:rPr>
                <w:w w:val="105"/>
                <w:sz w:val="13"/>
              </w:rPr>
              <w:t>20</w:t>
            </w:r>
          </w:p>
        </w:tc>
        <w:tc>
          <w:tcPr>
            <w:tcW w:w="803" w:type="dxa"/>
          </w:tcPr>
          <w:p>
            <w:pPr>
              <w:pStyle w:val="TableParagraph"/>
              <w:ind w:right="14"/>
              <w:rPr>
                <w:sz w:val="13"/>
              </w:rPr>
            </w:pPr>
            <w:r>
              <w:rPr>
                <w:w w:val="105"/>
                <w:sz w:val="13"/>
              </w:rPr>
              <w:t>47.19</w:t>
            </w:r>
          </w:p>
        </w:tc>
        <w:tc>
          <w:tcPr>
            <w:tcW w:w="802" w:type="dxa"/>
          </w:tcPr>
          <w:p>
            <w:pPr>
              <w:pStyle w:val="TableParagraph"/>
              <w:ind w:left="190" w:right="188"/>
              <w:rPr>
                <w:sz w:val="13"/>
              </w:rPr>
            </w:pPr>
            <w:r>
              <w:rPr>
                <w:w w:val="105"/>
                <w:sz w:val="13"/>
              </w:rPr>
              <w:t>VI</w:t>
            </w:r>
          </w:p>
        </w:tc>
        <w:tc>
          <w:tcPr>
            <w:tcW w:w="803" w:type="dxa"/>
          </w:tcPr>
          <w:p>
            <w:pPr>
              <w:pStyle w:val="TableParagraph"/>
              <w:ind w:right="10"/>
              <w:rPr>
                <w:sz w:val="13"/>
              </w:rPr>
            </w:pPr>
            <w:r>
              <w:rPr>
                <w:w w:val="105"/>
                <w:sz w:val="13"/>
              </w:rPr>
              <w:t>184</w:t>
            </w:r>
          </w:p>
        </w:tc>
        <w:tc>
          <w:tcPr>
            <w:tcW w:w="803" w:type="dxa"/>
          </w:tcPr>
          <w:p>
            <w:pPr>
              <w:pStyle w:val="TableParagraph"/>
              <w:ind w:left="218" w:right="65"/>
              <w:jc w:val="left"/>
              <w:rPr>
                <w:sz w:val="13"/>
              </w:rPr>
            </w:pPr>
            <w:r>
              <w:rPr>
                <w:w w:val="105"/>
                <w:sz w:val="13"/>
              </w:rPr>
              <w:t>25760</w:t>
            </w:r>
          </w:p>
        </w:tc>
        <w:tc>
          <w:tcPr>
            <w:tcW w:w="802" w:type="dxa"/>
          </w:tcPr>
          <w:p>
            <w:pPr>
              <w:pStyle w:val="TableParagraph"/>
              <w:ind w:left="191"/>
              <w:jc w:val="left"/>
              <w:rPr>
                <w:sz w:val="13"/>
              </w:rPr>
            </w:pPr>
            <w:r>
              <w:rPr>
                <w:w w:val="105"/>
                <w:sz w:val="13"/>
              </w:rPr>
              <w:t>140/90</w:t>
            </w:r>
          </w:p>
        </w:tc>
        <w:tc>
          <w:tcPr>
            <w:tcW w:w="803" w:type="dxa"/>
          </w:tcPr>
          <w:p>
            <w:pPr>
              <w:pStyle w:val="TableParagraph"/>
              <w:ind w:left="291" w:right="65"/>
              <w:jc w:val="left"/>
              <w:rPr>
                <w:sz w:val="13"/>
              </w:rPr>
            </w:pPr>
            <w:r>
              <w:rPr>
                <w:w w:val="105"/>
                <w:sz w:val="13"/>
              </w:rPr>
              <w:t>140</w:t>
            </w:r>
          </w:p>
        </w:tc>
        <w:tc>
          <w:tcPr>
            <w:tcW w:w="803" w:type="dxa"/>
          </w:tcPr>
          <w:p>
            <w:pPr>
              <w:pStyle w:val="TableParagraph"/>
              <w:ind w:left="200"/>
              <w:jc w:val="left"/>
              <w:rPr>
                <w:sz w:val="13"/>
              </w:rPr>
            </w:pPr>
            <w:r>
              <w:rPr>
                <w:w w:val="105"/>
                <w:sz w:val="13"/>
              </w:rPr>
              <w:t>29.764</w:t>
            </w:r>
          </w:p>
        </w:tc>
        <w:tc>
          <w:tcPr>
            <w:tcW w:w="802" w:type="dxa"/>
          </w:tcPr>
          <w:p>
            <w:pPr>
              <w:pStyle w:val="TableParagraph"/>
              <w:ind w:left="190" w:right="185"/>
              <w:rPr>
                <w:sz w:val="13"/>
              </w:rPr>
            </w:pPr>
            <w:r>
              <w:rPr>
                <w:w w:val="105"/>
                <w:sz w:val="13"/>
              </w:rPr>
              <w:t>6.3</w:t>
            </w:r>
          </w:p>
        </w:tc>
      </w:tr>
      <w:tr>
        <w:trPr>
          <w:trHeight w:val="182" w:hRule="exact"/>
        </w:trPr>
        <w:tc>
          <w:tcPr>
            <w:tcW w:w="803" w:type="dxa"/>
          </w:tcPr>
          <w:p>
            <w:pPr>
              <w:pStyle w:val="TableParagraph"/>
              <w:ind w:right="19"/>
              <w:rPr>
                <w:sz w:val="13"/>
              </w:rPr>
            </w:pPr>
            <w:r>
              <w:rPr>
                <w:w w:val="105"/>
                <w:sz w:val="13"/>
              </w:rPr>
              <w:t>DELANTERO</w:t>
            </w:r>
          </w:p>
        </w:tc>
        <w:tc>
          <w:tcPr>
            <w:tcW w:w="802" w:type="dxa"/>
          </w:tcPr>
          <w:p>
            <w:pPr>
              <w:pStyle w:val="TableParagraph"/>
              <w:ind w:left="217" w:right="208"/>
              <w:rPr>
                <w:sz w:val="13"/>
              </w:rPr>
            </w:pPr>
            <w:r>
              <w:rPr>
                <w:w w:val="105"/>
                <w:sz w:val="13"/>
              </w:rPr>
              <w:t>30</w:t>
            </w:r>
          </w:p>
        </w:tc>
        <w:tc>
          <w:tcPr>
            <w:tcW w:w="803" w:type="dxa"/>
          </w:tcPr>
          <w:p>
            <w:pPr>
              <w:pStyle w:val="TableParagraph"/>
              <w:ind w:left="0" w:right="317"/>
              <w:jc w:val="right"/>
              <w:rPr>
                <w:sz w:val="13"/>
              </w:rPr>
            </w:pPr>
            <w:r>
              <w:rPr>
                <w:w w:val="105"/>
                <w:sz w:val="13"/>
              </w:rPr>
              <w:t>25</w:t>
            </w:r>
          </w:p>
        </w:tc>
        <w:tc>
          <w:tcPr>
            <w:tcW w:w="803" w:type="dxa"/>
          </w:tcPr>
          <w:p>
            <w:pPr>
              <w:pStyle w:val="TableParagraph"/>
              <w:ind w:right="14"/>
              <w:rPr>
                <w:sz w:val="13"/>
              </w:rPr>
            </w:pPr>
            <w:r>
              <w:rPr>
                <w:w w:val="105"/>
                <w:sz w:val="13"/>
              </w:rPr>
              <w:t>47.19</w:t>
            </w:r>
          </w:p>
        </w:tc>
        <w:tc>
          <w:tcPr>
            <w:tcW w:w="802" w:type="dxa"/>
          </w:tcPr>
          <w:p>
            <w:pPr>
              <w:pStyle w:val="TableParagraph"/>
              <w:ind w:left="190" w:right="188"/>
              <w:rPr>
                <w:sz w:val="13"/>
              </w:rPr>
            </w:pPr>
            <w:r>
              <w:rPr>
                <w:w w:val="105"/>
                <w:sz w:val="13"/>
              </w:rPr>
              <w:t>VI</w:t>
            </w:r>
          </w:p>
        </w:tc>
        <w:tc>
          <w:tcPr>
            <w:tcW w:w="803" w:type="dxa"/>
          </w:tcPr>
          <w:p>
            <w:pPr>
              <w:pStyle w:val="TableParagraph"/>
              <w:ind w:right="10"/>
              <w:rPr>
                <w:sz w:val="13"/>
              </w:rPr>
            </w:pPr>
            <w:r>
              <w:rPr>
                <w:w w:val="105"/>
                <w:sz w:val="13"/>
              </w:rPr>
              <w:t>186</w:t>
            </w:r>
          </w:p>
        </w:tc>
        <w:tc>
          <w:tcPr>
            <w:tcW w:w="803" w:type="dxa"/>
          </w:tcPr>
          <w:p>
            <w:pPr>
              <w:pStyle w:val="TableParagraph"/>
              <w:ind w:left="218" w:right="65"/>
              <w:jc w:val="left"/>
              <w:rPr>
                <w:sz w:val="13"/>
              </w:rPr>
            </w:pPr>
            <w:r>
              <w:rPr>
                <w:w w:val="105"/>
                <w:sz w:val="13"/>
              </w:rPr>
              <w:t>26040</w:t>
            </w:r>
          </w:p>
        </w:tc>
        <w:tc>
          <w:tcPr>
            <w:tcW w:w="802" w:type="dxa"/>
          </w:tcPr>
          <w:p>
            <w:pPr>
              <w:pStyle w:val="TableParagraph"/>
              <w:ind w:left="191"/>
              <w:jc w:val="left"/>
              <w:rPr>
                <w:sz w:val="13"/>
              </w:rPr>
            </w:pPr>
            <w:r>
              <w:rPr>
                <w:w w:val="105"/>
                <w:sz w:val="13"/>
              </w:rPr>
              <w:t>140/90</w:t>
            </w:r>
          </w:p>
        </w:tc>
        <w:tc>
          <w:tcPr>
            <w:tcW w:w="803" w:type="dxa"/>
          </w:tcPr>
          <w:p>
            <w:pPr>
              <w:pStyle w:val="TableParagraph"/>
              <w:ind w:left="291" w:right="65"/>
              <w:jc w:val="left"/>
              <w:rPr>
                <w:sz w:val="13"/>
              </w:rPr>
            </w:pPr>
            <w:r>
              <w:rPr>
                <w:w w:val="105"/>
                <w:sz w:val="13"/>
              </w:rPr>
              <w:t>140</w:t>
            </w:r>
          </w:p>
        </w:tc>
        <w:tc>
          <w:tcPr>
            <w:tcW w:w="803" w:type="dxa"/>
          </w:tcPr>
          <w:p>
            <w:pPr>
              <w:pStyle w:val="TableParagraph"/>
              <w:ind w:left="200"/>
              <w:jc w:val="left"/>
              <w:rPr>
                <w:sz w:val="13"/>
              </w:rPr>
            </w:pPr>
            <w:r>
              <w:rPr>
                <w:w w:val="105"/>
                <w:sz w:val="13"/>
              </w:rPr>
              <w:t>30.156</w:t>
            </w:r>
          </w:p>
        </w:tc>
        <w:tc>
          <w:tcPr>
            <w:tcW w:w="802" w:type="dxa"/>
          </w:tcPr>
          <w:p>
            <w:pPr>
              <w:pStyle w:val="TableParagraph"/>
              <w:ind w:left="190" w:right="185"/>
              <w:rPr>
                <w:sz w:val="13"/>
              </w:rPr>
            </w:pPr>
            <w:r>
              <w:rPr>
                <w:w w:val="105"/>
                <w:sz w:val="13"/>
              </w:rPr>
              <w:t>6.4</w:t>
            </w:r>
          </w:p>
        </w:tc>
      </w:tr>
      <w:tr>
        <w:trPr>
          <w:trHeight w:val="182" w:hRule="exact"/>
        </w:trPr>
        <w:tc>
          <w:tcPr>
            <w:tcW w:w="803" w:type="dxa"/>
          </w:tcPr>
          <w:p>
            <w:pPr>
              <w:pStyle w:val="TableParagraph"/>
              <w:ind w:right="19"/>
              <w:rPr>
                <w:sz w:val="13"/>
              </w:rPr>
            </w:pPr>
            <w:r>
              <w:rPr>
                <w:w w:val="105"/>
                <w:sz w:val="13"/>
              </w:rPr>
              <w:t>DELANTERO</w:t>
            </w:r>
          </w:p>
        </w:tc>
        <w:tc>
          <w:tcPr>
            <w:tcW w:w="802" w:type="dxa"/>
          </w:tcPr>
          <w:p>
            <w:pPr>
              <w:pStyle w:val="TableParagraph"/>
              <w:ind w:left="217" w:right="208"/>
              <w:rPr>
                <w:sz w:val="13"/>
              </w:rPr>
            </w:pPr>
            <w:r>
              <w:rPr>
                <w:w w:val="105"/>
                <w:sz w:val="13"/>
              </w:rPr>
              <w:t>23</w:t>
            </w:r>
          </w:p>
        </w:tc>
        <w:tc>
          <w:tcPr>
            <w:tcW w:w="803" w:type="dxa"/>
          </w:tcPr>
          <w:p>
            <w:pPr>
              <w:pStyle w:val="TableParagraph"/>
              <w:ind w:left="0" w:right="317"/>
              <w:jc w:val="right"/>
              <w:rPr>
                <w:sz w:val="13"/>
              </w:rPr>
            </w:pPr>
            <w:r>
              <w:rPr>
                <w:w w:val="105"/>
                <w:sz w:val="13"/>
              </w:rPr>
              <w:t>20</w:t>
            </w:r>
          </w:p>
        </w:tc>
        <w:tc>
          <w:tcPr>
            <w:tcW w:w="803" w:type="dxa"/>
          </w:tcPr>
          <w:p>
            <w:pPr>
              <w:pStyle w:val="TableParagraph"/>
              <w:ind w:right="14"/>
              <w:rPr>
                <w:sz w:val="13"/>
              </w:rPr>
            </w:pPr>
            <w:r>
              <w:rPr>
                <w:w w:val="105"/>
                <w:sz w:val="13"/>
              </w:rPr>
              <w:t>47.19</w:t>
            </w:r>
          </w:p>
        </w:tc>
        <w:tc>
          <w:tcPr>
            <w:tcW w:w="802" w:type="dxa"/>
          </w:tcPr>
          <w:p>
            <w:pPr>
              <w:pStyle w:val="TableParagraph"/>
              <w:ind w:left="190" w:right="188"/>
              <w:rPr>
                <w:sz w:val="13"/>
              </w:rPr>
            </w:pPr>
            <w:r>
              <w:rPr>
                <w:w w:val="105"/>
                <w:sz w:val="13"/>
              </w:rPr>
              <w:t>VI</w:t>
            </w:r>
          </w:p>
        </w:tc>
        <w:tc>
          <w:tcPr>
            <w:tcW w:w="803" w:type="dxa"/>
          </w:tcPr>
          <w:p>
            <w:pPr>
              <w:pStyle w:val="TableParagraph"/>
              <w:ind w:right="10"/>
              <w:rPr>
                <w:sz w:val="13"/>
              </w:rPr>
            </w:pPr>
            <w:r>
              <w:rPr>
                <w:w w:val="105"/>
                <w:sz w:val="13"/>
              </w:rPr>
              <w:t>183</w:t>
            </w:r>
          </w:p>
        </w:tc>
        <w:tc>
          <w:tcPr>
            <w:tcW w:w="803" w:type="dxa"/>
          </w:tcPr>
          <w:p>
            <w:pPr>
              <w:pStyle w:val="TableParagraph"/>
              <w:ind w:left="218" w:right="65"/>
              <w:jc w:val="left"/>
              <w:rPr>
                <w:sz w:val="13"/>
              </w:rPr>
            </w:pPr>
            <w:r>
              <w:rPr>
                <w:w w:val="105"/>
                <w:sz w:val="13"/>
              </w:rPr>
              <w:t>23790</w:t>
            </w:r>
          </w:p>
        </w:tc>
        <w:tc>
          <w:tcPr>
            <w:tcW w:w="802" w:type="dxa"/>
          </w:tcPr>
          <w:p>
            <w:pPr>
              <w:pStyle w:val="TableParagraph"/>
              <w:ind w:left="191"/>
              <w:jc w:val="left"/>
              <w:rPr>
                <w:sz w:val="13"/>
              </w:rPr>
            </w:pPr>
            <w:r>
              <w:rPr>
                <w:w w:val="105"/>
                <w:sz w:val="13"/>
              </w:rPr>
              <w:t>130/90</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27.006</w:t>
            </w:r>
          </w:p>
        </w:tc>
        <w:tc>
          <w:tcPr>
            <w:tcW w:w="802" w:type="dxa"/>
          </w:tcPr>
          <w:p>
            <w:pPr>
              <w:pStyle w:val="TableParagraph"/>
              <w:ind w:left="190" w:right="185"/>
              <w:rPr>
                <w:sz w:val="13"/>
              </w:rPr>
            </w:pPr>
            <w:r>
              <w:rPr>
                <w:w w:val="105"/>
                <w:sz w:val="13"/>
              </w:rPr>
              <w:t>5.7</w:t>
            </w:r>
          </w:p>
        </w:tc>
      </w:tr>
      <w:tr>
        <w:trPr>
          <w:trHeight w:val="182" w:hRule="exact"/>
        </w:trPr>
        <w:tc>
          <w:tcPr>
            <w:tcW w:w="803" w:type="dxa"/>
          </w:tcPr>
          <w:p>
            <w:pPr>
              <w:pStyle w:val="TableParagraph"/>
              <w:ind w:right="19"/>
              <w:rPr>
                <w:sz w:val="13"/>
              </w:rPr>
            </w:pPr>
            <w:r>
              <w:rPr>
                <w:w w:val="105"/>
                <w:sz w:val="13"/>
              </w:rPr>
              <w:t>DELANTERO</w:t>
            </w:r>
          </w:p>
        </w:tc>
        <w:tc>
          <w:tcPr>
            <w:tcW w:w="802" w:type="dxa"/>
          </w:tcPr>
          <w:p>
            <w:pPr>
              <w:pStyle w:val="TableParagraph"/>
              <w:ind w:left="217" w:right="208"/>
              <w:rPr>
                <w:sz w:val="13"/>
              </w:rPr>
            </w:pPr>
            <w:r>
              <w:rPr>
                <w:w w:val="105"/>
                <w:sz w:val="13"/>
              </w:rPr>
              <w:t>33</w:t>
            </w:r>
          </w:p>
        </w:tc>
        <w:tc>
          <w:tcPr>
            <w:tcW w:w="803" w:type="dxa"/>
          </w:tcPr>
          <w:p>
            <w:pPr>
              <w:pStyle w:val="TableParagraph"/>
              <w:ind w:left="0" w:right="317"/>
              <w:jc w:val="right"/>
              <w:rPr>
                <w:sz w:val="13"/>
              </w:rPr>
            </w:pPr>
            <w:r>
              <w:rPr>
                <w:w w:val="105"/>
                <w:sz w:val="13"/>
              </w:rPr>
              <w:t>28</w:t>
            </w:r>
          </w:p>
        </w:tc>
        <w:tc>
          <w:tcPr>
            <w:tcW w:w="803" w:type="dxa"/>
          </w:tcPr>
          <w:p>
            <w:pPr>
              <w:pStyle w:val="TableParagraph"/>
              <w:ind w:right="14"/>
              <w:rPr>
                <w:sz w:val="13"/>
              </w:rPr>
            </w:pPr>
            <w:r>
              <w:rPr>
                <w:w w:val="105"/>
                <w:sz w:val="13"/>
              </w:rPr>
              <w:t>54.5</w:t>
            </w:r>
          </w:p>
        </w:tc>
        <w:tc>
          <w:tcPr>
            <w:tcW w:w="802" w:type="dxa"/>
          </w:tcPr>
          <w:p>
            <w:pPr>
              <w:pStyle w:val="TableParagraph"/>
              <w:ind w:left="190" w:right="190"/>
              <w:rPr>
                <w:sz w:val="13"/>
              </w:rPr>
            </w:pPr>
            <w:r>
              <w:rPr>
                <w:w w:val="105"/>
                <w:sz w:val="13"/>
              </w:rPr>
              <w:t>VII</w:t>
            </w:r>
          </w:p>
        </w:tc>
        <w:tc>
          <w:tcPr>
            <w:tcW w:w="803" w:type="dxa"/>
          </w:tcPr>
          <w:p>
            <w:pPr>
              <w:pStyle w:val="TableParagraph"/>
              <w:ind w:right="10"/>
              <w:rPr>
                <w:sz w:val="13"/>
              </w:rPr>
            </w:pPr>
            <w:r>
              <w:rPr>
                <w:w w:val="105"/>
                <w:sz w:val="13"/>
              </w:rPr>
              <w:t>177</w:t>
            </w:r>
          </w:p>
        </w:tc>
        <w:tc>
          <w:tcPr>
            <w:tcW w:w="803" w:type="dxa"/>
          </w:tcPr>
          <w:p>
            <w:pPr>
              <w:pStyle w:val="TableParagraph"/>
              <w:ind w:left="218" w:right="65"/>
              <w:jc w:val="left"/>
              <w:rPr>
                <w:sz w:val="13"/>
              </w:rPr>
            </w:pPr>
            <w:r>
              <w:rPr>
                <w:w w:val="105"/>
                <w:sz w:val="13"/>
              </w:rPr>
              <w:t>23010</w:t>
            </w:r>
          </w:p>
        </w:tc>
        <w:tc>
          <w:tcPr>
            <w:tcW w:w="802" w:type="dxa"/>
          </w:tcPr>
          <w:p>
            <w:pPr>
              <w:pStyle w:val="TableParagraph"/>
              <w:ind w:left="191"/>
              <w:jc w:val="left"/>
              <w:rPr>
                <w:sz w:val="13"/>
              </w:rPr>
            </w:pPr>
            <w:r>
              <w:rPr>
                <w:w w:val="105"/>
                <w:sz w:val="13"/>
              </w:rPr>
              <w:t>130/80</w:t>
            </w:r>
          </w:p>
        </w:tc>
        <w:tc>
          <w:tcPr>
            <w:tcW w:w="803" w:type="dxa"/>
          </w:tcPr>
          <w:p>
            <w:pPr>
              <w:pStyle w:val="TableParagraph"/>
              <w:ind w:left="291" w:right="65"/>
              <w:jc w:val="left"/>
              <w:rPr>
                <w:sz w:val="13"/>
              </w:rPr>
            </w:pPr>
            <w:r>
              <w:rPr>
                <w:w w:val="105"/>
                <w:sz w:val="13"/>
              </w:rPr>
              <w:t>130</w:t>
            </w:r>
          </w:p>
        </w:tc>
        <w:tc>
          <w:tcPr>
            <w:tcW w:w="803" w:type="dxa"/>
          </w:tcPr>
          <w:p>
            <w:pPr>
              <w:pStyle w:val="TableParagraph"/>
              <w:ind w:left="200"/>
              <w:jc w:val="left"/>
              <w:rPr>
                <w:sz w:val="13"/>
              </w:rPr>
            </w:pPr>
            <w:r>
              <w:rPr>
                <w:w w:val="105"/>
                <w:sz w:val="13"/>
              </w:rPr>
              <w:t>25.914</w:t>
            </w:r>
          </w:p>
        </w:tc>
        <w:tc>
          <w:tcPr>
            <w:tcW w:w="802" w:type="dxa"/>
          </w:tcPr>
          <w:p>
            <w:pPr>
              <w:pStyle w:val="TableParagraph"/>
              <w:ind w:left="190" w:right="185"/>
              <w:rPr>
                <w:sz w:val="13"/>
              </w:rPr>
            </w:pPr>
            <w:r>
              <w:rPr>
                <w:w w:val="105"/>
                <w:sz w:val="13"/>
              </w:rPr>
              <w:t>4.8</w:t>
            </w:r>
          </w:p>
        </w:tc>
      </w:tr>
    </w:tbl>
    <w:p>
      <w:pPr>
        <w:pStyle w:val="BodyText"/>
        <w:rPr>
          <w:b/>
          <w:sz w:val="29"/>
        </w:rPr>
      </w:pPr>
    </w:p>
    <w:p>
      <w:pPr>
        <w:pStyle w:val="BodyText"/>
        <w:ind w:left="119" w:right="130"/>
      </w:pPr>
      <w:r>
        <w:rPr/>
        <w:t>*Cuadro estadístico (futbolista Asociación pretemporada 2015)</w:t>
      </w:r>
    </w:p>
    <w:p>
      <w:pPr>
        <w:spacing w:after="0"/>
        <w:sectPr>
          <w:pgSz w:w="12240" w:h="15840"/>
          <w:pgMar w:header="0" w:footer="966" w:top="1360" w:bottom="1220" w:left="1580" w:right="1580"/>
        </w:sectPr>
      </w:pPr>
    </w:p>
    <w:p>
      <w:pPr>
        <w:pStyle w:val="Heading1"/>
        <w:ind w:left="820"/>
      </w:pPr>
      <w:r>
        <w:rPr/>
        <w:drawing>
          <wp:anchor distT="0" distB="0" distL="0" distR="0" allowOverlap="1" layoutInCell="1" locked="0" behindDoc="0" simplePos="0" relativeHeight="5440">
            <wp:simplePos x="0" y="0"/>
            <wp:positionH relativeFrom="page">
              <wp:posOffset>1080135</wp:posOffset>
            </wp:positionH>
            <wp:positionV relativeFrom="paragraph">
              <wp:posOffset>237564</wp:posOffset>
            </wp:positionV>
            <wp:extent cx="5603594" cy="7295197"/>
            <wp:effectExtent l="0" t="0" r="0" b="0"/>
            <wp:wrapTopAndBottom/>
            <wp:docPr id="3" name="image77.jpeg" descr=""/>
            <wp:cNvGraphicFramePr>
              <a:graphicFrameLocks noChangeAspect="1"/>
            </wp:cNvGraphicFramePr>
            <a:graphic>
              <a:graphicData uri="http://schemas.openxmlformats.org/drawingml/2006/picture">
                <pic:pic>
                  <pic:nvPicPr>
                    <pic:cNvPr id="4" name="image77.jpeg"/>
                    <pic:cNvPicPr/>
                  </pic:nvPicPr>
                  <pic:blipFill>
                    <a:blip r:embed="rId84" cstate="print"/>
                    <a:stretch>
                      <a:fillRect/>
                    </a:stretch>
                  </pic:blipFill>
                  <pic:spPr>
                    <a:xfrm>
                      <a:off x="0" y="0"/>
                      <a:ext cx="5603594" cy="7295197"/>
                    </a:xfrm>
                    <a:prstGeom prst="rect">
                      <a:avLst/>
                    </a:prstGeom>
                  </pic:spPr>
                </pic:pic>
              </a:graphicData>
            </a:graphic>
          </wp:anchor>
        </w:drawing>
      </w:r>
      <w:bookmarkStart w:name="_bookmark36" w:id="71"/>
      <w:bookmarkEnd w:id="71"/>
      <w:r>
        <w:rPr>
          <w:b w:val="0"/>
        </w:rPr>
      </w:r>
      <w:r>
        <w:rPr/>
        <w:t>Anexo 2. Consentimiento informado</w:t>
      </w:r>
    </w:p>
    <w:p>
      <w:pPr>
        <w:spacing w:after="0"/>
        <w:sectPr>
          <w:pgSz w:w="12240" w:h="15840"/>
          <w:pgMar w:header="0" w:footer="966" w:top="1360" w:bottom="1220" w:left="1600" w:right="1600"/>
        </w:sectPr>
      </w:pPr>
    </w:p>
    <w:p>
      <w:pPr>
        <w:pStyle w:val="Heading1"/>
        <w:ind w:left="820"/>
      </w:pPr>
      <w:r>
        <w:rPr/>
        <w:drawing>
          <wp:anchor distT="0" distB="0" distL="0" distR="0" allowOverlap="1" layoutInCell="1" locked="0" behindDoc="0" simplePos="0" relativeHeight="5464">
            <wp:simplePos x="0" y="0"/>
            <wp:positionH relativeFrom="page">
              <wp:posOffset>1080135</wp:posOffset>
            </wp:positionH>
            <wp:positionV relativeFrom="paragraph">
              <wp:posOffset>237564</wp:posOffset>
            </wp:positionV>
            <wp:extent cx="5520864" cy="7206233"/>
            <wp:effectExtent l="0" t="0" r="0" b="0"/>
            <wp:wrapTopAndBottom/>
            <wp:docPr id="5" name="image78.png" descr=""/>
            <wp:cNvGraphicFramePr>
              <a:graphicFrameLocks noChangeAspect="1"/>
            </wp:cNvGraphicFramePr>
            <a:graphic>
              <a:graphicData uri="http://schemas.openxmlformats.org/drawingml/2006/picture">
                <pic:pic>
                  <pic:nvPicPr>
                    <pic:cNvPr id="6" name="image78.png"/>
                    <pic:cNvPicPr/>
                  </pic:nvPicPr>
                  <pic:blipFill>
                    <a:blip r:embed="rId85" cstate="print"/>
                    <a:stretch>
                      <a:fillRect/>
                    </a:stretch>
                  </pic:blipFill>
                  <pic:spPr>
                    <a:xfrm>
                      <a:off x="0" y="0"/>
                      <a:ext cx="5520864" cy="7206233"/>
                    </a:xfrm>
                    <a:prstGeom prst="rect">
                      <a:avLst/>
                    </a:prstGeom>
                  </pic:spPr>
                </pic:pic>
              </a:graphicData>
            </a:graphic>
          </wp:anchor>
        </w:drawing>
      </w:r>
      <w:bookmarkStart w:name="_bookmark37" w:id="72"/>
      <w:bookmarkEnd w:id="72"/>
      <w:r>
        <w:rPr>
          <w:b w:val="0"/>
        </w:rPr>
      </w:r>
      <w:r>
        <w:rPr/>
        <w:t>Anexo 3. Historia clínica</w:t>
      </w:r>
    </w:p>
    <w:p>
      <w:pPr>
        <w:spacing w:after="0"/>
        <w:sectPr>
          <w:pgSz w:w="12240" w:h="15840"/>
          <w:pgMar w:header="0" w:footer="966" w:top="1360" w:bottom="1220" w:left="1600" w:right="1600"/>
        </w:sectPr>
      </w:pPr>
    </w:p>
    <w:p>
      <w:pPr>
        <w:pStyle w:val="BodyText"/>
        <w:ind w:left="101"/>
        <w:rPr>
          <w:sz w:val="20"/>
        </w:rPr>
      </w:pPr>
      <w:r>
        <w:rPr>
          <w:sz w:val="20"/>
        </w:rPr>
        <w:drawing>
          <wp:inline distT="0" distB="0" distL="0" distR="0">
            <wp:extent cx="5608592" cy="7400067"/>
            <wp:effectExtent l="0" t="0" r="0" b="0"/>
            <wp:docPr id="7" name="image79.png" descr=""/>
            <wp:cNvGraphicFramePr>
              <a:graphicFrameLocks noChangeAspect="1"/>
            </wp:cNvGraphicFramePr>
            <a:graphic>
              <a:graphicData uri="http://schemas.openxmlformats.org/drawingml/2006/picture">
                <pic:pic>
                  <pic:nvPicPr>
                    <pic:cNvPr id="8" name="image79.png"/>
                    <pic:cNvPicPr/>
                  </pic:nvPicPr>
                  <pic:blipFill>
                    <a:blip r:embed="rId86" cstate="print"/>
                    <a:stretch>
                      <a:fillRect/>
                    </a:stretch>
                  </pic:blipFill>
                  <pic:spPr>
                    <a:xfrm>
                      <a:off x="0" y="0"/>
                      <a:ext cx="5608592" cy="7400067"/>
                    </a:xfrm>
                    <a:prstGeom prst="rect">
                      <a:avLst/>
                    </a:prstGeom>
                  </pic:spPr>
                </pic:pic>
              </a:graphicData>
            </a:graphic>
          </wp:inline>
        </w:drawing>
      </w:r>
      <w:r>
        <w:rPr>
          <w:sz w:val="20"/>
        </w:rPr>
      </w:r>
    </w:p>
    <w:p>
      <w:pPr>
        <w:spacing w:after="0"/>
        <w:rPr>
          <w:sz w:val="20"/>
        </w:rPr>
        <w:sectPr>
          <w:pgSz w:w="12240" w:h="15840"/>
          <w:pgMar w:header="0" w:footer="966" w:top="1420" w:bottom="1160" w:left="1600" w:right="1600"/>
        </w:sectPr>
      </w:pPr>
    </w:p>
    <w:p>
      <w:pPr>
        <w:pStyle w:val="BodyText"/>
        <w:ind w:left="101"/>
        <w:rPr>
          <w:sz w:val="20"/>
        </w:rPr>
      </w:pPr>
      <w:r>
        <w:rPr>
          <w:sz w:val="20"/>
        </w:rPr>
        <w:drawing>
          <wp:inline distT="0" distB="0" distL="0" distR="0">
            <wp:extent cx="5536497" cy="7232904"/>
            <wp:effectExtent l="0" t="0" r="0" b="0"/>
            <wp:docPr id="9" name="image80.jpeg" descr=""/>
            <wp:cNvGraphicFramePr>
              <a:graphicFrameLocks noChangeAspect="1"/>
            </wp:cNvGraphicFramePr>
            <a:graphic>
              <a:graphicData uri="http://schemas.openxmlformats.org/drawingml/2006/picture">
                <pic:pic>
                  <pic:nvPicPr>
                    <pic:cNvPr id="10" name="image80.jpeg"/>
                    <pic:cNvPicPr/>
                  </pic:nvPicPr>
                  <pic:blipFill>
                    <a:blip r:embed="rId87" cstate="print"/>
                    <a:stretch>
                      <a:fillRect/>
                    </a:stretch>
                  </pic:blipFill>
                  <pic:spPr>
                    <a:xfrm>
                      <a:off x="0" y="0"/>
                      <a:ext cx="5536497" cy="7232904"/>
                    </a:xfrm>
                    <a:prstGeom prst="rect">
                      <a:avLst/>
                    </a:prstGeom>
                  </pic:spPr>
                </pic:pic>
              </a:graphicData>
            </a:graphic>
          </wp:inline>
        </w:drawing>
      </w:r>
      <w:r>
        <w:rPr>
          <w:sz w:val="20"/>
        </w:rPr>
      </w:r>
    </w:p>
    <w:p>
      <w:pPr>
        <w:spacing w:after="0"/>
        <w:rPr>
          <w:sz w:val="20"/>
        </w:rPr>
        <w:sectPr>
          <w:pgSz w:w="12240" w:h="15840"/>
          <w:pgMar w:header="0" w:footer="966" w:top="1420" w:bottom="1160" w:left="1600" w:right="1600"/>
        </w:sectPr>
      </w:pPr>
    </w:p>
    <w:p>
      <w:pPr>
        <w:pStyle w:val="Heading1"/>
        <w:ind w:left="805"/>
      </w:pPr>
      <w:r>
        <w:rPr/>
        <w:drawing>
          <wp:anchor distT="0" distB="0" distL="0" distR="0" allowOverlap="1" layoutInCell="1" locked="0" behindDoc="0" simplePos="0" relativeHeight="5488">
            <wp:simplePos x="0" y="0"/>
            <wp:positionH relativeFrom="page">
              <wp:posOffset>1080134</wp:posOffset>
            </wp:positionH>
            <wp:positionV relativeFrom="paragraph">
              <wp:posOffset>237569</wp:posOffset>
            </wp:positionV>
            <wp:extent cx="5388558" cy="7422260"/>
            <wp:effectExtent l="0" t="0" r="0" b="0"/>
            <wp:wrapTopAndBottom/>
            <wp:docPr id="11" name="image81.jpeg" descr=""/>
            <wp:cNvGraphicFramePr>
              <a:graphicFrameLocks noChangeAspect="1"/>
            </wp:cNvGraphicFramePr>
            <a:graphic>
              <a:graphicData uri="http://schemas.openxmlformats.org/drawingml/2006/picture">
                <pic:pic>
                  <pic:nvPicPr>
                    <pic:cNvPr id="12" name="image81.jpeg"/>
                    <pic:cNvPicPr/>
                  </pic:nvPicPr>
                  <pic:blipFill>
                    <a:blip r:embed="rId88" cstate="print"/>
                    <a:stretch>
                      <a:fillRect/>
                    </a:stretch>
                  </pic:blipFill>
                  <pic:spPr>
                    <a:xfrm>
                      <a:off x="0" y="0"/>
                      <a:ext cx="5388558" cy="7422260"/>
                    </a:xfrm>
                    <a:prstGeom prst="rect">
                      <a:avLst/>
                    </a:prstGeom>
                  </pic:spPr>
                </pic:pic>
              </a:graphicData>
            </a:graphic>
          </wp:anchor>
        </w:drawing>
      </w:r>
      <w:bookmarkStart w:name="_TOC_250000" w:id="73"/>
      <w:bookmarkEnd w:id="73"/>
      <w:r>
        <w:rPr/>
        <w:t>Anexo 4. Reporte prueba de esfuerzo</w:t>
      </w:r>
    </w:p>
    <w:p>
      <w:pPr>
        <w:spacing w:after="0"/>
        <w:sectPr>
          <w:pgSz w:w="12240" w:h="15840"/>
          <w:pgMar w:header="0" w:footer="966" w:top="1360" w:bottom="1160" w:left="1600" w:right="1600"/>
        </w:sectPr>
      </w:pPr>
    </w:p>
    <w:p>
      <w:pPr>
        <w:pStyle w:val="BodyText"/>
        <w:ind w:left="101"/>
        <w:rPr>
          <w:sz w:val="20"/>
        </w:rPr>
      </w:pPr>
      <w:r>
        <w:rPr>
          <w:sz w:val="20"/>
        </w:rPr>
        <w:drawing>
          <wp:inline distT="0" distB="0" distL="0" distR="0">
            <wp:extent cx="5702013" cy="7892510"/>
            <wp:effectExtent l="0" t="0" r="0" b="0"/>
            <wp:docPr id="13" name="image82.jpeg" descr=""/>
            <wp:cNvGraphicFramePr>
              <a:graphicFrameLocks noChangeAspect="1"/>
            </wp:cNvGraphicFramePr>
            <a:graphic>
              <a:graphicData uri="http://schemas.openxmlformats.org/drawingml/2006/picture">
                <pic:pic>
                  <pic:nvPicPr>
                    <pic:cNvPr id="14" name="image82.jpeg"/>
                    <pic:cNvPicPr/>
                  </pic:nvPicPr>
                  <pic:blipFill>
                    <a:blip r:embed="rId89" cstate="print"/>
                    <a:stretch>
                      <a:fillRect/>
                    </a:stretch>
                  </pic:blipFill>
                  <pic:spPr>
                    <a:xfrm>
                      <a:off x="0" y="0"/>
                      <a:ext cx="5702013" cy="7892510"/>
                    </a:xfrm>
                    <a:prstGeom prst="rect">
                      <a:avLst/>
                    </a:prstGeom>
                  </pic:spPr>
                </pic:pic>
              </a:graphicData>
            </a:graphic>
          </wp:inline>
        </w:drawing>
      </w:r>
      <w:r>
        <w:rPr>
          <w:sz w:val="20"/>
        </w:rPr>
      </w:r>
    </w:p>
    <w:sectPr>
      <w:pgSz w:w="12240" w:h="15840"/>
      <w:pgMar w:header="0" w:footer="966" w:top="1420" w:bottom="1160" w:left="160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8.270020pt;margin-top:729.676208pt;width:10.7pt;height:14pt;mso-position-horizontal-relative:page;mso-position-vertical-relative:page;z-index:-105472" type="#_x0000_t202" filled="false" stroked="false">
          <v:textbox inset="0,0,0,0">
            <w:txbxContent>
              <w:p>
                <w:pPr>
                  <w:pStyle w:val="BodyText"/>
                  <w:spacing w:line="265" w:lineRule="exact"/>
                  <w:ind w:left="40"/>
                </w:pPr>
                <w:r>
                  <w:rPr/>
                  <w:fldChar w:fldCharType="begin"/>
                </w:r>
                <w:r>
                  <w:rPr>
                    <w:w w:val="99"/>
                  </w:rPr>
                  <w:instrText> PAGE </w:instrText>
                </w:r>
                <w:r>
                  <w:rPr/>
                  <w:fldChar w:fldCharType="separate"/>
                </w:r>
                <w:r>
                  <w:rPr/>
                  <w:t>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1.549988pt;margin-top:729.676208pt;width:17.45pt;height:14pt;mso-position-horizontal-relative:page;mso-position-vertical-relative:page;z-index:-1054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25"/>
      <w:numFmt w:val="decimal"/>
      <w:lvlText w:val="%1."/>
      <w:lvlJc w:val="left"/>
      <w:pPr>
        <w:ind w:left="119" w:hanging="476"/>
        <w:jc w:val="left"/>
      </w:pPr>
      <w:rPr>
        <w:rFonts w:hint="default" w:ascii="Arial" w:hAnsi="Arial" w:eastAsia="Arial" w:cs="Arial"/>
        <w:w w:val="99"/>
        <w:sz w:val="24"/>
        <w:szCs w:val="24"/>
      </w:rPr>
    </w:lvl>
    <w:lvl w:ilvl="1">
      <w:start w:val="1"/>
      <w:numFmt w:val="bullet"/>
      <w:lvlText w:val="•"/>
      <w:lvlJc w:val="left"/>
      <w:pPr>
        <w:ind w:left="1016" w:hanging="476"/>
      </w:pPr>
      <w:rPr>
        <w:rFonts w:hint="default"/>
      </w:rPr>
    </w:lvl>
    <w:lvl w:ilvl="2">
      <w:start w:val="1"/>
      <w:numFmt w:val="bullet"/>
      <w:lvlText w:val="•"/>
      <w:lvlJc w:val="left"/>
      <w:pPr>
        <w:ind w:left="1912" w:hanging="476"/>
      </w:pPr>
      <w:rPr>
        <w:rFonts w:hint="default"/>
      </w:rPr>
    </w:lvl>
    <w:lvl w:ilvl="3">
      <w:start w:val="1"/>
      <w:numFmt w:val="bullet"/>
      <w:lvlText w:val="•"/>
      <w:lvlJc w:val="left"/>
      <w:pPr>
        <w:ind w:left="2808" w:hanging="476"/>
      </w:pPr>
      <w:rPr>
        <w:rFonts w:hint="default"/>
      </w:rPr>
    </w:lvl>
    <w:lvl w:ilvl="4">
      <w:start w:val="1"/>
      <w:numFmt w:val="bullet"/>
      <w:lvlText w:val="•"/>
      <w:lvlJc w:val="left"/>
      <w:pPr>
        <w:ind w:left="3704" w:hanging="476"/>
      </w:pPr>
      <w:rPr>
        <w:rFonts w:hint="default"/>
      </w:rPr>
    </w:lvl>
    <w:lvl w:ilvl="5">
      <w:start w:val="1"/>
      <w:numFmt w:val="bullet"/>
      <w:lvlText w:val="•"/>
      <w:lvlJc w:val="left"/>
      <w:pPr>
        <w:ind w:left="4600" w:hanging="476"/>
      </w:pPr>
      <w:rPr>
        <w:rFonts w:hint="default"/>
      </w:rPr>
    </w:lvl>
    <w:lvl w:ilvl="6">
      <w:start w:val="1"/>
      <w:numFmt w:val="bullet"/>
      <w:lvlText w:val="•"/>
      <w:lvlJc w:val="left"/>
      <w:pPr>
        <w:ind w:left="5496" w:hanging="476"/>
      </w:pPr>
      <w:rPr>
        <w:rFonts w:hint="default"/>
      </w:rPr>
    </w:lvl>
    <w:lvl w:ilvl="7">
      <w:start w:val="1"/>
      <w:numFmt w:val="bullet"/>
      <w:lvlText w:val="•"/>
      <w:lvlJc w:val="left"/>
      <w:pPr>
        <w:ind w:left="6392" w:hanging="476"/>
      </w:pPr>
      <w:rPr>
        <w:rFonts w:hint="default"/>
      </w:rPr>
    </w:lvl>
    <w:lvl w:ilvl="8">
      <w:start w:val="1"/>
      <w:numFmt w:val="bullet"/>
      <w:lvlText w:val="•"/>
      <w:lvlJc w:val="left"/>
      <w:pPr>
        <w:ind w:left="7288" w:hanging="476"/>
      </w:pPr>
      <w:rPr>
        <w:rFonts w:hint="default"/>
      </w:rPr>
    </w:lvl>
  </w:abstractNum>
  <w:abstractNum w:abstractNumId="11">
    <w:multiLevelType w:val="hybridMultilevel"/>
    <w:lvl w:ilvl="0">
      <w:start w:val="19"/>
      <w:numFmt w:val="decimal"/>
      <w:lvlText w:val="%1."/>
      <w:lvlJc w:val="left"/>
      <w:pPr>
        <w:ind w:left="119" w:hanging="409"/>
        <w:jc w:val="left"/>
      </w:pPr>
      <w:rPr>
        <w:rFonts w:hint="default" w:ascii="Arial" w:hAnsi="Arial" w:eastAsia="Arial" w:cs="Arial"/>
        <w:w w:val="99"/>
        <w:sz w:val="24"/>
        <w:szCs w:val="24"/>
      </w:rPr>
    </w:lvl>
    <w:lvl w:ilvl="1">
      <w:start w:val="1"/>
      <w:numFmt w:val="bullet"/>
      <w:lvlText w:val="•"/>
      <w:lvlJc w:val="left"/>
      <w:pPr>
        <w:ind w:left="1016" w:hanging="409"/>
      </w:pPr>
      <w:rPr>
        <w:rFonts w:hint="default"/>
      </w:rPr>
    </w:lvl>
    <w:lvl w:ilvl="2">
      <w:start w:val="1"/>
      <w:numFmt w:val="bullet"/>
      <w:lvlText w:val="•"/>
      <w:lvlJc w:val="left"/>
      <w:pPr>
        <w:ind w:left="1912" w:hanging="409"/>
      </w:pPr>
      <w:rPr>
        <w:rFonts w:hint="default"/>
      </w:rPr>
    </w:lvl>
    <w:lvl w:ilvl="3">
      <w:start w:val="1"/>
      <w:numFmt w:val="bullet"/>
      <w:lvlText w:val="•"/>
      <w:lvlJc w:val="left"/>
      <w:pPr>
        <w:ind w:left="2808" w:hanging="409"/>
      </w:pPr>
      <w:rPr>
        <w:rFonts w:hint="default"/>
      </w:rPr>
    </w:lvl>
    <w:lvl w:ilvl="4">
      <w:start w:val="1"/>
      <w:numFmt w:val="bullet"/>
      <w:lvlText w:val="•"/>
      <w:lvlJc w:val="left"/>
      <w:pPr>
        <w:ind w:left="3704" w:hanging="409"/>
      </w:pPr>
      <w:rPr>
        <w:rFonts w:hint="default"/>
      </w:rPr>
    </w:lvl>
    <w:lvl w:ilvl="5">
      <w:start w:val="1"/>
      <w:numFmt w:val="bullet"/>
      <w:lvlText w:val="•"/>
      <w:lvlJc w:val="left"/>
      <w:pPr>
        <w:ind w:left="4600" w:hanging="409"/>
      </w:pPr>
      <w:rPr>
        <w:rFonts w:hint="default"/>
      </w:rPr>
    </w:lvl>
    <w:lvl w:ilvl="6">
      <w:start w:val="1"/>
      <w:numFmt w:val="bullet"/>
      <w:lvlText w:val="•"/>
      <w:lvlJc w:val="left"/>
      <w:pPr>
        <w:ind w:left="5496" w:hanging="409"/>
      </w:pPr>
      <w:rPr>
        <w:rFonts w:hint="default"/>
      </w:rPr>
    </w:lvl>
    <w:lvl w:ilvl="7">
      <w:start w:val="1"/>
      <w:numFmt w:val="bullet"/>
      <w:lvlText w:val="•"/>
      <w:lvlJc w:val="left"/>
      <w:pPr>
        <w:ind w:left="6392" w:hanging="409"/>
      </w:pPr>
      <w:rPr>
        <w:rFonts w:hint="default"/>
      </w:rPr>
    </w:lvl>
    <w:lvl w:ilvl="8">
      <w:start w:val="1"/>
      <w:numFmt w:val="bullet"/>
      <w:lvlText w:val="•"/>
      <w:lvlJc w:val="left"/>
      <w:pPr>
        <w:ind w:left="7288" w:hanging="409"/>
      </w:pPr>
      <w:rPr>
        <w:rFonts w:hint="default"/>
      </w:rPr>
    </w:lvl>
  </w:abstractNum>
  <w:abstractNum w:abstractNumId="10">
    <w:multiLevelType w:val="hybridMultilevel"/>
    <w:lvl w:ilvl="0">
      <w:start w:val="1"/>
      <w:numFmt w:val="bullet"/>
      <w:lvlText w:val=""/>
      <w:lvlJc w:val="left"/>
      <w:pPr>
        <w:ind w:left="840" w:hanging="360"/>
      </w:pPr>
      <w:rPr>
        <w:rFonts w:hint="default" w:ascii="Symbol" w:hAnsi="Symbol" w:eastAsia="Symbol" w:cs="Symbol"/>
        <w:w w:val="100"/>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9">
    <w:multiLevelType w:val="hybridMultilevel"/>
    <w:lvl w:ilvl="0">
      <w:start w:val="1"/>
      <w:numFmt w:val="bullet"/>
      <w:lvlText w:val=""/>
      <w:lvlJc w:val="left"/>
      <w:pPr>
        <w:ind w:left="623" w:hanging="361"/>
      </w:pPr>
      <w:rPr>
        <w:rFonts w:hint="default" w:ascii="Symbol" w:hAnsi="Symbol" w:eastAsia="Symbol" w:cs="Symbol"/>
        <w:w w:val="100"/>
        <w:sz w:val="24"/>
        <w:szCs w:val="24"/>
      </w:rPr>
    </w:lvl>
    <w:lvl w:ilvl="1">
      <w:start w:val="1"/>
      <w:numFmt w:val="bullet"/>
      <w:lvlText w:val=""/>
      <w:lvlJc w:val="left"/>
      <w:pPr>
        <w:ind w:left="863" w:hanging="361"/>
      </w:pPr>
      <w:rPr>
        <w:rFonts w:hint="default" w:ascii="Symbol" w:hAnsi="Symbol" w:eastAsia="Symbol" w:cs="Symbol"/>
        <w:w w:val="100"/>
        <w:sz w:val="24"/>
        <w:szCs w:val="24"/>
      </w:rPr>
    </w:lvl>
    <w:lvl w:ilvl="2">
      <w:start w:val="1"/>
      <w:numFmt w:val="bullet"/>
      <w:lvlText w:val="•"/>
      <w:lvlJc w:val="left"/>
      <w:pPr>
        <w:ind w:left="1757" w:hanging="361"/>
      </w:pPr>
      <w:rPr>
        <w:rFonts w:hint="default"/>
      </w:rPr>
    </w:lvl>
    <w:lvl w:ilvl="3">
      <w:start w:val="1"/>
      <w:numFmt w:val="bullet"/>
      <w:lvlText w:val="•"/>
      <w:lvlJc w:val="left"/>
      <w:pPr>
        <w:ind w:left="2655" w:hanging="361"/>
      </w:pPr>
      <w:rPr>
        <w:rFonts w:hint="default"/>
      </w:rPr>
    </w:lvl>
    <w:lvl w:ilvl="4">
      <w:start w:val="1"/>
      <w:numFmt w:val="bullet"/>
      <w:lvlText w:val="•"/>
      <w:lvlJc w:val="left"/>
      <w:pPr>
        <w:ind w:left="3553" w:hanging="361"/>
      </w:pPr>
      <w:rPr>
        <w:rFonts w:hint="default"/>
      </w:rPr>
    </w:lvl>
    <w:lvl w:ilvl="5">
      <w:start w:val="1"/>
      <w:numFmt w:val="bullet"/>
      <w:lvlText w:val="•"/>
      <w:lvlJc w:val="left"/>
      <w:pPr>
        <w:ind w:left="4451" w:hanging="361"/>
      </w:pPr>
      <w:rPr>
        <w:rFonts w:hint="default"/>
      </w:rPr>
    </w:lvl>
    <w:lvl w:ilvl="6">
      <w:start w:val="1"/>
      <w:numFmt w:val="bullet"/>
      <w:lvlText w:val="•"/>
      <w:lvlJc w:val="left"/>
      <w:pPr>
        <w:ind w:left="5348" w:hanging="361"/>
      </w:pPr>
      <w:rPr>
        <w:rFonts w:hint="default"/>
      </w:rPr>
    </w:lvl>
    <w:lvl w:ilvl="7">
      <w:start w:val="1"/>
      <w:numFmt w:val="bullet"/>
      <w:lvlText w:val="•"/>
      <w:lvlJc w:val="left"/>
      <w:pPr>
        <w:ind w:left="6246" w:hanging="361"/>
      </w:pPr>
      <w:rPr>
        <w:rFonts w:hint="default"/>
      </w:rPr>
    </w:lvl>
    <w:lvl w:ilvl="8">
      <w:start w:val="1"/>
      <w:numFmt w:val="bullet"/>
      <w:lvlText w:val="•"/>
      <w:lvlJc w:val="left"/>
      <w:pPr>
        <w:ind w:left="7144" w:hanging="361"/>
      </w:pPr>
      <w:rPr>
        <w:rFonts w:hint="default"/>
      </w:rPr>
    </w:lvl>
  </w:abstractNum>
  <w:abstractNum w:abstractNumId="8">
    <w:multiLevelType w:val="hybridMultilevel"/>
    <w:lvl w:ilvl="0">
      <w:start w:val="1"/>
      <w:numFmt w:val="bullet"/>
      <w:lvlText w:val=""/>
      <w:lvlJc w:val="left"/>
      <w:pPr>
        <w:ind w:left="700" w:hanging="360"/>
      </w:pPr>
      <w:rPr>
        <w:rFonts w:hint="default" w:ascii="Symbol" w:hAnsi="Symbol" w:eastAsia="Symbol" w:cs="Symbol"/>
        <w:w w:val="100"/>
        <w:sz w:val="24"/>
        <w:szCs w:val="24"/>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7">
    <w:multiLevelType w:val="hybridMultilevel"/>
    <w:lvl w:ilvl="0">
      <w:start w:val="1"/>
      <w:numFmt w:val="bullet"/>
      <w:lvlText w:val=""/>
      <w:lvlJc w:val="left"/>
      <w:pPr>
        <w:ind w:left="940" w:hanging="360"/>
      </w:pPr>
      <w:rPr>
        <w:rFonts w:hint="default" w:ascii="Symbol" w:hAnsi="Symbol" w:eastAsia="Symbol" w:cs="Symbol"/>
        <w:w w:val="100"/>
        <w:sz w:val="24"/>
        <w:szCs w:val="24"/>
      </w:rPr>
    </w:lvl>
    <w:lvl w:ilvl="1">
      <w:start w:val="1"/>
      <w:numFmt w:val="bullet"/>
      <w:lvlText w:val="•"/>
      <w:lvlJc w:val="left"/>
      <w:pPr>
        <w:ind w:left="1776" w:hanging="360"/>
      </w:pPr>
      <w:rPr>
        <w:rFonts w:hint="default"/>
      </w:rPr>
    </w:lvl>
    <w:lvl w:ilvl="2">
      <w:start w:val="1"/>
      <w:numFmt w:val="bullet"/>
      <w:lvlText w:val="•"/>
      <w:lvlJc w:val="left"/>
      <w:pPr>
        <w:ind w:left="2612" w:hanging="360"/>
      </w:pPr>
      <w:rPr>
        <w:rFonts w:hint="default"/>
      </w:rPr>
    </w:lvl>
    <w:lvl w:ilvl="3">
      <w:start w:val="1"/>
      <w:numFmt w:val="bullet"/>
      <w:lvlText w:val="•"/>
      <w:lvlJc w:val="left"/>
      <w:pPr>
        <w:ind w:left="3448" w:hanging="360"/>
      </w:pPr>
      <w:rPr>
        <w:rFonts w:hint="default"/>
      </w:rPr>
    </w:lvl>
    <w:lvl w:ilvl="4">
      <w:start w:val="1"/>
      <w:numFmt w:val="bullet"/>
      <w:lvlText w:val="•"/>
      <w:lvlJc w:val="left"/>
      <w:pPr>
        <w:ind w:left="4284" w:hanging="360"/>
      </w:pPr>
      <w:rPr>
        <w:rFonts w:hint="default"/>
      </w:rPr>
    </w:lvl>
    <w:lvl w:ilvl="5">
      <w:start w:val="1"/>
      <w:numFmt w:val="bullet"/>
      <w:lvlText w:val="•"/>
      <w:lvlJc w:val="left"/>
      <w:pPr>
        <w:ind w:left="5120" w:hanging="360"/>
      </w:pPr>
      <w:rPr>
        <w:rFonts w:hint="default"/>
      </w:rPr>
    </w:lvl>
    <w:lvl w:ilvl="6">
      <w:start w:val="1"/>
      <w:numFmt w:val="bullet"/>
      <w:lvlText w:val="•"/>
      <w:lvlJc w:val="left"/>
      <w:pPr>
        <w:ind w:left="5956" w:hanging="360"/>
      </w:pPr>
      <w:rPr>
        <w:rFonts w:hint="default"/>
      </w:rPr>
    </w:lvl>
    <w:lvl w:ilvl="7">
      <w:start w:val="1"/>
      <w:numFmt w:val="bullet"/>
      <w:lvlText w:val="•"/>
      <w:lvlJc w:val="left"/>
      <w:pPr>
        <w:ind w:left="6792" w:hanging="360"/>
      </w:pPr>
      <w:rPr>
        <w:rFonts w:hint="default"/>
      </w:rPr>
    </w:lvl>
    <w:lvl w:ilvl="8">
      <w:start w:val="1"/>
      <w:numFmt w:val="bullet"/>
      <w:lvlText w:val="•"/>
      <w:lvlJc w:val="left"/>
      <w:pPr>
        <w:ind w:left="7628" w:hanging="360"/>
      </w:pPr>
      <w:rPr>
        <w:rFonts w:hint="default"/>
      </w:rPr>
    </w:lvl>
  </w:abstractNum>
  <w:abstractNum w:abstractNumId="6">
    <w:multiLevelType w:val="hybridMultilevel"/>
    <w:lvl w:ilvl="0">
      <w:start w:val="1"/>
      <w:numFmt w:val="bullet"/>
      <w:lvlText w:val=""/>
      <w:lvlJc w:val="left"/>
      <w:pPr>
        <w:ind w:left="2256" w:hanging="360"/>
      </w:pPr>
      <w:rPr>
        <w:rFonts w:hint="default" w:ascii="Symbol" w:hAnsi="Symbol" w:eastAsia="Symbol" w:cs="Symbol"/>
        <w:w w:val="100"/>
        <w:sz w:val="24"/>
        <w:szCs w:val="24"/>
      </w:rPr>
    </w:lvl>
    <w:lvl w:ilvl="1">
      <w:start w:val="1"/>
      <w:numFmt w:val="bullet"/>
      <w:lvlText w:val="•"/>
      <w:lvlJc w:val="left"/>
      <w:pPr>
        <w:ind w:left="2942" w:hanging="360"/>
      </w:pPr>
      <w:rPr>
        <w:rFonts w:hint="default"/>
      </w:rPr>
    </w:lvl>
    <w:lvl w:ilvl="2">
      <w:start w:val="1"/>
      <w:numFmt w:val="bullet"/>
      <w:lvlText w:val="•"/>
      <w:lvlJc w:val="left"/>
      <w:pPr>
        <w:ind w:left="3624" w:hanging="360"/>
      </w:pPr>
      <w:rPr>
        <w:rFonts w:hint="default"/>
      </w:rPr>
    </w:lvl>
    <w:lvl w:ilvl="3">
      <w:start w:val="1"/>
      <w:numFmt w:val="bullet"/>
      <w:lvlText w:val="•"/>
      <w:lvlJc w:val="left"/>
      <w:pPr>
        <w:ind w:left="4306" w:hanging="360"/>
      </w:pPr>
      <w:rPr>
        <w:rFonts w:hint="default"/>
      </w:rPr>
    </w:lvl>
    <w:lvl w:ilvl="4">
      <w:start w:val="1"/>
      <w:numFmt w:val="bullet"/>
      <w:lvlText w:val="•"/>
      <w:lvlJc w:val="left"/>
      <w:pPr>
        <w:ind w:left="4988" w:hanging="360"/>
      </w:pPr>
      <w:rPr>
        <w:rFonts w:hint="default"/>
      </w:rPr>
    </w:lvl>
    <w:lvl w:ilvl="5">
      <w:start w:val="1"/>
      <w:numFmt w:val="bullet"/>
      <w:lvlText w:val="•"/>
      <w:lvlJc w:val="left"/>
      <w:pPr>
        <w:ind w:left="5670" w:hanging="360"/>
      </w:pPr>
      <w:rPr>
        <w:rFonts w:hint="default"/>
      </w:rPr>
    </w:lvl>
    <w:lvl w:ilvl="6">
      <w:start w:val="1"/>
      <w:numFmt w:val="bullet"/>
      <w:lvlText w:val="•"/>
      <w:lvlJc w:val="left"/>
      <w:pPr>
        <w:ind w:left="6352" w:hanging="360"/>
      </w:pPr>
      <w:rPr>
        <w:rFonts w:hint="default"/>
      </w:rPr>
    </w:lvl>
    <w:lvl w:ilvl="7">
      <w:start w:val="1"/>
      <w:numFmt w:val="bullet"/>
      <w:lvlText w:val="•"/>
      <w:lvlJc w:val="left"/>
      <w:pPr>
        <w:ind w:left="7034" w:hanging="360"/>
      </w:pPr>
      <w:rPr>
        <w:rFonts w:hint="default"/>
      </w:rPr>
    </w:lvl>
    <w:lvl w:ilvl="8">
      <w:start w:val="1"/>
      <w:numFmt w:val="bullet"/>
      <w:lvlText w:val="•"/>
      <w:lvlJc w:val="left"/>
      <w:pPr>
        <w:ind w:left="7716" w:hanging="360"/>
      </w:pPr>
      <w:rPr>
        <w:rFonts w:hint="default"/>
      </w:rPr>
    </w:lvl>
  </w:abstractNum>
  <w:abstractNum w:abstractNumId="5">
    <w:multiLevelType w:val="hybridMultilevel"/>
    <w:lvl w:ilvl="0">
      <w:start w:val="1"/>
      <w:numFmt w:val="bullet"/>
      <w:lvlText w:val=""/>
      <w:lvlJc w:val="left"/>
      <w:pPr>
        <w:ind w:left="840" w:hanging="360"/>
      </w:pPr>
      <w:rPr>
        <w:rFonts w:hint="default" w:ascii="Symbol" w:hAnsi="Symbol" w:eastAsia="Symbol" w:cs="Symbol"/>
        <w:w w:val="100"/>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4">
    <w:multiLevelType w:val="hybridMultilevel"/>
    <w:lvl w:ilvl="0">
      <w:start w:val="1"/>
      <w:numFmt w:val="upperLetter"/>
      <w:lvlText w:val="%1)"/>
      <w:lvlJc w:val="left"/>
      <w:pPr>
        <w:ind w:left="437" w:hanging="318"/>
        <w:jc w:val="left"/>
      </w:pPr>
      <w:rPr>
        <w:rFonts w:hint="default" w:ascii="Arial" w:hAnsi="Arial" w:eastAsia="Arial" w:cs="Arial"/>
        <w:b/>
        <w:bCs/>
        <w:spacing w:val="-6"/>
        <w:w w:val="99"/>
        <w:sz w:val="24"/>
        <w:szCs w:val="24"/>
      </w:rPr>
    </w:lvl>
    <w:lvl w:ilvl="1">
      <w:start w:val="1"/>
      <w:numFmt w:val="bullet"/>
      <w:lvlText w:val=""/>
      <w:lvlJc w:val="left"/>
      <w:pPr>
        <w:ind w:left="840" w:hanging="360"/>
      </w:pPr>
      <w:rPr>
        <w:rFonts w:hint="default" w:ascii="Symbol" w:hAnsi="Symbol" w:eastAsia="Symbol" w:cs="Symbol"/>
        <w:w w:val="100"/>
        <w:sz w:val="24"/>
        <w:szCs w:val="24"/>
      </w:rPr>
    </w:lvl>
    <w:lvl w:ilvl="2">
      <w:start w:val="1"/>
      <w:numFmt w:val="bullet"/>
      <w:lvlText w:val="•"/>
      <w:lvlJc w:val="left"/>
      <w:pPr>
        <w:ind w:left="1755" w:hanging="360"/>
      </w:pPr>
      <w:rPr>
        <w:rFonts w:hint="default"/>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3">
    <w:multiLevelType w:val="hybridMultilevel"/>
    <w:lvl w:ilvl="0">
      <w:start w:val="1"/>
      <w:numFmt w:val="upperRoman"/>
      <w:lvlText w:val="%1."/>
      <w:lvlJc w:val="left"/>
      <w:pPr>
        <w:ind w:left="316" w:hanging="198"/>
        <w:jc w:val="right"/>
      </w:pPr>
      <w:rPr>
        <w:rFonts w:hint="default" w:ascii="Arial" w:hAnsi="Arial" w:eastAsia="Arial" w:cs="Arial"/>
        <w:b/>
        <w:bCs/>
        <w:spacing w:val="-5"/>
        <w:w w:val="100"/>
        <w:sz w:val="24"/>
        <w:szCs w:val="24"/>
      </w:rPr>
    </w:lvl>
    <w:lvl w:ilvl="1">
      <w:start w:val="1"/>
      <w:numFmt w:val="upperLetter"/>
      <w:lvlText w:val="%2)"/>
      <w:lvlJc w:val="left"/>
      <w:pPr>
        <w:ind w:left="940" w:hanging="360"/>
        <w:jc w:val="right"/>
      </w:pPr>
      <w:rPr>
        <w:rFonts w:hint="default"/>
        <w:b/>
        <w:bCs/>
        <w:spacing w:val="-6"/>
        <w:w w:val="99"/>
      </w:rPr>
    </w:lvl>
    <w:lvl w:ilvl="2">
      <w:start w:val="1"/>
      <w:numFmt w:val="bullet"/>
      <w:lvlText w:val="•"/>
      <w:lvlJc w:val="left"/>
      <w:pPr>
        <w:ind w:left="940" w:hanging="360"/>
      </w:pPr>
      <w:rPr>
        <w:rFonts w:hint="default"/>
      </w:rPr>
    </w:lvl>
    <w:lvl w:ilvl="3">
      <w:start w:val="1"/>
      <w:numFmt w:val="bullet"/>
      <w:lvlText w:val="•"/>
      <w:lvlJc w:val="left"/>
      <w:pPr>
        <w:ind w:left="1957" w:hanging="360"/>
      </w:pPr>
      <w:rPr>
        <w:rFonts w:hint="default"/>
      </w:rPr>
    </w:lvl>
    <w:lvl w:ilvl="4">
      <w:start w:val="1"/>
      <w:numFmt w:val="bullet"/>
      <w:lvlText w:val="•"/>
      <w:lvlJc w:val="left"/>
      <w:pPr>
        <w:ind w:left="2975" w:hanging="360"/>
      </w:pPr>
      <w:rPr>
        <w:rFonts w:hint="default"/>
      </w:rPr>
    </w:lvl>
    <w:lvl w:ilvl="5">
      <w:start w:val="1"/>
      <w:numFmt w:val="bullet"/>
      <w:lvlText w:val="•"/>
      <w:lvlJc w:val="left"/>
      <w:pPr>
        <w:ind w:left="3992" w:hanging="360"/>
      </w:pPr>
      <w:rPr>
        <w:rFonts w:hint="default"/>
      </w:rPr>
    </w:lvl>
    <w:lvl w:ilvl="6">
      <w:start w:val="1"/>
      <w:numFmt w:val="bullet"/>
      <w:lvlText w:val="•"/>
      <w:lvlJc w:val="left"/>
      <w:pPr>
        <w:ind w:left="5010" w:hanging="360"/>
      </w:pPr>
      <w:rPr>
        <w:rFonts w:hint="default"/>
      </w:rPr>
    </w:lvl>
    <w:lvl w:ilvl="7">
      <w:start w:val="1"/>
      <w:numFmt w:val="bullet"/>
      <w:lvlText w:val="•"/>
      <w:lvlJc w:val="left"/>
      <w:pPr>
        <w:ind w:left="6027" w:hanging="360"/>
      </w:pPr>
      <w:rPr>
        <w:rFonts w:hint="default"/>
      </w:rPr>
    </w:lvl>
    <w:lvl w:ilvl="8">
      <w:start w:val="1"/>
      <w:numFmt w:val="bullet"/>
      <w:lvlText w:val="•"/>
      <w:lvlJc w:val="left"/>
      <w:pPr>
        <w:ind w:left="7045" w:hanging="360"/>
      </w:pPr>
      <w:rPr>
        <w:rFonts w:hint="default"/>
      </w:rPr>
    </w:lvl>
  </w:abstractNum>
  <w:abstractNum w:abstractNumId="2">
    <w:multiLevelType w:val="hybridMultilevel"/>
    <w:lvl w:ilvl="0">
      <w:start w:val="1"/>
      <w:numFmt w:val="upperLetter"/>
      <w:lvlText w:val="%1)"/>
      <w:lvlJc w:val="left"/>
      <w:pPr>
        <w:ind w:left="427" w:hanging="308"/>
        <w:jc w:val="left"/>
      </w:pPr>
      <w:rPr>
        <w:rFonts w:hint="default" w:ascii="Arial" w:hAnsi="Arial" w:eastAsia="Arial" w:cs="Arial"/>
        <w:spacing w:val="-2"/>
        <w:w w:val="100"/>
        <w:sz w:val="24"/>
        <w:szCs w:val="24"/>
      </w:rPr>
    </w:lvl>
    <w:lvl w:ilvl="1">
      <w:start w:val="1"/>
      <w:numFmt w:val="bullet"/>
      <w:lvlText w:val="•"/>
      <w:lvlJc w:val="left"/>
      <w:pPr>
        <w:ind w:left="1284" w:hanging="308"/>
      </w:pPr>
      <w:rPr>
        <w:rFonts w:hint="default"/>
      </w:rPr>
    </w:lvl>
    <w:lvl w:ilvl="2">
      <w:start w:val="1"/>
      <w:numFmt w:val="bullet"/>
      <w:lvlText w:val="•"/>
      <w:lvlJc w:val="left"/>
      <w:pPr>
        <w:ind w:left="2148" w:hanging="308"/>
      </w:pPr>
      <w:rPr>
        <w:rFonts w:hint="default"/>
      </w:rPr>
    </w:lvl>
    <w:lvl w:ilvl="3">
      <w:start w:val="1"/>
      <w:numFmt w:val="bullet"/>
      <w:lvlText w:val="•"/>
      <w:lvlJc w:val="left"/>
      <w:pPr>
        <w:ind w:left="3012" w:hanging="308"/>
      </w:pPr>
      <w:rPr>
        <w:rFonts w:hint="default"/>
      </w:rPr>
    </w:lvl>
    <w:lvl w:ilvl="4">
      <w:start w:val="1"/>
      <w:numFmt w:val="bullet"/>
      <w:lvlText w:val="•"/>
      <w:lvlJc w:val="left"/>
      <w:pPr>
        <w:ind w:left="3876" w:hanging="308"/>
      </w:pPr>
      <w:rPr>
        <w:rFonts w:hint="default"/>
      </w:rPr>
    </w:lvl>
    <w:lvl w:ilvl="5">
      <w:start w:val="1"/>
      <w:numFmt w:val="bullet"/>
      <w:lvlText w:val="•"/>
      <w:lvlJc w:val="left"/>
      <w:pPr>
        <w:ind w:left="4740" w:hanging="308"/>
      </w:pPr>
      <w:rPr>
        <w:rFonts w:hint="default"/>
      </w:rPr>
    </w:lvl>
    <w:lvl w:ilvl="6">
      <w:start w:val="1"/>
      <w:numFmt w:val="bullet"/>
      <w:lvlText w:val="•"/>
      <w:lvlJc w:val="left"/>
      <w:pPr>
        <w:ind w:left="5604" w:hanging="308"/>
      </w:pPr>
      <w:rPr>
        <w:rFonts w:hint="default"/>
      </w:rPr>
    </w:lvl>
    <w:lvl w:ilvl="7">
      <w:start w:val="1"/>
      <w:numFmt w:val="bullet"/>
      <w:lvlText w:val="•"/>
      <w:lvlJc w:val="left"/>
      <w:pPr>
        <w:ind w:left="6468" w:hanging="308"/>
      </w:pPr>
      <w:rPr>
        <w:rFonts w:hint="default"/>
      </w:rPr>
    </w:lvl>
    <w:lvl w:ilvl="8">
      <w:start w:val="1"/>
      <w:numFmt w:val="bullet"/>
      <w:lvlText w:val="•"/>
      <w:lvlJc w:val="left"/>
      <w:pPr>
        <w:ind w:left="7332" w:hanging="308"/>
      </w:pPr>
      <w:rPr>
        <w:rFonts w:hint="default"/>
      </w:rPr>
    </w:lvl>
  </w:abstractNum>
  <w:abstractNum w:abstractNumId="1">
    <w:multiLevelType w:val="hybridMultilevel"/>
    <w:lvl w:ilvl="0">
      <w:start w:val="1"/>
      <w:numFmt w:val="upperLetter"/>
      <w:lvlText w:val="%1)"/>
      <w:lvlJc w:val="left"/>
      <w:pPr>
        <w:ind w:left="427" w:hanging="308"/>
        <w:jc w:val="left"/>
      </w:pPr>
      <w:rPr>
        <w:rFonts w:hint="default" w:ascii="Arial" w:hAnsi="Arial" w:eastAsia="Arial" w:cs="Arial"/>
        <w:spacing w:val="-2"/>
        <w:w w:val="100"/>
        <w:sz w:val="24"/>
        <w:szCs w:val="24"/>
      </w:rPr>
    </w:lvl>
    <w:lvl w:ilvl="1">
      <w:start w:val="1"/>
      <w:numFmt w:val="bullet"/>
      <w:lvlText w:val="•"/>
      <w:lvlJc w:val="left"/>
      <w:pPr>
        <w:ind w:left="1284" w:hanging="308"/>
      </w:pPr>
      <w:rPr>
        <w:rFonts w:hint="default"/>
      </w:rPr>
    </w:lvl>
    <w:lvl w:ilvl="2">
      <w:start w:val="1"/>
      <w:numFmt w:val="bullet"/>
      <w:lvlText w:val="•"/>
      <w:lvlJc w:val="left"/>
      <w:pPr>
        <w:ind w:left="2148" w:hanging="308"/>
      </w:pPr>
      <w:rPr>
        <w:rFonts w:hint="default"/>
      </w:rPr>
    </w:lvl>
    <w:lvl w:ilvl="3">
      <w:start w:val="1"/>
      <w:numFmt w:val="bullet"/>
      <w:lvlText w:val="•"/>
      <w:lvlJc w:val="left"/>
      <w:pPr>
        <w:ind w:left="3012" w:hanging="308"/>
      </w:pPr>
      <w:rPr>
        <w:rFonts w:hint="default"/>
      </w:rPr>
    </w:lvl>
    <w:lvl w:ilvl="4">
      <w:start w:val="1"/>
      <w:numFmt w:val="bullet"/>
      <w:lvlText w:val="•"/>
      <w:lvlJc w:val="left"/>
      <w:pPr>
        <w:ind w:left="3876" w:hanging="308"/>
      </w:pPr>
      <w:rPr>
        <w:rFonts w:hint="default"/>
      </w:rPr>
    </w:lvl>
    <w:lvl w:ilvl="5">
      <w:start w:val="1"/>
      <w:numFmt w:val="bullet"/>
      <w:lvlText w:val="•"/>
      <w:lvlJc w:val="left"/>
      <w:pPr>
        <w:ind w:left="4740" w:hanging="308"/>
      </w:pPr>
      <w:rPr>
        <w:rFonts w:hint="default"/>
      </w:rPr>
    </w:lvl>
    <w:lvl w:ilvl="6">
      <w:start w:val="1"/>
      <w:numFmt w:val="bullet"/>
      <w:lvlText w:val="•"/>
      <w:lvlJc w:val="left"/>
      <w:pPr>
        <w:ind w:left="5604" w:hanging="308"/>
      </w:pPr>
      <w:rPr>
        <w:rFonts w:hint="default"/>
      </w:rPr>
    </w:lvl>
    <w:lvl w:ilvl="7">
      <w:start w:val="1"/>
      <w:numFmt w:val="bullet"/>
      <w:lvlText w:val="•"/>
      <w:lvlJc w:val="left"/>
      <w:pPr>
        <w:ind w:left="6468" w:hanging="308"/>
      </w:pPr>
      <w:rPr>
        <w:rFonts w:hint="default"/>
      </w:rPr>
    </w:lvl>
    <w:lvl w:ilvl="8">
      <w:start w:val="1"/>
      <w:numFmt w:val="bullet"/>
      <w:lvlText w:val="•"/>
      <w:lvlJc w:val="left"/>
      <w:pPr>
        <w:ind w:left="7332" w:hanging="308"/>
      </w:pPr>
      <w:rPr>
        <w:rFonts w:hint="default"/>
      </w:rPr>
    </w:lvl>
  </w:abstractNum>
  <w:abstractNum w:abstractNumId="0">
    <w:multiLevelType w:val="hybridMultilevel"/>
    <w:lvl w:ilvl="0">
      <w:start w:val="1"/>
      <w:numFmt w:val="upperRoman"/>
      <w:lvlText w:val="%1."/>
      <w:lvlJc w:val="left"/>
      <w:pPr>
        <w:ind w:left="321" w:hanging="203"/>
        <w:jc w:val="left"/>
      </w:pPr>
      <w:rPr>
        <w:rFonts w:hint="default" w:ascii="Arial" w:hAnsi="Arial" w:eastAsia="Arial" w:cs="Arial"/>
        <w:w w:val="100"/>
        <w:sz w:val="24"/>
        <w:szCs w:val="24"/>
      </w:rPr>
    </w:lvl>
    <w:lvl w:ilvl="1">
      <w:start w:val="1"/>
      <w:numFmt w:val="bullet"/>
      <w:lvlText w:val="•"/>
      <w:lvlJc w:val="left"/>
      <w:pPr>
        <w:ind w:left="1194" w:hanging="203"/>
      </w:pPr>
      <w:rPr>
        <w:rFonts w:hint="default"/>
      </w:rPr>
    </w:lvl>
    <w:lvl w:ilvl="2">
      <w:start w:val="1"/>
      <w:numFmt w:val="bullet"/>
      <w:lvlText w:val="•"/>
      <w:lvlJc w:val="left"/>
      <w:pPr>
        <w:ind w:left="2068" w:hanging="203"/>
      </w:pPr>
      <w:rPr>
        <w:rFonts w:hint="default"/>
      </w:rPr>
    </w:lvl>
    <w:lvl w:ilvl="3">
      <w:start w:val="1"/>
      <w:numFmt w:val="bullet"/>
      <w:lvlText w:val="•"/>
      <w:lvlJc w:val="left"/>
      <w:pPr>
        <w:ind w:left="2942" w:hanging="203"/>
      </w:pPr>
      <w:rPr>
        <w:rFonts w:hint="default"/>
      </w:rPr>
    </w:lvl>
    <w:lvl w:ilvl="4">
      <w:start w:val="1"/>
      <w:numFmt w:val="bullet"/>
      <w:lvlText w:val="•"/>
      <w:lvlJc w:val="left"/>
      <w:pPr>
        <w:ind w:left="3816" w:hanging="203"/>
      </w:pPr>
      <w:rPr>
        <w:rFonts w:hint="default"/>
      </w:rPr>
    </w:lvl>
    <w:lvl w:ilvl="5">
      <w:start w:val="1"/>
      <w:numFmt w:val="bullet"/>
      <w:lvlText w:val="•"/>
      <w:lvlJc w:val="left"/>
      <w:pPr>
        <w:ind w:left="4690" w:hanging="203"/>
      </w:pPr>
      <w:rPr>
        <w:rFonts w:hint="default"/>
      </w:rPr>
    </w:lvl>
    <w:lvl w:ilvl="6">
      <w:start w:val="1"/>
      <w:numFmt w:val="bullet"/>
      <w:lvlText w:val="•"/>
      <w:lvlJc w:val="left"/>
      <w:pPr>
        <w:ind w:left="5564" w:hanging="203"/>
      </w:pPr>
      <w:rPr>
        <w:rFonts w:hint="default"/>
      </w:rPr>
    </w:lvl>
    <w:lvl w:ilvl="7">
      <w:start w:val="1"/>
      <w:numFmt w:val="bullet"/>
      <w:lvlText w:val="•"/>
      <w:lvlJc w:val="left"/>
      <w:pPr>
        <w:ind w:left="6438" w:hanging="203"/>
      </w:pPr>
      <w:rPr>
        <w:rFonts w:hint="default"/>
      </w:rPr>
    </w:lvl>
    <w:lvl w:ilvl="8">
      <w:start w:val="1"/>
      <w:numFmt w:val="bullet"/>
      <w:lvlText w:val="•"/>
      <w:lvlJc w:val="left"/>
      <w:pPr>
        <w:ind w:left="7312" w:hanging="203"/>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37"/>
      <w:ind w:left="119"/>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7"/>
      <w:ind w:left="940"/>
      <w:outlineLvl w:val="1"/>
    </w:pPr>
    <w:rPr>
      <w:rFonts w:ascii="Arial" w:hAnsi="Arial" w:eastAsia="Arial" w:cs="Arial"/>
      <w:b/>
      <w:bCs/>
      <w:sz w:val="24"/>
      <w:szCs w:val="24"/>
    </w:rPr>
  </w:style>
  <w:style w:styleId="ListParagraph" w:type="paragraph">
    <w:name w:val="List Paragraph"/>
    <w:basedOn w:val="Normal"/>
    <w:uiPriority w:val="1"/>
    <w:qFormat/>
    <w:pPr>
      <w:spacing w:before="237"/>
      <w:ind w:left="840" w:hanging="360"/>
    </w:pPr>
    <w:rPr>
      <w:rFonts w:ascii="Arial" w:hAnsi="Arial" w:eastAsia="Arial" w:cs="Arial"/>
    </w:rPr>
  </w:style>
  <w:style w:styleId="TableParagraph" w:type="paragraph">
    <w:name w:val="Table Paragraph"/>
    <w:basedOn w:val="Normal"/>
    <w:uiPriority w:val="1"/>
    <w:qFormat/>
    <w:pPr>
      <w:spacing w:before="13"/>
      <w:ind w:left="18" w:right="46"/>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s://es.wikipedia.org/wiki/Intervalo_(matem%C3%A1tica)"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jpe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erms:created xsi:type="dcterms:W3CDTF">2017-05-18T21:59:50Z</dcterms:created>
  <dcterms:modified xsi:type="dcterms:W3CDTF">2017-05-18T21:59:50Z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2017-02-15T00:00:00Z</vt:filetime>
  </property>
  <property fmtid="{D5CDD505-2E9C-101B-9397-08002B2CF9AE}" pid="3" name="Creator">
    <vt:lpwstr>Microsoft® Word 2013</vt:lpwstr>
  </property>
  <property fmtid="{D5CDD505-2E9C-101B-9397-08002B2CF9AE}" pid="4" name="LastSaved">
    <vt:filetime>2017-05-18T00:00:00Z</vt:filetime>
  </property>
</Properties>
</file>