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0"/>
        </w:rPr>
      </w:pPr>
      <w:r>
        <w:rPr/>
        <w:pict>
          <v:group style="position:absolute;margin-left:30.15pt;margin-top:73.860001pt;width:126pt;height:679.1pt;mso-position-horizontal-relative:page;mso-position-vertical-relative:page;z-index:-105928" coordorigin="603,1477" coordsize="2520,13582">
            <v:shape style="position:absolute;left:708;top:1477;width:2344;height:2110" type="#_x0000_t75" stroked="false">
              <v:imagedata r:id="rId5" o:title=""/>
            </v:shape>
            <v:line style="position:absolute" from="1877,3587" to="1877,12887" stroked="true" strokeweight="3pt" strokecolor="#000000"/>
            <v:shape style="position:absolute;left:1525;top:3922;width:720;height:8580" coordorigin="1525,3922" coordsize="720,8580" path="m1525,3922l1525,12502m2245,3922l2245,12502e" filled="false" stroked="true" strokeweight=".75pt" strokecolor="#000000">
              <v:path arrowok="t"/>
            </v:shape>
            <v:shape style="position:absolute;left:603;top:12786;width:2520;height:2273" type="#_x0000_t75" stroked="false">
              <v:imagedata r:id="rId6" o:title=""/>
            </v:shape>
            <w10:wrap type="none"/>
          </v:group>
        </w:pict>
      </w:r>
    </w:p>
    <w:p>
      <w:pPr>
        <w:pStyle w:val="Heading1"/>
        <w:spacing w:line="242" w:lineRule="auto" w:before="41"/>
        <w:ind w:left="3977" w:right="2758" w:hanging="793"/>
        <w:jc w:val="left"/>
        <w:rPr>
          <w:rFonts w:ascii="Verdana" w:hAnsi="Verdana"/>
        </w:rPr>
      </w:pPr>
      <w:r>
        <w:rPr/>
        <w:drawing>
          <wp:anchor distT="0" distB="0" distL="0" distR="0" allowOverlap="1" layoutInCell="1" locked="0" behindDoc="0" simplePos="0" relativeHeight="1144">
            <wp:simplePos x="0" y="0"/>
            <wp:positionH relativeFrom="page">
              <wp:posOffset>5407659</wp:posOffset>
            </wp:positionH>
            <wp:positionV relativeFrom="paragraph">
              <wp:posOffset>-73457</wp:posOffset>
            </wp:positionV>
            <wp:extent cx="2200274" cy="1216659"/>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2200274" cy="1216659"/>
                    </a:xfrm>
                    <a:prstGeom prst="rect">
                      <a:avLst/>
                    </a:prstGeom>
                  </pic:spPr>
                </pic:pic>
              </a:graphicData>
            </a:graphic>
          </wp:anchor>
        </w:drawing>
      </w:r>
      <w:r>
        <w:rPr>
          <w:rFonts w:ascii="Verdana" w:hAnsi="Verdana"/>
          <w:w w:val="80"/>
        </w:rPr>
        <w:t>UNIVERSIDAD AUTÓNOMA DEL </w:t>
      </w:r>
      <w:r>
        <w:rPr>
          <w:rFonts w:ascii="Verdana" w:hAnsi="Verdana"/>
          <w:w w:val="76"/>
        </w:rPr>
        <w:t>E</w:t>
      </w:r>
      <w:r>
        <w:rPr>
          <w:rFonts w:ascii="Verdana" w:hAnsi="Verdana"/>
          <w:w w:val="73"/>
        </w:rPr>
        <w:t>S</w:t>
      </w:r>
      <w:r>
        <w:rPr>
          <w:rFonts w:ascii="Verdana" w:hAnsi="Verdana"/>
          <w:w w:val="61"/>
        </w:rPr>
        <w:t>T</w:t>
      </w:r>
      <w:r>
        <w:rPr>
          <w:rFonts w:ascii="Verdana" w:hAnsi="Verdana"/>
          <w:w w:val="92"/>
        </w:rPr>
        <w:t>ADO</w:t>
      </w:r>
      <w:r>
        <w:rPr>
          <w:rFonts w:ascii="Verdana" w:hAnsi="Verdana"/>
        </w:rPr>
        <w:t> </w:t>
      </w:r>
      <w:r>
        <w:rPr>
          <w:rFonts w:ascii="Verdana" w:hAnsi="Verdana"/>
          <w:w w:val="80"/>
        </w:rPr>
        <w:t>DE</w:t>
      </w:r>
      <w:r>
        <w:rPr>
          <w:rFonts w:ascii="Verdana" w:hAnsi="Verdana"/>
        </w:rPr>
        <w:t> </w:t>
      </w:r>
      <w:r>
        <w:rPr>
          <w:rFonts w:ascii="Verdana" w:hAnsi="Verdana"/>
          <w:w w:val="87"/>
        </w:rPr>
        <w:t>MÉ</w:t>
      </w:r>
      <w:r>
        <w:rPr>
          <w:rFonts w:ascii="Verdana" w:hAnsi="Verdana"/>
          <w:w w:val="89"/>
        </w:rPr>
        <w:t>X</w:t>
      </w:r>
      <w:r>
        <w:rPr>
          <w:rFonts w:ascii="Verdana" w:hAnsi="Verdana"/>
          <w:w w:val="51"/>
        </w:rPr>
        <w:t>I</w:t>
      </w:r>
      <w:r>
        <w:rPr>
          <w:rFonts w:ascii="Verdana" w:hAnsi="Verdana"/>
          <w:w w:val="107"/>
        </w:rPr>
        <w:t>C</w:t>
      </w:r>
      <w:r>
        <w:rPr>
          <w:rFonts w:ascii="Verdana" w:hAnsi="Verdana"/>
          <w:w w:val="98"/>
        </w:rPr>
        <w:t>O</w:t>
      </w:r>
    </w:p>
    <w:p>
      <w:pPr>
        <w:spacing w:before="267"/>
        <w:ind w:left="3113" w:right="2758" w:firstLine="0"/>
        <w:jc w:val="left"/>
        <w:rPr>
          <w:rFonts w:ascii="Verdana" w:hAnsi="Verdana"/>
          <w:b/>
          <w:sz w:val="32"/>
        </w:rPr>
      </w:pPr>
      <w:r>
        <w:rPr>
          <w:rFonts w:ascii="Verdana" w:hAnsi="Verdana"/>
          <w:b/>
          <w:spacing w:val="-2"/>
          <w:w w:val="81"/>
          <w:sz w:val="32"/>
        </w:rPr>
        <w:t>H</w:t>
      </w:r>
      <w:r>
        <w:rPr>
          <w:rFonts w:ascii="Verdana" w:hAnsi="Verdana"/>
          <w:b/>
          <w:w w:val="83"/>
          <w:sz w:val="32"/>
        </w:rPr>
        <w:t>OS</w:t>
      </w:r>
      <w:r>
        <w:rPr>
          <w:rFonts w:ascii="Verdana" w:hAnsi="Verdana"/>
          <w:b/>
          <w:spacing w:val="1"/>
          <w:w w:val="83"/>
          <w:sz w:val="32"/>
        </w:rPr>
        <w:t>P</w:t>
      </w:r>
      <w:r>
        <w:rPr>
          <w:rFonts w:ascii="Verdana" w:hAnsi="Verdana"/>
          <w:b/>
          <w:spacing w:val="-2"/>
          <w:w w:val="51"/>
          <w:sz w:val="32"/>
        </w:rPr>
        <w:t>I</w:t>
      </w:r>
      <w:r>
        <w:rPr>
          <w:rFonts w:ascii="Verdana" w:hAnsi="Verdana"/>
          <w:b/>
          <w:spacing w:val="1"/>
          <w:w w:val="61"/>
          <w:sz w:val="32"/>
        </w:rPr>
        <w:t>T</w:t>
      </w:r>
      <w:r>
        <w:rPr>
          <w:rFonts w:ascii="Verdana" w:hAnsi="Verdana"/>
          <w:b/>
          <w:w w:val="83"/>
          <w:sz w:val="32"/>
        </w:rPr>
        <w:t>AL</w:t>
      </w:r>
      <w:r>
        <w:rPr>
          <w:rFonts w:ascii="Verdana" w:hAnsi="Verdana"/>
          <w:b/>
          <w:spacing w:val="-23"/>
          <w:sz w:val="32"/>
        </w:rPr>
        <w:t> </w:t>
      </w:r>
      <w:r>
        <w:rPr>
          <w:rFonts w:ascii="Verdana" w:hAnsi="Verdana"/>
          <w:b/>
          <w:w w:val="86"/>
          <w:sz w:val="32"/>
        </w:rPr>
        <w:t>GEN</w:t>
      </w:r>
      <w:r>
        <w:rPr>
          <w:rFonts w:ascii="Verdana" w:hAnsi="Verdana"/>
          <w:b/>
          <w:spacing w:val="1"/>
          <w:w w:val="86"/>
          <w:sz w:val="32"/>
        </w:rPr>
        <w:t>E</w:t>
      </w:r>
      <w:r>
        <w:rPr>
          <w:rFonts w:ascii="Verdana" w:hAnsi="Verdana"/>
          <w:b/>
          <w:spacing w:val="-2"/>
          <w:w w:val="74"/>
          <w:sz w:val="32"/>
        </w:rPr>
        <w:t>R</w:t>
      </w:r>
      <w:r>
        <w:rPr>
          <w:rFonts w:ascii="Verdana" w:hAnsi="Verdana"/>
          <w:b/>
          <w:w w:val="83"/>
          <w:sz w:val="32"/>
        </w:rPr>
        <w:t>AL</w:t>
      </w:r>
      <w:r>
        <w:rPr>
          <w:rFonts w:ascii="Verdana" w:hAnsi="Verdana"/>
          <w:b/>
          <w:spacing w:val="-23"/>
          <w:sz w:val="32"/>
        </w:rPr>
        <w:t> </w:t>
      </w:r>
      <w:r>
        <w:rPr>
          <w:rFonts w:ascii="Verdana" w:hAnsi="Verdana"/>
          <w:b/>
          <w:spacing w:val="-1"/>
          <w:w w:val="80"/>
          <w:sz w:val="32"/>
        </w:rPr>
        <w:t>D</w:t>
      </w:r>
      <w:r>
        <w:rPr>
          <w:rFonts w:ascii="Verdana" w:hAnsi="Verdana"/>
          <w:b/>
          <w:w w:val="80"/>
          <w:sz w:val="32"/>
        </w:rPr>
        <w:t>E</w:t>
      </w:r>
      <w:r>
        <w:rPr>
          <w:rFonts w:ascii="Verdana" w:hAnsi="Verdana"/>
          <w:b/>
          <w:spacing w:val="-21"/>
          <w:sz w:val="32"/>
        </w:rPr>
        <w:t> </w:t>
      </w:r>
      <w:r>
        <w:rPr>
          <w:rFonts w:ascii="Verdana" w:hAnsi="Verdana"/>
          <w:b/>
          <w:w w:val="87"/>
          <w:sz w:val="32"/>
        </w:rPr>
        <w:t>M</w:t>
      </w:r>
      <w:r>
        <w:rPr>
          <w:rFonts w:ascii="Verdana" w:hAnsi="Verdana"/>
          <w:b/>
          <w:spacing w:val="5"/>
          <w:w w:val="87"/>
          <w:sz w:val="32"/>
        </w:rPr>
        <w:t>É</w:t>
      </w:r>
      <w:r>
        <w:rPr>
          <w:rFonts w:ascii="Verdana" w:hAnsi="Verdana"/>
          <w:b/>
          <w:spacing w:val="-2"/>
          <w:w w:val="89"/>
          <w:sz w:val="32"/>
        </w:rPr>
        <w:t>X</w:t>
      </w:r>
      <w:r>
        <w:rPr>
          <w:rFonts w:ascii="Verdana" w:hAnsi="Verdana"/>
          <w:b/>
          <w:spacing w:val="-2"/>
          <w:w w:val="51"/>
          <w:sz w:val="32"/>
        </w:rPr>
        <w:t>I</w:t>
      </w:r>
      <w:r>
        <w:rPr>
          <w:rFonts w:ascii="Verdana" w:hAnsi="Verdana"/>
          <w:b/>
          <w:spacing w:val="-2"/>
          <w:w w:val="107"/>
          <w:sz w:val="32"/>
        </w:rPr>
        <w:t>C</w:t>
      </w:r>
      <w:r>
        <w:rPr>
          <w:rFonts w:ascii="Verdana" w:hAnsi="Verdana"/>
          <w:b/>
          <w:w w:val="98"/>
          <w:sz w:val="32"/>
        </w:rPr>
        <w:t>O</w:t>
      </w:r>
    </w:p>
    <w:p>
      <w:pPr>
        <w:pStyle w:val="BodyText"/>
        <w:rPr>
          <w:rFonts w:ascii="Verdana"/>
          <w:b/>
          <w:sz w:val="20"/>
        </w:rPr>
      </w:pPr>
    </w:p>
    <w:p>
      <w:pPr>
        <w:pStyle w:val="BodyText"/>
        <w:rPr>
          <w:rFonts w:ascii="Verdana"/>
          <w:b/>
          <w:sz w:val="20"/>
        </w:rPr>
      </w:pPr>
    </w:p>
    <w:p>
      <w:pPr>
        <w:pStyle w:val="BodyText"/>
        <w:spacing w:before="10"/>
        <w:rPr>
          <w:rFonts w:ascii="Verdana"/>
          <w:b/>
          <w:sz w:val="10"/>
        </w:rPr>
      </w:pPr>
      <w:r>
        <w:rPr/>
        <w:pict>
          <v:line style="position:absolute;mso-position-horizontal-relative:page;mso-position-vertical-relative:paragraph;z-index:0;mso-wrap-distance-left:0;mso-wrap-distance-right:0" from="148.25pt,10.053967pt" to="460.05pt,10.053967pt" stroked="true" strokeweight="3pt" strokecolor="#000000">
            <w10:wrap type="topAndBottom"/>
          </v:line>
        </w:pict>
      </w:r>
      <w:r>
        <w:rPr/>
        <w:pict>
          <v:line style="position:absolute;mso-position-horizontal-relative:page;mso-position-vertical-relative:paragraph;z-index:1048;mso-wrap-distance-left:0;mso-wrap-distance-right:0" from="148.25pt,19.263968pt" to="460.05pt,19.263968pt" stroked="true" strokeweight=".75pt" strokecolor="#000000">
            <w10:wrap type="topAndBottom"/>
          </v:line>
        </w:pict>
      </w:r>
    </w:p>
    <w:p>
      <w:pPr>
        <w:pStyle w:val="BodyText"/>
        <w:spacing w:before="5"/>
        <w:rPr>
          <w:rFonts w:ascii="Verdana"/>
          <w:b/>
          <w:sz w:val="6"/>
        </w:rPr>
      </w:pPr>
    </w:p>
    <w:p>
      <w:pPr>
        <w:pStyle w:val="Heading3"/>
        <w:spacing w:line="240" w:lineRule="auto" w:before="34"/>
        <w:ind w:left="1908" w:right="2262"/>
        <w:jc w:val="center"/>
      </w:pPr>
      <w:r>
        <w:rPr/>
        <w:t>FACULTAD DE MEDICINA</w:t>
      </w:r>
    </w:p>
    <w:p>
      <w:pPr>
        <w:spacing w:before="137"/>
        <w:ind w:left="1908" w:right="2252" w:firstLine="0"/>
        <w:jc w:val="center"/>
        <w:rPr>
          <w:rFonts w:ascii="Verdana" w:hAnsi="Verdana"/>
          <w:b/>
          <w:sz w:val="28"/>
        </w:rPr>
      </w:pPr>
      <w:r>
        <w:rPr/>
        <w:drawing>
          <wp:anchor distT="0" distB="0" distL="0" distR="0" allowOverlap="1" layoutInCell="1" locked="0" behindDoc="1" simplePos="0" relativeHeight="268329503">
            <wp:simplePos x="0" y="0"/>
            <wp:positionH relativeFrom="page">
              <wp:posOffset>3822700</wp:posOffset>
            </wp:positionH>
            <wp:positionV relativeFrom="paragraph">
              <wp:posOffset>-80324</wp:posOffset>
            </wp:positionV>
            <wp:extent cx="353060" cy="408940"/>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353060" cy="408940"/>
                    </a:xfrm>
                    <a:prstGeom prst="rect">
                      <a:avLst/>
                    </a:prstGeom>
                  </pic:spPr>
                </pic:pic>
              </a:graphicData>
            </a:graphic>
          </wp:anchor>
        </w:drawing>
      </w:r>
      <w:r>
        <w:rPr>
          <w:rFonts w:ascii="Verdana" w:hAnsi="Verdana"/>
          <w:b/>
          <w:w w:val="85"/>
          <w:sz w:val="28"/>
        </w:rPr>
        <w:t>MAE</w:t>
      </w:r>
      <w:r>
        <w:rPr>
          <w:rFonts w:ascii="Verdana" w:hAnsi="Verdana"/>
          <w:b/>
          <w:spacing w:val="-3"/>
          <w:w w:val="85"/>
          <w:sz w:val="28"/>
        </w:rPr>
        <w:t>S</w:t>
      </w:r>
      <w:r>
        <w:rPr>
          <w:rFonts w:ascii="Verdana" w:hAnsi="Verdana"/>
          <w:b/>
          <w:spacing w:val="-2"/>
          <w:w w:val="61"/>
          <w:sz w:val="28"/>
        </w:rPr>
        <w:t>T</w:t>
      </w:r>
      <w:r>
        <w:rPr>
          <w:rFonts w:ascii="Verdana" w:hAnsi="Verdana"/>
          <w:b/>
          <w:spacing w:val="1"/>
          <w:w w:val="74"/>
          <w:sz w:val="28"/>
        </w:rPr>
        <w:t>R</w:t>
      </w:r>
      <w:r>
        <w:rPr>
          <w:rFonts w:ascii="Verdana" w:hAnsi="Verdana"/>
          <w:b/>
          <w:spacing w:val="1"/>
          <w:w w:val="51"/>
          <w:sz w:val="28"/>
        </w:rPr>
        <w:t>Í</w:t>
      </w:r>
      <w:r>
        <w:rPr>
          <w:rFonts w:ascii="Verdana" w:hAnsi="Verdana"/>
          <w:b/>
          <w:w w:val="95"/>
          <w:sz w:val="28"/>
        </w:rPr>
        <w:t>A</w:t>
      </w:r>
      <w:r>
        <w:rPr>
          <w:rFonts w:ascii="Verdana" w:hAnsi="Verdana"/>
          <w:b/>
          <w:spacing w:val="-15"/>
          <w:sz w:val="28"/>
        </w:rPr>
        <w:t> </w:t>
      </w:r>
      <w:r>
        <w:rPr>
          <w:rFonts w:ascii="Verdana" w:hAnsi="Verdana"/>
          <w:b/>
          <w:spacing w:val="-2"/>
          <w:w w:val="76"/>
          <w:sz w:val="28"/>
        </w:rPr>
        <w:t>E</w:t>
      </w:r>
      <w:r>
        <w:rPr>
          <w:rFonts w:ascii="Verdana" w:hAnsi="Verdana"/>
          <w:b/>
          <w:w w:val="87"/>
          <w:sz w:val="28"/>
        </w:rPr>
        <w:t>N</w:t>
      </w:r>
      <w:r>
        <w:rPr>
          <w:rFonts w:ascii="Verdana" w:hAnsi="Verdana"/>
          <w:b/>
          <w:spacing w:val="-14"/>
          <w:sz w:val="28"/>
        </w:rPr>
        <w:t> </w:t>
      </w:r>
      <w:r>
        <w:rPr>
          <w:rFonts w:ascii="Verdana" w:hAnsi="Verdana"/>
          <w:b/>
          <w:spacing w:val="-3"/>
          <w:w w:val="73"/>
          <w:sz w:val="28"/>
        </w:rPr>
        <w:t>F</w:t>
      </w:r>
      <w:r>
        <w:rPr>
          <w:rFonts w:ascii="Verdana" w:hAnsi="Verdana"/>
          <w:b/>
          <w:spacing w:val="1"/>
          <w:w w:val="51"/>
          <w:sz w:val="28"/>
        </w:rPr>
        <w:t>Í</w:t>
      </w:r>
      <w:r>
        <w:rPr>
          <w:rFonts w:ascii="Verdana" w:hAnsi="Verdana"/>
          <w:b/>
          <w:spacing w:val="-2"/>
          <w:w w:val="73"/>
          <w:sz w:val="28"/>
        </w:rPr>
        <w:t>S</w:t>
      </w:r>
      <w:r>
        <w:rPr>
          <w:rFonts w:ascii="Verdana" w:hAnsi="Verdana"/>
          <w:b/>
          <w:spacing w:val="1"/>
          <w:w w:val="51"/>
          <w:sz w:val="28"/>
        </w:rPr>
        <w:t>I</w:t>
      </w:r>
      <w:r>
        <w:rPr>
          <w:rFonts w:ascii="Verdana" w:hAnsi="Verdana"/>
          <w:b/>
          <w:spacing w:val="1"/>
          <w:w w:val="107"/>
          <w:sz w:val="28"/>
        </w:rPr>
        <w:t>C</w:t>
      </w:r>
      <w:r>
        <w:rPr>
          <w:rFonts w:ascii="Verdana" w:hAnsi="Verdana"/>
          <w:b/>
          <w:w w:val="95"/>
          <w:sz w:val="28"/>
        </w:rPr>
        <w:t>A</w:t>
      </w:r>
      <w:r>
        <w:rPr>
          <w:rFonts w:ascii="Verdana" w:hAnsi="Verdana"/>
          <w:b/>
          <w:spacing w:val="-19"/>
          <w:sz w:val="28"/>
        </w:rPr>
        <w:t> </w:t>
      </w:r>
      <w:r>
        <w:rPr>
          <w:rFonts w:ascii="Verdana" w:hAnsi="Verdana"/>
          <w:b/>
          <w:w w:val="87"/>
          <w:sz w:val="28"/>
        </w:rPr>
        <w:t>M</w:t>
      </w:r>
      <w:r>
        <w:rPr>
          <w:rFonts w:ascii="Verdana" w:hAnsi="Verdana"/>
          <w:b/>
          <w:spacing w:val="-2"/>
          <w:w w:val="87"/>
          <w:sz w:val="28"/>
        </w:rPr>
        <w:t>É</w:t>
      </w:r>
      <w:r>
        <w:rPr>
          <w:rFonts w:ascii="Verdana" w:hAnsi="Verdana"/>
          <w:b/>
          <w:spacing w:val="-1"/>
          <w:w w:val="71"/>
          <w:sz w:val="28"/>
        </w:rPr>
        <w:t>D</w:t>
      </w:r>
      <w:r>
        <w:rPr>
          <w:rFonts w:ascii="Verdana" w:hAnsi="Verdana"/>
          <w:b/>
          <w:spacing w:val="1"/>
          <w:w w:val="71"/>
          <w:sz w:val="28"/>
        </w:rPr>
        <w:t>I</w:t>
      </w:r>
      <w:r>
        <w:rPr>
          <w:rFonts w:ascii="Verdana" w:hAnsi="Verdana"/>
          <w:b/>
          <w:spacing w:val="1"/>
          <w:w w:val="107"/>
          <w:sz w:val="28"/>
        </w:rPr>
        <w:t>C</w:t>
      </w:r>
      <w:r>
        <w:rPr>
          <w:rFonts w:ascii="Verdana" w:hAnsi="Verdana"/>
          <w:b/>
          <w:w w:val="95"/>
          <w:sz w:val="28"/>
        </w:rPr>
        <w:t>A</w:t>
      </w:r>
    </w:p>
    <w:p>
      <w:pPr>
        <w:pStyle w:val="BodyText"/>
        <w:rPr>
          <w:rFonts w:ascii="Verdana"/>
          <w:b/>
          <w:sz w:val="20"/>
        </w:rPr>
      </w:pPr>
    </w:p>
    <w:p>
      <w:pPr>
        <w:pStyle w:val="BodyText"/>
        <w:spacing w:before="1"/>
        <w:rPr>
          <w:rFonts w:ascii="Verdana"/>
          <w:b/>
          <w:sz w:val="18"/>
        </w:rPr>
      </w:pPr>
    </w:p>
    <w:p>
      <w:pPr>
        <w:spacing w:line="242" w:lineRule="auto" w:before="41"/>
        <w:ind w:left="1908" w:right="2270" w:firstLine="0"/>
        <w:jc w:val="center"/>
        <w:rPr>
          <w:rFonts w:ascii="Verdana" w:hAnsi="Verdana"/>
          <w:b/>
          <w:i/>
          <w:sz w:val="32"/>
        </w:rPr>
      </w:pPr>
      <w:r>
        <w:rPr/>
        <w:drawing>
          <wp:anchor distT="0" distB="0" distL="0" distR="0" allowOverlap="1" layoutInCell="1" locked="0" behindDoc="0" simplePos="0" relativeHeight="1072">
            <wp:simplePos x="0" y="0"/>
            <wp:positionH relativeFrom="page">
              <wp:posOffset>3766820</wp:posOffset>
            </wp:positionH>
            <wp:positionV relativeFrom="paragraph">
              <wp:posOffset>549350</wp:posOffset>
            </wp:positionV>
            <wp:extent cx="356360" cy="406908"/>
            <wp:effectExtent l="0" t="0" r="0" b="0"/>
            <wp:wrapTopAndBottom/>
            <wp:docPr id="5" name="image5.png" descr=""/>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356360" cy="406908"/>
                    </a:xfrm>
                    <a:prstGeom prst="rect">
                      <a:avLst/>
                    </a:prstGeom>
                  </pic:spPr>
                </pic:pic>
              </a:graphicData>
            </a:graphic>
          </wp:anchor>
        </w:drawing>
      </w:r>
      <w:r>
        <w:rPr>
          <w:rFonts w:ascii="Verdana" w:hAnsi="Verdana"/>
          <w:b/>
          <w:i/>
          <w:w w:val="90"/>
          <w:sz w:val="32"/>
        </w:rPr>
        <w:t>Control</w:t>
      </w:r>
      <w:r>
        <w:rPr>
          <w:rFonts w:ascii="Verdana" w:hAnsi="Verdana"/>
          <w:b/>
          <w:i/>
          <w:spacing w:val="-48"/>
          <w:w w:val="90"/>
          <w:sz w:val="32"/>
        </w:rPr>
        <w:t> </w:t>
      </w:r>
      <w:r>
        <w:rPr>
          <w:rFonts w:ascii="Verdana" w:hAnsi="Verdana"/>
          <w:b/>
          <w:i/>
          <w:w w:val="90"/>
          <w:sz w:val="32"/>
        </w:rPr>
        <w:t>de</w:t>
      </w:r>
      <w:r>
        <w:rPr>
          <w:rFonts w:ascii="Verdana" w:hAnsi="Verdana"/>
          <w:b/>
          <w:i/>
          <w:spacing w:val="-45"/>
          <w:w w:val="90"/>
          <w:sz w:val="32"/>
        </w:rPr>
        <w:t> </w:t>
      </w:r>
      <w:r>
        <w:rPr>
          <w:rFonts w:ascii="Verdana" w:hAnsi="Verdana"/>
          <w:b/>
          <w:i/>
          <w:w w:val="90"/>
          <w:sz w:val="32"/>
        </w:rPr>
        <w:t>calidad</w:t>
      </w:r>
      <w:r>
        <w:rPr>
          <w:rFonts w:ascii="Verdana" w:hAnsi="Verdana"/>
          <w:b/>
          <w:i/>
          <w:spacing w:val="-46"/>
          <w:w w:val="90"/>
          <w:sz w:val="32"/>
        </w:rPr>
        <w:t> </w:t>
      </w:r>
      <w:r>
        <w:rPr>
          <w:rFonts w:ascii="Verdana" w:hAnsi="Verdana"/>
          <w:b/>
          <w:i/>
          <w:w w:val="90"/>
          <w:sz w:val="32"/>
        </w:rPr>
        <w:t>en</w:t>
      </w:r>
      <w:r>
        <w:rPr>
          <w:rFonts w:ascii="Verdana" w:hAnsi="Verdana"/>
          <w:b/>
          <w:i/>
          <w:spacing w:val="-48"/>
          <w:w w:val="90"/>
          <w:sz w:val="32"/>
        </w:rPr>
        <w:t> </w:t>
      </w:r>
      <w:r>
        <w:rPr>
          <w:rFonts w:ascii="Verdana" w:hAnsi="Verdana"/>
          <w:b/>
          <w:i/>
          <w:w w:val="90"/>
          <w:sz w:val="32"/>
        </w:rPr>
        <w:t>tratamientos</w:t>
      </w:r>
      <w:r>
        <w:rPr>
          <w:rFonts w:ascii="Verdana" w:hAnsi="Verdana"/>
          <w:b/>
          <w:i/>
          <w:spacing w:val="-48"/>
          <w:w w:val="90"/>
          <w:sz w:val="32"/>
        </w:rPr>
        <w:t> </w:t>
      </w:r>
      <w:r>
        <w:rPr>
          <w:rFonts w:ascii="Verdana" w:hAnsi="Verdana"/>
          <w:b/>
          <w:i/>
          <w:w w:val="90"/>
          <w:sz w:val="32"/>
        </w:rPr>
        <w:t>de</w:t>
      </w:r>
      <w:r>
        <w:rPr>
          <w:rFonts w:ascii="Verdana" w:hAnsi="Verdana"/>
          <w:b/>
          <w:i/>
          <w:spacing w:val="-45"/>
          <w:w w:val="90"/>
          <w:sz w:val="32"/>
        </w:rPr>
        <w:t> </w:t>
      </w:r>
      <w:r>
        <w:rPr>
          <w:rFonts w:ascii="Verdana" w:hAnsi="Verdana"/>
          <w:b/>
          <w:i/>
          <w:w w:val="90"/>
          <w:sz w:val="32"/>
        </w:rPr>
        <w:t>IMRT</w:t>
      </w:r>
      <w:r>
        <w:rPr>
          <w:rFonts w:ascii="Verdana" w:hAnsi="Verdana"/>
          <w:b/>
          <w:i/>
          <w:spacing w:val="-43"/>
          <w:w w:val="90"/>
          <w:sz w:val="32"/>
        </w:rPr>
        <w:t> </w:t>
      </w:r>
      <w:r>
        <w:rPr>
          <w:rFonts w:ascii="Verdana" w:hAnsi="Verdana"/>
          <w:b/>
          <w:i/>
          <w:w w:val="90"/>
          <w:sz w:val="32"/>
        </w:rPr>
        <w:t>con </w:t>
      </w:r>
      <w:r>
        <w:rPr>
          <w:rFonts w:ascii="Verdana" w:hAnsi="Verdana"/>
          <w:b/>
          <w:i/>
          <w:w w:val="90"/>
          <w:sz w:val="32"/>
        </w:rPr>
        <w:t>película</w:t>
      </w:r>
      <w:r>
        <w:rPr>
          <w:rFonts w:ascii="Verdana" w:hAnsi="Verdana"/>
          <w:b/>
          <w:i/>
          <w:spacing w:val="-61"/>
          <w:w w:val="90"/>
          <w:sz w:val="32"/>
        </w:rPr>
        <w:t> </w:t>
      </w:r>
      <w:r>
        <w:rPr>
          <w:rFonts w:ascii="Verdana" w:hAnsi="Verdana"/>
          <w:b/>
          <w:i/>
          <w:w w:val="90"/>
          <w:sz w:val="32"/>
        </w:rPr>
        <w:t>radiocrómica</w:t>
      </w:r>
      <w:r>
        <w:rPr>
          <w:rFonts w:ascii="Verdana" w:hAnsi="Verdana"/>
          <w:b/>
          <w:i/>
          <w:spacing w:val="-59"/>
          <w:w w:val="90"/>
          <w:sz w:val="32"/>
        </w:rPr>
        <w:t> </w:t>
      </w:r>
      <w:r>
        <w:rPr>
          <w:rFonts w:ascii="Verdana" w:hAnsi="Verdana"/>
          <w:b/>
          <w:i/>
          <w:w w:val="90"/>
          <w:sz w:val="32"/>
        </w:rPr>
        <w:t>Gafchromic</w:t>
      </w:r>
      <w:r>
        <w:rPr>
          <w:rFonts w:ascii="Verdana" w:hAnsi="Verdana"/>
          <w:b/>
          <w:i/>
          <w:spacing w:val="-62"/>
          <w:w w:val="90"/>
          <w:sz w:val="32"/>
        </w:rPr>
        <w:t> </w:t>
      </w:r>
      <w:r>
        <w:rPr>
          <w:rFonts w:ascii="Verdana" w:hAnsi="Verdana"/>
          <w:b/>
          <w:i/>
          <w:w w:val="90"/>
          <w:sz w:val="32"/>
        </w:rPr>
        <w:t>EBT3</w:t>
      </w:r>
    </w:p>
    <w:p>
      <w:pPr>
        <w:spacing w:before="61"/>
        <w:ind w:left="1908" w:right="2269" w:firstLine="0"/>
        <w:jc w:val="center"/>
        <w:rPr>
          <w:rFonts w:ascii="Verdana"/>
          <w:b/>
          <w:sz w:val="48"/>
        </w:rPr>
      </w:pPr>
      <w:r>
        <w:rPr>
          <w:rFonts w:ascii="Verdana"/>
          <w:b/>
          <w:w w:val="75"/>
          <w:sz w:val="48"/>
        </w:rPr>
        <w:t>TESIS</w:t>
      </w:r>
    </w:p>
    <w:p>
      <w:pPr>
        <w:pStyle w:val="BodyText"/>
        <w:spacing w:before="1"/>
        <w:rPr>
          <w:rFonts w:ascii="Verdana"/>
          <w:b/>
          <w:sz w:val="60"/>
        </w:rPr>
      </w:pPr>
    </w:p>
    <w:p>
      <w:pPr>
        <w:pStyle w:val="Heading4"/>
        <w:ind w:left="1900" w:right="2270"/>
        <w:rPr>
          <w:rFonts w:ascii="Verdana"/>
        </w:rPr>
      </w:pPr>
      <w:r>
        <w:rPr>
          <w:rFonts w:ascii="Verdana"/>
          <w:w w:val="85"/>
        </w:rPr>
        <w:t>QUE PARA OBTENER EL GRADO DE</w:t>
      </w:r>
    </w:p>
    <w:p>
      <w:pPr>
        <w:pStyle w:val="BodyText"/>
        <w:spacing w:before="4"/>
        <w:rPr>
          <w:rFonts w:ascii="Verdana"/>
          <w:b/>
        </w:rPr>
      </w:pPr>
    </w:p>
    <w:p>
      <w:pPr>
        <w:spacing w:before="0"/>
        <w:ind w:left="1908" w:right="2270" w:firstLine="0"/>
        <w:jc w:val="center"/>
        <w:rPr>
          <w:rFonts w:ascii="Verdana" w:hAnsi="Verdana"/>
          <w:b/>
          <w:sz w:val="28"/>
        </w:rPr>
      </w:pPr>
      <w:r>
        <w:rPr>
          <w:rFonts w:ascii="Verdana" w:hAnsi="Verdana"/>
          <w:b/>
          <w:spacing w:val="-4"/>
          <w:w w:val="94"/>
          <w:sz w:val="28"/>
        </w:rPr>
        <w:t>M</w:t>
      </w:r>
      <w:r>
        <w:rPr>
          <w:rFonts w:ascii="Verdana" w:hAnsi="Verdana"/>
          <w:b/>
          <w:w w:val="82"/>
          <w:sz w:val="28"/>
        </w:rPr>
        <w:t>AE</w:t>
      </w:r>
      <w:r>
        <w:rPr>
          <w:rFonts w:ascii="Verdana" w:hAnsi="Verdana"/>
          <w:b/>
          <w:spacing w:val="-3"/>
          <w:w w:val="82"/>
          <w:sz w:val="28"/>
        </w:rPr>
        <w:t>S</w:t>
      </w:r>
      <w:r>
        <w:rPr>
          <w:rFonts w:ascii="Verdana" w:hAnsi="Verdana"/>
          <w:b/>
          <w:spacing w:val="-2"/>
          <w:w w:val="61"/>
          <w:sz w:val="28"/>
        </w:rPr>
        <w:t>T</w:t>
      </w:r>
      <w:r>
        <w:rPr>
          <w:rFonts w:ascii="Verdana" w:hAnsi="Verdana"/>
          <w:b/>
          <w:spacing w:val="1"/>
          <w:w w:val="74"/>
          <w:sz w:val="28"/>
        </w:rPr>
        <w:t>R</w:t>
      </w:r>
      <w:r>
        <w:rPr>
          <w:rFonts w:ascii="Verdana" w:hAnsi="Verdana"/>
          <w:b/>
          <w:w w:val="98"/>
          <w:sz w:val="28"/>
        </w:rPr>
        <w:t>O</w:t>
      </w:r>
      <w:r>
        <w:rPr>
          <w:rFonts w:ascii="Verdana" w:hAnsi="Verdana"/>
          <w:b/>
          <w:spacing w:val="-15"/>
          <w:sz w:val="28"/>
        </w:rPr>
        <w:t> </w:t>
      </w:r>
      <w:r>
        <w:rPr>
          <w:rFonts w:ascii="Verdana" w:hAnsi="Verdana"/>
          <w:b/>
          <w:spacing w:val="-2"/>
          <w:w w:val="76"/>
          <w:sz w:val="28"/>
        </w:rPr>
        <w:t>E</w:t>
      </w:r>
      <w:r>
        <w:rPr>
          <w:rFonts w:ascii="Verdana" w:hAnsi="Verdana"/>
          <w:b/>
          <w:w w:val="87"/>
          <w:sz w:val="28"/>
        </w:rPr>
        <w:t>N</w:t>
      </w:r>
      <w:r>
        <w:rPr>
          <w:rFonts w:ascii="Verdana" w:hAnsi="Verdana"/>
          <w:b/>
          <w:spacing w:val="-15"/>
          <w:sz w:val="28"/>
        </w:rPr>
        <w:t> </w:t>
      </w:r>
      <w:r>
        <w:rPr>
          <w:rFonts w:ascii="Verdana" w:hAnsi="Verdana"/>
          <w:b/>
          <w:spacing w:val="1"/>
          <w:w w:val="73"/>
          <w:sz w:val="28"/>
        </w:rPr>
        <w:t>F</w:t>
      </w:r>
      <w:r>
        <w:rPr>
          <w:rFonts w:ascii="Verdana" w:hAnsi="Verdana"/>
          <w:b/>
          <w:spacing w:val="1"/>
          <w:w w:val="51"/>
          <w:sz w:val="28"/>
        </w:rPr>
        <w:t>Í</w:t>
      </w:r>
      <w:r>
        <w:rPr>
          <w:rFonts w:ascii="Verdana" w:hAnsi="Verdana"/>
          <w:b/>
          <w:spacing w:val="-2"/>
          <w:w w:val="73"/>
          <w:sz w:val="28"/>
        </w:rPr>
        <w:t>S</w:t>
      </w:r>
      <w:r>
        <w:rPr>
          <w:rFonts w:ascii="Verdana" w:hAnsi="Verdana"/>
          <w:b/>
          <w:spacing w:val="-3"/>
          <w:w w:val="51"/>
          <w:sz w:val="28"/>
        </w:rPr>
        <w:t>I</w:t>
      </w:r>
      <w:r>
        <w:rPr>
          <w:rFonts w:ascii="Verdana" w:hAnsi="Verdana"/>
          <w:b/>
          <w:spacing w:val="1"/>
          <w:w w:val="107"/>
          <w:sz w:val="28"/>
        </w:rPr>
        <w:t>C</w:t>
      </w:r>
      <w:r>
        <w:rPr>
          <w:rFonts w:ascii="Verdana" w:hAnsi="Verdana"/>
          <w:b/>
          <w:w w:val="95"/>
          <w:sz w:val="28"/>
        </w:rPr>
        <w:t>A</w:t>
      </w:r>
      <w:r>
        <w:rPr>
          <w:rFonts w:ascii="Verdana" w:hAnsi="Verdana"/>
          <w:b/>
          <w:spacing w:val="-19"/>
          <w:sz w:val="28"/>
        </w:rPr>
        <w:t> </w:t>
      </w:r>
      <w:r>
        <w:rPr>
          <w:rFonts w:ascii="Verdana" w:hAnsi="Verdana"/>
          <w:b/>
          <w:w w:val="87"/>
          <w:sz w:val="28"/>
        </w:rPr>
        <w:t>M</w:t>
      </w:r>
      <w:r>
        <w:rPr>
          <w:rFonts w:ascii="Verdana" w:hAnsi="Verdana"/>
          <w:b/>
          <w:spacing w:val="-2"/>
          <w:w w:val="87"/>
          <w:sz w:val="28"/>
        </w:rPr>
        <w:t>É</w:t>
      </w:r>
      <w:r>
        <w:rPr>
          <w:rFonts w:ascii="Verdana" w:hAnsi="Verdana"/>
          <w:b/>
          <w:spacing w:val="-1"/>
          <w:w w:val="71"/>
          <w:sz w:val="28"/>
        </w:rPr>
        <w:t>D</w:t>
      </w:r>
      <w:r>
        <w:rPr>
          <w:rFonts w:ascii="Verdana" w:hAnsi="Verdana"/>
          <w:b/>
          <w:spacing w:val="1"/>
          <w:w w:val="71"/>
          <w:sz w:val="28"/>
        </w:rPr>
        <w:t>I</w:t>
      </w:r>
      <w:r>
        <w:rPr>
          <w:rFonts w:ascii="Verdana" w:hAnsi="Verdana"/>
          <w:b/>
          <w:spacing w:val="1"/>
          <w:w w:val="107"/>
          <w:sz w:val="28"/>
        </w:rPr>
        <w:t>C</w:t>
      </w:r>
      <w:r>
        <w:rPr>
          <w:rFonts w:ascii="Verdana" w:hAnsi="Verdana"/>
          <w:b/>
          <w:w w:val="95"/>
          <w:sz w:val="28"/>
        </w:rPr>
        <w:t>A</w:t>
      </w:r>
    </w:p>
    <w:p>
      <w:pPr>
        <w:pStyle w:val="BodyText"/>
        <w:rPr>
          <w:rFonts w:ascii="Verdana"/>
          <w:b/>
          <w:sz w:val="28"/>
        </w:rPr>
      </w:pPr>
    </w:p>
    <w:p>
      <w:pPr>
        <w:spacing w:before="204"/>
        <w:ind w:left="1908" w:right="2263" w:firstLine="0"/>
        <w:jc w:val="center"/>
        <w:rPr>
          <w:rFonts w:ascii="Verdana"/>
          <w:b/>
          <w:sz w:val="24"/>
        </w:rPr>
      </w:pPr>
      <w:r>
        <w:rPr>
          <w:rFonts w:ascii="Verdana"/>
          <w:b/>
          <w:w w:val="85"/>
          <w:sz w:val="24"/>
        </w:rPr>
        <w:t>P R E S E N T A</w:t>
      </w:r>
    </w:p>
    <w:p>
      <w:pPr>
        <w:pStyle w:val="BodyText"/>
        <w:spacing w:before="4"/>
        <w:rPr>
          <w:rFonts w:ascii="Verdana"/>
          <w:b/>
        </w:rPr>
      </w:pPr>
    </w:p>
    <w:p>
      <w:pPr>
        <w:spacing w:before="0"/>
        <w:ind w:left="3417" w:right="2758" w:firstLine="0"/>
        <w:jc w:val="left"/>
        <w:rPr>
          <w:rFonts w:ascii="Verdana" w:hAnsi="Verdana"/>
          <w:b/>
          <w:i/>
          <w:sz w:val="32"/>
        </w:rPr>
      </w:pPr>
      <w:r>
        <w:rPr>
          <w:rFonts w:ascii="Verdana" w:hAnsi="Verdana"/>
          <w:b/>
          <w:i/>
          <w:w w:val="85"/>
          <w:sz w:val="32"/>
        </w:rPr>
        <w:t>Irving Ubaldo Tzec Quiñones</w:t>
      </w: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spacing w:before="1"/>
        <w:rPr>
          <w:rFonts w:ascii="Verdana"/>
          <w:b/>
          <w:i/>
          <w:sz w:val="20"/>
        </w:rPr>
      </w:pPr>
    </w:p>
    <w:tbl>
      <w:tblPr>
        <w:tblW w:w="0" w:type="auto"/>
        <w:jc w:val="left"/>
        <w:tblInd w:w="25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59"/>
        <w:gridCol w:w="4309"/>
      </w:tblGrid>
      <w:tr>
        <w:trPr>
          <w:trHeight w:val="828" w:hRule="exact"/>
        </w:trPr>
        <w:tc>
          <w:tcPr>
            <w:tcW w:w="2559" w:type="dxa"/>
          </w:tcPr>
          <w:p>
            <w:pPr>
              <w:pStyle w:val="TableParagraph"/>
              <w:spacing w:line="247" w:lineRule="exact"/>
              <w:ind w:left="200"/>
              <w:jc w:val="left"/>
              <w:rPr>
                <w:rFonts w:ascii="Verdana" w:hAnsi="Verdana"/>
                <w:b/>
                <w:sz w:val="24"/>
              </w:rPr>
            </w:pPr>
            <w:r>
              <w:rPr>
                <w:rFonts w:ascii="Verdana" w:hAnsi="Verdana"/>
                <w:b/>
                <w:w w:val="85"/>
                <w:sz w:val="24"/>
              </w:rPr>
              <w:t>Comité de Tutores:</w:t>
            </w:r>
          </w:p>
        </w:tc>
        <w:tc>
          <w:tcPr>
            <w:tcW w:w="4309" w:type="dxa"/>
          </w:tcPr>
          <w:p>
            <w:pPr>
              <w:pStyle w:val="TableParagraph"/>
              <w:spacing w:line="247" w:lineRule="exact"/>
              <w:ind w:left="193"/>
              <w:jc w:val="left"/>
              <w:rPr>
                <w:rFonts w:ascii="Verdana" w:hAnsi="Verdana"/>
                <w:b/>
                <w:sz w:val="24"/>
              </w:rPr>
            </w:pPr>
            <w:r>
              <w:rPr>
                <w:rFonts w:ascii="Verdana" w:hAnsi="Verdana"/>
                <w:b/>
                <w:w w:val="85"/>
                <w:sz w:val="24"/>
              </w:rPr>
              <w:t>Dra. Jeanette Rodríguez Cortes</w:t>
            </w:r>
          </w:p>
          <w:p>
            <w:pPr>
              <w:pStyle w:val="TableParagraph"/>
              <w:spacing w:before="4"/>
              <w:ind w:left="193"/>
              <w:jc w:val="left"/>
              <w:rPr>
                <w:rFonts w:ascii="Verdana" w:hAnsi="Verdana"/>
                <w:b/>
                <w:sz w:val="24"/>
              </w:rPr>
            </w:pPr>
            <w:r>
              <w:rPr>
                <w:rFonts w:ascii="Verdana" w:hAnsi="Verdana"/>
                <w:b/>
                <w:w w:val="85"/>
                <w:sz w:val="24"/>
              </w:rPr>
              <w:t>Dr. Eugenio Torres García</w:t>
            </w:r>
          </w:p>
          <w:p>
            <w:pPr>
              <w:pStyle w:val="TableParagraph"/>
              <w:ind w:left="193"/>
              <w:jc w:val="left"/>
              <w:rPr>
                <w:rFonts w:ascii="Verdana" w:hAnsi="Verdana"/>
                <w:b/>
                <w:sz w:val="24"/>
              </w:rPr>
            </w:pPr>
            <w:r>
              <w:rPr>
                <w:rFonts w:ascii="Verdana" w:hAnsi="Verdana"/>
                <w:b/>
                <w:w w:val="90"/>
                <w:sz w:val="24"/>
              </w:rPr>
              <w:t>Dr. Miguel Ángel Camacho López</w:t>
            </w:r>
          </w:p>
        </w:tc>
      </w:tr>
    </w:tbl>
    <w:p>
      <w:pPr>
        <w:pStyle w:val="BodyText"/>
        <w:rPr>
          <w:rFonts w:ascii="Verdana"/>
          <w:b/>
          <w:i/>
          <w:sz w:val="32"/>
        </w:rPr>
      </w:pPr>
    </w:p>
    <w:p>
      <w:pPr>
        <w:pStyle w:val="BodyText"/>
        <w:rPr>
          <w:rFonts w:ascii="Verdana"/>
          <w:b/>
          <w:i/>
          <w:sz w:val="32"/>
        </w:rPr>
      </w:pPr>
    </w:p>
    <w:p>
      <w:pPr>
        <w:pStyle w:val="BodyText"/>
        <w:spacing w:before="4"/>
        <w:rPr>
          <w:rFonts w:ascii="Verdana"/>
          <w:b/>
          <w:i/>
          <w:sz w:val="34"/>
        </w:rPr>
      </w:pPr>
    </w:p>
    <w:p>
      <w:pPr>
        <w:tabs>
          <w:tab w:pos="8078" w:val="left" w:leader="none"/>
        </w:tabs>
        <w:spacing w:before="1"/>
        <w:ind w:left="2805" w:right="2758" w:firstLine="0"/>
        <w:jc w:val="left"/>
        <w:rPr>
          <w:rFonts w:ascii="Verdana" w:hAnsi="Verdana"/>
          <w:b/>
          <w:sz w:val="28"/>
        </w:rPr>
      </w:pPr>
      <w:r>
        <w:rPr>
          <w:rFonts w:ascii="Verdana" w:hAnsi="Verdana"/>
          <w:b/>
          <w:spacing w:val="-2"/>
          <w:w w:val="61"/>
          <w:sz w:val="28"/>
        </w:rPr>
        <w:t>T</w:t>
      </w:r>
      <w:r>
        <w:rPr>
          <w:rFonts w:ascii="Verdana" w:hAnsi="Verdana"/>
          <w:b/>
          <w:w w:val="86"/>
          <w:sz w:val="28"/>
        </w:rPr>
        <w:t>O</w:t>
      </w:r>
      <w:r>
        <w:rPr>
          <w:rFonts w:ascii="Verdana" w:hAnsi="Verdana"/>
          <w:b/>
          <w:spacing w:val="1"/>
          <w:w w:val="86"/>
          <w:sz w:val="28"/>
        </w:rPr>
        <w:t>L</w:t>
      </w:r>
      <w:r>
        <w:rPr>
          <w:rFonts w:ascii="Verdana" w:hAnsi="Verdana"/>
          <w:b/>
          <w:spacing w:val="-1"/>
          <w:w w:val="92"/>
          <w:sz w:val="28"/>
        </w:rPr>
        <w:t>U</w:t>
      </w:r>
      <w:r>
        <w:rPr>
          <w:rFonts w:ascii="Verdana" w:hAnsi="Verdana"/>
          <w:b/>
          <w:spacing w:val="2"/>
          <w:w w:val="92"/>
          <w:sz w:val="28"/>
        </w:rPr>
        <w:t>C</w:t>
      </w:r>
      <w:r>
        <w:rPr>
          <w:rFonts w:ascii="Verdana" w:hAnsi="Verdana"/>
          <w:b/>
          <w:w w:val="89"/>
          <w:sz w:val="28"/>
        </w:rPr>
        <w:t>A,</w:t>
      </w:r>
      <w:r>
        <w:rPr>
          <w:rFonts w:ascii="Verdana" w:hAnsi="Verdana"/>
          <w:b/>
          <w:spacing w:val="-18"/>
          <w:sz w:val="28"/>
        </w:rPr>
        <w:t> </w:t>
      </w:r>
      <w:r>
        <w:rPr>
          <w:rFonts w:ascii="Verdana" w:hAnsi="Verdana"/>
          <w:b/>
          <w:spacing w:val="-2"/>
          <w:w w:val="76"/>
          <w:sz w:val="28"/>
        </w:rPr>
        <w:t>E</w:t>
      </w:r>
      <w:r>
        <w:rPr>
          <w:rFonts w:ascii="Verdana" w:hAnsi="Verdana"/>
          <w:b/>
          <w:spacing w:val="-2"/>
          <w:w w:val="73"/>
          <w:sz w:val="28"/>
        </w:rPr>
        <w:t>S</w:t>
      </w:r>
      <w:r>
        <w:rPr>
          <w:rFonts w:ascii="Verdana" w:hAnsi="Verdana"/>
          <w:b/>
          <w:spacing w:val="-2"/>
          <w:w w:val="61"/>
          <w:sz w:val="28"/>
        </w:rPr>
        <w:t>T</w:t>
      </w:r>
      <w:r>
        <w:rPr>
          <w:rFonts w:ascii="Verdana" w:hAnsi="Verdana"/>
          <w:b/>
          <w:w w:val="92"/>
          <w:sz w:val="28"/>
        </w:rPr>
        <w:t>ADO</w:t>
      </w:r>
      <w:r>
        <w:rPr>
          <w:rFonts w:ascii="Verdana" w:hAnsi="Verdana"/>
          <w:b/>
          <w:spacing w:val="-15"/>
          <w:sz w:val="28"/>
        </w:rPr>
        <w:t> </w:t>
      </w:r>
      <w:r>
        <w:rPr>
          <w:rFonts w:ascii="Verdana" w:hAnsi="Verdana"/>
          <w:b/>
          <w:spacing w:val="-1"/>
          <w:w w:val="80"/>
          <w:sz w:val="28"/>
        </w:rPr>
        <w:t>D</w:t>
      </w:r>
      <w:r>
        <w:rPr>
          <w:rFonts w:ascii="Verdana" w:hAnsi="Verdana"/>
          <w:b/>
          <w:w w:val="80"/>
          <w:sz w:val="28"/>
        </w:rPr>
        <w:t>E</w:t>
      </w:r>
      <w:r>
        <w:rPr>
          <w:rFonts w:ascii="Verdana" w:hAnsi="Verdana"/>
          <w:b/>
          <w:spacing w:val="-18"/>
          <w:sz w:val="28"/>
        </w:rPr>
        <w:t> </w:t>
      </w:r>
      <w:r>
        <w:rPr>
          <w:rFonts w:ascii="Verdana" w:hAnsi="Verdana"/>
          <w:b/>
          <w:w w:val="87"/>
          <w:sz w:val="28"/>
        </w:rPr>
        <w:t>M</w:t>
      </w:r>
      <w:r>
        <w:rPr>
          <w:rFonts w:ascii="Verdana" w:hAnsi="Verdana"/>
          <w:b/>
          <w:spacing w:val="-2"/>
          <w:w w:val="87"/>
          <w:sz w:val="28"/>
        </w:rPr>
        <w:t>É</w:t>
      </w:r>
      <w:r>
        <w:rPr>
          <w:rFonts w:ascii="Verdana" w:hAnsi="Verdana"/>
          <w:b/>
          <w:spacing w:val="1"/>
          <w:w w:val="89"/>
          <w:sz w:val="28"/>
        </w:rPr>
        <w:t>X</w:t>
      </w:r>
      <w:r>
        <w:rPr>
          <w:rFonts w:ascii="Verdana" w:hAnsi="Verdana"/>
          <w:b/>
          <w:spacing w:val="1"/>
          <w:w w:val="51"/>
          <w:sz w:val="28"/>
        </w:rPr>
        <w:t>I</w:t>
      </w:r>
      <w:r>
        <w:rPr>
          <w:rFonts w:ascii="Verdana" w:hAnsi="Verdana"/>
          <w:b/>
          <w:spacing w:val="1"/>
          <w:w w:val="107"/>
          <w:sz w:val="28"/>
        </w:rPr>
        <w:t>C</w:t>
      </w:r>
      <w:r>
        <w:rPr>
          <w:rFonts w:ascii="Verdana" w:hAnsi="Verdana"/>
          <w:b/>
          <w:w w:val="98"/>
          <w:sz w:val="28"/>
        </w:rPr>
        <w:t>O</w:t>
      </w:r>
      <w:r>
        <w:rPr>
          <w:rFonts w:ascii="Verdana" w:hAnsi="Verdana"/>
          <w:b/>
          <w:sz w:val="28"/>
        </w:rPr>
        <w:tab/>
      </w:r>
      <w:r>
        <w:rPr>
          <w:rFonts w:ascii="Verdana" w:hAnsi="Verdana"/>
          <w:b/>
          <w:spacing w:val="-1"/>
          <w:w w:val="78"/>
          <w:sz w:val="28"/>
        </w:rPr>
        <w:t>2017</w:t>
      </w:r>
    </w:p>
    <w:p>
      <w:pPr>
        <w:spacing w:after="0"/>
        <w:jc w:val="left"/>
        <w:rPr>
          <w:rFonts w:ascii="Verdana" w:hAnsi="Verdana"/>
          <w:sz w:val="28"/>
        </w:rPr>
        <w:sectPr>
          <w:type w:val="continuous"/>
          <w:pgSz w:w="12240" w:h="15840"/>
          <w:pgMar w:top="1380" w:bottom="280" w:left="500" w:right="140"/>
        </w:sectPr>
      </w:pPr>
    </w:p>
    <w:p>
      <w:pPr>
        <w:pStyle w:val="BodyText"/>
        <w:spacing w:before="4"/>
        <w:rPr>
          <w:rFonts w:ascii="Times New Roman"/>
          <w:sz w:val="17"/>
        </w:rPr>
      </w:pPr>
    </w:p>
    <w:p>
      <w:pPr>
        <w:spacing w:after="0"/>
        <w:rPr>
          <w:rFonts w:ascii="Times New Roman"/>
          <w:sz w:val="17"/>
        </w:rPr>
        <w:sectPr>
          <w:footerReference w:type="default" r:id="rId10"/>
          <w:pgSz w:w="12240" w:h="15840"/>
          <w:pgMar w:footer="974" w:header="0" w:top="1500" w:bottom="1160" w:left="1720" w:right="1600"/>
          <w:pgNumType w:start="1"/>
        </w:sectPr>
      </w:pPr>
    </w:p>
    <w:p>
      <w:pPr>
        <w:pStyle w:val="BodyText"/>
        <w:ind w:left="111"/>
        <w:rPr>
          <w:rFonts w:ascii="Times New Roman"/>
          <w:sz w:val="20"/>
        </w:rPr>
      </w:pPr>
      <w:r>
        <w:rPr>
          <w:rFonts w:ascii="Times New Roman"/>
          <w:sz w:val="20"/>
        </w:rPr>
        <w:drawing>
          <wp:inline distT="0" distB="0" distL="0" distR="0">
            <wp:extent cx="6828429" cy="8793575"/>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1" cstate="print"/>
                    <a:stretch>
                      <a:fillRect/>
                    </a:stretch>
                  </pic:blipFill>
                  <pic:spPr>
                    <a:xfrm>
                      <a:off x="0" y="0"/>
                      <a:ext cx="6828429" cy="879357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74" w:top="300" w:bottom="1160" w:left="540" w:right="540"/>
        </w:sectPr>
      </w:pPr>
    </w:p>
    <w:p>
      <w:pPr>
        <w:spacing w:before="51"/>
        <w:ind w:left="174" w:right="325" w:firstLine="0"/>
        <w:jc w:val="center"/>
        <w:rPr>
          <w:rFonts w:ascii="Arial" w:hAnsi="Arial"/>
          <w:sz w:val="24"/>
        </w:rPr>
      </w:pPr>
      <w:r>
        <w:rPr>
          <w:rFonts w:ascii="Arial" w:hAnsi="Arial"/>
          <w:sz w:val="24"/>
        </w:rPr>
        <w:t>Este trabajo se realizó en el Hospital General de México “Dr. Eduardo Liceaga” Área de radioterapia</w:t>
      </w:r>
    </w:p>
    <w:p>
      <w:pPr>
        <w:spacing w:before="0"/>
        <w:ind w:left="174" w:right="317" w:firstLine="0"/>
        <w:jc w:val="center"/>
        <w:rPr>
          <w:rFonts w:ascii="Arial" w:hAnsi="Arial"/>
          <w:sz w:val="24"/>
        </w:rPr>
      </w:pPr>
      <w:r>
        <w:rPr>
          <w:rFonts w:ascii="Arial" w:hAnsi="Arial"/>
          <w:sz w:val="24"/>
        </w:rPr>
        <w:t>Departamento de oncología</w:t>
      </w:r>
    </w:p>
    <w:p>
      <w:pPr>
        <w:spacing w:after="0"/>
        <w:jc w:val="center"/>
        <w:rPr>
          <w:rFonts w:ascii="Arial" w:hAnsi="Arial"/>
          <w:sz w:val="24"/>
        </w:rPr>
        <w:sectPr>
          <w:footerReference w:type="default" r:id="rId12"/>
          <w:pgSz w:w="12240" w:h="15840"/>
          <w:pgMar w:footer="974" w:header="0" w:top="1360" w:bottom="1160" w:left="1720" w:right="1580"/>
          <w:pgNumType w:start="3"/>
        </w:sectPr>
      </w:pPr>
    </w:p>
    <w:p>
      <w:pPr>
        <w:pStyle w:val="Heading6"/>
        <w:spacing w:before="55"/>
        <w:ind w:left="100" w:right="155" w:firstLine="0"/>
      </w:pPr>
      <w:r>
        <w:rPr/>
        <w:t>Agradecimientos</w:t>
      </w:r>
    </w:p>
    <w:p>
      <w:pPr>
        <w:pStyle w:val="BodyText"/>
        <w:rPr>
          <w:b/>
        </w:rPr>
      </w:pPr>
    </w:p>
    <w:p>
      <w:pPr>
        <w:pStyle w:val="BodyText"/>
        <w:rPr>
          <w:b/>
        </w:rPr>
      </w:pPr>
    </w:p>
    <w:p>
      <w:pPr>
        <w:pStyle w:val="BodyText"/>
        <w:spacing w:before="10"/>
        <w:rPr>
          <w:b/>
          <w:sz w:val="19"/>
        </w:rPr>
      </w:pPr>
    </w:p>
    <w:p>
      <w:pPr>
        <w:pStyle w:val="BodyText"/>
        <w:spacing w:line="276" w:lineRule="auto"/>
        <w:ind w:left="100" w:right="155"/>
      </w:pPr>
      <w:r>
        <w:rPr/>
        <w:t>A mi madre, Teresita, porque gracias a la formación que me brindó tengo las herramientas necesarias para transitar con éxito en la vida. Gracias por tu amor, madre.</w:t>
      </w:r>
    </w:p>
    <w:p>
      <w:pPr>
        <w:pStyle w:val="BodyText"/>
        <w:spacing w:before="7"/>
        <w:rPr>
          <w:sz w:val="17"/>
        </w:rPr>
      </w:pPr>
    </w:p>
    <w:p>
      <w:pPr>
        <w:pStyle w:val="BodyText"/>
        <w:spacing w:line="276" w:lineRule="auto"/>
        <w:ind w:left="100" w:right="155"/>
      </w:pPr>
      <w:r>
        <w:rPr/>
        <w:t>A mi familia, por ser un soporte invaluable en las buenas y en las malas, su apoyo fue de gran ayuda en los momentos difíciles. Me considero afortunado por contar con ellos.</w:t>
      </w:r>
    </w:p>
    <w:p>
      <w:pPr>
        <w:pStyle w:val="BodyText"/>
        <w:spacing w:line="276" w:lineRule="auto" w:before="196"/>
        <w:ind w:left="100" w:right="155"/>
      </w:pPr>
      <w:r>
        <w:rPr/>
        <w:t>A mi esposa, Wendy, gracias por tu comprensión y tu presencia constante. Sin ti  no hubiera sido posible.</w:t>
      </w:r>
    </w:p>
    <w:p>
      <w:pPr>
        <w:pStyle w:val="BodyText"/>
        <w:spacing w:before="7"/>
        <w:rPr>
          <w:sz w:val="17"/>
        </w:rPr>
      </w:pPr>
    </w:p>
    <w:p>
      <w:pPr>
        <w:pStyle w:val="BodyText"/>
        <w:spacing w:line="276" w:lineRule="auto"/>
        <w:ind w:left="100" w:right="155"/>
      </w:pPr>
      <w:r>
        <w:rPr/>
        <w:t>A mis maestros, gracias por compartir conmigo un poco de sus conocimientos y experiencia.</w:t>
      </w:r>
    </w:p>
    <w:p>
      <w:pPr>
        <w:pStyle w:val="BodyText"/>
        <w:spacing w:before="7"/>
        <w:rPr>
          <w:sz w:val="17"/>
        </w:rPr>
      </w:pPr>
    </w:p>
    <w:p>
      <w:pPr>
        <w:pStyle w:val="BodyText"/>
        <w:spacing w:line="276" w:lineRule="auto" w:before="1"/>
        <w:ind w:left="100" w:right="155"/>
      </w:pPr>
      <w:r>
        <w:rPr/>
        <w:t>A mi tutor de tesis, Dr. Eugenio Torres García, por su paciencia, interés y por las lecciones y consejos a lo largo de la</w:t>
      </w:r>
      <w:r>
        <w:rPr>
          <w:spacing w:val="-17"/>
        </w:rPr>
        <w:t> </w:t>
      </w:r>
      <w:r>
        <w:rPr/>
        <w:t>maestría.</w:t>
      </w:r>
    </w:p>
    <w:p>
      <w:pPr>
        <w:pStyle w:val="BodyText"/>
        <w:spacing w:before="7"/>
        <w:rPr>
          <w:sz w:val="17"/>
        </w:rPr>
      </w:pPr>
    </w:p>
    <w:p>
      <w:pPr>
        <w:pStyle w:val="BodyText"/>
        <w:spacing w:line="276" w:lineRule="auto"/>
        <w:ind w:left="100" w:right="155"/>
      </w:pPr>
      <w:r>
        <w:rPr/>
        <w:t>A mi cotutora, Dra. Jeanette Rodríguez Cortes, por su apoyo desinteresado, su tiempo y su guía.</w:t>
      </w:r>
    </w:p>
    <w:p>
      <w:pPr>
        <w:pStyle w:val="BodyText"/>
        <w:spacing w:line="276" w:lineRule="auto" w:before="196"/>
        <w:ind w:left="100" w:right="155"/>
      </w:pPr>
      <w:r>
        <w:rPr/>
        <w:t>A mis compañeros, Julián, Gerardo, Filiberto, Jesús y Marlene, por todo el tiempo que compartimos juntos en esta empresa. Gracias por su apoyo.</w:t>
      </w:r>
    </w:p>
    <w:p>
      <w:pPr>
        <w:pStyle w:val="BodyText"/>
        <w:spacing w:before="7"/>
        <w:rPr>
          <w:sz w:val="17"/>
        </w:rPr>
      </w:pPr>
    </w:p>
    <w:p>
      <w:pPr>
        <w:pStyle w:val="BodyText"/>
        <w:ind w:left="100" w:right="155"/>
      </w:pPr>
      <w:r>
        <w:rPr/>
        <w:t>Al físico Omar Hernández Oviedo, por la valiosa ayuda brindada.</w:t>
      </w:r>
    </w:p>
    <w:p>
      <w:pPr>
        <w:pStyle w:val="BodyText"/>
        <w:spacing w:before="10"/>
        <w:rPr>
          <w:sz w:val="20"/>
        </w:rPr>
      </w:pPr>
    </w:p>
    <w:p>
      <w:pPr>
        <w:pStyle w:val="BodyText"/>
        <w:ind w:left="100" w:right="155"/>
      </w:pPr>
      <w:r>
        <w:rPr/>
        <w:t>A la Universidad Autónoma del Estado de México, por la Beca Enlace de Investigación.</w:t>
      </w:r>
    </w:p>
    <w:p>
      <w:pPr>
        <w:pStyle w:val="BodyText"/>
        <w:spacing w:before="10"/>
        <w:rPr>
          <w:sz w:val="20"/>
        </w:rPr>
      </w:pPr>
    </w:p>
    <w:p>
      <w:pPr>
        <w:pStyle w:val="BodyText"/>
        <w:spacing w:line="360" w:lineRule="auto"/>
        <w:ind w:left="100" w:right="155"/>
      </w:pPr>
      <w:r>
        <w:rPr/>
        <w:t>A AQUELLO que está más allá de nuestra comprensión, pero que llena el Universo y podemos percibir en TODO, por el privilegio de la existencia.</w:t>
      </w:r>
    </w:p>
    <w:p>
      <w:pPr>
        <w:spacing w:after="0" w:line="360" w:lineRule="auto"/>
        <w:sectPr>
          <w:pgSz w:w="12240" w:h="15840"/>
          <w:pgMar w:header="0" w:footer="974" w:top="1360" w:bottom="1220" w:left="1600" w:right="1580"/>
        </w:sectPr>
      </w:pPr>
    </w:p>
    <w:p>
      <w:pPr>
        <w:pStyle w:val="Heading6"/>
        <w:spacing w:before="55"/>
        <w:ind w:left="100" w:firstLine="0"/>
        <w:jc w:val="both"/>
      </w:pPr>
      <w:bookmarkStart w:name="_bookmark0" w:id="1"/>
      <w:bookmarkEnd w:id="1"/>
      <w:r>
        <w:rPr>
          <w:b w:val="0"/>
        </w:rPr>
      </w:r>
      <w:r>
        <w:rPr/>
        <w:t>Resumen</w:t>
      </w:r>
    </w:p>
    <w:p>
      <w:pPr>
        <w:pStyle w:val="BodyText"/>
        <w:spacing w:before="10"/>
        <w:rPr>
          <w:b/>
          <w:sz w:val="32"/>
        </w:rPr>
      </w:pPr>
    </w:p>
    <w:p>
      <w:pPr>
        <w:pStyle w:val="BodyText"/>
        <w:spacing w:line="360" w:lineRule="auto"/>
        <w:ind w:left="100" w:right="122"/>
        <w:jc w:val="both"/>
      </w:pPr>
      <w:r>
        <w:rPr/>
        <w:t>En la actualidad, la IMRT gana cada vez mayor aceptación y difusión para el tratamiento de cáncer, debido a las ventajas respecto a otras técnicas de tratamiento, como aumento de la dosis absorbida al tejido a irradiar y menor dosis al tejido circundante y órganos de riesgo. Sin embargo, debido a la naturaleza de la conformación de la dosis total, es común la formación de zonas de alto gradiente, por lo que es importante asegurar que el plan de tratamiento realizado con el sistema de planeación sea suministrado al paciente con la exactitud y precisión necesarias para cumplir con los parámetros de dosis absorbida y protección al tejido</w:t>
      </w:r>
      <w:r>
        <w:rPr>
          <w:spacing w:val="-10"/>
        </w:rPr>
        <w:t> </w:t>
      </w:r>
      <w:r>
        <w:rPr/>
        <w:t>sano.</w:t>
      </w:r>
    </w:p>
    <w:p>
      <w:pPr>
        <w:pStyle w:val="BodyText"/>
        <w:spacing w:before="9"/>
        <w:rPr>
          <w:sz w:val="32"/>
        </w:rPr>
      </w:pPr>
    </w:p>
    <w:p>
      <w:pPr>
        <w:pStyle w:val="BodyText"/>
        <w:spacing w:line="360" w:lineRule="auto" w:before="1"/>
        <w:ind w:left="100" w:right="116"/>
        <w:jc w:val="both"/>
      </w:pPr>
      <w:r>
        <w:rPr/>
        <w:t>En este trabajo se evaluó la película radiocrómica EBT3 con miras a su utilización para el aseguramiento de la calidad en los tratamientos de radioterapia con la técnica IMRT en el Hospital General de México. Para esto se compararon las distribuciones de dosis en un plano medidas con estas películas y con las películas radiográficas EDR2, con los datos calculados por el sistema de planeación, utilizando el índice gamma como criterio de evaluación. Se estudiaron los planes de nueve pacientes, para lo cual se caracterizaron las curvas de calibración correspondientes a cada tipo de película, se realizaron mediciones de dosis puntuales con cámara de ionización, y se realizó el análisis gamma con criterios de 3%/3 mm, 4%/3 mm y 5%/3 mm para la diferencia de dosis y la distancia en concordancia.</w:t>
      </w:r>
    </w:p>
    <w:p>
      <w:pPr>
        <w:pStyle w:val="BodyText"/>
      </w:pPr>
    </w:p>
    <w:p>
      <w:pPr>
        <w:pStyle w:val="BodyText"/>
        <w:spacing w:line="360" w:lineRule="auto" w:before="127"/>
        <w:ind w:left="100" w:right="123"/>
        <w:jc w:val="both"/>
      </w:pPr>
      <w:r>
        <w:rPr/>
        <w:t>El 100% de las distribuciones medidas con las películas radiocrómicas tuvieron un porcentaje de puntos con </w:t>
      </w:r>
      <w:r>
        <w:rPr>
          <w:rFonts w:ascii="Calibri" w:hAnsi="Calibri"/>
        </w:rPr>
        <w:t>γ</w:t>
      </w:r>
      <w:r>
        <w:rPr/>
        <w:t>&lt;1 mayor al 90% con el criterio de 3%/3 mm, mientras que dos tercios de los planes analizados con las películas radiográficas cumplieron con esta restricción. Las mediciones con cámara de ionización mostraron una diferencia entre la dosis medida y calculada menor al 3% en ocho de los nueve planes analizados.</w:t>
      </w:r>
    </w:p>
    <w:p>
      <w:pPr>
        <w:pStyle w:val="BodyText"/>
      </w:pPr>
    </w:p>
    <w:p>
      <w:pPr>
        <w:pStyle w:val="BodyText"/>
        <w:spacing w:line="360" w:lineRule="auto" w:before="127"/>
        <w:ind w:left="100" w:right="122"/>
        <w:jc w:val="both"/>
      </w:pPr>
      <w:r>
        <w:rPr/>
        <w:t>Los resultados indican que las películas radiocrómicas EBT3 son adecuadas para el análisis de distribución de dosis en el control de calidad paciente especifico en tratamientos de IMRT en la institución.</w:t>
      </w:r>
    </w:p>
    <w:p>
      <w:pPr>
        <w:spacing w:after="0" w:line="360" w:lineRule="auto"/>
        <w:jc w:val="both"/>
        <w:sectPr>
          <w:pgSz w:w="12240" w:h="15840"/>
          <w:pgMar w:header="0" w:footer="974" w:top="1360" w:bottom="1220" w:left="1600" w:right="1580"/>
        </w:sectPr>
      </w:pPr>
    </w:p>
    <w:p>
      <w:pPr>
        <w:pStyle w:val="Heading6"/>
        <w:spacing w:before="55"/>
        <w:ind w:left="100" w:firstLine="0"/>
        <w:jc w:val="both"/>
      </w:pPr>
      <w:bookmarkStart w:name="_bookmark1" w:id="2"/>
      <w:bookmarkEnd w:id="2"/>
      <w:r>
        <w:rPr>
          <w:b w:val="0"/>
        </w:rPr>
      </w:r>
      <w:r>
        <w:rPr/>
        <w:t>Abstract</w:t>
      </w:r>
    </w:p>
    <w:p>
      <w:pPr>
        <w:pStyle w:val="BodyText"/>
        <w:spacing w:before="10"/>
        <w:rPr>
          <w:b/>
          <w:sz w:val="32"/>
        </w:rPr>
      </w:pPr>
    </w:p>
    <w:p>
      <w:pPr>
        <w:pStyle w:val="BodyText"/>
        <w:spacing w:line="360" w:lineRule="auto"/>
        <w:ind w:left="100" w:right="116"/>
        <w:jc w:val="both"/>
      </w:pPr>
      <w:r>
        <w:rPr/>
        <w:t>Currently, IMRT is gaining higher acceptance and aproval for the treatment of cancer, due to the the advantages in relation to other treatment techniques, such as the increase of the absorbed dose to the tissue to be irradiated and lower dose to surrounding tissue and organs at risk. Nevertheless, owing to the formation process of the total dose, , it </w:t>
      </w:r>
      <w:r>
        <w:rPr>
          <w:spacing w:val="-3"/>
        </w:rPr>
        <w:t>is </w:t>
      </w:r>
      <w:r>
        <w:rPr/>
        <w:t>common the appearance of areas of high gradient, therefore, it is important to be sure that the treatment plan made in the planning system is delivered to the patient with the accuracy and precision needed, to achieve the parameters of absorbed dose and protection to the healthy</w:t>
      </w:r>
      <w:r>
        <w:rPr>
          <w:spacing w:val="-10"/>
        </w:rPr>
        <w:t> </w:t>
      </w:r>
      <w:r>
        <w:rPr/>
        <w:t>tissue.</w:t>
      </w:r>
    </w:p>
    <w:p>
      <w:pPr>
        <w:pStyle w:val="BodyText"/>
        <w:spacing w:before="9"/>
        <w:rPr>
          <w:sz w:val="32"/>
        </w:rPr>
      </w:pPr>
    </w:p>
    <w:p>
      <w:pPr>
        <w:pStyle w:val="BodyText"/>
        <w:spacing w:line="360" w:lineRule="auto" w:before="1"/>
        <w:ind w:left="100" w:right="117"/>
        <w:jc w:val="both"/>
      </w:pPr>
      <w:r>
        <w:rPr/>
        <w:t>In the present research the EBT3 radiocromic film was evaluated to its use for the quality assurance in radiotherapy treatments with the IMRT technique in the General Hospital of Mexico. </w:t>
      </w:r>
      <w:r>
        <w:rPr>
          <w:spacing w:val="-3"/>
        </w:rPr>
        <w:t>To </w:t>
      </w:r>
      <w:r>
        <w:rPr/>
        <w:t>do this we compared the dose distributions in a plane measured with these films and with the radiographic films EDR2, with the data calculated by the planning system, using the gamma index as an evaluation criterion. The plans of nine patients were studied, for the calibration curves for each type </w:t>
      </w:r>
      <w:r>
        <w:rPr>
          <w:spacing w:val="2"/>
        </w:rPr>
        <w:t>of </w:t>
      </w:r>
      <w:r>
        <w:rPr/>
        <w:t>film were characterized, punctually dose measurements were made with ionization chamber, and the gamma analysis  was performed with 3% / 3 mm criteria, 4% / 3 mm and 5% / 3 mm for dose difference and distance in</w:t>
      </w:r>
      <w:r>
        <w:rPr>
          <w:spacing w:val="-8"/>
        </w:rPr>
        <w:t> </w:t>
      </w:r>
      <w:r>
        <w:rPr/>
        <w:t>agreement.</w:t>
      </w:r>
    </w:p>
    <w:p>
      <w:pPr>
        <w:pStyle w:val="BodyText"/>
      </w:pPr>
    </w:p>
    <w:p>
      <w:pPr>
        <w:pStyle w:val="BodyText"/>
        <w:spacing w:line="360" w:lineRule="auto" w:before="127"/>
        <w:ind w:left="100" w:right="120"/>
        <w:jc w:val="both"/>
      </w:pPr>
      <w:r>
        <w:rPr/>
        <w:t>100% of the distributions measured with radiochromic films had a percentage of points with γ &lt;1 greater than 90% with the criterion of 3% / 3 mm, whereas two thirds of the plans analyzed with the radiographic films fulfilled this restriction . Ionization chamber measurements showed a difference between measured and calculated doses of less than   3% in eight of the nine plans</w:t>
      </w:r>
      <w:r>
        <w:rPr>
          <w:spacing w:val="-16"/>
        </w:rPr>
        <w:t> </w:t>
      </w:r>
      <w:r>
        <w:rPr/>
        <w:t>analyzed.</w:t>
      </w:r>
    </w:p>
    <w:p>
      <w:pPr>
        <w:pStyle w:val="BodyText"/>
      </w:pPr>
    </w:p>
    <w:p>
      <w:pPr>
        <w:pStyle w:val="BodyText"/>
        <w:spacing w:line="360" w:lineRule="auto" w:before="127"/>
        <w:ind w:left="100" w:right="118"/>
        <w:jc w:val="both"/>
      </w:pPr>
      <w:r>
        <w:rPr/>
        <w:t>The results denote that EBT3 radiochromic films are suitable for analysis of dose distribution in specific patient quality control in IMRT treatments in the institution.</w:t>
      </w:r>
    </w:p>
    <w:p>
      <w:pPr>
        <w:spacing w:after="0" w:line="360" w:lineRule="auto"/>
        <w:jc w:val="both"/>
        <w:sectPr>
          <w:pgSz w:w="12240" w:h="15840"/>
          <w:pgMar w:header="0" w:footer="974" w:top="1360" w:bottom="1220" w:left="1600" w:right="1580"/>
        </w:sectPr>
      </w:pPr>
    </w:p>
    <w:p>
      <w:pPr>
        <w:pStyle w:val="Heading6"/>
        <w:spacing w:before="55"/>
        <w:ind w:left="100" w:firstLine="0"/>
      </w:pPr>
      <w:r>
        <w:rPr/>
        <w:t>Índice General</w:t>
      </w:r>
    </w:p>
    <w:p>
      <w:pPr>
        <w:spacing w:after="0"/>
        <w:sectPr>
          <w:pgSz w:w="12240" w:h="15840"/>
          <w:pgMar w:header="0" w:footer="974" w:top="1360" w:bottom="1432" w:left="1600" w:right="1600"/>
        </w:sectPr>
      </w:pPr>
    </w:p>
    <w:sdt>
      <w:sdtPr>
        <w:docPartObj>
          <w:docPartGallery w:val="Table of Contents"/>
          <w:docPartUnique/>
        </w:docPartObj>
      </w:sdtPr>
      <w:sdtEndPr/>
      <w:sdtContent>
        <w:p>
          <w:pPr>
            <w:pStyle w:val="TOC1"/>
            <w:tabs>
              <w:tab w:pos="8932" w:val="right" w:leader="dot"/>
            </w:tabs>
            <w:spacing w:before="366"/>
            <w:ind w:left="100" w:firstLine="0"/>
          </w:pPr>
          <w:hyperlink w:history="true" w:anchor="_bookmark0">
            <w:r>
              <w:rPr/>
              <w:t>Resumen</w:t>
              <w:tab/>
              <w:t>v</w:t>
            </w:r>
          </w:hyperlink>
        </w:p>
        <w:p>
          <w:pPr>
            <w:pStyle w:val="TOC1"/>
            <w:tabs>
              <w:tab w:pos="8930" w:val="right" w:leader="dot"/>
            </w:tabs>
            <w:ind w:left="100" w:firstLine="0"/>
          </w:pPr>
          <w:hyperlink w:history="true" w:anchor="_bookmark1">
            <w:r>
              <w:rPr/>
              <w:t>Abstract</w:t>
              <w:tab/>
              <w:t>vi</w:t>
            </w:r>
          </w:hyperlink>
        </w:p>
        <w:p>
          <w:pPr>
            <w:pStyle w:val="TOC1"/>
            <w:numPr>
              <w:ilvl w:val="0"/>
              <w:numId w:val="1"/>
            </w:numPr>
            <w:tabs>
              <w:tab w:pos="580" w:val="left" w:leader="none"/>
              <w:tab w:pos="581" w:val="left" w:leader="none"/>
              <w:tab w:pos="8929" w:val="right" w:leader="dot"/>
            </w:tabs>
            <w:spacing w:line="240" w:lineRule="auto" w:before="158" w:after="0"/>
            <w:ind w:left="580" w:right="0" w:hanging="480"/>
            <w:jc w:val="left"/>
          </w:pPr>
          <w:hyperlink w:history="true" w:anchor="_bookmark2">
            <w:r>
              <w:rPr/>
              <w:t>Introducción</w:t>
              <w:tab/>
              <w:t>1</w:t>
            </w:r>
          </w:hyperlink>
        </w:p>
        <w:p>
          <w:pPr>
            <w:pStyle w:val="TOC1"/>
            <w:numPr>
              <w:ilvl w:val="0"/>
              <w:numId w:val="1"/>
            </w:numPr>
            <w:tabs>
              <w:tab w:pos="580" w:val="left" w:leader="none"/>
              <w:tab w:pos="581" w:val="left" w:leader="none"/>
              <w:tab w:pos="8932" w:val="right" w:leader="dot"/>
            </w:tabs>
            <w:spacing w:line="240" w:lineRule="auto" w:before="158" w:after="0"/>
            <w:ind w:left="580" w:right="0" w:hanging="480"/>
            <w:jc w:val="left"/>
          </w:pPr>
          <w:hyperlink w:history="true" w:anchor="_bookmark3">
            <w:r>
              <w:rPr/>
              <w:t>Antecedentes</w:t>
              <w:tab/>
              <w:t>3</w:t>
            </w:r>
          </w:hyperlink>
        </w:p>
        <w:p>
          <w:pPr>
            <w:pStyle w:val="TOC2"/>
            <w:numPr>
              <w:ilvl w:val="1"/>
              <w:numId w:val="1"/>
            </w:numPr>
            <w:tabs>
              <w:tab w:pos="980" w:val="left" w:leader="none"/>
              <w:tab w:pos="981" w:val="left" w:leader="none"/>
              <w:tab w:pos="8932" w:val="right" w:leader="dot"/>
            </w:tabs>
            <w:spacing w:line="273" w:lineRule="auto" w:before="158" w:after="0"/>
            <w:ind w:left="340" w:right="105" w:firstLine="0"/>
            <w:jc w:val="left"/>
          </w:pPr>
          <w:hyperlink w:history="true" w:anchor="_bookmark4">
            <w:r>
              <w:rPr/>
              <w:t>Formas de impartición de la Radioterapia de Intensidad Modulada (IMRT, siglas</w:t>
            </w:r>
          </w:hyperlink>
          <w:r>
            <w:rPr/>
            <w:t> </w:t>
          </w:r>
          <w:hyperlink w:history="true" w:anchor="_bookmark4">
            <w:r>
              <w:rPr/>
              <w:t>en</w:t>
            </w:r>
            <w:r>
              <w:rPr>
                <w:spacing w:val="-4"/>
              </w:rPr>
              <w:t> </w:t>
            </w:r>
            <w:r>
              <w:rPr/>
              <w:t>inglés)</w:t>
              <w:tab/>
              <w:t>3</w:t>
            </w:r>
          </w:hyperlink>
        </w:p>
        <w:p>
          <w:pPr>
            <w:pStyle w:val="TOC2"/>
            <w:numPr>
              <w:ilvl w:val="1"/>
              <w:numId w:val="1"/>
            </w:numPr>
            <w:tabs>
              <w:tab w:pos="980" w:val="left" w:leader="none"/>
              <w:tab w:pos="981" w:val="left" w:leader="none"/>
              <w:tab w:pos="8931" w:val="right" w:leader="dot"/>
            </w:tabs>
            <w:spacing w:line="240" w:lineRule="auto" w:before="123" w:after="0"/>
            <w:ind w:left="981" w:right="0" w:hanging="641"/>
            <w:jc w:val="left"/>
          </w:pPr>
          <w:hyperlink w:history="true" w:anchor="_bookmark7">
            <w:r>
              <w:rPr/>
              <w:t>Sistemas</w:t>
            </w:r>
            <w:r>
              <w:rPr>
                <w:spacing w:val="-2"/>
              </w:rPr>
              <w:t> </w:t>
            </w:r>
            <w:r>
              <w:rPr/>
              <w:t>de</w:t>
            </w:r>
            <w:r>
              <w:rPr>
                <w:spacing w:val="-1"/>
              </w:rPr>
              <w:t> </w:t>
            </w:r>
            <w:r>
              <w:rPr/>
              <w:t>planeación</w:t>
              <w:tab/>
              <w:t>6</w:t>
            </w:r>
          </w:hyperlink>
        </w:p>
        <w:p>
          <w:pPr>
            <w:pStyle w:val="TOC2"/>
            <w:numPr>
              <w:ilvl w:val="1"/>
              <w:numId w:val="1"/>
            </w:numPr>
            <w:tabs>
              <w:tab w:pos="980" w:val="left" w:leader="none"/>
              <w:tab w:pos="981" w:val="left" w:leader="none"/>
              <w:tab w:pos="8930" w:val="right" w:leader="dot"/>
            </w:tabs>
            <w:spacing w:line="240" w:lineRule="auto" w:before="158" w:after="0"/>
            <w:ind w:left="981" w:right="0" w:hanging="641"/>
            <w:jc w:val="left"/>
          </w:pPr>
          <w:hyperlink w:history="true" w:anchor="_bookmark8">
            <w:r>
              <w:rPr/>
              <w:t>Control de calidad</w:t>
            </w:r>
            <w:r>
              <w:rPr>
                <w:spacing w:val="-2"/>
              </w:rPr>
              <w:t> </w:t>
            </w:r>
            <w:r>
              <w:rPr/>
              <w:t>en</w:t>
            </w:r>
            <w:r>
              <w:rPr>
                <w:spacing w:val="-5"/>
              </w:rPr>
              <w:t> </w:t>
            </w:r>
            <w:r>
              <w:rPr/>
              <w:t>IMRT</w:t>
              <w:tab/>
              <w:t>8</w:t>
            </w:r>
          </w:hyperlink>
        </w:p>
        <w:p>
          <w:pPr>
            <w:pStyle w:val="TOC3"/>
            <w:numPr>
              <w:ilvl w:val="2"/>
              <w:numId w:val="1"/>
            </w:numPr>
            <w:tabs>
              <w:tab w:pos="1420" w:val="left" w:leader="none"/>
              <w:tab w:pos="1421" w:val="left" w:leader="none"/>
              <w:tab w:pos="8935" w:val="right" w:leader="dot"/>
            </w:tabs>
            <w:spacing w:line="240" w:lineRule="auto" w:before="158" w:after="0"/>
            <w:ind w:left="1421" w:right="0" w:hanging="837"/>
            <w:jc w:val="left"/>
          </w:pPr>
          <w:hyperlink w:history="true" w:anchor="_bookmark9">
            <w:r>
              <w:rPr/>
              <w:t>Diferencia</w:t>
            </w:r>
            <w:r>
              <w:rPr>
                <w:spacing w:val="-1"/>
              </w:rPr>
              <w:t> </w:t>
            </w:r>
            <w:r>
              <w:rPr/>
              <w:t>de</w:t>
            </w:r>
            <w:r>
              <w:rPr>
                <w:spacing w:val="-4"/>
              </w:rPr>
              <w:t> </w:t>
            </w:r>
            <w:r>
              <w:rPr/>
              <w:t>dosis</w:t>
              <w:tab/>
              <w:t>10</w:t>
            </w:r>
          </w:hyperlink>
        </w:p>
        <w:p>
          <w:pPr>
            <w:pStyle w:val="TOC3"/>
            <w:numPr>
              <w:ilvl w:val="2"/>
              <w:numId w:val="1"/>
            </w:numPr>
            <w:tabs>
              <w:tab w:pos="1420" w:val="left" w:leader="none"/>
              <w:tab w:pos="1421" w:val="left" w:leader="none"/>
              <w:tab w:pos="8934" w:val="right" w:leader="dot"/>
            </w:tabs>
            <w:spacing w:line="240" w:lineRule="auto" w:before="158" w:after="0"/>
            <w:ind w:left="1421" w:right="0" w:hanging="837"/>
            <w:jc w:val="left"/>
          </w:pPr>
          <w:hyperlink w:history="true" w:anchor="_bookmark10">
            <w:r>
              <w:rPr/>
              <w:t>Distancia</w:t>
            </w:r>
            <w:r>
              <w:rPr>
                <w:spacing w:val="-2"/>
              </w:rPr>
              <w:t> </w:t>
            </w:r>
            <w:r>
              <w:rPr/>
              <w:t>en</w:t>
            </w:r>
            <w:r>
              <w:rPr>
                <w:spacing w:val="-5"/>
              </w:rPr>
              <w:t> </w:t>
            </w:r>
            <w:r>
              <w:rPr/>
              <w:t>concordancia</w:t>
              <w:tab/>
              <w:t>11</w:t>
            </w:r>
          </w:hyperlink>
        </w:p>
        <w:p>
          <w:pPr>
            <w:pStyle w:val="TOC3"/>
            <w:numPr>
              <w:ilvl w:val="2"/>
              <w:numId w:val="1"/>
            </w:numPr>
            <w:tabs>
              <w:tab w:pos="1420" w:val="left" w:leader="none"/>
              <w:tab w:pos="1421" w:val="left" w:leader="none"/>
              <w:tab w:pos="8934" w:val="right" w:leader="dot"/>
            </w:tabs>
            <w:spacing w:line="240" w:lineRule="auto" w:before="158" w:after="0"/>
            <w:ind w:left="1421" w:right="0" w:hanging="837"/>
            <w:jc w:val="left"/>
          </w:pPr>
          <w:hyperlink w:history="true" w:anchor="_bookmark11">
            <w:r>
              <w:rPr/>
              <w:t>Índice</w:t>
            </w:r>
            <w:r>
              <w:rPr>
                <w:spacing w:val="-2"/>
              </w:rPr>
              <w:t> </w:t>
            </w:r>
            <w:r>
              <w:rPr/>
              <w:t>Gamma</w:t>
              <w:tab/>
              <w:t>11</w:t>
            </w:r>
          </w:hyperlink>
        </w:p>
        <w:p>
          <w:pPr>
            <w:pStyle w:val="TOC2"/>
            <w:numPr>
              <w:ilvl w:val="1"/>
              <w:numId w:val="1"/>
            </w:numPr>
            <w:tabs>
              <w:tab w:pos="980" w:val="left" w:leader="none"/>
              <w:tab w:pos="981" w:val="left" w:leader="none"/>
              <w:tab w:pos="8935" w:val="right" w:leader="dot"/>
            </w:tabs>
            <w:spacing w:line="240" w:lineRule="auto" w:before="158" w:after="0"/>
            <w:ind w:left="981" w:right="0" w:hanging="641"/>
            <w:jc w:val="left"/>
          </w:pPr>
          <w:hyperlink w:history="true" w:anchor="_bookmark13">
            <w:r>
              <w:rPr/>
              <w:t>Dosimetría</w:t>
              <w:tab/>
              <w:t>12</w:t>
            </w:r>
          </w:hyperlink>
        </w:p>
        <w:p>
          <w:pPr>
            <w:pStyle w:val="TOC3"/>
            <w:numPr>
              <w:ilvl w:val="2"/>
              <w:numId w:val="1"/>
            </w:numPr>
            <w:tabs>
              <w:tab w:pos="1420" w:val="left" w:leader="none"/>
              <w:tab w:pos="1421" w:val="left" w:leader="none"/>
              <w:tab w:pos="8932" w:val="right" w:leader="dot"/>
            </w:tabs>
            <w:spacing w:line="240" w:lineRule="auto" w:before="154" w:after="0"/>
            <w:ind w:left="1421" w:right="0" w:hanging="837"/>
            <w:jc w:val="left"/>
          </w:pPr>
          <w:hyperlink w:history="true" w:anchor="_bookmark14">
            <w:r>
              <w:rPr/>
              <w:t>Dosimetría</w:t>
            </w:r>
            <w:r>
              <w:rPr>
                <w:spacing w:val="-1"/>
              </w:rPr>
              <w:t> </w:t>
            </w:r>
            <w:r>
              <w:rPr/>
              <w:t>con</w:t>
            </w:r>
            <w:r>
              <w:rPr>
                <w:spacing w:val="-4"/>
              </w:rPr>
              <w:t> </w:t>
            </w:r>
            <w:r>
              <w:rPr/>
              <w:t>película</w:t>
              <w:tab/>
              <w:t>14</w:t>
            </w:r>
          </w:hyperlink>
        </w:p>
        <w:p>
          <w:pPr>
            <w:pStyle w:val="TOC3"/>
            <w:numPr>
              <w:ilvl w:val="2"/>
              <w:numId w:val="1"/>
            </w:numPr>
            <w:tabs>
              <w:tab w:pos="1420" w:val="left" w:leader="none"/>
              <w:tab w:pos="1421" w:val="left" w:leader="none"/>
              <w:tab w:pos="8932" w:val="right" w:leader="dot"/>
            </w:tabs>
            <w:spacing w:line="240" w:lineRule="auto" w:before="158" w:after="0"/>
            <w:ind w:left="1421" w:right="0" w:hanging="837"/>
            <w:jc w:val="left"/>
          </w:pPr>
          <w:hyperlink w:history="true" w:anchor="_bookmark15">
            <w:r>
              <w:rPr/>
              <w:t>Películas</w:t>
            </w:r>
            <w:r>
              <w:rPr>
                <w:spacing w:val="-2"/>
              </w:rPr>
              <w:t> </w:t>
            </w:r>
            <w:r>
              <w:rPr/>
              <w:t>Radiográficas</w:t>
              <w:tab/>
              <w:t>14</w:t>
            </w:r>
          </w:hyperlink>
        </w:p>
        <w:p>
          <w:pPr>
            <w:pStyle w:val="TOC3"/>
            <w:numPr>
              <w:ilvl w:val="2"/>
              <w:numId w:val="1"/>
            </w:numPr>
            <w:tabs>
              <w:tab w:pos="1420" w:val="left" w:leader="none"/>
              <w:tab w:pos="1421" w:val="left" w:leader="none"/>
              <w:tab w:pos="8932" w:val="right" w:leader="dot"/>
            </w:tabs>
            <w:spacing w:line="240" w:lineRule="auto" w:before="158" w:after="0"/>
            <w:ind w:left="1421" w:right="0" w:hanging="837"/>
            <w:jc w:val="left"/>
          </w:pPr>
          <w:hyperlink w:history="true" w:anchor="_bookmark16">
            <w:r>
              <w:rPr/>
              <w:t>Películas</w:t>
            </w:r>
            <w:r>
              <w:rPr>
                <w:spacing w:val="-2"/>
              </w:rPr>
              <w:t> </w:t>
            </w:r>
            <w:r>
              <w:rPr/>
              <w:t>Radiocrómicas</w:t>
              <w:tab/>
              <w:t>16</w:t>
            </w:r>
          </w:hyperlink>
        </w:p>
        <w:p>
          <w:pPr>
            <w:pStyle w:val="TOC3"/>
            <w:numPr>
              <w:ilvl w:val="2"/>
              <w:numId w:val="1"/>
            </w:numPr>
            <w:tabs>
              <w:tab w:pos="1420" w:val="left" w:leader="none"/>
              <w:tab w:pos="1421" w:val="left" w:leader="none"/>
              <w:tab w:pos="8934" w:val="right" w:leader="dot"/>
            </w:tabs>
            <w:spacing w:line="240" w:lineRule="auto" w:before="158" w:after="0"/>
            <w:ind w:left="1421" w:right="0" w:hanging="837"/>
            <w:jc w:val="left"/>
          </w:pPr>
          <w:hyperlink w:history="true" w:anchor="_bookmark17">
            <w:r>
              <w:rPr/>
              <w:t>Películas radiocrómicas</w:t>
            </w:r>
            <w:r>
              <w:rPr>
                <w:spacing w:val="-3"/>
              </w:rPr>
              <w:t> </w:t>
            </w:r>
            <w:r>
              <w:rPr/>
              <w:t>Gafchromic</w:t>
            </w:r>
            <w:r>
              <w:rPr>
                <w:spacing w:val="-3"/>
              </w:rPr>
              <w:t> </w:t>
            </w:r>
            <w:r>
              <w:rPr/>
              <w:t>EBT</w:t>
              <w:tab/>
              <w:t>17</w:t>
            </w:r>
          </w:hyperlink>
        </w:p>
        <w:p>
          <w:pPr>
            <w:pStyle w:val="TOC3"/>
            <w:numPr>
              <w:ilvl w:val="2"/>
              <w:numId w:val="1"/>
            </w:numPr>
            <w:tabs>
              <w:tab w:pos="1420" w:val="left" w:leader="none"/>
              <w:tab w:pos="1421" w:val="left" w:leader="none"/>
              <w:tab w:pos="8932" w:val="right" w:leader="dot"/>
            </w:tabs>
            <w:spacing w:line="240" w:lineRule="auto" w:before="158" w:after="0"/>
            <w:ind w:left="1421" w:right="0" w:hanging="837"/>
            <w:jc w:val="left"/>
          </w:pPr>
          <w:hyperlink w:history="true" w:anchor="_bookmark19">
            <w:r>
              <w:rPr/>
              <w:t>Películas</w:t>
            </w:r>
            <w:r>
              <w:rPr>
                <w:spacing w:val="-2"/>
              </w:rPr>
              <w:t> </w:t>
            </w:r>
            <w:r>
              <w:rPr/>
              <w:t>radiocrómicas</w:t>
            </w:r>
            <w:r>
              <w:rPr>
                <w:spacing w:val="-2"/>
              </w:rPr>
              <w:t> </w:t>
            </w:r>
            <w:r>
              <w:rPr/>
              <w:t>EBT3</w:t>
              <w:tab/>
              <w:t>19</w:t>
            </w:r>
          </w:hyperlink>
        </w:p>
        <w:p>
          <w:pPr>
            <w:pStyle w:val="TOC3"/>
            <w:numPr>
              <w:ilvl w:val="2"/>
              <w:numId w:val="1"/>
            </w:numPr>
            <w:tabs>
              <w:tab w:pos="1420" w:val="left" w:leader="none"/>
              <w:tab w:pos="1421" w:val="left" w:leader="none"/>
              <w:tab w:pos="8935" w:val="right" w:leader="dot"/>
            </w:tabs>
            <w:spacing w:line="240" w:lineRule="auto" w:before="158" w:after="0"/>
            <w:ind w:left="1421" w:right="0" w:hanging="837"/>
            <w:jc w:val="left"/>
          </w:pPr>
          <w:hyperlink w:history="true" w:anchor="_bookmark21">
            <w:r>
              <w:rPr/>
              <w:t>Calibración de</w:t>
            </w:r>
            <w:r>
              <w:rPr>
                <w:spacing w:val="-5"/>
              </w:rPr>
              <w:t> </w:t>
            </w:r>
            <w:r>
              <w:rPr/>
              <w:t>películas</w:t>
            </w:r>
            <w:r>
              <w:rPr>
                <w:spacing w:val="-6"/>
              </w:rPr>
              <w:t> </w:t>
            </w:r>
            <w:r>
              <w:rPr/>
              <w:t>radiocrómicas</w:t>
              <w:tab/>
              <w:t>20</w:t>
            </w:r>
          </w:hyperlink>
        </w:p>
        <w:p>
          <w:pPr>
            <w:pStyle w:val="TOC1"/>
            <w:numPr>
              <w:ilvl w:val="0"/>
              <w:numId w:val="1"/>
            </w:numPr>
            <w:tabs>
              <w:tab w:pos="580" w:val="left" w:leader="none"/>
              <w:tab w:pos="581" w:val="left" w:leader="none"/>
              <w:tab w:pos="8934" w:val="right" w:leader="dot"/>
            </w:tabs>
            <w:spacing w:line="240" w:lineRule="auto" w:before="158" w:after="0"/>
            <w:ind w:left="580" w:right="0" w:hanging="480"/>
            <w:jc w:val="left"/>
          </w:pPr>
          <w:hyperlink w:history="true" w:anchor="_bookmark22">
            <w:r>
              <w:rPr/>
              <w:t>Hipótesis, objetivos generales</w:t>
            </w:r>
            <w:r>
              <w:rPr>
                <w:spacing w:val="-4"/>
              </w:rPr>
              <w:t> </w:t>
            </w:r>
            <w:r>
              <w:rPr/>
              <w:t>y</w:t>
            </w:r>
            <w:r>
              <w:rPr>
                <w:spacing w:val="-3"/>
              </w:rPr>
              <w:t> </w:t>
            </w:r>
            <w:r>
              <w:rPr/>
              <w:t>específicos</w:t>
              <w:tab/>
              <w:t>22</w:t>
            </w:r>
          </w:hyperlink>
        </w:p>
        <w:p>
          <w:pPr>
            <w:pStyle w:val="TOC2"/>
            <w:numPr>
              <w:ilvl w:val="1"/>
              <w:numId w:val="1"/>
            </w:numPr>
            <w:tabs>
              <w:tab w:pos="980" w:val="left" w:leader="none"/>
              <w:tab w:pos="981" w:val="left" w:leader="none"/>
              <w:tab w:pos="8934" w:val="right" w:leader="dot"/>
            </w:tabs>
            <w:spacing w:line="240" w:lineRule="auto" w:before="158" w:after="0"/>
            <w:ind w:left="981" w:right="0" w:hanging="641"/>
            <w:jc w:val="left"/>
          </w:pPr>
          <w:hyperlink w:history="true" w:anchor="_bookmark23">
            <w:r>
              <w:rPr/>
              <w:t>Planteamiento</w:t>
            </w:r>
            <w:r>
              <w:rPr>
                <w:spacing w:val="-1"/>
              </w:rPr>
              <w:t> </w:t>
            </w:r>
            <w:r>
              <w:rPr/>
              <w:t>del</w:t>
            </w:r>
            <w:r>
              <w:rPr>
                <w:spacing w:val="-2"/>
              </w:rPr>
              <w:t> </w:t>
            </w:r>
            <w:r>
              <w:rPr/>
              <w:t>problema</w:t>
              <w:tab/>
              <w:t>22</w:t>
            </w:r>
          </w:hyperlink>
        </w:p>
        <w:p>
          <w:pPr>
            <w:pStyle w:val="TOC2"/>
            <w:numPr>
              <w:ilvl w:val="1"/>
              <w:numId w:val="1"/>
            </w:numPr>
            <w:tabs>
              <w:tab w:pos="980" w:val="left" w:leader="none"/>
              <w:tab w:pos="981" w:val="left" w:leader="none"/>
              <w:tab w:pos="8934" w:val="right" w:leader="dot"/>
            </w:tabs>
            <w:spacing w:line="240" w:lineRule="auto" w:before="154" w:after="0"/>
            <w:ind w:left="981" w:right="0" w:hanging="641"/>
            <w:jc w:val="left"/>
          </w:pPr>
          <w:hyperlink w:history="true" w:anchor="_bookmark24">
            <w:r>
              <w:rPr/>
              <w:t>Pregunta</w:t>
            </w:r>
            <w:r>
              <w:rPr>
                <w:spacing w:val="-2"/>
              </w:rPr>
              <w:t> </w:t>
            </w:r>
            <w:r>
              <w:rPr/>
              <w:t>de</w:t>
            </w:r>
            <w:r>
              <w:rPr>
                <w:spacing w:val="-1"/>
              </w:rPr>
              <w:t> </w:t>
            </w:r>
            <w:r>
              <w:rPr/>
              <w:t>investigación</w:t>
              <w:tab/>
              <w:t>22</w:t>
            </w:r>
          </w:hyperlink>
        </w:p>
        <w:p>
          <w:pPr>
            <w:pStyle w:val="TOC2"/>
            <w:numPr>
              <w:ilvl w:val="1"/>
              <w:numId w:val="1"/>
            </w:numPr>
            <w:tabs>
              <w:tab w:pos="980" w:val="left" w:leader="none"/>
              <w:tab w:pos="981" w:val="left" w:leader="none"/>
              <w:tab w:pos="8934" w:val="right" w:leader="dot"/>
            </w:tabs>
            <w:spacing w:line="240" w:lineRule="auto" w:before="158" w:after="0"/>
            <w:ind w:left="981" w:right="0" w:hanging="641"/>
            <w:jc w:val="left"/>
          </w:pPr>
          <w:hyperlink w:history="true" w:anchor="_bookmark25">
            <w:r>
              <w:rPr/>
              <w:t>Hipótesis</w:t>
              <w:tab/>
              <w:t>22</w:t>
            </w:r>
          </w:hyperlink>
        </w:p>
        <w:p>
          <w:pPr>
            <w:pStyle w:val="TOC2"/>
            <w:numPr>
              <w:ilvl w:val="1"/>
              <w:numId w:val="1"/>
            </w:numPr>
            <w:tabs>
              <w:tab w:pos="980" w:val="left" w:leader="none"/>
              <w:tab w:pos="981" w:val="left" w:leader="none"/>
              <w:tab w:pos="8934" w:val="right" w:leader="dot"/>
            </w:tabs>
            <w:spacing w:line="240" w:lineRule="auto" w:before="158" w:after="0"/>
            <w:ind w:left="981" w:right="0" w:hanging="641"/>
            <w:jc w:val="left"/>
          </w:pPr>
          <w:hyperlink w:history="true" w:anchor="_bookmark26">
            <w:r>
              <w:rPr/>
              <w:t>Objetivo</w:t>
            </w:r>
            <w:r>
              <w:rPr>
                <w:spacing w:val="-2"/>
              </w:rPr>
              <w:t> </w:t>
            </w:r>
            <w:r>
              <w:rPr/>
              <w:t>general</w:t>
              <w:tab/>
              <w:t>22</w:t>
            </w:r>
          </w:hyperlink>
        </w:p>
        <w:p>
          <w:pPr>
            <w:pStyle w:val="TOC2"/>
            <w:numPr>
              <w:ilvl w:val="1"/>
              <w:numId w:val="1"/>
            </w:numPr>
            <w:tabs>
              <w:tab w:pos="980" w:val="left" w:leader="none"/>
              <w:tab w:pos="981" w:val="left" w:leader="none"/>
              <w:tab w:pos="8933" w:val="right" w:leader="dot"/>
            </w:tabs>
            <w:spacing w:line="240" w:lineRule="auto" w:before="158" w:after="0"/>
            <w:ind w:left="981" w:right="0" w:hanging="641"/>
            <w:jc w:val="left"/>
          </w:pPr>
          <w:hyperlink w:history="true" w:anchor="_bookmark27">
            <w:r>
              <w:rPr/>
              <w:t>Objetivos</w:t>
            </w:r>
            <w:r>
              <w:rPr>
                <w:spacing w:val="-2"/>
              </w:rPr>
              <w:t> </w:t>
            </w:r>
            <w:r>
              <w:rPr/>
              <w:t>específicos</w:t>
              <w:tab/>
              <w:t>23</w:t>
            </w:r>
          </w:hyperlink>
        </w:p>
        <w:p>
          <w:pPr>
            <w:pStyle w:val="TOC1"/>
            <w:numPr>
              <w:ilvl w:val="0"/>
              <w:numId w:val="1"/>
            </w:numPr>
            <w:tabs>
              <w:tab w:pos="580" w:val="left" w:leader="none"/>
              <w:tab w:pos="581" w:val="left" w:leader="none"/>
              <w:tab w:pos="8932" w:val="right" w:leader="dot"/>
            </w:tabs>
            <w:spacing w:line="240" w:lineRule="auto" w:before="158" w:after="0"/>
            <w:ind w:left="580" w:right="0" w:hanging="480"/>
            <w:jc w:val="left"/>
          </w:pPr>
          <w:hyperlink w:history="true" w:anchor="_bookmark28">
            <w:r>
              <w:rPr/>
              <w:t>Materiales</w:t>
            </w:r>
            <w:r>
              <w:rPr>
                <w:spacing w:val="-2"/>
              </w:rPr>
              <w:t> </w:t>
            </w:r>
            <w:r>
              <w:rPr/>
              <w:t>y</w:t>
            </w:r>
            <w:r>
              <w:rPr>
                <w:spacing w:val="-3"/>
              </w:rPr>
              <w:t> </w:t>
            </w:r>
            <w:r>
              <w:rPr/>
              <w:t>equipo</w:t>
              <w:tab/>
              <w:t>24</w:t>
            </w:r>
          </w:hyperlink>
        </w:p>
        <w:p>
          <w:pPr>
            <w:pStyle w:val="TOC2"/>
            <w:numPr>
              <w:ilvl w:val="1"/>
              <w:numId w:val="1"/>
            </w:numPr>
            <w:tabs>
              <w:tab w:pos="980" w:val="left" w:leader="none"/>
              <w:tab w:pos="981" w:val="left" w:leader="none"/>
              <w:tab w:pos="8932" w:val="right" w:leader="dot"/>
            </w:tabs>
            <w:spacing w:line="240" w:lineRule="auto" w:before="158" w:after="0"/>
            <w:ind w:left="981" w:right="0" w:hanging="641"/>
            <w:jc w:val="left"/>
          </w:pPr>
          <w:hyperlink w:history="true" w:anchor="_bookmark29">
            <w:r>
              <w:rPr/>
              <w:t>Películas radiocrómicas</w:t>
            </w:r>
            <w:r>
              <w:rPr>
                <w:spacing w:val="-3"/>
              </w:rPr>
              <w:t> </w:t>
            </w:r>
            <w:r>
              <w:rPr/>
              <w:t>Gafchromic</w:t>
            </w:r>
            <w:r>
              <w:rPr>
                <w:spacing w:val="-3"/>
              </w:rPr>
              <w:t> </w:t>
            </w:r>
            <w:r>
              <w:rPr/>
              <w:t>EBT3</w:t>
              <w:tab/>
              <w:t>24</w:t>
            </w:r>
          </w:hyperlink>
        </w:p>
        <w:p>
          <w:pPr>
            <w:pStyle w:val="TOC2"/>
            <w:numPr>
              <w:ilvl w:val="1"/>
              <w:numId w:val="1"/>
            </w:numPr>
            <w:tabs>
              <w:tab w:pos="980" w:val="left" w:leader="none"/>
              <w:tab w:pos="981" w:val="left" w:leader="none"/>
              <w:tab w:pos="8932" w:val="right" w:leader="dot"/>
            </w:tabs>
            <w:spacing w:line="240" w:lineRule="auto" w:before="158" w:after="0"/>
            <w:ind w:left="981" w:right="0" w:hanging="641"/>
            <w:jc w:val="left"/>
          </w:pPr>
          <w:hyperlink w:history="true" w:anchor="_bookmark31">
            <w:r>
              <w:rPr/>
              <w:t>Películas radiográficas</w:t>
            </w:r>
            <w:r>
              <w:rPr>
                <w:spacing w:val="-3"/>
              </w:rPr>
              <w:t> </w:t>
            </w:r>
            <w:r>
              <w:rPr/>
              <w:t>Carestream</w:t>
            </w:r>
            <w:r>
              <w:rPr>
                <w:spacing w:val="-4"/>
              </w:rPr>
              <w:t> </w:t>
            </w:r>
            <w:r>
              <w:rPr/>
              <w:t>EDR2</w:t>
              <w:tab/>
              <w:t>24</w:t>
            </w:r>
          </w:hyperlink>
        </w:p>
        <w:p>
          <w:pPr>
            <w:pStyle w:val="TOC2"/>
            <w:numPr>
              <w:ilvl w:val="1"/>
              <w:numId w:val="1"/>
            </w:numPr>
            <w:tabs>
              <w:tab w:pos="980" w:val="left" w:leader="none"/>
              <w:tab w:pos="981" w:val="left" w:leader="none"/>
              <w:tab w:pos="8932" w:val="right" w:leader="dot"/>
            </w:tabs>
            <w:spacing w:line="240" w:lineRule="auto" w:before="154" w:after="0"/>
            <w:ind w:left="981" w:right="0" w:hanging="641"/>
            <w:jc w:val="left"/>
          </w:pPr>
          <w:hyperlink w:history="true" w:anchor="_bookmark34">
            <w:r>
              <w:rPr/>
              <w:t>Acelerador lineal</w:t>
            </w:r>
            <w:r>
              <w:rPr>
                <w:spacing w:val="-2"/>
              </w:rPr>
              <w:t> </w:t>
            </w:r>
            <w:r>
              <w:rPr/>
              <w:t>Varian</w:t>
            </w:r>
            <w:r>
              <w:rPr>
                <w:spacing w:val="-5"/>
              </w:rPr>
              <w:t> </w:t>
            </w:r>
            <w:r>
              <w:rPr/>
              <w:t>21EX</w:t>
              <w:tab/>
              <w:t>26</w:t>
            </w:r>
          </w:hyperlink>
        </w:p>
        <w:p>
          <w:pPr>
            <w:pStyle w:val="TOC2"/>
            <w:numPr>
              <w:ilvl w:val="1"/>
              <w:numId w:val="1"/>
            </w:numPr>
            <w:tabs>
              <w:tab w:pos="980" w:val="left" w:leader="none"/>
              <w:tab w:pos="981" w:val="left" w:leader="none"/>
              <w:tab w:pos="8932" w:val="right" w:leader="dot"/>
            </w:tabs>
            <w:spacing w:line="240" w:lineRule="auto" w:before="158" w:after="0"/>
            <w:ind w:left="981" w:right="0" w:hanging="641"/>
            <w:jc w:val="left"/>
          </w:pPr>
          <w:hyperlink w:history="true" w:anchor="_bookmark36">
            <w:r>
              <w:rPr/>
              <w:t>Maniquí de</w:t>
            </w:r>
            <w:r>
              <w:rPr>
                <w:spacing w:val="-3"/>
              </w:rPr>
              <w:t> </w:t>
            </w:r>
            <w:r>
              <w:rPr/>
              <w:t>placas</w:t>
            </w:r>
            <w:r>
              <w:rPr>
                <w:spacing w:val="-2"/>
              </w:rPr>
              <w:t> </w:t>
            </w:r>
            <w:r>
              <w:rPr/>
              <w:t>solidas</w:t>
              <w:tab/>
              <w:t>26</w:t>
            </w:r>
          </w:hyperlink>
        </w:p>
        <w:p>
          <w:pPr>
            <w:pStyle w:val="TOC2"/>
            <w:numPr>
              <w:ilvl w:val="1"/>
              <w:numId w:val="1"/>
            </w:numPr>
            <w:tabs>
              <w:tab w:pos="980" w:val="left" w:leader="none"/>
              <w:tab w:pos="981" w:val="left" w:leader="none"/>
              <w:tab w:pos="8934" w:val="right" w:leader="dot"/>
            </w:tabs>
            <w:spacing w:line="240" w:lineRule="auto" w:before="158" w:after="0"/>
            <w:ind w:left="981" w:right="0" w:hanging="641"/>
            <w:jc w:val="left"/>
          </w:pPr>
          <w:hyperlink w:history="true" w:anchor="_bookmark38">
            <w:r>
              <w:rPr/>
              <w:t>Maniqui</w:t>
            </w:r>
            <w:r>
              <w:rPr>
                <w:spacing w:val="-2"/>
              </w:rPr>
              <w:t> </w:t>
            </w:r>
            <w:r>
              <w:rPr/>
              <w:t>de</w:t>
            </w:r>
            <w:r>
              <w:rPr>
                <w:spacing w:val="-1"/>
              </w:rPr>
              <w:t> </w:t>
            </w:r>
            <w:r>
              <w:rPr/>
              <w:t>acrilico</w:t>
              <w:tab/>
              <w:t>27</w:t>
            </w:r>
          </w:hyperlink>
        </w:p>
        <w:p>
          <w:pPr>
            <w:pStyle w:val="TOC2"/>
            <w:numPr>
              <w:ilvl w:val="1"/>
              <w:numId w:val="1"/>
            </w:numPr>
            <w:tabs>
              <w:tab w:pos="980" w:val="left" w:leader="none"/>
              <w:tab w:pos="981" w:val="left" w:leader="none"/>
              <w:tab w:pos="8931" w:val="right" w:leader="dot"/>
            </w:tabs>
            <w:spacing w:line="240" w:lineRule="auto" w:before="158" w:after="0"/>
            <w:ind w:left="981" w:right="0" w:hanging="641"/>
            <w:jc w:val="left"/>
          </w:pPr>
          <w:hyperlink w:history="true" w:anchor="_bookmark40">
            <w:r>
              <w:rPr/>
              <w:t>Cámara</w:t>
            </w:r>
            <w:r>
              <w:rPr>
                <w:spacing w:val="-2"/>
              </w:rPr>
              <w:t> </w:t>
            </w:r>
            <w:r>
              <w:rPr/>
              <w:t>de</w:t>
            </w:r>
            <w:r>
              <w:rPr>
                <w:spacing w:val="-1"/>
              </w:rPr>
              <w:t> </w:t>
            </w:r>
            <w:r>
              <w:rPr/>
              <w:t>ionización</w:t>
              <w:tab/>
              <w:t>28</w:t>
            </w:r>
          </w:hyperlink>
        </w:p>
        <w:p>
          <w:pPr>
            <w:pStyle w:val="TOC2"/>
            <w:numPr>
              <w:ilvl w:val="1"/>
              <w:numId w:val="1"/>
            </w:numPr>
            <w:tabs>
              <w:tab w:pos="980" w:val="left" w:leader="none"/>
              <w:tab w:pos="981" w:val="left" w:leader="none"/>
              <w:tab w:pos="8931" w:val="right" w:leader="dot"/>
            </w:tabs>
            <w:spacing w:line="240" w:lineRule="auto" w:before="55" w:after="0"/>
            <w:ind w:left="981" w:right="0" w:hanging="641"/>
            <w:jc w:val="left"/>
          </w:pPr>
          <w:hyperlink w:history="true" w:anchor="_bookmark42">
            <w:r>
              <w:rPr/>
              <w:t>Electrómetro</w:t>
              <w:tab/>
              <w:t>28</w:t>
            </w:r>
          </w:hyperlink>
        </w:p>
        <w:p>
          <w:pPr>
            <w:pStyle w:val="TOC2"/>
            <w:numPr>
              <w:ilvl w:val="1"/>
              <w:numId w:val="1"/>
            </w:numPr>
            <w:tabs>
              <w:tab w:pos="980" w:val="left" w:leader="none"/>
              <w:tab w:pos="981" w:val="left" w:leader="none"/>
              <w:tab w:pos="8932" w:val="right" w:leader="dot"/>
            </w:tabs>
            <w:spacing w:line="240" w:lineRule="auto" w:before="158" w:after="0"/>
            <w:ind w:left="981" w:right="0" w:hanging="641"/>
            <w:jc w:val="left"/>
          </w:pPr>
          <w:hyperlink w:history="true" w:anchor="_bookmark44">
            <w:r>
              <w:rPr/>
              <w:t>Escáner Epson</w:t>
            </w:r>
            <w:r>
              <w:rPr>
                <w:spacing w:val="47"/>
              </w:rPr>
              <w:t> </w:t>
            </w:r>
            <w:r>
              <w:rPr/>
              <w:t>Expression</w:t>
            </w:r>
            <w:r>
              <w:rPr>
                <w:spacing w:val="-5"/>
              </w:rPr>
              <w:t> </w:t>
            </w:r>
            <w:r>
              <w:rPr/>
              <w:t>10000XL</w:t>
              <w:tab/>
              <w:t>29</w:t>
            </w:r>
          </w:hyperlink>
        </w:p>
        <w:p>
          <w:pPr>
            <w:pStyle w:val="TOC2"/>
            <w:numPr>
              <w:ilvl w:val="1"/>
              <w:numId w:val="1"/>
            </w:numPr>
            <w:tabs>
              <w:tab w:pos="980" w:val="left" w:leader="none"/>
              <w:tab w:pos="981" w:val="left" w:leader="none"/>
              <w:tab w:pos="8928" w:val="right" w:leader="dot"/>
            </w:tabs>
            <w:spacing w:line="240" w:lineRule="auto" w:before="158" w:after="0"/>
            <w:ind w:left="981" w:right="0" w:hanging="641"/>
            <w:jc w:val="left"/>
          </w:pPr>
          <w:hyperlink w:history="true" w:anchor="_bookmark46">
            <w:r>
              <w:rPr/>
              <w:t>Escáner Vidar DosimetryPro</w:t>
            </w:r>
            <w:r>
              <w:rPr>
                <w:spacing w:val="-3"/>
              </w:rPr>
              <w:t> </w:t>
            </w:r>
            <w:r>
              <w:rPr/>
              <w:t>Advantage</w:t>
            </w:r>
            <w:r>
              <w:rPr>
                <w:spacing w:val="-1"/>
              </w:rPr>
              <w:t> </w:t>
            </w:r>
            <w:r>
              <w:rPr/>
              <w:t>(Red)</w:t>
              <w:tab/>
              <w:t>30</w:t>
            </w:r>
          </w:hyperlink>
        </w:p>
        <w:p>
          <w:pPr>
            <w:pStyle w:val="TOC2"/>
            <w:numPr>
              <w:ilvl w:val="1"/>
              <w:numId w:val="1"/>
            </w:numPr>
            <w:tabs>
              <w:tab w:pos="1200" w:val="left" w:leader="none"/>
              <w:tab w:pos="1201" w:val="left" w:leader="none"/>
              <w:tab w:pos="8928" w:val="right" w:leader="dot"/>
            </w:tabs>
            <w:spacing w:line="240" w:lineRule="auto" w:before="158" w:after="0"/>
            <w:ind w:left="1201" w:right="0" w:hanging="861"/>
            <w:jc w:val="left"/>
          </w:pPr>
          <w:hyperlink w:history="true" w:anchor="_bookmark48">
            <w:r>
              <w:rPr/>
              <w:t>Procesadora de películas radiográficas Kodak</w:t>
            </w:r>
            <w:r>
              <w:rPr>
                <w:spacing w:val="-14"/>
              </w:rPr>
              <w:t> </w:t>
            </w:r>
            <w:r>
              <w:rPr/>
              <w:t>M35</w:t>
            </w:r>
            <w:r>
              <w:rPr>
                <w:spacing w:val="-3"/>
              </w:rPr>
              <w:t> </w:t>
            </w:r>
            <w:r>
              <w:rPr/>
              <w:t>X-Omat</w:t>
              <w:tab/>
              <w:t>30</w:t>
            </w:r>
          </w:hyperlink>
        </w:p>
        <w:p>
          <w:pPr>
            <w:pStyle w:val="TOC2"/>
            <w:numPr>
              <w:ilvl w:val="1"/>
              <w:numId w:val="1"/>
            </w:numPr>
            <w:tabs>
              <w:tab w:pos="1200" w:val="left" w:leader="none"/>
              <w:tab w:pos="1201" w:val="left" w:leader="none"/>
              <w:tab w:pos="8928" w:val="right" w:leader="dot"/>
            </w:tabs>
            <w:spacing w:line="240" w:lineRule="auto" w:before="158" w:after="0"/>
            <w:ind w:left="1201" w:right="0" w:hanging="861"/>
            <w:jc w:val="left"/>
          </w:pPr>
          <w:hyperlink w:history="true" w:anchor="_bookmark50">
            <w:r>
              <w:rPr/>
              <w:t>Sistema de planeación</w:t>
            </w:r>
            <w:r>
              <w:rPr>
                <w:spacing w:val="-6"/>
              </w:rPr>
              <w:t> </w:t>
            </w:r>
            <w:r>
              <w:rPr/>
              <w:t>Eclipse</w:t>
            </w:r>
            <w:r>
              <w:rPr>
                <w:spacing w:val="-1"/>
              </w:rPr>
              <w:t> </w:t>
            </w:r>
            <w:r>
              <w:rPr/>
              <w:t>1.0</w:t>
              <w:tab/>
              <w:t>31</w:t>
            </w:r>
          </w:hyperlink>
        </w:p>
        <w:p>
          <w:pPr>
            <w:pStyle w:val="TOC2"/>
            <w:numPr>
              <w:ilvl w:val="1"/>
              <w:numId w:val="1"/>
            </w:numPr>
            <w:tabs>
              <w:tab w:pos="1200" w:val="left" w:leader="none"/>
              <w:tab w:pos="1201" w:val="left" w:leader="none"/>
              <w:tab w:pos="8928" w:val="right" w:leader="dot"/>
            </w:tabs>
            <w:spacing w:line="240" w:lineRule="auto" w:before="158" w:after="0"/>
            <w:ind w:left="1201" w:right="0" w:hanging="861"/>
            <w:jc w:val="left"/>
          </w:pPr>
          <w:hyperlink w:history="true" w:anchor="_bookmark51">
            <w:r>
              <w:rPr/>
              <w:t>Image</w:t>
            </w:r>
            <w:r>
              <w:rPr>
                <w:spacing w:val="-1"/>
              </w:rPr>
              <w:t> </w:t>
            </w:r>
            <w:r>
              <w:rPr/>
              <w:t>J</w:t>
              <w:tab/>
              <w:t>31</w:t>
            </w:r>
          </w:hyperlink>
        </w:p>
        <w:p>
          <w:pPr>
            <w:pStyle w:val="TOC2"/>
            <w:numPr>
              <w:ilvl w:val="1"/>
              <w:numId w:val="1"/>
            </w:numPr>
            <w:tabs>
              <w:tab w:pos="1200" w:val="left" w:leader="none"/>
              <w:tab w:pos="1201" w:val="left" w:leader="none"/>
              <w:tab w:pos="8928" w:val="right" w:leader="dot"/>
            </w:tabs>
            <w:spacing w:line="240" w:lineRule="auto" w:before="154" w:after="0"/>
            <w:ind w:left="1201" w:right="0" w:hanging="861"/>
            <w:jc w:val="left"/>
          </w:pPr>
          <w:hyperlink w:history="true" w:anchor="_bookmark52">
            <w:r>
              <w:rPr/>
              <w:t>Mephysto</w:t>
              <w:tab/>
              <w:t>31</w:t>
            </w:r>
          </w:hyperlink>
        </w:p>
        <w:p>
          <w:pPr>
            <w:pStyle w:val="TOC2"/>
            <w:numPr>
              <w:ilvl w:val="1"/>
              <w:numId w:val="1"/>
            </w:numPr>
            <w:tabs>
              <w:tab w:pos="1200" w:val="left" w:leader="none"/>
              <w:tab w:pos="1201" w:val="left" w:leader="none"/>
              <w:tab w:pos="8928" w:val="right" w:leader="dot"/>
            </w:tabs>
            <w:spacing w:line="240" w:lineRule="auto" w:before="158" w:after="0"/>
            <w:ind w:left="1201" w:right="0" w:hanging="861"/>
            <w:jc w:val="left"/>
          </w:pPr>
          <w:hyperlink w:history="true" w:anchor="_bookmark53">
            <w:r>
              <w:rPr/>
              <w:t>Verisoft</w:t>
              <w:tab/>
              <w:t>32</w:t>
            </w:r>
          </w:hyperlink>
        </w:p>
        <w:p>
          <w:pPr>
            <w:pStyle w:val="TOC1"/>
            <w:numPr>
              <w:ilvl w:val="0"/>
              <w:numId w:val="1"/>
            </w:numPr>
            <w:tabs>
              <w:tab w:pos="580" w:val="left" w:leader="none"/>
              <w:tab w:pos="581" w:val="left" w:leader="none"/>
              <w:tab w:pos="8926" w:val="right" w:leader="dot"/>
            </w:tabs>
            <w:spacing w:line="240" w:lineRule="auto" w:before="158" w:after="0"/>
            <w:ind w:left="580" w:right="0" w:hanging="480"/>
            <w:jc w:val="left"/>
          </w:pPr>
          <w:hyperlink w:history="true" w:anchor="_bookmark54">
            <w:r>
              <w:rPr/>
              <w:t>Metodología</w:t>
              <w:tab/>
              <w:t>33</w:t>
            </w:r>
          </w:hyperlink>
        </w:p>
        <w:p>
          <w:pPr>
            <w:pStyle w:val="TOC2"/>
            <w:numPr>
              <w:ilvl w:val="1"/>
              <w:numId w:val="1"/>
            </w:numPr>
            <w:tabs>
              <w:tab w:pos="980" w:val="left" w:leader="none"/>
              <w:tab w:pos="981" w:val="left" w:leader="none"/>
              <w:tab w:pos="8926" w:val="right" w:leader="dot"/>
            </w:tabs>
            <w:spacing w:line="240" w:lineRule="auto" w:before="158" w:after="0"/>
            <w:ind w:left="981" w:right="0" w:hanging="641"/>
            <w:jc w:val="left"/>
          </w:pPr>
          <w:hyperlink w:history="true" w:anchor="_bookmark55">
            <w:r>
              <w:rPr/>
              <w:t>Curva de calibración.</w:t>
            </w:r>
            <w:r>
              <w:rPr>
                <w:spacing w:val="-3"/>
              </w:rPr>
              <w:t> </w:t>
            </w:r>
            <w:r>
              <w:rPr/>
              <w:t>Películas</w:t>
            </w:r>
            <w:r>
              <w:rPr>
                <w:spacing w:val="-2"/>
              </w:rPr>
              <w:t> </w:t>
            </w:r>
            <w:r>
              <w:rPr/>
              <w:t>radiocrómicas</w:t>
              <w:tab/>
              <w:t>33</w:t>
            </w:r>
          </w:hyperlink>
        </w:p>
        <w:p>
          <w:pPr>
            <w:pStyle w:val="TOC2"/>
            <w:numPr>
              <w:ilvl w:val="1"/>
              <w:numId w:val="1"/>
            </w:numPr>
            <w:tabs>
              <w:tab w:pos="980" w:val="left" w:leader="none"/>
              <w:tab w:pos="981" w:val="left" w:leader="none"/>
              <w:tab w:pos="8929" w:val="right" w:leader="dot"/>
            </w:tabs>
            <w:spacing w:line="240" w:lineRule="auto" w:before="158" w:after="0"/>
            <w:ind w:left="981" w:right="0" w:hanging="641"/>
            <w:jc w:val="left"/>
          </w:pPr>
          <w:hyperlink w:history="true" w:anchor="_bookmark59">
            <w:r>
              <w:rPr/>
              <w:t>Calibración de</w:t>
            </w:r>
            <w:r>
              <w:rPr>
                <w:spacing w:val="-5"/>
              </w:rPr>
              <w:t> </w:t>
            </w:r>
            <w:r>
              <w:rPr/>
              <w:t>películas</w:t>
            </w:r>
            <w:r>
              <w:rPr>
                <w:spacing w:val="-6"/>
              </w:rPr>
              <w:t> </w:t>
            </w:r>
            <w:r>
              <w:rPr/>
              <w:t>radiográficas</w:t>
              <w:tab/>
              <w:t>35</w:t>
            </w:r>
          </w:hyperlink>
        </w:p>
        <w:p>
          <w:pPr>
            <w:pStyle w:val="TOC2"/>
            <w:numPr>
              <w:ilvl w:val="1"/>
              <w:numId w:val="1"/>
            </w:numPr>
            <w:tabs>
              <w:tab w:pos="980" w:val="left" w:leader="none"/>
              <w:tab w:pos="981" w:val="left" w:leader="none"/>
              <w:tab w:pos="8930" w:val="right" w:leader="dot"/>
            </w:tabs>
            <w:spacing w:line="240" w:lineRule="auto" w:before="158" w:after="0"/>
            <w:ind w:left="981" w:right="0" w:hanging="641"/>
            <w:jc w:val="left"/>
          </w:pPr>
          <w:hyperlink w:history="true" w:anchor="_bookmark61">
            <w:r>
              <w:rPr/>
              <w:t>Lectura de las</w:t>
            </w:r>
            <w:r>
              <w:rPr>
                <w:spacing w:val="-7"/>
              </w:rPr>
              <w:t> </w:t>
            </w:r>
            <w:r>
              <w:rPr/>
              <w:t>películas</w:t>
            </w:r>
            <w:r>
              <w:rPr>
                <w:spacing w:val="-6"/>
              </w:rPr>
              <w:t> </w:t>
            </w:r>
            <w:r>
              <w:rPr/>
              <w:t>radiocrómicas</w:t>
              <w:tab/>
              <w:t>36</w:t>
            </w:r>
          </w:hyperlink>
        </w:p>
        <w:p>
          <w:pPr>
            <w:pStyle w:val="TOC2"/>
            <w:numPr>
              <w:ilvl w:val="1"/>
              <w:numId w:val="1"/>
            </w:numPr>
            <w:tabs>
              <w:tab w:pos="980" w:val="left" w:leader="none"/>
              <w:tab w:pos="981" w:val="left" w:leader="none"/>
              <w:tab w:pos="8928" w:val="right" w:leader="dot"/>
            </w:tabs>
            <w:spacing w:line="240" w:lineRule="auto" w:before="158" w:after="0"/>
            <w:ind w:left="981" w:right="0" w:hanging="641"/>
            <w:jc w:val="left"/>
          </w:pPr>
          <w:hyperlink w:history="true" w:anchor="_bookmark63">
            <w:r>
              <w:rPr/>
              <w:t>Lectura de las</w:t>
            </w:r>
            <w:r>
              <w:rPr>
                <w:spacing w:val="-7"/>
              </w:rPr>
              <w:t> </w:t>
            </w:r>
            <w:r>
              <w:rPr/>
              <w:t>películas</w:t>
            </w:r>
            <w:r>
              <w:rPr>
                <w:spacing w:val="-6"/>
              </w:rPr>
              <w:t> </w:t>
            </w:r>
            <w:r>
              <w:rPr/>
              <w:t>radiográficas</w:t>
              <w:tab/>
              <w:t>37</w:t>
            </w:r>
          </w:hyperlink>
        </w:p>
        <w:p>
          <w:pPr>
            <w:pStyle w:val="TOC2"/>
            <w:numPr>
              <w:ilvl w:val="1"/>
              <w:numId w:val="1"/>
            </w:numPr>
            <w:tabs>
              <w:tab w:pos="980" w:val="left" w:leader="none"/>
              <w:tab w:pos="981" w:val="left" w:leader="none"/>
              <w:tab w:pos="8928" w:val="right" w:leader="dot"/>
            </w:tabs>
            <w:spacing w:line="240" w:lineRule="auto" w:before="158" w:after="0"/>
            <w:ind w:left="981" w:right="0" w:hanging="641"/>
            <w:jc w:val="left"/>
          </w:pPr>
          <w:hyperlink w:history="true" w:anchor="_bookmark65">
            <w:r>
              <w:rPr/>
              <w:t>Planeación de</w:t>
            </w:r>
            <w:r>
              <w:rPr>
                <w:spacing w:val="-5"/>
              </w:rPr>
              <w:t> </w:t>
            </w:r>
            <w:r>
              <w:rPr/>
              <w:t>los</w:t>
            </w:r>
            <w:r>
              <w:rPr>
                <w:spacing w:val="-2"/>
              </w:rPr>
              <w:t> </w:t>
            </w:r>
            <w:r>
              <w:rPr/>
              <w:t>tratamientos</w:t>
              <w:tab/>
              <w:t>38</w:t>
            </w:r>
          </w:hyperlink>
        </w:p>
        <w:p>
          <w:pPr>
            <w:pStyle w:val="TOC2"/>
            <w:numPr>
              <w:ilvl w:val="1"/>
              <w:numId w:val="1"/>
            </w:numPr>
            <w:tabs>
              <w:tab w:pos="980" w:val="left" w:leader="none"/>
              <w:tab w:pos="981" w:val="left" w:leader="none"/>
              <w:tab w:pos="8929" w:val="right" w:leader="dot"/>
            </w:tabs>
            <w:spacing w:line="240" w:lineRule="auto" w:before="154" w:after="0"/>
            <w:ind w:left="981" w:right="0" w:hanging="641"/>
            <w:jc w:val="left"/>
          </w:pPr>
          <w:hyperlink w:history="true" w:anchor="_bookmark68">
            <w:r>
              <w:rPr/>
              <w:t>Irradiación de películas en maniquí</w:t>
            </w:r>
            <w:r>
              <w:rPr>
                <w:spacing w:val="-12"/>
              </w:rPr>
              <w:t> </w:t>
            </w:r>
            <w:r>
              <w:rPr/>
              <w:t>de</w:t>
            </w:r>
            <w:r>
              <w:rPr>
                <w:spacing w:val="-1"/>
              </w:rPr>
              <w:t> </w:t>
            </w:r>
            <w:r>
              <w:rPr/>
              <w:t>acrílico</w:t>
              <w:tab/>
              <w:t>40</w:t>
            </w:r>
          </w:hyperlink>
        </w:p>
        <w:p>
          <w:pPr>
            <w:pStyle w:val="TOC2"/>
            <w:numPr>
              <w:ilvl w:val="1"/>
              <w:numId w:val="1"/>
            </w:numPr>
            <w:tabs>
              <w:tab w:pos="980" w:val="left" w:leader="none"/>
              <w:tab w:pos="981" w:val="left" w:leader="none"/>
              <w:tab w:pos="8929" w:val="right" w:leader="dot"/>
            </w:tabs>
            <w:spacing w:line="240" w:lineRule="auto" w:before="158" w:after="0"/>
            <w:ind w:left="981" w:right="0" w:hanging="641"/>
            <w:jc w:val="left"/>
          </w:pPr>
          <w:hyperlink w:history="true" w:anchor="_bookmark70">
            <w:r>
              <w:rPr/>
              <w:t>Análisis de distribución</w:t>
            </w:r>
            <w:r>
              <w:rPr>
                <w:spacing w:val="-6"/>
              </w:rPr>
              <w:t> </w:t>
            </w:r>
            <w:r>
              <w:rPr/>
              <w:t>de</w:t>
            </w:r>
            <w:r>
              <w:rPr>
                <w:spacing w:val="-4"/>
              </w:rPr>
              <w:t> </w:t>
            </w:r>
            <w:r>
              <w:rPr/>
              <w:t>dosis</w:t>
              <w:tab/>
              <w:t>40</w:t>
            </w:r>
          </w:hyperlink>
        </w:p>
        <w:p>
          <w:pPr>
            <w:pStyle w:val="TOC2"/>
            <w:numPr>
              <w:ilvl w:val="1"/>
              <w:numId w:val="1"/>
            </w:numPr>
            <w:tabs>
              <w:tab w:pos="980" w:val="left" w:leader="none"/>
              <w:tab w:pos="981" w:val="left" w:leader="none"/>
              <w:tab w:pos="8932" w:val="right" w:leader="dot"/>
            </w:tabs>
            <w:spacing w:line="240" w:lineRule="auto" w:before="158" w:after="0"/>
            <w:ind w:left="981" w:right="0" w:hanging="641"/>
            <w:jc w:val="left"/>
          </w:pPr>
          <w:hyperlink w:history="true" w:anchor="_bookmark72">
            <w:r>
              <w:rPr/>
              <w:t>Medición de dosis en</w:t>
            </w:r>
            <w:r>
              <w:rPr>
                <w:spacing w:val="-10"/>
              </w:rPr>
              <w:t> </w:t>
            </w:r>
            <w:r>
              <w:rPr/>
              <w:t>un</w:t>
            </w:r>
            <w:r>
              <w:rPr>
                <w:spacing w:val="-5"/>
              </w:rPr>
              <w:t> </w:t>
            </w:r>
            <w:r>
              <w:rPr/>
              <w:t>punto</w:t>
              <w:tab/>
              <w:t>43</w:t>
            </w:r>
          </w:hyperlink>
        </w:p>
        <w:p>
          <w:pPr>
            <w:pStyle w:val="TOC1"/>
            <w:numPr>
              <w:ilvl w:val="0"/>
              <w:numId w:val="1"/>
            </w:numPr>
            <w:tabs>
              <w:tab w:pos="580" w:val="left" w:leader="none"/>
              <w:tab w:pos="581" w:val="left" w:leader="none"/>
              <w:tab w:pos="8930" w:val="right" w:leader="dot"/>
            </w:tabs>
            <w:spacing w:line="240" w:lineRule="auto" w:before="158" w:after="0"/>
            <w:ind w:left="580" w:right="0" w:hanging="480"/>
            <w:jc w:val="left"/>
          </w:pPr>
          <w:hyperlink w:history="true" w:anchor="_bookmark74">
            <w:r>
              <w:rPr/>
              <w:t>Resultados</w:t>
            </w:r>
            <w:r>
              <w:rPr>
                <w:spacing w:val="-2"/>
              </w:rPr>
              <w:t> </w:t>
            </w:r>
            <w:r>
              <w:rPr/>
              <w:t>y</w:t>
            </w:r>
            <w:r>
              <w:rPr>
                <w:spacing w:val="-3"/>
              </w:rPr>
              <w:t> </w:t>
            </w:r>
            <w:r>
              <w:rPr/>
              <w:t>discusión</w:t>
              <w:tab/>
              <w:t>44</w:t>
            </w:r>
          </w:hyperlink>
        </w:p>
        <w:p>
          <w:pPr>
            <w:pStyle w:val="TOC2"/>
            <w:numPr>
              <w:ilvl w:val="1"/>
              <w:numId w:val="1"/>
            </w:numPr>
            <w:tabs>
              <w:tab w:pos="980" w:val="left" w:leader="none"/>
              <w:tab w:pos="981" w:val="left" w:leader="none"/>
              <w:tab w:pos="8930" w:val="right" w:leader="dot"/>
            </w:tabs>
            <w:spacing w:line="240" w:lineRule="auto" w:before="158" w:after="0"/>
            <w:ind w:left="981" w:right="0" w:hanging="641"/>
            <w:jc w:val="left"/>
          </w:pPr>
          <w:hyperlink w:history="true" w:anchor="_bookmark75">
            <w:r>
              <w:rPr/>
              <w:t>Calibración de</w:t>
            </w:r>
            <w:r>
              <w:rPr>
                <w:spacing w:val="-5"/>
              </w:rPr>
              <w:t> </w:t>
            </w:r>
            <w:r>
              <w:rPr/>
              <w:t>películas</w:t>
            </w:r>
            <w:r>
              <w:rPr>
                <w:spacing w:val="-6"/>
              </w:rPr>
              <w:t> </w:t>
            </w:r>
            <w:r>
              <w:rPr/>
              <w:t>radiocrómicas</w:t>
              <w:tab/>
              <w:t>44</w:t>
            </w:r>
          </w:hyperlink>
        </w:p>
        <w:p>
          <w:pPr>
            <w:pStyle w:val="TOC2"/>
            <w:numPr>
              <w:ilvl w:val="1"/>
              <w:numId w:val="1"/>
            </w:numPr>
            <w:tabs>
              <w:tab w:pos="980" w:val="left" w:leader="none"/>
              <w:tab w:pos="981" w:val="left" w:leader="none"/>
              <w:tab w:pos="8931" w:val="right" w:leader="dot"/>
            </w:tabs>
            <w:spacing w:line="240" w:lineRule="auto" w:before="158" w:after="0"/>
            <w:ind w:left="981" w:right="0" w:hanging="641"/>
            <w:jc w:val="left"/>
          </w:pPr>
          <w:hyperlink w:history="true" w:anchor="_bookmark80">
            <w:r>
              <w:rPr/>
              <w:t>Análisis</w:t>
            </w:r>
            <w:r>
              <w:rPr>
                <w:spacing w:val="-2"/>
              </w:rPr>
              <w:t> </w:t>
            </w:r>
            <w:r>
              <w:rPr/>
              <w:t>de</w:t>
            </w:r>
            <w:r>
              <w:rPr>
                <w:spacing w:val="-1"/>
              </w:rPr>
              <w:t> </w:t>
            </w:r>
            <w:r>
              <w:rPr/>
              <w:t>incerteza</w:t>
              <w:tab/>
              <w:t>46</w:t>
            </w:r>
          </w:hyperlink>
        </w:p>
        <w:p>
          <w:pPr>
            <w:pStyle w:val="TOC2"/>
            <w:numPr>
              <w:ilvl w:val="1"/>
              <w:numId w:val="1"/>
            </w:numPr>
            <w:tabs>
              <w:tab w:pos="980" w:val="left" w:leader="none"/>
              <w:tab w:pos="981" w:val="left" w:leader="none"/>
              <w:tab w:pos="8931" w:val="right" w:leader="dot"/>
            </w:tabs>
            <w:spacing w:line="240" w:lineRule="auto" w:before="158" w:after="0"/>
            <w:ind w:left="981" w:right="0" w:hanging="641"/>
            <w:jc w:val="left"/>
          </w:pPr>
          <w:hyperlink w:history="true" w:anchor="_bookmark82">
            <w:r>
              <w:rPr/>
              <w:t>Calibración de las</w:t>
            </w:r>
            <w:r>
              <w:rPr>
                <w:spacing w:val="-6"/>
              </w:rPr>
              <w:t> </w:t>
            </w:r>
            <w:r>
              <w:rPr/>
              <w:t>películas</w:t>
            </w:r>
            <w:r>
              <w:rPr>
                <w:spacing w:val="-2"/>
              </w:rPr>
              <w:t> </w:t>
            </w:r>
            <w:r>
              <w:rPr/>
              <w:t>radiográficas</w:t>
              <w:tab/>
              <w:t>49</w:t>
            </w:r>
          </w:hyperlink>
        </w:p>
        <w:p>
          <w:pPr>
            <w:pStyle w:val="TOC2"/>
            <w:numPr>
              <w:ilvl w:val="1"/>
              <w:numId w:val="1"/>
            </w:numPr>
            <w:tabs>
              <w:tab w:pos="980" w:val="left" w:leader="none"/>
              <w:tab w:pos="981" w:val="left" w:leader="none"/>
              <w:tab w:pos="8931" w:val="right" w:leader="dot"/>
            </w:tabs>
            <w:spacing w:line="240" w:lineRule="auto" w:before="154" w:after="0"/>
            <w:ind w:left="981" w:right="0" w:hanging="641"/>
            <w:jc w:val="left"/>
          </w:pPr>
          <w:hyperlink w:history="true" w:anchor="_bookmark84">
            <w:r>
              <w:rPr/>
              <w:t>Verificación de dosis en</w:t>
            </w:r>
            <w:r>
              <w:rPr>
                <w:spacing w:val="-10"/>
              </w:rPr>
              <w:t> </w:t>
            </w:r>
            <w:r>
              <w:rPr/>
              <w:t>un</w:t>
            </w:r>
            <w:r>
              <w:rPr>
                <w:spacing w:val="-5"/>
              </w:rPr>
              <w:t> </w:t>
            </w:r>
            <w:r>
              <w:rPr/>
              <w:t>punto</w:t>
              <w:tab/>
              <w:t>49</w:t>
            </w:r>
          </w:hyperlink>
        </w:p>
        <w:p>
          <w:pPr>
            <w:pStyle w:val="TOC2"/>
            <w:numPr>
              <w:ilvl w:val="1"/>
              <w:numId w:val="1"/>
            </w:numPr>
            <w:tabs>
              <w:tab w:pos="980" w:val="left" w:leader="none"/>
              <w:tab w:pos="981" w:val="left" w:leader="none"/>
              <w:tab w:pos="8929" w:val="right" w:leader="dot"/>
            </w:tabs>
            <w:spacing w:line="240" w:lineRule="auto" w:before="158" w:after="0"/>
            <w:ind w:left="981" w:right="0" w:hanging="641"/>
            <w:jc w:val="left"/>
          </w:pPr>
          <w:hyperlink w:history="true" w:anchor="_bookmark87">
            <w:r>
              <w:rPr/>
              <w:t>Análisis de distribución de dosis.</w:t>
            </w:r>
            <w:r>
              <w:rPr>
                <w:spacing w:val="-11"/>
              </w:rPr>
              <w:t> </w:t>
            </w:r>
            <w:r>
              <w:rPr/>
              <w:t>Índice</w:t>
            </w:r>
            <w:r>
              <w:rPr>
                <w:spacing w:val="-2"/>
              </w:rPr>
              <w:t> </w:t>
            </w:r>
            <w:r>
              <w:rPr/>
              <w:t>gamma</w:t>
              <w:tab/>
              <w:t>51</w:t>
            </w:r>
          </w:hyperlink>
        </w:p>
        <w:p>
          <w:pPr>
            <w:pStyle w:val="TOC3"/>
            <w:numPr>
              <w:ilvl w:val="2"/>
              <w:numId w:val="1"/>
            </w:numPr>
            <w:tabs>
              <w:tab w:pos="1420" w:val="left" w:leader="none"/>
              <w:tab w:pos="1421" w:val="left" w:leader="none"/>
              <w:tab w:pos="8929" w:val="right" w:leader="dot"/>
            </w:tabs>
            <w:spacing w:line="240" w:lineRule="auto" w:before="158" w:after="0"/>
            <w:ind w:left="1421" w:right="0" w:hanging="837"/>
            <w:jc w:val="left"/>
          </w:pPr>
          <w:hyperlink w:history="true" w:anchor="_bookmark88">
            <w:r>
              <w:rPr/>
              <w:t>Películas</w:t>
            </w:r>
            <w:r>
              <w:rPr>
                <w:spacing w:val="-2"/>
              </w:rPr>
              <w:t> </w:t>
            </w:r>
            <w:r>
              <w:rPr/>
              <w:t>radiocrómicas</w:t>
              <w:tab/>
              <w:t>51</w:t>
            </w:r>
          </w:hyperlink>
        </w:p>
        <w:p>
          <w:pPr>
            <w:pStyle w:val="TOC3"/>
            <w:numPr>
              <w:ilvl w:val="2"/>
              <w:numId w:val="1"/>
            </w:numPr>
            <w:tabs>
              <w:tab w:pos="1420" w:val="left" w:leader="none"/>
              <w:tab w:pos="1421" w:val="left" w:leader="none"/>
              <w:tab w:pos="8930" w:val="right" w:leader="dot"/>
            </w:tabs>
            <w:spacing w:line="240" w:lineRule="auto" w:before="158" w:after="0"/>
            <w:ind w:left="1421" w:right="0" w:hanging="837"/>
            <w:jc w:val="left"/>
          </w:pPr>
          <w:hyperlink w:history="true" w:anchor="_bookmark92">
            <w:r>
              <w:rPr/>
              <w:t>Películas</w:t>
            </w:r>
            <w:r>
              <w:rPr>
                <w:spacing w:val="-2"/>
              </w:rPr>
              <w:t> </w:t>
            </w:r>
            <w:r>
              <w:rPr/>
              <w:t>radiográficas</w:t>
              <w:tab/>
              <w:t>54</w:t>
            </w:r>
          </w:hyperlink>
        </w:p>
        <w:p>
          <w:pPr>
            <w:pStyle w:val="TOC1"/>
            <w:numPr>
              <w:ilvl w:val="0"/>
              <w:numId w:val="1"/>
            </w:numPr>
            <w:tabs>
              <w:tab w:pos="580" w:val="left" w:leader="none"/>
              <w:tab w:pos="581" w:val="left" w:leader="none"/>
              <w:tab w:pos="8929" w:val="right" w:leader="dot"/>
            </w:tabs>
            <w:spacing w:line="240" w:lineRule="auto" w:before="158" w:after="0"/>
            <w:ind w:left="580" w:right="0" w:hanging="480"/>
            <w:jc w:val="left"/>
          </w:pPr>
          <w:hyperlink w:history="true" w:anchor="_bookmark99">
            <w:r>
              <w:rPr/>
              <w:t>Conclusiones</w:t>
              <w:tab/>
              <w:t>61</w:t>
            </w:r>
          </w:hyperlink>
        </w:p>
        <w:p>
          <w:pPr>
            <w:pStyle w:val="TOC1"/>
            <w:numPr>
              <w:ilvl w:val="0"/>
              <w:numId w:val="1"/>
            </w:numPr>
            <w:tabs>
              <w:tab w:pos="580" w:val="left" w:leader="none"/>
              <w:tab w:pos="581" w:val="left" w:leader="none"/>
              <w:tab w:pos="8929" w:val="right" w:leader="dot"/>
            </w:tabs>
            <w:spacing w:line="240" w:lineRule="auto" w:before="158" w:after="0"/>
            <w:ind w:left="580" w:right="0" w:hanging="480"/>
            <w:jc w:val="left"/>
          </w:pPr>
          <w:hyperlink w:history="true" w:anchor="_bookmark100">
            <w:r>
              <w:rPr/>
              <w:t>Referencias</w:t>
            </w:r>
            <w:r>
              <w:rPr>
                <w:spacing w:val="-2"/>
              </w:rPr>
              <w:t> </w:t>
            </w:r>
            <w:r>
              <w:rPr/>
              <w:t>bibliográficas</w:t>
              <w:tab/>
              <w:t>62</w:t>
            </w:r>
          </w:hyperlink>
        </w:p>
      </w:sdtContent>
    </w:sdt>
    <w:p>
      <w:pPr>
        <w:spacing w:after="0" w:line="240" w:lineRule="auto"/>
        <w:jc w:val="left"/>
        <w:sectPr>
          <w:type w:val="continuous"/>
          <w:pgSz w:w="12240" w:h="15840"/>
          <w:pgMar w:top="1359" w:bottom="1432" w:left="1600" w:right="1600"/>
        </w:sectPr>
      </w:pPr>
    </w:p>
    <w:p>
      <w:pPr>
        <w:spacing w:before="55"/>
        <w:ind w:left="100" w:right="155" w:firstLine="0"/>
        <w:jc w:val="left"/>
        <w:rPr>
          <w:b/>
          <w:sz w:val="22"/>
        </w:rPr>
      </w:pPr>
      <w:r>
        <w:rPr>
          <w:b/>
          <w:sz w:val="22"/>
        </w:rPr>
        <w:t>Índice de Figuras</w:t>
      </w:r>
    </w:p>
    <w:p>
      <w:pPr>
        <w:pStyle w:val="BodyText"/>
        <w:spacing w:before="6"/>
        <w:rPr>
          <w:b/>
          <w:sz w:val="32"/>
        </w:rPr>
      </w:pPr>
    </w:p>
    <w:p>
      <w:pPr>
        <w:pStyle w:val="BodyText"/>
        <w:tabs>
          <w:tab w:pos="8806" w:val="left" w:leader="dot"/>
        </w:tabs>
        <w:ind w:left="100" w:right="56"/>
      </w:pPr>
      <w:hyperlink w:history="true" w:anchor="_bookmark5">
        <w:r>
          <w:rPr/>
          <w:t>Figura 1. Filtros compensadores utilizados en IMRT (Javedan, et</w:t>
        </w:r>
        <w:r>
          <w:rPr>
            <w:spacing w:val="-33"/>
          </w:rPr>
          <w:t> </w:t>
        </w:r>
        <w:r>
          <w:rPr/>
          <w:t>al.,</w:t>
        </w:r>
        <w:r>
          <w:rPr>
            <w:spacing w:val="-4"/>
          </w:rPr>
          <w:t> </w:t>
        </w:r>
        <w:r>
          <w:rPr/>
          <w:t>2008)</w:t>
          <w:tab/>
          <w:t>4</w:t>
        </w:r>
      </w:hyperlink>
    </w:p>
    <w:p>
      <w:pPr>
        <w:pStyle w:val="BodyText"/>
        <w:tabs>
          <w:tab w:pos="8806" w:val="left" w:leader="dot"/>
        </w:tabs>
        <w:spacing w:line="276" w:lineRule="auto" w:before="158"/>
        <w:ind w:left="100" w:right="126"/>
      </w:pPr>
      <w:hyperlink w:history="true" w:anchor="_bookmark6">
        <w:r>
          <w:rPr/>
          <w:t>Figura 2. Comparación entre distribuciones de intensidad para a) dMLC y b) SMLC</w:t>
        </w:r>
      </w:hyperlink>
      <w:r>
        <w:rPr/>
        <w:t> </w:t>
      </w:r>
      <w:hyperlink w:history="true" w:anchor="_bookmark6">
        <w:r>
          <w:rPr/>
          <w:t>(Kesava Ramgopal, et</w:t>
        </w:r>
        <w:r>
          <w:rPr>
            <w:spacing w:val="-8"/>
          </w:rPr>
          <w:t> </w:t>
        </w:r>
        <w:r>
          <w:rPr/>
          <w:t>al.,</w:t>
        </w:r>
        <w:r>
          <w:rPr>
            <w:spacing w:val="-2"/>
          </w:rPr>
          <w:t> </w:t>
        </w:r>
        <w:r>
          <w:rPr/>
          <w:t>2012)</w:t>
          <w:tab/>
          <w:t>6</w:t>
        </w:r>
      </w:hyperlink>
    </w:p>
    <w:p>
      <w:pPr>
        <w:pStyle w:val="BodyText"/>
        <w:tabs>
          <w:tab w:pos="8714" w:val="left" w:leader="dot"/>
        </w:tabs>
        <w:spacing w:line="276" w:lineRule="auto" w:before="121"/>
        <w:ind w:left="100" w:right="122"/>
      </w:pPr>
      <w:hyperlink w:history="true" w:anchor="_bookmark12">
        <w:r>
          <w:rPr/>
          <w:t>Figura 3. Representación teórica del índice gamma en dos dimensiones (Depuydt, et al.,</w:t>
        </w:r>
      </w:hyperlink>
      <w:r>
        <w:rPr/>
        <w:t> </w:t>
      </w:r>
      <w:hyperlink w:history="true" w:anchor="_bookmark12">
        <w:r>
          <w:rPr/>
          <w:t>2002)</w:t>
          <w:tab/>
          <w:t>12</w:t>
        </w:r>
      </w:hyperlink>
    </w:p>
    <w:p>
      <w:pPr>
        <w:pStyle w:val="BodyText"/>
        <w:tabs>
          <w:tab w:pos="8706" w:val="left" w:leader="dot"/>
        </w:tabs>
        <w:spacing w:before="120"/>
        <w:ind w:left="100" w:right="56"/>
      </w:pPr>
      <w:hyperlink w:history="true" w:anchor="_bookmark18">
        <w:r>
          <w:rPr/>
          <w:t>Figura 4. Configuración de la película radiocrómica</w:t>
        </w:r>
        <w:r>
          <w:rPr>
            <w:spacing w:val="-26"/>
          </w:rPr>
          <w:t> </w:t>
        </w:r>
        <w:r>
          <w:rPr/>
          <w:t>Gafchromic</w:t>
        </w:r>
        <w:r>
          <w:rPr>
            <w:spacing w:val="-5"/>
          </w:rPr>
          <w:t> </w:t>
        </w:r>
        <w:r>
          <w:rPr/>
          <w:t>EBT2</w:t>
          <w:tab/>
          <w:t>18</w:t>
        </w:r>
      </w:hyperlink>
    </w:p>
    <w:p>
      <w:pPr>
        <w:pStyle w:val="BodyText"/>
        <w:tabs>
          <w:tab w:pos="8710" w:val="left" w:leader="dot"/>
        </w:tabs>
        <w:spacing w:before="154"/>
        <w:ind w:left="100" w:right="56"/>
      </w:pPr>
      <w:hyperlink w:history="true" w:anchor="_bookmark20">
        <w:r>
          <w:rPr/>
          <w:t>Figura 5. Configuración de la película radiocrómica</w:t>
        </w:r>
        <w:r>
          <w:rPr>
            <w:spacing w:val="-26"/>
          </w:rPr>
          <w:t> </w:t>
        </w:r>
        <w:r>
          <w:rPr/>
          <w:t>Gafchromic</w:t>
        </w:r>
        <w:r>
          <w:rPr>
            <w:spacing w:val="-5"/>
          </w:rPr>
          <w:t> </w:t>
        </w:r>
        <w:r>
          <w:rPr/>
          <w:t>EBT3</w:t>
          <w:tab/>
          <w:t>19</w:t>
        </w:r>
      </w:hyperlink>
    </w:p>
    <w:p>
      <w:pPr>
        <w:pStyle w:val="BodyText"/>
        <w:tabs>
          <w:tab w:pos="8682" w:val="left" w:leader="dot"/>
        </w:tabs>
        <w:spacing w:before="158"/>
        <w:ind w:left="100" w:right="56"/>
      </w:pPr>
      <w:hyperlink w:history="true" w:anchor="_bookmark30">
        <w:r>
          <w:rPr/>
          <w:t>Figura 6. Películas radiocrómicas</w:t>
        </w:r>
        <w:r>
          <w:rPr>
            <w:spacing w:val="-18"/>
          </w:rPr>
          <w:t> </w:t>
        </w:r>
        <w:r>
          <w:rPr/>
          <w:t>Gafchromic</w:t>
        </w:r>
        <w:r>
          <w:rPr>
            <w:spacing w:val="-6"/>
          </w:rPr>
          <w:t> </w:t>
        </w:r>
        <w:r>
          <w:rPr/>
          <w:t>EBT3</w:t>
          <w:tab/>
          <w:t>24</w:t>
        </w:r>
      </w:hyperlink>
    </w:p>
    <w:p>
      <w:pPr>
        <w:pStyle w:val="BodyText"/>
        <w:tabs>
          <w:tab w:pos="8690" w:val="left" w:leader="dot"/>
        </w:tabs>
        <w:spacing w:before="158"/>
        <w:ind w:left="100" w:right="56"/>
      </w:pPr>
      <w:hyperlink w:history="true" w:anchor="_bookmark33">
        <w:r>
          <w:rPr/>
          <w:t>Figura 7. Películas radiocrómicas</w:t>
        </w:r>
        <w:r>
          <w:rPr>
            <w:spacing w:val="-18"/>
          </w:rPr>
          <w:t> </w:t>
        </w:r>
        <w:r>
          <w:rPr/>
          <w:t>Carestream</w:t>
        </w:r>
        <w:r>
          <w:rPr>
            <w:spacing w:val="-6"/>
          </w:rPr>
          <w:t> </w:t>
        </w:r>
        <w:r>
          <w:rPr/>
          <w:t>EDR2</w:t>
          <w:tab/>
          <w:t>25</w:t>
        </w:r>
      </w:hyperlink>
    </w:p>
    <w:p>
      <w:pPr>
        <w:pStyle w:val="BodyText"/>
        <w:tabs>
          <w:tab w:pos="8682" w:val="left" w:leader="dot"/>
        </w:tabs>
        <w:spacing w:before="158"/>
        <w:ind w:left="100" w:right="56"/>
      </w:pPr>
      <w:hyperlink w:history="true" w:anchor="_bookmark35">
        <w:r>
          <w:rPr/>
          <w:t>Figura 8. Acelerador Lineal</w:t>
        </w:r>
        <w:r>
          <w:rPr>
            <w:spacing w:val="-10"/>
          </w:rPr>
          <w:t> </w:t>
        </w:r>
        <w:r>
          <w:rPr/>
          <w:t>Varian</w:t>
        </w:r>
        <w:r>
          <w:rPr>
            <w:spacing w:val="-6"/>
          </w:rPr>
          <w:t> </w:t>
        </w:r>
        <w:r>
          <w:rPr/>
          <w:t>21EX</w:t>
          <w:tab/>
          <w:t>26</w:t>
        </w:r>
      </w:hyperlink>
    </w:p>
    <w:p>
      <w:pPr>
        <w:pStyle w:val="BodyText"/>
        <w:tabs>
          <w:tab w:pos="8698" w:val="left" w:leader="dot"/>
        </w:tabs>
        <w:spacing w:before="158"/>
        <w:ind w:left="100" w:right="56"/>
      </w:pPr>
      <w:hyperlink w:history="true" w:anchor="_bookmark37">
        <w:r>
          <w:rPr/>
          <w:t>Figura 9. Maniqui de placas solidas</w:t>
        </w:r>
        <w:r>
          <w:rPr>
            <w:spacing w:val="-19"/>
          </w:rPr>
          <w:t> </w:t>
        </w:r>
        <w:r>
          <w:rPr/>
          <w:t>Wellhofer</w:t>
        </w:r>
        <w:r>
          <w:rPr>
            <w:spacing w:val="-3"/>
          </w:rPr>
          <w:t> </w:t>
        </w:r>
        <w:r>
          <w:rPr/>
          <w:t>SP34</w:t>
          <w:tab/>
          <w:t>27</w:t>
        </w:r>
      </w:hyperlink>
    </w:p>
    <w:p>
      <w:pPr>
        <w:pStyle w:val="BodyText"/>
        <w:tabs>
          <w:tab w:pos="8698" w:val="left" w:leader="dot"/>
        </w:tabs>
        <w:spacing w:before="158"/>
        <w:ind w:left="100" w:right="56"/>
      </w:pPr>
      <w:hyperlink w:history="true" w:anchor="_bookmark39">
        <w:r>
          <w:rPr/>
          <w:t>Figura 10. Maniquí</w:t>
        </w:r>
        <w:r>
          <w:rPr>
            <w:spacing w:val="-7"/>
          </w:rPr>
          <w:t> </w:t>
        </w:r>
        <w:r>
          <w:rPr/>
          <w:t>de</w:t>
        </w:r>
        <w:r>
          <w:rPr>
            <w:spacing w:val="-2"/>
          </w:rPr>
          <w:t> </w:t>
        </w:r>
        <w:r>
          <w:rPr/>
          <w:t>acrílico</w:t>
          <w:tab/>
          <w:t>27</w:t>
        </w:r>
      </w:hyperlink>
    </w:p>
    <w:p>
      <w:pPr>
        <w:pStyle w:val="BodyText"/>
        <w:tabs>
          <w:tab w:pos="8674" w:val="left" w:leader="dot"/>
        </w:tabs>
        <w:spacing w:before="158"/>
        <w:ind w:left="100" w:right="56"/>
      </w:pPr>
      <w:hyperlink w:history="true" w:anchor="_bookmark41">
        <w:r>
          <w:rPr/>
          <w:t>Figura 11. Cámara de ionización</w:t>
        </w:r>
        <w:r>
          <w:rPr>
            <w:spacing w:val="-15"/>
          </w:rPr>
          <w:t> </w:t>
        </w:r>
        <w:r>
          <w:rPr/>
          <w:t>Scanditronix</w:t>
        </w:r>
        <w:r>
          <w:rPr>
            <w:spacing w:val="-3"/>
          </w:rPr>
          <w:t> </w:t>
        </w:r>
        <w:r>
          <w:rPr/>
          <w:t>FC65-P</w:t>
          <w:tab/>
          <w:t>28</w:t>
        </w:r>
      </w:hyperlink>
    </w:p>
    <w:p>
      <w:pPr>
        <w:pStyle w:val="BodyText"/>
        <w:tabs>
          <w:tab w:pos="8682" w:val="left" w:leader="dot"/>
        </w:tabs>
        <w:spacing w:before="154"/>
        <w:ind w:left="100" w:right="56"/>
      </w:pPr>
      <w:hyperlink w:history="true" w:anchor="_bookmark43">
        <w:r>
          <w:rPr/>
          <w:t>Figura 12. Electrómetro Wellhofer Scanditronix</w:t>
        </w:r>
        <w:r>
          <w:rPr>
            <w:spacing w:val="-13"/>
          </w:rPr>
          <w:t> </w:t>
        </w:r>
        <w:r>
          <w:rPr/>
          <w:t>Dose</w:t>
        </w:r>
        <w:r>
          <w:rPr>
            <w:spacing w:val="-2"/>
          </w:rPr>
          <w:t> </w:t>
        </w:r>
        <w:r>
          <w:rPr/>
          <w:t>1</w:t>
          <w:tab/>
          <w:t>29</w:t>
        </w:r>
      </w:hyperlink>
    </w:p>
    <w:p>
      <w:pPr>
        <w:pStyle w:val="BodyText"/>
        <w:tabs>
          <w:tab w:pos="8682" w:val="left" w:leader="dot"/>
        </w:tabs>
        <w:spacing w:before="158"/>
        <w:ind w:left="100" w:right="56"/>
      </w:pPr>
      <w:hyperlink w:history="true" w:anchor="_bookmark45">
        <w:r>
          <w:rPr/>
          <w:t>Figura 13. Escaner Epson</w:t>
        </w:r>
        <w:r>
          <w:rPr>
            <w:spacing w:val="-14"/>
          </w:rPr>
          <w:t> </w:t>
        </w:r>
        <w:r>
          <w:rPr/>
          <w:t>Expression</w:t>
        </w:r>
        <w:r>
          <w:rPr>
            <w:spacing w:val="-6"/>
          </w:rPr>
          <w:t> </w:t>
        </w:r>
        <w:r>
          <w:rPr/>
          <w:t>10000XL</w:t>
          <w:tab/>
          <w:t>29</w:t>
        </w:r>
      </w:hyperlink>
    </w:p>
    <w:p>
      <w:pPr>
        <w:pStyle w:val="BodyText"/>
        <w:tabs>
          <w:tab w:pos="8674" w:val="left" w:leader="dot"/>
        </w:tabs>
        <w:spacing w:before="158"/>
        <w:ind w:left="100" w:right="56"/>
      </w:pPr>
      <w:hyperlink w:history="true" w:anchor="_bookmark47">
        <w:r>
          <w:rPr/>
          <w:t>Figura 14. Escáner Vidar</w:t>
        </w:r>
        <w:r>
          <w:rPr>
            <w:spacing w:val="-15"/>
          </w:rPr>
          <w:t> </w:t>
        </w:r>
        <w:r>
          <w:rPr/>
          <w:t>DosimetryPro</w:t>
        </w:r>
        <w:r>
          <w:rPr>
            <w:spacing w:val="-5"/>
          </w:rPr>
          <w:t> </w:t>
        </w:r>
        <w:r>
          <w:rPr/>
          <w:t>Advantege</w:t>
          <w:tab/>
          <w:t>30</w:t>
        </w:r>
      </w:hyperlink>
    </w:p>
    <w:p>
      <w:pPr>
        <w:pStyle w:val="BodyText"/>
        <w:tabs>
          <w:tab w:pos="8714" w:val="left" w:leader="dot"/>
        </w:tabs>
        <w:spacing w:before="158"/>
        <w:ind w:left="100" w:right="56"/>
      </w:pPr>
      <w:hyperlink w:history="true" w:anchor="_bookmark49">
        <w:r>
          <w:rPr/>
          <w:t>Figura 15. Procesador Kodak</w:t>
        </w:r>
        <w:r>
          <w:rPr>
            <w:spacing w:val="-11"/>
          </w:rPr>
          <w:t> </w:t>
        </w:r>
        <w:r>
          <w:rPr/>
          <w:t>M35</w:t>
        </w:r>
        <w:r>
          <w:rPr>
            <w:spacing w:val="-4"/>
          </w:rPr>
          <w:t> </w:t>
        </w:r>
        <w:r>
          <w:rPr/>
          <w:t>X-Omat</w:t>
          <w:tab/>
          <w:t>31</w:t>
        </w:r>
      </w:hyperlink>
    </w:p>
    <w:p>
      <w:pPr>
        <w:pStyle w:val="BodyText"/>
        <w:tabs>
          <w:tab w:pos="8686" w:val="left" w:leader="dot"/>
        </w:tabs>
        <w:spacing w:line="276" w:lineRule="auto" w:before="158"/>
        <w:ind w:left="100" w:right="132"/>
      </w:pPr>
      <w:hyperlink w:history="true" w:anchor="_bookmark56">
        <w:r>
          <w:rPr/>
          <w:t>Figura 16. Toma de mediciones con cámara de ionización para el ajuste de la dosis a la</w:t>
        </w:r>
      </w:hyperlink>
      <w:r>
        <w:rPr/>
        <w:t> </w:t>
      </w:r>
      <w:hyperlink w:history="true" w:anchor="_bookmark56">
        <w:r>
          <w:rPr/>
          <w:t>profundidad</w:t>
        </w:r>
        <w:r>
          <w:rPr>
            <w:spacing w:val="-2"/>
          </w:rPr>
          <w:t> </w:t>
        </w:r>
        <w:r>
          <w:rPr/>
          <w:t>de</w:t>
        </w:r>
        <w:r>
          <w:rPr>
            <w:spacing w:val="-6"/>
          </w:rPr>
          <w:t> </w:t>
        </w:r>
        <w:r>
          <w:rPr/>
          <w:t>referencia</w:t>
          <w:tab/>
        </w:r>
        <w:r>
          <w:rPr>
            <w:spacing w:val="-1"/>
          </w:rPr>
          <w:t>33</w:t>
        </w:r>
      </w:hyperlink>
    </w:p>
    <w:p>
      <w:pPr>
        <w:pStyle w:val="BodyText"/>
        <w:tabs>
          <w:tab w:pos="8686" w:val="left" w:leader="dot"/>
        </w:tabs>
        <w:spacing w:before="121"/>
        <w:ind w:left="100" w:right="56"/>
      </w:pPr>
      <w:hyperlink w:history="true" w:anchor="_bookmark57">
        <w:r>
          <w:rPr/>
          <w:t>Figura 17. Irradiación de muestras de</w:t>
        </w:r>
        <w:r>
          <w:rPr>
            <w:spacing w:val="-24"/>
          </w:rPr>
          <w:t> </w:t>
        </w:r>
        <w:r>
          <w:rPr/>
          <w:t>películas</w:t>
        </w:r>
        <w:r>
          <w:rPr>
            <w:spacing w:val="-4"/>
          </w:rPr>
          <w:t> </w:t>
        </w:r>
        <w:r>
          <w:rPr/>
          <w:t>radiocrómicas</w:t>
          <w:tab/>
          <w:t>34</w:t>
        </w:r>
      </w:hyperlink>
    </w:p>
    <w:p>
      <w:pPr>
        <w:pStyle w:val="BodyText"/>
        <w:tabs>
          <w:tab w:pos="8686" w:val="left" w:leader="dot"/>
        </w:tabs>
        <w:spacing w:line="273" w:lineRule="auto" w:before="158"/>
        <w:ind w:left="100" w:right="127"/>
      </w:pPr>
      <w:hyperlink w:history="true" w:anchor="_bookmark60">
        <w:r>
          <w:rPr/>
          <w:t>Figura 18. Película irradiada con varios niveles de dosis utilizada en la calibración de las</w:t>
        </w:r>
      </w:hyperlink>
      <w:r>
        <w:rPr/>
        <w:t> </w:t>
      </w:r>
      <w:hyperlink w:history="true" w:anchor="_bookmark60">
        <w:r>
          <w:rPr/>
          <w:t>películas</w:t>
        </w:r>
        <w:r>
          <w:rPr>
            <w:spacing w:val="-8"/>
          </w:rPr>
          <w:t> </w:t>
        </w:r>
        <w:r>
          <w:rPr/>
          <w:t>radiográficas</w:t>
          <w:tab/>
        </w:r>
        <w:r>
          <w:rPr>
            <w:spacing w:val="-1"/>
          </w:rPr>
          <w:t>36</w:t>
        </w:r>
      </w:hyperlink>
    </w:p>
    <w:p>
      <w:pPr>
        <w:pStyle w:val="BodyText"/>
        <w:tabs>
          <w:tab w:pos="8678" w:val="left" w:leader="dot"/>
        </w:tabs>
        <w:spacing w:line="391" w:lineRule="auto" w:before="123"/>
        <w:ind w:left="100" w:right="127"/>
      </w:pPr>
      <w:hyperlink w:history="true" w:anchor="_bookmark62">
        <w:r>
          <w:rPr/>
          <w:t>Figura 19. Muestras de películas radiocrómicas con sus máscaras en la cama del escáner 36</w:t>
        </w:r>
      </w:hyperlink>
      <w:r>
        <w:rPr/>
        <w:t> </w:t>
      </w:r>
      <w:hyperlink w:history="true" w:anchor="_bookmark64">
        <w:r>
          <w:rPr/>
          <w:t>Figura 20. Película utilizada en la calibración del</w:t>
        </w:r>
        <w:r>
          <w:rPr>
            <w:spacing w:val="-31"/>
          </w:rPr>
          <w:t> </w:t>
        </w:r>
        <w:r>
          <w:rPr/>
          <w:t>escáner</w:t>
        </w:r>
        <w:r>
          <w:rPr>
            <w:spacing w:val="-2"/>
          </w:rPr>
          <w:t> </w:t>
        </w:r>
        <w:r>
          <w:rPr/>
          <w:t>Vidar</w:t>
          <w:tab/>
          <w:t>38</w:t>
        </w:r>
      </w:hyperlink>
    </w:p>
    <w:p>
      <w:pPr>
        <w:pStyle w:val="BodyText"/>
        <w:tabs>
          <w:tab w:pos="8686" w:val="left" w:leader="dot"/>
        </w:tabs>
        <w:spacing w:line="276" w:lineRule="auto"/>
        <w:ind w:left="100" w:right="127"/>
      </w:pPr>
      <w:hyperlink w:history="true" w:anchor="_bookmark66">
        <w:r>
          <w:rPr/>
          <w:t>Figura 21. Toma de imágenes tomográficas del maniquí de acrílico y vista del mismo en el</w:t>
        </w:r>
      </w:hyperlink>
      <w:r>
        <w:rPr/>
        <w:t> </w:t>
      </w:r>
      <w:hyperlink w:history="true" w:anchor="_bookmark66">
        <w:r>
          <w:rPr/>
          <w:t>sistema</w:t>
        </w:r>
        <w:r>
          <w:rPr>
            <w:spacing w:val="-3"/>
          </w:rPr>
          <w:t> </w:t>
        </w:r>
        <w:r>
          <w:rPr/>
          <w:t>de</w:t>
        </w:r>
        <w:r>
          <w:rPr>
            <w:spacing w:val="-2"/>
          </w:rPr>
          <w:t> </w:t>
        </w:r>
        <w:r>
          <w:rPr/>
          <w:t>planeación</w:t>
          <w:tab/>
        </w:r>
        <w:r>
          <w:rPr>
            <w:spacing w:val="-1"/>
          </w:rPr>
          <w:t>39</w:t>
        </w:r>
      </w:hyperlink>
    </w:p>
    <w:p>
      <w:pPr>
        <w:pStyle w:val="BodyText"/>
        <w:tabs>
          <w:tab w:pos="8686" w:val="left" w:leader="dot"/>
        </w:tabs>
        <w:spacing w:before="120"/>
        <w:ind w:left="100" w:right="56"/>
      </w:pPr>
      <w:hyperlink w:history="true" w:anchor="_bookmark67">
        <w:r>
          <w:rPr/>
          <w:t>Figura</w:t>
        </w:r>
        <w:r>
          <w:rPr>
            <w:spacing w:val="-2"/>
          </w:rPr>
          <w:t> </w:t>
        </w:r>
        <w:r>
          <w:rPr/>
          <w:t>22.</w:t>
        </w:r>
        <w:r>
          <w:rPr>
            <w:spacing w:val="-1"/>
          </w:rPr>
          <w:t> </w:t>
        </w:r>
        <w:r>
          <w:rPr/>
          <w:t>Vista</w:t>
        </w:r>
        <w:r>
          <w:rPr>
            <w:spacing w:val="-1"/>
          </w:rPr>
          <w:t> </w:t>
        </w:r>
        <w:r>
          <w:rPr/>
          <w:t>de</w:t>
        </w:r>
        <w:r>
          <w:rPr>
            <w:spacing w:val="-1"/>
          </w:rPr>
          <w:t> </w:t>
        </w:r>
        <w:r>
          <w:rPr/>
          <w:t>un</w:t>
        </w:r>
        <w:r>
          <w:rPr>
            <w:spacing w:val="-5"/>
          </w:rPr>
          <w:t> </w:t>
        </w:r>
        <w:r>
          <w:rPr/>
          <w:t>plan</w:t>
        </w:r>
        <w:r>
          <w:rPr>
            <w:spacing w:val="-5"/>
          </w:rPr>
          <w:t> </w:t>
        </w:r>
        <w:r>
          <w:rPr/>
          <w:t>de</w:t>
        </w:r>
        <w:r>
          <w:rPr>
            <w:spacing w:val="-1"/>
          </w:rPr>
          <w:t> </w:t>
        </w:r>
        <w:r>
          <w:rPr/>
          <w:t>cabeza</w:t>
        </w:r>
        <w:r>
          <w:rPr>
            <w:spacing w:val="-2"/>
          </w:rPr>
          <w:t> </w:t>
        </w:r>
        <w:r>
          <w:rPr/>
          <w:t>y</w:t>
        </w:r>
        <w:r>
          <w:rPr>
            <w:spacing w:val="-3"/>
          </w:rPr>
          <w:t> </w:t>
        </w:r>
        <w:r>
          <w:rPr/>
          <w:t>cuello</w:t>
        </w:r>
        <w:r>
          <w:rPr>
            <w:spacing w:val="-2"/>
          </w:rPr>
          <w:t> </w:t>
        </w:r>
        <w:r>
          <w:rPr/>
          <w:t>en</w:t>
        </w:r>
        <w:r>
          <w:rPr>
            <w:spacing w:val="-5"/>
          </w:rPr>
          <w:t> </w:t>
        </w:r>
        <w:r>
          <w:rPr/>
          <w:t>la</w:t>
        </w:r>
        <w:r>
          <w:rPr>
            <w:spacing w:val="-2"/>
          </w:rPr>
          <w:t> </w:t>
        </w:r>
        <w:r>
          <w:rPr/>
          <w:t>interfaz</w:t>
        </w:r>
        <w:r>
          <w:rPr>
            <w:spacing w:val="-4"/>
          </w:rPr>
          <w:t> </w:t>
        </w:r>
        <w:r>
          <w:rPr/>
          <w:t>del</w:t>
        </w:r>
        <w:r>
          <w:rPr>
            <w:spacing w:val="-2"/>
          </w:rPr>
          <w:t> </w:t>
        </w:r>
        <w:r>
          <w:rPr/>
          <w:t>sistema</w:t>
        </w:r>
        <w:r>
          <w:rPr>
            <w:spacing w:val="-2"/>
          </w:rPr>
          <w:t> </w:t>
        </w:r>
        <w:r>
          <w:rPr/>
          <w:t>Eclipse</w:t>
        </w:r>
        <w:r>
          <w:rPr>
            <w:spacing w:val="-1"/>
          </w:rPr>
          <w:t> </w:t>
        </w:r>
        <w:r>
          <w:rPr/>
          <w:t>1.0</w:t>
          <w:tab/>
          <w:t>39</w:t>
        </w:r>
      </w:hyperlink>
    </w:p>
    <w:p>
      <w:pPr>
        <w:pStyle w:val="BodyText"/>
        <w:tabs>
          <w:tab w:pos="8670" w:val="left" w:leader="dot"/>
        </w:tabs>
        <w:spacing w:before="158"/>
        <w:ind w:left="100" w:right="56"/>
      </w:pPr>
      <w:hyperlink w:history="true" w:anchor="_bookmark69">
        <w:r>
          <w:rPr/>
          <w:t>Figura 23. Irradiación de las películas radiocrómicas</w:t>
        </w:r>
        <w:r>
          <w:rPr>
            <w:spacing w:val="-24"/>
          </w:rPr>
          <w:t> </w:t>
        </w:r>
        <w:r>
          <w:rPr/>
          <w:t>y</w:t>
        </w:r>
        <w:r>
          <w:rPr>
            <w:spacing w:val="-5"/>
          </w:rPr>
          <w:t> </w:t>
        </w:r>
        <w:r>
          <w:rPr/>
          <w:t>radiográficas</w:t>
          <w:tab/>
          <w:t>40</w:t>
        </w:r>
      </w:hyperlink>
    </w:p>
    <w:p>
      <w:pPr>
        <w:pStyle w:val="BodyText"/>
        <w:tabs>
          <w:tab w:pos="8682" w:val="left" w:leader="dot"/>
        </w:tabs>
        <w:spacing w:line="276" w:lineRule="auto" w:before="154"/>
        <w:ind w:left="100" w:right="128"/>
      </w:pPr>
      <w:hyperlink w:history="true" w:anchor="_bookmark71">
        <w:r>
          <w:rPr/>
          <w:t>Figura 24. a) Determinación de la región de interés. b) Alineación y superposición de la</w:t>
        </w:r>
      </w:hyperlink>
      <w:r>
        <w:rPr/>
        <w:t> </w:t>
      </w:r>
      <w:hyperlink w:history="true" w:anchor="_bookmark71">
        <w:r>
          <w:rPr/>
          <w:t>distribución medida</w:t>
        </w:r>
        <w:r>
          <w:rPr>
            <w:spacing w:val="-8"/>
          </w:rPr>
          <w:t> </w:t>
        </w:r>
        <w:r>
          <w:rPr/>
          <w:t>y</w:t>
        </w:r>
        <w:r>
          <w:rPr>
            <w:spacing w:val="-4"/>
          </w:rPr>
          <w:t> </w:t>
        </w:r>
        <w:r>
          <w:rPr/>
          <w:t>calculada</w:t>
          <w:tab/>
          <w:t>42</w:t>
        </w:r>
      </w:hyperlink>
    </w:p>
    <w:p>
      <w:pPr>
        <w:pStyle w:val="BodyText"/>
        <w:tabs>
          <w:tab w:pos="8686" w:val="left" w:leader="dot"/>
        </w:tabs>
        <w:spacing w:before="121"/>
        <w:ind w:left="100" w:right="56"/>
      </w:pPr>
      <w:hyperlink w:history="true" w:anchor="_bookmark73">
        <w:r>
          <w:rPr/>
          <w:t>Figura 25. Posicionamiento de la cámara de ionización en</w:t>
        </w:r>
        <w:r>
          <w:rPr>
            <w:spacing w:val="-30"/>
          </w:rPr>
          <w:t> </w:t>
        </w:r>
        <w:r>
          <w:rPr/>
          <w:t>el</w:t>
        </w:r>
        <w:r>
          <w:rPr>
            <w:spacing w:val="-3"/>
          </w:rPr>
          <w:t> </w:t>
        </w:r>
        <w:r>
          <w:rPr/>
          <w:t>maniquí</w:t>
          <w:tab/>
          <w:t>43</w:t>
        </w:r>
      </w:hyperlink>
    </w:p>
    <w:p>
      <w:pPr>
        <w:spacing w:after="0"/>
        <w:sectPr>
          <w:footerReference w:type="default" r:id="rId13"/>
          <w:pgSz w:w="12240" w:h="15840"/>
          <w:pgMar w:footer="1034" w:header="0" w:top="1360" w:bottom="1220" w:left="1600" w:right="1580"/>
          <w:pgNumType w:start="9"/>
        </w:sectPr>
      </w:pPr>
    </w:p>
    <w:p>
      <w:pPr>
        <w:pStyle w:val="BodyText"/>
        <w:tabs>
          <w:tab w:pos="8930" w:val="right" w:leader="dot"/>
        </w:tabs>
        <w:spacing w:line="276" w:lineRule="auto" w:before="55"/>
        <w:ind w:left="100" w:right="108"/>
      </w:pPr>
      <w:hyperlink w:history="true" w:anchor="_bookmark76">
        <w:r>
          <w:rPr/>
          <w:t>Figura 26. Curvas de calibración para los tres canales en color, polinómica de segundo</w:t>
        </w:r>
      </w:hyperlink>
      <w:r>
        <w:rPr/>
        <w:t> </w:t>
      </w:r>
      <w:hyperlink w:history="true" w:anchor="_bookmark76">
        <w:r>
          <w:rPr/>
          <w:t>grado, polinómica de tercer grado</w:t>
        </w:r>
        <w:r>
          <w:rPr>
            <w:spacing w:val="-4"/>
          </w:rPr>
          <w:t> </w:t>
        </w:r>
        <w:r>
          <w:rPr/>
          <w:t>y</w:t>
        </w:r>
        <w:r>
          <w:rPr>
            <w:spacing w:val="-3"/>
          </w:rPr>
          <w:t> </w:t>
        </w:r>
        <w:r>
          <w:rPr/>
          <w:t>racional</w:t>
          <w:tab/>
          <w:t>44</w:t>
        </w:r>
      </w:hyperlink>
    </w:p>
    <w:p>
      <w:pPr>
        <w:pStyle w:val="BodyText"/>
        <w:tabs>
          <w:tab w:pos="8931" w:val="right" w:leader="dot"/>
        </w:tabs>
        <w:spacing w:before="120"/>
        <w:ind w:left="100"/>
      </w:pPr>
      <w:hyperlink w:history="true" w:anchor="_bookmark78">
        <w:r>
          <w:rPr/>
          <w:t>Figura 27. Curva de calibración de las películas</w:t>
        </w:r>
        <w:r>
          <w:rPr>
            <w:spacing w:val="-13"/>
          </w:rPr>
          <w:t> </w:t>
        </w:r>
        <w:r>
          <w:rPr/>
          <w:t>radiocrómicas</w:t>
        </w:r>
        <w:r>
          <w:rPr>
            <w:spacing w:val="-2"/>
          </w:rPr>
          <w:t> </w:t>
        </w:r>
        <w:r>
          <w:rPr/>
          <w:t>EBT3</w:t>
          <w:tab/>
          <w:t>46</w:t>
        </w:r>
      </w:hyperlink>
    </w:p>
    <w:p>
      <w:pPr>
        <w:pStyle w:val="BodyText"/>
        <w:tabs>
          <w:tab w:pos="8931" w:val="right" w:leader="dot"/>
        </w:tabs>
        <w:spacing w:before="158"/>
        <w:ind w:left="100"/>
      </w:pPr>
      <w:hyperlink w:history="true" w:anchor="_bookmark79">
        <w:r>
          <w:rPr/>
          <w:t>Figura 28. Curva de calibración con ajuste racional de siete puntos,</w:t>
        </w:r>
        <w:r>
          <w:rPr>
            <w:spacing w:val="-25"/>
          </w:rPr>
          <w:t> </w:t>
        </w:r>
        <w:r>
          <w:rPr/>
          <w:t>canal</w:t>
        </w:r>
        <w:r>
          <w:rPr>
            <w:spacing w:val="-2"/>
          </w:rPr>
          <w:t> </w:t>
        </w:r>
        <w:r>
          <w:rPr/>
          <w:t>rojo</w:t>
          <w:tab/>
          <w:t>46</w:t>
        </w:r>
      </w:hyperlink>
    </w:p>
    <w:p>
      <w:pPr>
        <w:pStyle w:val="BodyText"/>
        <w:tabs>
          <w:tab w:pos="8931" w:val="right" w:leader="dot"/>
        </w:tabs>
        <w:spacing w:before="158"/>
        <w:ind w:left="100"/>
      </w:pPr>
      <w:hyperlink w:history="true" w:anchor="_bookmark83">
        <w:r>
          <w:rPr/>
          <w:t>Figura 29. Curva de calibración de las</w:t>
        </w:r>
        <w:r>
          <w:rPr>
            <w:spacing w:val="-12"/>
          </w:rPr>
          <w:t> </w:t>
        </w:r>
        <w:r>
          <w:rPr/>
          <w:t>películas</w:t>
        </w:r>
        <w:r>
          <w:rPr>
            <w:spacing w:val="-2"/>
          </w:rPr>
          <w:t> </w:t>
        </w:r>
        <w:r>
          <w:rPr/>
          <w:t>radiográficas</w:t>
          <w:tab/>
          <w:t>49</w:t>
        </w:r>
      </w:hyperlink>
    </w:p>
    <w:p>
      <w:pPr>
        <w:pStyle w:val="BodyText"/>
        <w:tabs>
          <w:tab w:pos="8929" w:val="right" w:leader="dot"/>
        </w:tabs>
        <w:spacing w:line="273" w:lineRule="auto" w:before="158"/>
        <w:ind w:left="100" w:right="108"/>
      </w:pPr>
      <w:hyperlink w:history="true" w:anchor="_bookmark86">
        <w:r>
          <w:rPr/>
          <w:t>Figura 30. Porcentaje de diferencia entre la dosis calculada por el sistema de planeación y</w:t>
        </w:r>
      </w:hyperlink>
      <w:r>
        <w:rPr/>
        <w:t> </w:t>
      </w:r>
      <w:hyperlink w:history="true" w:anchor="_bookmark86">
        <w:r>
          <w:rPr/>
          <w:t>la</w:t>
        </w:r>
        <w:r>
          <w:rPr>
            <w:spacing w:val="-2"/>
          </w:rPr>
          <w:t> </w:t>
        </w:r>
        <w:r>
          <w:rPr/>
          <w:t>dosis</w:t>
        </w:r>
        <w:r>
          <w:rPr>
            <w:spacing w:val="-2"/>
          </w:rPr>
          <w:t> </w:t>
        </w:r>
        <w:r>
          <w:rPr/>
          <w:t>medida</w:t>
          <w:tab/>
          <w:t>50</w:t>
        </w:r>
      </w:hyperlink>
    </w:p>
    <w:p>
      <w:pPr>
        <w:pStyle w:val="BodyText"/>
        <w:tabs>
          <w:tab w:pos="8932" w:val="right" w:leader="dot"/>
        </w:tabs>
        <w:spacing w:line="276" w:lineRule="auto" w:before="123"/>
        <w:ind w:left="100" w:right="105"/>
      </w:pPr>
      <w:hyperlink w:history="true" w:anchor="_bookmark91">
        <w:r>
          <w:rPr/>
          <w:t>Figura 31. Porcentaje de puntos con γ&lt;1 para criterios de 3%/3 mm, 4%/3 mm, y 5%/3</w:t>
        </w:r>
      </w:hyperlink>
      <w:r>
        <w:rPr/>
        <w:t> </w:t>
      </w:r>
      <w:hyperlink w:history="true" w:anchor="_bookmark91">
        <w:r>
          <w:rPr/>
          <w:t>mm,</w:t>
        </w:r>
        <w:r>
          <w:rPr>
            <w:spacing w:val="-1"/>
          </w:rPr>
          <w:t> </w:t>
        </w:r>
        <w:r>
          <w:rPr/>
          <w:t>películas</w:t>
        </w:r>
        <w:r>
          <w:rPr>
            <w:spacing w:val="-2"/>
          </w:rPr>
          <w:t> </w:t>
        </w:r>
        <w:r>
          <w:rPr/>
          <w:t>radiocrómicas</w:t>
          <w:tab/>
          <w:t>53</w:t>
        </w:r>
      </w:hyperlink>
    </w:p>
    <w:p>
      <w:pPr>
        <w:pStyle w:val="BodyText"/>
        <w:tabs>
          <w:tab w:pos="8930" w:val="right" w:leader="dot"/>
        </w:tabs>
        <w:spacing w:line="276" w:lineRule="auto" w:before="120"/>
        <w:ind w:left="100" w:right="108"/>
      </w:pPr>
      <w:hyperlink w:history="true" w:anchor="_bookmark95">
        <w:r>
          <w:rPr/>
          <w:t>Figura 32. Porcentaje de puntos con γ&lt;1 para criterios de 3%/3 mm, 4%/3 mm, y 5%/3</w:t>
        </w:r>
      </w:hyperlink>
      <w:r>
        <w:rPr/>
        <w:t> </w:t>
      </w:r>
      <w:hyperlink w:history="true" w:anchor="_bookmark95">
        <w:r>
          <w:rPr/>
          <w:t>mm,</w:t>
        </w:r>
        <w:r>
          <w:rPr>
            <w:spacing w:val="-1"/>
          </w:rPr>
          <w:t> </w:t>
        </w:r>
        <w:r>
          <w:rPr/>
          <w:t>películas</w:t>
        </w:r>
        <w:r>
          <w:rPr>
            <w:spacing w:val="-2"/>
          </w:rPr>
          <w:t> </w:t>
        </w:r>
        <w:r>
          <w:rPr/>
          <w:t>radiográficas</w:t>
          <w:tab/>
          <w:t>55</w:t>
        </w:r>
      </w:hyperlink>
    </w:p>
    <w:p>
      <w:pPr>
        <w:pStyle w:val="BodyText"/>
        <w:spacing w:before="121"/>
        <w:ind w:left="100"/>
      </w:pPr>
      <w:hyperlink w:history="true" w:anchor="_bookmark96">
        <w:r>
          <w:rPr/>
          <w:t>Figura 33. Paciente 3: a) imagen del sistema de planeación. b) película radiográfica EDR2.</w:t>
        </w:r>
      </w:hyperlink>
    </w:p>
    <w:p>
      <w:pPr>
        <w:pStyle w:val="BodyText"/>
        <w:tabs>
          <w:tab w:pos="8929" w:val="right" w:leader="dot"/>
        </w:tabs>
        <w:spacing w:before="38"/>
        <w:ind w:left="100"/>
      </w:pPr>
      <w:hyperlink w:history="true" w:anchor="_bookmark96">
        <w:r>
          <w:rPr/>
          <w:t>c) superposición de distribuciones. d) mapa del índice gamma.</w:t>
        </w:r>
        <w:r>
          <w:rPr>
            <w:spacing w:val="-18"/>
          </w:rPr>
          <w:t> </w:t>
        </w:r>
        <w:r>
          <w:rPr/>
          <w:t>e)</w:t>
        </w:r>
        <w:r>
          <w:rPr>
            <w:spacing w:val="-1"/>
          </w:rPr>
          <w:t> </w:t>
        </w:r>
        <w:r>
          <w:rPr/>
          <w:t>histograma</w:t>
          <w:tab/>
          <w:t>57</w:t>
        </w:r>
      </w:hyperlink>
    </w:p>
    <w:p>
      <w:pPr>
        <w:pStyle w:val="BodyText"/>
        <w:spacing w:before="158"/>
        <w:ind w:left="100"/>
      </w:pPr>
      <w:hyperlink w:history="true" w:anchor="_bookmark97">
        <w:r>
          <w:rPr/>
          <w:t>Figura 34. Paciente 3: a) imagen del sistema de planeación. b) película radiocrómica EBT3.</w:t>
        </w:r>
      </w:hyperlink>
    </w:p>
    <w:p>
      <w:pPr>
        <w:pStyle w:val="BodyText"/>
        <w:tabs>
          <w:tab w:pos="8929" w:val="right" w:leader="dot"/>
        </w:tabs>
        <w:spacing w:before="34"/>
        <w:ind w:left="100"/>
      </w:pPr>
      <w:hyperlink w:history="true" w:anchor="_bookmark97">
        <w:r>
          <w:rPr/>
          <w:t>c) superposición de distribuciones. d) mapa del índice gamma.</w:t>
        </w:r>
        <w:r>
          <w:rPr>
            <w:spacing w:val="-18"/>
          </w:rPr>
          <w:t> </w:t>
        </w:r>
        <w:r>
          <w:rPr/>
          <w:t>e)</w:t>
        </w:r>
        <w:r>
          <w:rPr>
            <w:spacing w:val="-1"/>
          </w:rPr>
          <w:t> </w:t>
        </w:r>
        <w:r>
          <w:rPr/>
          <w:t>histograma</w:t>
          <w:tab/>
          <w:t>58</w:t>
        </w:r>
      </w:hyperlink>
    </w:p>
    <w:p>
      <w:pPr>
        <w:pStyle w:val="BodyText"/>
        <w:tabs>
          <w:tab w:pos="8929" w:val="right" w:leader="dot"/>
        </w:tabs>
        <w:spacing w:line="276" w:lineRule="auto" w:before="158"/>
        <w:ind w:left="100" w:right="108"/>
      </w:pPr>
      <w:hyperlink w:history="true" w:anchor="_bookmark98">
        <w:r>
          <w:rPr/>
          <w:t>Figura 35. Porcentaje de puntos con γ&lt;1 para criterios de 3%/3 mm, películas radiográficas</w:t>
        </w:r>
      </w:hyperlink>
      <w:r>
        <w:rPr/>
        <w:t> </w:t>
      </w:r>
      <w:hyperlink w:history="true" w:anchor="_bookmark98">
        <w:r>
          <w:rPr/>
          <w:t>y</w:t>
        </w:r>
        <w:r>
          <w:rPr>
            <w:spacing w:val="-3"/>
          </w:rPr>
          <w:t> </w:t>
        </w:r>
        <w:r>
          <w:rPr/>
          <w:t>radiocrómicas</w:t>
          <w:tab/>
          <w:t>60</w:t>
        </w:r>
      </w:hyperlink>
    </w:p>
    <w:p>
      <w:pPr>
        <w:spacing w:after="0" w:line="276" w:lineRule="auto"/>
        <w:sectPr>
          <w:pgSz w:w="12240" w:h="15840"/>
          <w:pgMar w:header="0" w:footer="1034" w:top="1360" w:bottom="1220" w:left="1600" w:right="1600"/>
        </w:sectPr>
      </w:pPr>
    </w:p>
    <w:p>
      <w:pPr>
        <w:pStyle w:val="Heading6"/>
        <w:spacing w:before="55"/>
        <w:ind w:left="100" w:firstLine="0"/>
      </w:pPr>
      <w:r>
        <w:rPr/>
        <w:t>Índice de tablas</w:t>
      </w:r>
    </w:p>
    <w:p>
      <w:pPr>
        <w:pStyle w:val="BodyText"/>
        <w:spacing w:before="2"/>
        <w:rPr>
          <w:b/>
          <w:sz w:val="32"/>
        </w:rPr>
      </w:pPr>
    </w:p>
    <w:p>
      <w:pPr>
        <w:pStyle w:val="BodyText"/>
        <w:tabs>
          <w:tab w:pos="8690" w:val="left" w:leader="dot"/>
        </w:tabs>
        <w:ind w:left="100"/>
      </w:pPr>
      <w:hyperlink w:history="true" w:anchor="_bookmark32">
        <w:r>
          <w:rPr/>
          <w:t>Tabla 1. Composición de las películas EDR2 (Childress, et</w:t>
        </w:r>
        <w:r>
          <w:rPr>
            <w:spacing w:val="-17"/>
          </w:rPr>
          <w:t> </w:t>
        </w:r>
        <w:r>
          <w:rPr/>
          <w:t>al.,</w:t>
        </w:r>
        <w:r>
          <w:rPr>
            <w:spacing w:val="-3"/>
          </w:rPr>
          <w:t> </w:t>
        </w:r>
        <w:r>
          <w:rPr/>
          <w:t>2005)</w:t>
          <w:tab/>
          <w:t>25</w:t>
        </w:r>
      </w:hyperlink>
    </w:p>
    <w:p>
      <w:pPr>
        <w:pStyle w:val="BodyText"/>
        <w:tabs>
          <w:tab w:pos="8694" w:val="left" w:leader="dot"/>
        </w:tabs>
        <w:spacing w:before="158"/>
        <w:ind w:left="100"/>
      </w:pPr>
      <w:hyperlink w:history="true" w:anchor="_bookmark58">
        <w:r>
          <w:rPr/>
          <w:t>Tabla</w:t>
        </w:r>
        <w:r>
          <w:rPr>
            <w:spacing w:val="-3"/>
          </w:rPr>
          <w:t> </w:t>
        </w:r>
        <w:r>
          <w:rPr/>
          <w:t>2.</w:t>
        </w:r>
        <w:r>
          <w:rPr>
            <w:spacing w:val="-2"/>
          </w:rPr>
          <w:t> </w:t>
        </w:r>
        <w:r>
          <w:rPr/>
          <w:t>Niveles</w:t>
        </w:r>
        <w:r>
          <w:rPr>
            <w:spacing w:val="-3"/>
          </w:rPr>
          <w:t> </w:t>
        </w:r>
        <w:r>
          <w:rPr/>
          <w:t>dosis</w:t>
        </w:r>
        <w:r>
          <w:rPr>
            <w:spacing w:val="-7"/>
          </w:rPr>
          <w:t> </w:t>
        </w:r>
        <w:r>
          <w:rPr/>
          <w:t>utilizados</w:t>
        </w:r>
        <w:r>
          <w:rPr>
            <w:spacing w:val="-3"/>
          </w:rPr>
          <w:t> </w:t>
        </w:r>
        <w:r>
          <w:rPr/>
          <w:t>en</w:t>
        </w:r>
        <w:r>
          <w:rPr>
            <w:spacing w:val="-6"/>
          </w:rPr>
          <w:t> </w:t>
        </w:r>
        <w:r>
          <w:rPr/>
          <w:t>la</w:t>
        </w:r>
        <w:r>
          <w:rPr>
            <w:spacing w:val="-3"/>
          </w:rPr>
          <w:t> </w:t>
        </w:r>
        <w:r>
          <w:rPr/>
          <w:t>curva</w:t>
        </w:r>
        <w:r>
          <w:rPr>
            <w:spacing w:val="-3"/>
          </w:rPr>
          <w:t> </w:t>
        </w:r>
        <w:r>
          <w:rPr/>
          <w:t>de</w:t>
        </w:r>
        <w:r>
          <w:rPr>
            <w:spacing w:val="-2"/>
          </w:rPr>
          <w:t> </w:t>
        </w:r>
        <w:r>
          <w:rPr/>
          <w:t>calibración</w:t>
        </w:r>
        <w:r>
          <w:rPr>
            <w:spacing w:val="-6"/>
          </w:rPr>
          <w:t> </w:t>
        </w:r>
        <w:r>
          <w:rPr/>
          <w:t>de</w:t>
        </w:r>
        <w:r>
          <w:rPr>
            <w:spacing w:val="-2"/>
          </w:rPr>
          <w:t> </w:t>
        </w:r>
        <w:r>
          <w:rPr/>
          <w:t>las</w:t>
        </w:r>
        <w:r>
          <w:rPr>
            <w:spacing w:val="-3"/>
          </w:rPr>
          <w:t> </w:t>
        </w:r>
        <w:r>
          <w:rPr/>
          <w:t>películas</w:t>
        </w:r>
        <w:r>
          <w:rPr>
            <w:spacing w:val="-3"/>
          </w:rPr>
          <w:t> </w:t>
        </w:r>
        <w:r>
          <w:rPr/>
          <w:t>EBT3</w:t>
          <w:tab/>
          <w:t>35</w:t>
        </w:r>
      </w:hyperlink>
    </w:p>
    <w:p>
      <w:pPr>
        <w:pStyle w:val="BodyText"/>
        <w:tabs>
          <w:tab w:pos="8690" w:val="left" w:leader="dot"/>
        </w:tabs>
        <w:spacing w:before="158"/>
        <w:ind w:left="100"/>
      </w:pPr>
      <w:hyperlink w:history="true" w:anchor="_bookmark77">
        <w:r>
          <w:rPr/>
          <w:t>Tabla 3. Coeficientes de determinación por canal de color y tipo</w:t>
        </w:r>
        <w:r>
          <w:rPr>
            <w:spacing w:val="-33"/>
          </w:rPr>
          <w:t> </w:t>
        </w:r>
        <w:r>
          <w:rPr/>
          <w:t>de</w:t>
        </w:r>
        <w:r>
          <w:rPr>
            <w:spacing w:val="-3"/>
          </w:rPr>
          <w:t> </w:t>
        </w:r>
        <w:r>
          <w:rPr/>
          <w:t>ajuste</w:t>
          <w:tab/>
          <w:t>45</w:t>
        </w:r>
      </w:hyperlink>
    </w:p>
    <w:p>
      <w:pPr>
        <w:pStyle w:val="BodyText"/>
        <w:tabs>
          <w:tab w:pos="8674" w:val="left" w:leader="dot"/>
        </w:tabs>
        <w:spacing w:before="158"/>
        <w:ind w:left="100"/>
      </w:pPr>
      <w:hyperlink w:history="true" w:anchor="_bookmark81">
        <w:r>
          <w:rPr/>
          <w:t>Tabla 4. Parámetros de incerteza para la función polinómica</w:t>
        </w:r>
        <w:r>
          <w:rPr>
            <w:spacing w:val="-28"/>
          </w:rPr>
          <w:t> </w:t>
        </w:r>
        <w:r>
          <w:rPr/>
          <w:t>grado</w:t>
        </w:r>
        <w:r>
          <w:rPr>
            <w:spacing w:val="-3"/>
          </w:rPr>
          <w:t> </w:t>
        </w:r>
        <w:r>
          <w:rPr/>
          <w:t>3</w:t>
          <w:tab/>
          <w:t>48</w:t>
        </w:r>
      </w:hyperlink>
    </w:p>
    <w:p>
      <w:pPr>
        <w:pStyle w:val="BodyText"/>
        <w:tabs>
          <w:tab w:pos="8678" w:val="left" w:leader="dot"/>
        </w:tabs>
        <w:spacing w:line="273" w:lineRule="auto" w:before="158"/>
        <w:ind w:left="100" w:right="108"/>
      </w:pPr>
      <w:hyperlink w:history="true" w:anchor="_bookmark85">
        <w:r>
          <w:rPr/>
          <w:t>Tabla 5. Mediciones de dosis en un punto con la cámara de ionización y dosis calculada con</w:t>
        </w:r>
      </w:hyperlink>
      <w:r>
        <w:rPr/>
        <w:t> </w:t>
      </w:r>
      <w:hyperlink w:history="true" w:anchor="_bookmark85">
        <w:r>
          <w:rPr/>
          <w:t>el sistema</w:t>
        </w:r>
        <w:r>
          <w:rPr>
            <w:spacing w:val="-5"/>
          </w:rPr>
          <w:t> </w:t>
        </w:r>
        <w:r>
          <w:rPr/>
          <w:t>de</w:t>
        </w:r>
        <w:r>
          <w:rPr>
            <w:spacing w:val="-2"/>
          </w:rPr>
          <w:t> </w:t>
        </w:r>
        <w:r>
          <w:rPr/>
          <w:t>planeación</w:t>
          <w:tab/>
          <w:t>50</w:t>
        </w:r>
      </w:hyperlink>
    </w:p>
    <w:p>
      <w:pPr>
        <w:pStyle w:val="BodyText"/>
        <w:tabs>
          <w:tab w:pos="8718" w:val="left" w:leader="dot"/>
        </w:tabs>
        <w:spacing w:line="276" w:lineRule="auto" w:before="123"/>
        <w:ind w:left="100" w:right="108"/>
      </w:pPr>
      <w:hyperlink w:history="true" w:anchor="_bookmark89">
        <w:r>
          <w:rPr/>
          <w:t>Tabla 6. Valores del índice gamma medio y porcentaje de puntos que cumplen con el</w:t>
        </w:r>
      </w:hyperlink>
      <w:r>
        <w:rPr/>
        <w:t> </w:t>
      </w:r>
      <w:hyperlink w:history="true" w:anchor="_bookmark89">
        <w:r>
          <w:rPr/>
          <w:t>criterio de aceptación de 3%/3mm para las películas</w:t>
        </w:r>
        <w:r>
          <w:rPr>
            <w:spacing w:val="-29"/>
          </w:rPr>
          <w:t> </w:t>
        </w:r>
        <w:r>
          <w:rPr/>
          <w:t>radiocrómicas</w:t>
        </w:r>
        <w:r>
          <w:rPr>
            <w:spacing w:val="-4"/>
          </w:rPr>
          <w:t> </w:t>
        </w:r>
        <w:r>
          <w:rPr/>
          <w:t>EBT3</w:t>
          <w:tab/>
          <w:t>51</w:t>
        </w:r>
      </w:hyperlink>
    </w:p>
    <w:p>
      <w:pPr>
        <w:pStyle w:val="BodyText"/>
        <w:tabs>
          <w:tab w:pos="8690" w:val="left" w:leader="dot"/>
        </w:tabs>
        <w:spacing w:line="276" w:lineRule="auto" w:before="121"/>
        <w:ind w:left="100" w:right="108"/>
      </w:pPr>
      <w:hyperlink w:history="true" w:anchor="_bookmark90">
        <w:r>
          <w:rPr/>
          <w:t>Tabla 7. Valores del índice gamma medio y porcentaje de puntos que cumplen con el</w:t>
        </w:r>
      </w:hyperlink>
      <w:r>
        <w:rPr/>
        <w:t> </w:t>
      </w:r>
      <w:hyperlink w:history="true" w:anchor="_bookmark90">
        <w:r>
          <w:rPr/>
          <w:t>criterio de aceptación de 4%/3mm y 5%/3mm para las películas</w:t>
        </w:r>
        <w:r>
          <w:rPr>
            <w:spacing w:val="-36"/>
          </w:rPr>
          <w:t> </w:t>
        </w:r>
        <w:r>
          <w:rPr/>
          <w:t>radiocrómicas</w:t>
        </w:r>
        <w:r>
          <w:rPr>
            <w:spacing w:val="-4"/>
          </w:rPr>
          <w:t> </w:t>
        </w:r>
        <w:r>
          <w:rPr/>
          <w:t>EBT3</w:t>
          <w:tab/>
          <w:t>52</w:t>
        </w:r>
      </w:hyperlink>
    </w:p>
    <w:p>
      <w:pPr>
        <w:pStyle w:val="BodyText"/>
        <w:tabs>
          <w:tab w:pos="8690" w:val="left" w:leader="dot"/>
        </w:tabs>
        <w:spacing w:line="276" w:lineRule="auto" w:before="120"/>
        <w:ind w:left="100" w:right="106"/>
      </w:pPr>
      <w:hyperlink w:history="true" w:anchor="_bookmark93">
        <w:r>
          <w:rPr/>
          <w:t>Tabla 8. Valores del índice gamma medio y porcentaje de puntos que cumplen con el</w:t>
        </w:r>
      </w:hyperlink>
      <w:r>
        <w:rPr/>
        <w:t> </w:t>
      </w:r>
      <w:hyperlink w:history="true" w:anchor="_bookmark93">
        <w:r>
          <w:rPr/>
          <w:t>criterio de aceptación de 3%/3mm para las películas</w:t>
        </w:r>
        <w:r>
          <w:rPr>
            <w:spacing w:val="-31"/>
          </w:rPr>
          <w:t> </w:t>
        </w:r>
        <w:r>
          <w:rPr/>
          <w:t>radiográficas</w:t>
        </w:r>
        <w:r>
          <w:rPr>
            <w:spacing w:val="-4"/>
          </w:rPr>
          <w:t> </w:t>
        </w:r>
        <w:r>
          <w:rPr/>
          <w:t>EDR2</w:t>
          <w:tab/>
          <w:t>54</w:t>
        </w:r>
      </w:hyperlink>
    </w:p>
    <w:p>
      <w:pPr>
        <w:pStyle w:val="BodyText"/>
        <w:tabs>
          <w:tab w:pos="8698" w:val="left" w:leader="dot"/>
        </w:tabs>
        <w:spacing w:line="276" w:lineRule="auto" w:before="116"/>
        <w:ind w:left="100" w:right="108"/>
      </w:pPr>
      <w:hyperlink w:history="true" w:anchor="_bookmark94">
        <w:r>
          <w:rPr/>
          <w:t>Tabla 9. Valores del índice gamma medio y porcentaje de puntos que cumplen con el</w:t>
        </w:r>
      </w:hyperlink>
      <w:r>
        <w:rPr/>
        <w:t> </w:t>
      </w:r>
      <w:hyperlink w:history="true" w:anchor="_bookmark94">
        <w:r>
          <w:rPr/>
          <w:t>criterio de aceptación de 4%/3mm y 5%/3mm para las películas</w:t>
        </w:r>
        <w:r>
          <w:rPr>
            <w:spacing w:val="-37"/>
          </w:rPr>
          <w:t> </w:t>
        </w:r>
        <w:r>
          <w:rPr/>
          <w:t>radiográficas</w:t>
        </w:r>
        <w:r>
          <w:rPr>
            <w:spacing w:val="-4"/>
          </w:rPr>
          <w:t> </w:t>
        </w:r>
        <w:r>
          <w:rPr/>
          <w:t>EDR2</w:t>
          <w:tab/>
          <w:t>55</w:t>
        </w:r>
      </w:hyperlink>
    </w:p>
    <w:p>
      <w:pPr>
        <w:spacing w:after="0" w:line="276" w:lineRule="auto"/>
        <w:sectPr>
          <w:pgSz w:w="12240" w:h="15840"/>
          <w:pgMar w:header="0" w:footer="1034" w:top="1360" w:bottom="1220" w:left="1600" w:right="1600"/>
        </w:sectPr>
      </w:pPr>
    </w:p>
    <w:p>
      <w:pPr>
        <w:pStyle w:val="ListParagraph"/>
        <w:numPr>
          <w:ilvl w:val="0"/>
          <w:numId w:val="2"/>
        </w:numPr>
        <w:tabs>
          <w:tab w:pos="461" w:val="left" w:leader="none"/>
        </w:tabs>
        <w:spacing w:line="240" w:lineRule="auto" w:before="51" w:after="0"/>
        <w:ind w:left="460" w:right="0" w:hanging="360"/>
        <w:jc w:val="both"/>
        <w:rPr>
          <w:b/>
          <w:sz w:val="32"/>
        </w:rPr>
      </w:pPr>
      <w:bookmarkStart w:name="_bookmark2" w:id="3"/>
      <w:bookmarkEnd w:id="3"/>
      <w:r>
        <w:rPr/>
      </w:r>
      <w:bookmarkStart w:name="_bookmark2" w:id="4"/>
      <w:bookmarkEnd w:id="4"/>
      <w:r>
        <w:rPr>
          <w:b/>
          <w:sz w:val="32"/>
        </w:rPr>
        <w:t>I</w:t>
      </w:r>
      <w:r>
        <w:rPr>
          <w:b/>
          <w:sz w:val="32"/>
        </w:rPr>
        <w:t>ntroducción</w:t>
      </w:r>
    </w:p>
    <w:p>
      <w:pPr>
        <w:pStyle w:val="BodyText"/>
        <w:spacing w:before="7"/>
        <w:rPr>
          <w:b/>
          <w:sz w:val="30"/>
        </w:rPr>
      </w:pPr>
    </w:p>
    <w:p>
      <w:pPr>
        <w:pStyle w:val="BodyText"/>
        <w:spacing w:line="360" w:lineRule="auto"/>
        <w:ind w:left="100" w:right="101"/>
        <w:jc w:val="both"/>
      </w:pPr>
      <w:r>
        <w:rPr/>
        <w:t>La radioterapia es una disciplina médica que se basa en la utilización de radiaciones ionizantes, tales como rayos x, rayos γ, o bien partículas cargadas como electrones y protones, para tratar enfermedades asociadas a la proliferación sin control de células malignas, conocidas comúnmente como cáncer. La radiación ionizante deposita  energía  en los tejidos, a la que se denomina dosis absorbida, cuya unidad en el Sistema Internacional (SI) es el Gray (Gy), definido como la cantidad de energía depositada </w:t>
      </w:r>
      <w:r>
        <w:rPr>
          <w:spacing w:val="-3"/>
        </w:rPr>
        <w:t>por </w:t>
      </w:r>
      <w:r>
        <w:rPr/>
        <w:t>unidad de masa [J/kg]. La efectividad del tratamiento depende de la cantidad y distribución de esta dosis en el medio y sus efectos biológicos. La radioterapia, a diferencia de otros métodos para tratar el cáncer, como la cirugía y la quimioterapia, depende fuertemente del uso de la tecnología y de la participación de equipos de trabajo multidisciplinarios (Podgorsak,</w:t>
      </w:r>
      <w:r>
        <w:rPr>
          <w:spacing w:val="-11"/>
        </w:rPr>
        <w:t> </w:t>
      </w:r>
      <w:r>
        <w:rPr/>
        <w:t>2005).</w:t>
      </w:r>
    </w:p>
    <w:p>
      <w:pPr>
        <w:pStyle w:val="BodyText"/>
        <w:spacing w:before="9"/>
        <w:rPr>
          <w:sz w:val="32"/>
        </w:rPr>
      </w:pPr>
    </w:p>
    <w:p>
      <w:pPr>
        <w:pStyle w:val="BodyText"/>
        <w:spacing w:line="360" w:lineRule="auto"/>
        <w:ind w:left="100" w:right="103"/>
        <w:jc w:val="both"/>
      </w:pPr>
      <w:r>
        <w:rPr/>
        <w:t>Idealmente, la totalidad de la dosis será absorbida por los tejidos enfermos, sin embargo, en la práctica, es muy difícil evitar por completo que la radiación afecte a los tejidos y a los órganos sanos ubicados en áreas cercanas. Por tanto, una parte muy importante de los desarrollos relacionados a nuevos métodos de radioterapia está encaminada a garantizar que la mayor parte de la dosis se deposite con precisión en las zonas de interés terapéutico.</w:t>
      </w:r>
    </w:p>
    <w:p>
      <w:pPr>
        <w:pStyle w:val="BodyText"/>
      </w:pPr>
    </w:p>
    <w:p>
      <w:pPr>
        <w:pStyle w:val="BodyText"/>
        <w:spacing w:line="360" w:lineRule="auto" w:before="127"/>
        <w:ind w:left="100" w:right="106"/>
        <w:jc w:val="both"/>
      </w:pPr>
      <w:r>
        <w:rPr/>
        <w:t>En la actualidad, la Radioterapia de Intensidad Modulada (IMRT, por sus siglas en inglés), gana cada vez mayor aceptación y difusión para el tratamiento de tumores cancerosos. El número de centros que imparten esta técnica cada vez es mayor, así como la cantidad de pacientes tratados con la misma  (Arrans, et al., 2009).</w:t>
      </w:r>
    </w:p>
    <w:p>
      <w:pPr>
        <w:pStyle w:val="BodyText"/>
        <w:spacing w:before="9"/>
        <w:rPr>
          <w:sz w:val="32"/>
        </w:rPr>
      </w:pPr>
    </w:p>
    <w:p>
      <w:pPr>
        <w:pStyle w:val="BodyText"/>
        <w:spacing w:line="360" w:lineRule="auto"/>
        <w:ind w:left="100" w:right="105"/>
        <w:jc w:val="both"/>
      </w:pPr>
      <w:r>
        <w:rPr/>
        <w:t>La IMRT tiene por objetivo impartir una alta tasa de dosis al tumor a tratar, al tiempo que se minimiza la dosis recibida por los tejidos adyacentes. Esto se logra mediante la modulación de distintos haces de radiación, que crean una distribución de dosis no uniforme en el blanco de interés. La modulación del haz se lleva a cabo dividiéndolo en pequeños segmentos, o </w:t>
      </w:r>
      <w:r>
        <w:rPr>
          <w:i/>
        </w:rPr>
        <w:t>beamlets</w:t>
      </w:r>
      <w:r>
        <w:rPr/>
        <w:t>, de intensidad variable. Los tratamientos para el cáncer basados en radiacion externa han evolucionado desde la irradiacion uniforme de la zona en donde se localiza el tumor, hasta la adaptación del haz de radiacion a la forma del tumor en cuestión. Esto se ha logrado con el apoyo de diversas técnicas de imágen, tales como la Tomografía Computarizada (TC), la resonancia magnetica (RM) y las técnicas de imágen nuclear como la Tomografía por Emisión de Positrones (PET), en conjunción con la TC. La</w:t>
      </w:r>
    </w:p>
    <w:p>
      <w:pPr>
        <w:spacing w:after="0" w:line="360" w:lineRule="auto"/>
        <w:jc w:val="both"/>
        <w:sectPr>
          <w:footerReference w:type="default" r:id="rId14"/>
          <w:pgSz w:w="12240" w:h="15840"/>
          <w:pgMar w:footer="1034" w:header="0" w:top="1360" w:bottom="1220" w:left="1600" w:right="1600"/>
          <w:pgNumType w:start="1"/>
        </w:sectPr>
      </w:pPr>
    </w:p>
    <w:p>
      <w:pPr>
        <w:pStyle w:val="BodyText"/>
        <w:spacing w:line="360" w:lineRule="auto" w:before="55"/>
        <w:ind w:left="100" w:right="126"/>
        <w:jc w:val="both"/>
      </w:pPr>
      <w:r>
        <w:rPr/>
        <w:t>conformación del haz a la forma del tumor se conoce como radioterapia conformal en tres dimensiones (RTC-3D).   La IMRT surge como una evolución de la misma.</w:t>
      </w:r>
    </w:p>
    <w:p>
      <w:pPr>
        <w:pStyle w:val="BodyText"/>
        <w:spacing w:before="9"/>
        <w:rPr>
          <w:sz w:val="32"/>
        </w:rPr>
      </w:pPr>
    </w:p>
    <w:p>
      <w:pPr>
        <w:pStyle w:val="BodyText"/>
        <w:spacing w:line="360" w:lineRule="auto"/>
        <w:ind w:left="100" w:right="116"/>
        <w:jc w:val="both"/>
      </w:pPr>
      <w:r>
        <w:rPr/>
        <w:t>Con las técnicas de IMRT es posible crear distribuciónes con gradientes de dosis altos y bajos. Se pueden obtener distribuciónes de dosis concavas, localizadas entre el tumor o volúmen blanco y el organo en riesgo (Organ at Risk, OAR por sus siglas en inglés), por lo que en determinados casos, se brinda una mejor solución terapéutica para ciertos tipos de tumor. La conformación de la dosis, es decir, su adaptación a la forma tridimensional del tumor, es más precisa con tecnicas de IMRT que con la RTC-3D. Sin embargo, tomando en consideración la característica de conformación de la dosis al tamaño y forma del tumor a tratar, las desviaciones de dosis con respecto al plan teórico de tratamiento en IMRT pueden ser mayores que con las técnicas de RTC-3D convencional, afectando el resutado final del tratamiento.</w:t>
      </w:r>
    </w:p>
    <w:p>
      <w:pPr>
        <w:spacing w:after="0" w:line="360" w:lineRule="auto"/>
        <w:jc w:val="both"/>
        <w:sectPr>
          <w:pgSz w:w="12240" w:h="15840"/>
          <w:pgMar w:header="0" w:footer="1034" w:top="1360" w:bottom="1220" w:left="1600" w:right="1580"/>
        </w:sectPr>
      </w:pPr>
    </w:p>
    <w:p>
      <w:pPr>
        <w:pStyle w:val="Heading1"/>
        <w:numPr>
          <w:ilvl w:val="0"/>
          <w:numId w:val="2"/>
        </w:numPr>
        <w:tabs>
          <w:tab w:pos="461" w:val="left" w:leader="none"/>
        </w:tabs>
        <w:spacing w:line="240" w:lineRule="auto" w:before="51" w:after="0"/>
        <w:ind w:left="460" w:right="0" w:hanging="360"/>
        <w:jc w:val="both"/>
      </w:pPr>
      <w:bookmarkStart w:name="_bookmark3" w:id="5"/>
      <w:bookmarkEnd w:id="5"/>
      <w:r>
        <w:rPr>
          <w:b w:val="0"/>
        </w:rPr>
      </w:r>
      <w:bookmarkStart w:name="_bookmark3" w:id="6"/>
      <w:bookmarkEnd w:id="6"/>
      <w:r>
        <w:rPr/>
        <w:t>Ante</w:t>
      </w:r>
      <w:r>
        <w:rPr/>
        <w:t>cedentes</w:t>
      </w:r>
    </w:p>
    <w:p>
      <w:pPr>
        <w:pStyle w:val="Heading6"/>
        <w:numPr>
          <w:ilvl w:val="1"/>
          <w:numId w:val="2"/>
        </w:numPr>
        <w:tabs>
          <w:tab w:pos="893" w:val="left" w:leader="none"/>
        </w:tabs>
        <w:spacing w:line="360" w:lineRule="auto" w:before="104" w:after="0"/>
        <w:ind w:left="893" w:right="616" w:hanging="433"/>
        <w:jc w:val="left"/>
      </w:pPr>
      <w:bookmarkStart w:name="_bookmark4" w:id="7"/>
      <w:bookmarkEnd w:id="7"/>
      <w:r>
        <w:rPr>
          <w:b w:val="0"/>
        </w:rPr>
      </w:r>
      <w:bookmarkStart w:name="_bookmark4" w:id="8"/>
      <w:bookmarkEnd w:id="8"/>
      <w:r>
        <w:rPr/>
        <w:t>Fo</w:t>
      </w:r>
      <w:r>
        <w:rPr/>
        <w:t>rmas de impartición de la Radioterapia de Intensidad</w:t>
      </w:r>
      <w:r>
        <w:rPr>
          <w:spacing w:val="-27"/>
        </w:rPr>
        <w:t> </w:t>
      </w:r>
      <w:r>
        <w:rPr/>
        <w:t>Modulada (IMRT, siglas en</w:t>
      </w:r>
      <w:r>
        <w:rPr>
          <w:spacing w:val="-10"/>
        </w:rPr>
        <w:t> </w:t>
      </w:r>
      <w:r>
        <w:rPr/>
        <w:t>inglés)</w:t>
      </w:r>
    </w:p>
    <w:p>
      <w:pPr>
        <w:pStyle w:val="BodyText"/>
        <w:spacing w:before="9"/>
        <w:rPr>
          <w:b/>
          <w:sz w:val="32"/>
        </w:rPr>
      </w:pPr>
    </w:p>
    <w:p>
      <w:pPr>
        <w:pStyle w:val="BodyText"/>
        <w:spacing w:line="360" w:lineRule="auto" w:before="1"/>
        <w:ind w:left="100" w:right="99"/>
        <w:jc w:val="both"/>
      </w:pPr>
      <w:r>
        <w:rPr/>
        <w:t>La forma de modular el haz de radiación puede ser por medio de colimadores, o bien por medio de filtros compensadores. Los filtros compensadores han </w:t>
      </w:r>
      <w:r>
        <w:rPr>
          <w:spacing w:val="2"/>
        </w:rPr>
        <w:t>sido </w:t>
      </w:r>
      <w:r>
        <w:rPr/>
        <w:t>usados por varios años con el objetivo de modificar la fluencia de energía en la superficie del paciente, buscando obtener una dosis uniforme en una profundidad dada, en el plano del haz de radiación incidente (Ellis, et al., 1959). Los compensadores permiten hacer ajustes en el  haz debido a la forma del sitio de entrada del haz de radiación, o bien para tomar en consideración las heterogeneidades del tejido que este atravesará hasta llegar al volumen blanco. Sin embargo, estos aditamentos tienen la desventaja de producir una cierta cantidad de radiación dispersada que debe ser tomada en consideración y agregada a la dosis total final al paciente. Aunado a esto, cada haz de radiación debe tener su propio compensador físico, lo que implica una considerable cantidad de trabajo en tratamientos que utilizan múltiples campos de radiación, como la IMRT, ya que estos compensadores deben montarse y desmontarse en el acelerador lineal. Sin embargo, su uso  presenta ciertas ventajas, ya que no existe el problema de la radiación transmitida a traves de láminas en aceleradores que utilicen colimadores multilaminas, la irradiacion del paciente puede llevarse a cabo en una sola sesión, con lo que se minimizan errores derivados de la movilizacion del mismo (Yu, et al., 1998). Además, el control de calidad que se requiere es más</w:t>
      </w:r>
      <w:r>
        <w:rPr>
          <w:spacing w:val="-3"/>
        </w:rPr>
        <w:t> </w:t>
      </w:r>
      <w:r>
        <w:rPr/>
        <w:t>simple,</w:t>
      </w:r>
      <w:r>
        <w:rPr>
          <w:spacing w:val="-2"/>
        </w:rPr>
        <w:t> </w:t>
      </w:r>
      <w:r>
        <w:rPr/>
        <w:t>con</w:t>
      </w:r>
      <w:r>
        <w:rPr>
          <w:spacing w:val="-6"/>
        </w:rPr>
        <w:t> </w:t>
      </w:r>
      <w:r>
        <w:rPr/>
        <w:t>lo</w:t>
      </w:r>
      <w:r>
        <w:rPr>
          <w:spacing w:val="-3"/>
        </w:rPr>
        <w:t> </w:t>
      </w:r>
      <w:r>
        <w:rPr/>
        <w:t>cual</w:t>
      </w:r>
      <w:r>
        <w:rPr>
          <w:spacing w:val="-3"/>
        </w:rPr>
        <w:t> </w:t>
      </w:r>
      <w:r>
        <w:rPr/>
        <w:t>los</w:t>
      </w:r>
      <w:r>
        <w:rPr>
          <w:spacing w:val="-3"/>
        </w:rPr>
        <w:t> </w:t>
      </w:r>
      <w:r>
        <w:rPr/>
        <w:t>tiempos</w:t>
      </w:r>
      <w:r>
        <w:rPr>
          <w:spacing w:val="-3"/>
        </w:rPr>
        <w:t> </w:t>
      </w:r>
      <w:r>
        <w:rPr/>
        <w:t>de</w:t>
      </w:r>
      <w:r>
        <w:rPr>
          <w:spacing w:val="-2"/>
        </w:rPr>
        <w:t> </w:t>
      </w:r>
      <w:r>
        <w:rPr/>
        <w:t>tratamiento</w:t>
      </w:r>
      <w:r>
        <w:rPr>
          <w:spacing w:val="-2"/>
        </w:rPr>
        <w:t> </w:t>
      </w:r>
      <w:r>
        <w:rPr/>
        <w:t>también</w:t>
      </w:r>
      <w:r>
        <w:rPr>
          <w:spacing w:val="-6"/>
        </w:rPr>
        <w:t> </w:t>
      </w:r>
      <w:r>
        <w:rPr/>
        <w:t>pueden</w:t>
      </w:r>
      <w:r>
        <w:rPr>
          <w:spacing w:val="-6"/>
        </w:rPr>
        <w:t> </w:t>
      </w:r>
      <w:r>
        <w:rPr/>
        <w:t>ser</w:t>
      </w:r>
      <w:r>
        <w:rPr>
          <w:spacing w:val="-2"/>
        </w:rPr>
        <w:t> </w:t>
      </w:r>
      <w:r>
        <w:rPr/>
        <w:t>menores.</w:t>
      </w:r>
    </w:p>
    <w:p>
      <w:pPr>
        <w:pStyle w:val="BodyText"/>
        <w:spacing w:before="10"/>
        <w:rPr>
          <w:sz w:val="21"/>
        </w:rPr>
      </w:pPr>
    </w:p>
    <w:p>
      <w:pPr>
        <w:pStyle w:val="BodyText"/>
        <w:spacing w:line="360" w:lineRule="auto"/>
        <w:ind w:left="100" w:right="98"/>
        <w:jc w:val="both"/>
      </w:pPr>
      <w:r>
        <w:rPr/>
        <w:t>Entre los materiales utilizados en la elaboracion de fitros compensadores se encuentran el plomo, el cerrobend, latón, aluminio, acero, estaño, lucita y tungsteno, entre otros. Las caracteristicas principales a tener en cuenta en la eleccion de un material son; a) capacidad de modular la radiacion en un amplio rango de energías, b)alta resolucion espacial, en funcion del grano, c) que no sea peligrosa su manipulación en el proceso de fabricación, d) que sea facilmente maleable, y además, que sea capaz de mantener la forma deseada, e) bajo costo y f) no contaminante (Chang, et al., 2004)</w:t>
      </w:r>
    </w:p>
    <w:p>
      <w:pPr>
        <w:spacing w:after="0" w:line="360" w:lineRule="auto"/>
        <w:jc w:val="both"/>
        <w:sectPr>
          <w:pgSz w:w="12240" w:h="15840"/>
          <w:pgMar w:header="0" w:footer="1034" w:top="1360" w:bottom="1220" w:left="1600" w:right="1600"/>
        </w:sectPr>
      </w:pPr>
    </w:p>
    <w:p>
      <w:pPr>
        <w:pStyle w:val="BodyText"/>
        <w:ind w:left="1770"/>
        <w:rPr>
          <w:sz w:val="20"/>
        </w:rPr>
      </w:pPr>
      <w:r>
        <w:rPr>
          <w:sz w:val="20"/>
        </w:rPr>
        <w:drawing>
          <wp:inline distT="0" distB="0" distL="0" distR="0">
            <wp:extent cx="3496245" cy="2633853"/>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5" cstate="print"/>
                    <a:stretch>
                      <a:fillRect/>
                    </a:stretch>
                  </pic:blipFill>
                  <pic:spPr>
                    <a:xfrm>
                      <a:off x="0" y="0"/>
                      <a:ext cx="3496245" cy="2633853"/>
                    </a:xfrm>
                    <a:prstGeom prst="rect">
                      <a:avLst/>
                    </a:prstGeom>
                  </pic:spPr>
                </pic:pic>
              </a:graphicData>
            </a:graphic>
          </wp:inline>
        </w:drawing>
      </w:r>
      <w:r>
        <w:rPr>
          <w:sz w:val="20"/>
        </w:rPr>
      </w:r>
    </w:p>
    <w:p>
      <w:pPr>
        <w:spacing w:before="110"/>
        <w:ind w:left="1056" w:right="155" w:firstLine="0"/>
        <w:jc w:val="left"/>
        <w:rPr>
          <w:b/>
          <w:sz w:val="20"/>
        </w:rPr>
      </w:pPr>
      <w:bookmarkStart w:name="_bookmark5" w:id="9"/>
      <w:bookmarkEnd w:id="9"/>
      <w:r>
        <w:rPr/>
      </w:r>
      <w:r>
        <w:rPr>
          <w:sz w:val="20"/>
        </w:rPr>
        <w:t>Figura 1. Filtros compensadores utilizados en IMRT </w:t>
      </w:r>
      <w:r>
        <w:rPr>
          <w:b/>
          <w:sz w:val="20"/>
        </w:rPr>
        <w:t>(Javedan, et al., 2008)</w:t>
      </w:r>
    </w:p>
    <w:p>
      <w:pPr>
        <w:pStyle w:val="BodyText"/>
        <w:rPr>
          <w:b/>
          <w:sz w:val="20"/>
        </w:rPr>
      </w:pPr>
    </w:p>
    <w:p>
      <w:pPr>
        <w:pStyle w:val="BodyText"/>
        <w:rPr>
          <w:b/>
          <w:sz w:val="20"/>
        </w:rPr>
      </w:pPr>
    </w:p>
    <w:p>
      <w:pPr>
        <w:pStyle w:val="BodyText"/>
        <w:spacing w:line="360" w:lineRule="auto" w:before="127"/>
        <w:ind w:left="100" w:right="114"/>
        <w:jc w:val="both"/>
      </w:pPr>
      <w:r>
        <w:rPr/>
        <w:t>Los filtros compensadores han sido utilizados comunmente para impartir tratamientos de IMRT en pacientes con cancer de cabeza y cuello, como ejemplo se pueden mencionar los tratamientos diseñados por el sistema de planeación inversa Konrad y la técnica de IMRT de cinco campos, en la cual se utilizan cinco filtros compensadores montados en una torreta giratoria. De esta manera, se logra un cierto grado de automatizacion en la utilización de estos filtros, disminuyendo algunos problemas derivados de su manejo manual (Popple &amp; Rosen, 2000). Igualmente, se ha descrito el uso de compensadores en el tratamiento de cancer de pecho (Evans, et al.,</w:t>
      </w:r>
      <w:r>
        <w:rPr>
          <w:spacing w:val="-19"/>
        </w:rPr>
        <w:t> </w:t>
      </w:r>
      <w:r>
        <w:rPr/>
        <w:t>1995).</w:t>
      </w:r>
    </w:p>
    <w:p>
      <w:pPr>
        <w:pStyle w:val="BodyText"/>
        <w:spacing w:before="9"/>
        <w:rPr>
          <w:sz w:val="32"/>
        </w:rPr>
      </w:pPr>
    </w:p>
    <w:p>
      <w:pPr>
        <w:pStyle w:val="BodyText"/>
        <w:spacing w:line="360" w:lineRule="auto" w:before="1"/>
        <w:ind w:left="100" w:right="116"/>
        <w:jc w:val="both"/>
      </w:pPr>
      <w:r>
        <w:rPr/>
        <w:t>Otra manera de impartir los tratamientos de IMRT es por medio de la tomoterapia, y de algunas tecnicas desarrolladas a partir de ella, como la </w:t>
      </w:r>
      <w:r>
        <w:rPr>
          <w:i/>
        </w:rPr>
        <w:t>Intensity Modulated Arc Therapy </w:t>
      </w:r>
      <w:r>
        <w:rPr/>
        <w:t>(IMAT) y la </w:t>
      </w:r>
      <w:r>
        <w:rPr>
          <w:i/>
        </w:rPr>
        <w:t>Volumetric Modulated Arc Therapy </w:t>
      </w:r>
      <w:r>
        <w:rPr/>
        <w:t>(VMAT). En la tomoterapia, se hacen girar una serie de haces en forma de abanico, creando una distribución de dosis no uniforme, en “rebanadas” , de manera similar a la adquisicion de imágenes por Tomografía Computarizada (TC). Los desarrollos más recientes de esta tecnología imparten la </w:t>
      </w:r>
      <w:r>
        <w:rPr>
          <w:spacing w:val="3"/>
        </w:rPr>
        <w:t>dosis </w:t>
      </w:r>
      <w:r>
        <w:rPr/>
        <w:t>al paciente de manera similar a como lo hacen las máquinas de TC helicoidal, es decir, el paciente se mueve continuamente a traves de los haces en</w:t>
      </w:r>
      <w:r>
        <w:rPr>
          <w:spacing w:val="-37"/>
        </w:rPr>
        <w:t> </w:t>
      </w:r>
      <w:r>
        <w:rPr/>
        <w:t>rotación.</w:t>
      </w:r>
    </w:p>
    <w:p>
      <w:pPr>
        <w:pStyle w:val="BodyText"/>
      </w:pPr>
    </w:p>
    <w:p>
      <w:pPr>
        <w:pStyle w:val="BodyText"/>
        <w:spacing w:line="360" w:lineRule="auto" w:before="127"/>
        <w:ind w:left="100" w:right="115"/>
        <w:jc w:val="both"/>
      </w:pPr>
      <w:r>
        <w:rPr/>
        <w:t>La IMAT fue propuesta por Cedric X. Yu como alternativa a la tomoterapia convencional. Esta técnica utiliza haces cónicos rotatorios para modular la dosis administrada, y se imparte  con  aceleradores  lineales  convencionales  con  colimadores  multiláminas     (Yu,</w:t>
      </w:r>
    </w:p>
    <w:p>
      <w:pPr>
        <w:spacing w:after="0" w:line="360" w:lineRule="auto"/>
        <w:jc w:val="both"/>
        <w:sectPr>
          <w:pgSz w:w="12240" w:h="15840"/>
          <w:pgMar w:header="0" w:footer="1034" w:top="1420" w:bottom="1220" w:left="1600" w:right="1580"/>
        </w:sectPr>
      </w:pPr>
    </w:p>
    <w:p>
      <w:pPr>
        <w:pStyle w:val="BodyText"/>
        <w:spacing w:line="360" w:lineRule="auto" w:before="55"/>
        <w:ind w:left="100" w:right="115"/>
        <w:jc w:val="both"/>
      </w:pPr>
      <w:r>
        <w:rPr/>
        <w:t>1995). En la IMAT, los segmentos del  colimador mulltiláminas se van moviendo durante  el tratamiento, para dar forma al haz de radiación, mientras el gantry gira alrededor del paciente, utilizando múltiples arcos superpuestos. Un desarrollo posterior a la IMAT es la VMAT, en la cual, al igual que en la IMAT, el tratamiento es administrado por medio del giro del gantry, y la radiación es entregada de manera continua en uno o más arcos. En  esta técnica es posible variar la apertura y forma del colimador multiláminas, su orientación, la velocidad de rotación del gantry y la tasa de dosis entregada. Es una tecnica relativamente nueva, la idea básica teórica fue descrita desde el año 2001 (Webb, 2009), aunque la propuesta y descripción formal de la técnica fue propuesta por Otto en 2008 como una solución para el problema de resolución de ángulo de muestreo de gantry para optimizaciones y cálculos de dosis (Otto, 2008). Las principales ventajas de la VMAT es la reducción del tiempo de tratamiento a los pacientes y de la cantidad de Unidades Monitor (MU por sus siglas en inglés) requeridas, en comparación con otras tecnicas de IMRT convencionales (Cozzi, et al.,</w:t>
      </w:r>
      <w:r>
        <w:rPr>
          <w:spacing w:val="-13"/>
        </w:rPr>
        <w:t> </w:t>
      </w:r>
      <w:r>
        <w:rPr/>
        <w:t>2008).</w:t>
      </w:r>
    </w:p>
    <w:p>
      <w:pPr>
        <w:pStyle w:val="BodyText"/>
        <w:spacing w:before="9"/>
        <w:rPr>
          <w:sz w:val="32"/>
        </w:rPr>
      </w:pPr>
    </w:p>
    <w:p>
      <w:pPr>
        <w:pStyle w:val="BodyText"/>
        <w:spacing w:line="360" w:lineRule="auto"/>
        <w:ind w:left="100" w:right="117"/>
        <w:jc w:val="both"/>
      </w:pPr>
      <w:r>
        <w:rPr/>
        <w:t>En la actualidad, la mayor parte de los tratamientos de IMRT se imparten con  aceleradores lineales equipados con colimadores multiláminas (Multileaf Collimator, MLC). Existen dos principales maneras de modular el haz de radiación con MLC; la  técnica coloquialmente conocida como </w:t>
      </w:r>
      <w:r>
        <w:rPr>
          <w:i/>
        </w:rPr>
        <w:t>step and shoot</w:t>
      </w:r>
      <w:r>
        <w:rPr/>
        <w:t>, o </w:t>
      </w:r>
      <w:r>
        <w:rPr>
          <w:i/>
        </w:rPr>
        <w:t>segmented MLC </w:t>
      </w:r>
      <w:r>
        <w:rPr/>
        <w:t>(SMLC), y la técnica conocida como MLC dinámica (</w:t>
      </w:r>
      <w:r>
        <w:rPr>
          <w:i/>
        </w:rPr>
        <w:t>dynamic </w:t>
      </w:r>
      <w:r>
        <w:rPr/>
        <w:t>MLC,</w:t>
      </w:r>
      <w:r>
        <w:rPr>
          <w:spacing w:val="-23"/>
        </w:rPr>
        <w:t> </w:t>
      </w:r>
      <w:r>
        <w:rPr/>
        <w:t>dMLC).</w:t>
      </w:r>
    </w:p>
    <w:p>
      <w:pPr>
        <w:pStyle w:val="BodyText"/>
      </w:pPr>
    </w:p>
    <w:p>
      <w:pPr>
        <w:pStyle w:val="BodyText"/>
        <w:spacing w:line="360" w:lineRule="auto" w:before="127"/>
        <w:ind w:left="100" w:right="116"/>
        <w:jc w:val="both"/>
      </w:pPr>
      <w:r>
        <w:rPr/>
        <w:t>La técnica </w:t>
      </w:r>
      <w:r>
        <w:rPr>
          <w:i/>
        </w:rPr>
        <w:t>step and shoot </w:t>
      </w:r>
      <w:r>
        <w:rPr/>
        <w:t>es la manera, conceptual y práctica, mas sencilla de administrar tratamientos de IMRT con colimadores multiláminas, y puede considerarse una extensíon de la RTC-3D, ya que la principal diferencia radica en el número de segmentos modulados a utilizar. Durante su aplicación, las láminas del colimador adoptan una posición adecuada para la modulación del haz de radiación, mientras éste se encuentra apagado. Ya que se logra la forma y posición deseadas del colimador, se imparte la radiación, el haz cesa de irradiar, y nuevamente se reproduce el procedimiento para otra posición del colimador y subsecuente modulación del haz. El tratamiento completo consiste en la impartición de diferentes segmentos modulados en posiciones estáticas del colimador, generados por un secuenciador, y sus patrones de intensidad dependerán de la complejidad de la  distribución de fuencia, el tiempo de irradiación y la distancia recorrida por las láminas. </w:t>
      </w:r>
      <w:r>
        <w:rPr>
          <w:spacing w:val="6"/>
        </w:rPr>
        <w:t>El </w:t>
      </w:r>
      <w:r>
        <w:rPr/>
        <w:t>perfil de distribución de dosis final será la suma de todos los segmentos individuales. Durante</w:t>
      </w:r>
      <w:r>
        <w:rPr>
          <w:spacing w:val="20"/>
        </w:rPr>
        <w:t> </w:t>
      </w:r>
      <w:r>
        <w:rPr/>
        <w:t>el</w:t>
      </w:r>
      <w:r>
        <w:rPr>
          <w:spacing w:val="19"/>
        </w:rPr>
        <w:t> </w:t>
      </w:r>
      <w:r>
        <w:rPr/>
        <w:t>proceso,</w:t>
      </w:r>
      <w:r>
        <w:rPr>
          <w:spacing w:val="15"/>
        </w:rPr>
        <w:t> </w:t>
      </w:r>
      <w:r>
        <w:rPr/>
        <w:t>diveros</w:t>
      </w:r>
      <w:r>
        <w:rPr>
          <w:spacing w:val="19"/>
        </w:rPr>
        <w:t> </w:t>
      </w:r>
      <w:r>
        <w:rPr/>
        <w:t>parámetros</w:t>
      </w:r>
      <w:r>
        <w:rPr>
          <w:spacing w:val="19"/>
        </w:rPr>
        <w:t> </w:t>
      </w:r>
      <w:r>
        <w:rPr/>
        <w:t>como</w:t>
      </w:r>
      <w:r>
        <w:rPr>
          <w:spacing w:val="19"/>
        </w:rPr>
        <w:t> </w:t>
      </w:r>
      <w:r>
        <w:rPr/>
        <w:t>el</w:t>
      </w:r>
      <w:r>
        <w:rPr>
          <w:spacing w:val="19"/>
        </w:rPr>
        <w:t> </w:t>
      </w:r>
      <w:r>
        <w:rPr/>
        <w:t>movimiento</w:t>
      </w:r>
      <w:r>
        <w:rPr>
          <w:spacing w:val="19"/>
        </w:rPr>
        <w:t> </w:t>
      </w:r>
      <w:r>
        <w:rPr/>
        <w:t>y</w:t>
      </w:r>
      <w:r>
        <w:rPr>
          <w:spacing w:val="18"/>
        </w:rPr>
        <w:t> </w:t>
      </w:r>
      <w:r>
        <w:rPr/>
        <w:t>la</w:t>
      </w:r>
      <w:r>
        <w:rPr>
          <w:spacing w:val="19"/>
        </w:rPr>
        <w:t> </w:t>
      </w:r>
      <w:r>
        <w:rPr/>
        <w:t>posición</w:t>
      </w:r>
      <w:r>
        <w:rPr>
          <w:spacing w:val="16"/>
        </w:rPr>
        <w:t> </w:t>
      </w:r>
      <w:r>
        <w:rPr/>
        <w:t>de</w:t>
      </w:r>
      <w:r>
        <w:rPr>
          <w:spacing w:val="16"/>
        </w:rPr>
        <w:t> </w:t>
      </w:r>
      <w:r>
        <w:rPr/>
        <w:t>las</w:t>
      </w:r>
      <w:r>
        <w:rPr>
          <w:spacing w:val="15"/>
        </w:rPr>
        <w:t> </w:t>
      </w:r>
      <w:r>
        <w:rPr/>
        <w:t>láminas</w:t>
      </w:r>
    </w:p>
    <w:p>
      <w:pPr>
        <w:spacing w:after="0" w:line="360" w:lineRule="auto"/>
        <w:jc w:val="both"/>
        <w:sectPr>
          <w:pgSz w:w="12240" w:h="15840"/>
          <w:pgMar w:header="0" w:footer="1034" w:top="1360" w:bottom="1220" w:left="1600" w:right="1580"/>
        </w:sectPr>
      </w:pPr>
    </w:p>
    <w:p>
      <w:pPr>
        <w:pStyle w:val="BodyText"/>
        <w:spacing w:line="360" w:lineRule="auto" w:before="55"/>
        <w:ind w:left="100" w:right="110"/>
        <w:jc w:val="both"/>
      </w:pPr>
      <w:r>
        <w:rPr/>
        <w:t>del colimador, las UM y la fluencia del haz son monitoreados y controlador por computadora.</w:t>
      </w:r>
    </w:p>
    <w:p>
      <w:pPr>
        <w:pStyle w:val="BodyText"/>
        <w:spacing w:before="7"/>
        <w:rPr>
          <w:sz w:val="29"/>
        </w:rPr>
      </w:pPr>
      <w:r>
        <w:rPr/>
        <w:drawing>
          <wp:anchor distT="0" distB="0" distL="0" distR="0" allowOverlap="1" layoutInCell="1" locked="0" behindDoc="0" simplePos="0" relativeHeight="1168">
            <wp:simplePos x="0" y="0"/>
            <wp:positionH relativeFrom="page">
              <wp:posOffset>1080135</wp:posOffset>
            </wp:positionH>
            <wp:positionV relativeFrom="paragraph">
              <wp:posOffset>238875</wp:posOffset>
            </wp:positionV>
            <wp:extent cx="5609111" cy="2360295"/>
            <wp:effectExtent l="0" t="0" r="0" b="0"/>
            <wp:wrapTopAndBottom/>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6" cstate="print"/>
                    <a:stretch>
                      <a:fillRect/>
                    </a:stretch>
                  </pic:blipFill>
                  <pic:spPr>
                    <a:xfrm>
                      <a:off x="0" y="0"/>
                      <a:ext cx="5609111" cy="2360295"/>
                    </a:xfrm>
                    <a:prstGeom prst="rect">
                      <a:avLst/>
                    </a:prstGeom>
                  </pic:spPr>
                </pic:pic>
              </a:graphicData>
            </a:graphic>
          </wp:anchor>
        </w:drawing>
      </w:r>
    </w:p>
    <w:p>
      <w:pPr>
        <w:pStyle w:val="BodyText"/>
      </w:pPr>
    </w:p>
    <w:p>
      <w:pPr>
        <w:pStyle w:val="BodyText"/>
        <w:rPr>
          <w:sz w:val="19"/>
        </w:rPr>
      </w:pPr>
    </w:p>
    <w:p>
      <w:pPr>
        <w:spacing w:before="0"/>
        <w:ind w:left="3341" w:right="407" w:hanging="2926"/>
        <w:jc w:val="left"/>
        <w:rPr>
          <w:b/>
          <w:sz w:val="20"/>
        </w:rPr>
      </w:pPr>
      <w:bookmarkStart w:name="_bookmark6" w:id="10"/>
      <w:bookmarkEnd w:id="10"/>
      <w:r>
        <w:rPr/>
      </w:r>
      <w:r>
        <w:rPr>
          <w:sz w:val="20"/>
        </w:rPr>
        <w:t>Figura 2. Comparación entre distribuciones de intensidad para a) dMLC y b) SMLC </w:t>
      </w:r>
      <w:r>
        <w:rPr>
          <w:b/>
          <w:sz w:val="20"/>
        </w:rPr>
        <w:t>(Kesava Ramgopal, et al., 2012)</w:t>
      </w:r>
    </w:p>
    <w:p>
      <w:pPr>
        <w:pStyle w:val="BodyText"/>
        <w:rPr>
          <w:b/>
          <w:sz w:val="20"/>
        </w:rPr>
      </w:pPr>
    </w:p>
    <w:p>
      <w:pPr>
        <w:pStyle w:val="BodyText"/>
        <w:rPr>
          <w:b/>
          <w:sz w:val="20"/>
        </w:rPr>
      </w:pPr>
    </w:p>
    <w:p>
      <w:pPr>
        <w:pStyle w:val="BodyText"/>
        <w:spacing w:line="360" w:lineRule="auto" w:before="128"/>
        <w:ind w:left="100" w:right="99"/>
        <w:jc w:val="both"/>
      </w:pPr>
      <w:r>
        <w:rPr/>
        <w:t>En la “dynamic MLC”, también conocida como </w:t>
      </w:r>
      <w:r>
        <w:rPr>
          <w:i/>
        </w:rPr>
        <w:t>slinding window</w:t>
      </w:r>
      <w:r>
        <w:rPr/>
        <w:t>, las láminas del colimador tienen un movimiento contínuo, al tiempo que el haz se encuentra irradiando. </w:t>
      </w:r>
      <w:r>
        <w:rPr>
          <w:spacing w:val="-3"/>
        </w:rPr>
        <w:t>La  </w:t>
      </w:r>
      <w:r>
        <w:rPr/>
        <w:t>modulación del haz se logra variando la apertura entre los pares de láminas del colimador, asi como su velocidad de movimiento. Las hojas enfrentadas se desplazan de forma independiente y de manera unidireccional, y forman patrones de espacios por los cuales la radiación pasa del foco del acelerador al paciente. Tanto la velocidad de las láminas como la posición que adoptan son controladas por sistemas computacionales, para entregar la dosis calculada por el plan de tratamiento. En teoría, cualquier patrón de modulación de la dosis puede ser producido por medio del diseño de la secuencia de movimiento de las láminas del colimador, sin embargo, en la práctica, estos patrones están limitados por el diseño físico del propio colimador y las características de tasa de dosis de los diferentes equipos.</w:t>
      </w:r>
    </w:p>
    <w:p>
      <w:pPr>
        <w:pStyle w:val="BodyText"/>
        <w:spacing w:before="9"/>
        <w:rPr>
          <w:sz w:val="32"/>
        </w:rPr>
      </w:pPr>
    </w:p>
    <w:p>
      <w:pPr>
        <w:pStyle w:val="Heading6"/>
        <w:numPr>
          <w:ilvl w:val="1"/>
          <w:numId w:val="2"/>
        </w:numPr>
        <w:tabs>
          <w:tab w:pos="893" w:val="left" w:leader="none"/>
        </w:tabs>
        <w:spacing w:line="240" w:lineRule="auto" w:before="0" w:after="0"/>
        <w:ind w:left="893" w:right="0" w:hanging="433"/>
        <w:jc w:val="left"/>
      </w:pPr>
      <w:bookmarkStart w:name="_bookmark7" w:id="11"/>
      <w:bookmarkEnd w:id="11"/>
      <w:r>
        <w:rPr>
          <w:b w:val="0"/>
        </w:rPr>
      </w:r>
      <w:bookmarkStart w:name="_bookmark7" w:id="12"/>
      <w:bookmarkEnd w:id="12"/>
      <w:r>
        <w:rPr/>
        <w:t>S</w:t>
      </w:r>
      <w:r>
        <w:rPr/>
        <w:t>istemas de</w:t>
      </w:r>
      <w:r>
        <w:rPr>
          <w:spacing w:val="-10"/>
        </w:rPr>
        <w:t> </w:t>
      </w:r>
      <w:r>
        <w:rPr/>
        <w:t>planeación</w:t>
      </w:r>
    </w:p>
    <w:p>
      <w:pPr>
        <w:pStyle w:val="BodyText"/>
        <w:spacing w:before="10"/>
        <w:rPr>
          <w:b/>
          <w:sz w:val="19"/>
        </w:rPr>
      </w:pPr>
    </w:p>
    <w:p>
      <w:pPr>
        <w:spacing w:before="0"/>
        <w:ind w:left="100" w:right="0" w:firstLine="0"/>
        <w:jc w:val="both"/>
        <w:rPr>
          <w:i/>
          <w:sz w:val="22"/>
        </w:rPr>
      </w:pPr>
      <w:r>
        <w:rPr>
          <w:i/>
          <w:sz w:val="22"/>
        </w:rPr>
        <w:t>Planeación directa e inversa</w:t>
      </w:r>
    </w:p>
    <w:p>
      <w:pPr>
        <w:spacing w:after="0"/>
        <w:jc w:val="both"/>
        <w:rPr>
          <w:sz w:val="22"/>
        </w:rPr>
        <w:sectPr>
          <w:pgSz w:w="12240" w:h="15840"/>
          <w:pgMar w:header="0" w:footer="1034" w:top="1360" w:bottom="1220" w:left="1600" w:right="1600"/>
        </w:sectPr>
      </w:pPr>
    </w:p>
    <w:p>
      <w:pPr>
        <w:pStyle w:val="BodyText"/>
        <w:spacing w:line="360" w:lineRule="auto" w:before="55"/>
        <w:ind w:left="100" w:right="115"/>
        <w:jc w:val="both"/>
      </w:pPr>
      <w:r>
        <w:rPr/>
        <w:t>La planeación directa se hace siguiendo un procedimiento similar a la realización de planeaciones en la RTC-3D. En la terapia conformal, se inicia con la adquisicion de imágenes del paciente en la posición de tratamiento por técnicas como RM o TC, la definición de los volúmenes de tratamiento y los órganos de riesgo, se diseñan las formas, direcciones y pesos de los haces de radiación a utilizar, y por último se calcula la distribución de dosis final. En la planeación directa, el físico médico o el encargado del diseño del plan de tratamiento, establece de antemano el número y dirección de los haces de radiación, la forma geométrica de los mismos y la intensidad de cada uno, y posteriormente un programa computacional calcula la distribución de dosis final, sumando la contribución de cada uno de los haces individuales. Si esta distribución de dosis no </w:t>
      </w:r>
      <w:r>
        <w:rPr>
          <w:spacing w:val="8"/>
        </w:rPr>
        <w:t>es </w:t>
      </w:r>
      <w:r>
        <w:rPr/>
        <w:t>satisfactoria, el planificador hace las modificaciones pertinentes basado en su experiencia,  y</w:t>
      </w:r>
      <w:r>
        <w:rPr>
          <w:spacing w:val="-4"/>
        </w:rPr>
        <w:t> </w:t>
      </w:r>
      <w:r>
        <w:rPr/>
        <w:t>se</w:t>
      </w:r>
      <w:r>
        <w:rPr>
          <w:spacing w:val="-2"/>
        </w:rPr>
        <w:t> </w:t>
      </w:r>
      <w:r>
        <w:rPr/>
        <w:t>repiten</w:t>
      </w:r>
      <w:r>
        <w:rPr>
          <w:spacing w:val="-6"/>
        </w:rPr>
        <w:t> </w:t>
      </w:r>
      <w:r>
        <w:rPr/>
        <w:t>los</w:t>
      </w:r>
      <w:r>
        <w:rPr>
          <w:spacing w:val="-3"/>
        </w:rPr>
        <w:t> </w:t>
      </w:r>
      <w:r>
        <w:rPr/>
        <w:t>cálculos</w:t>
      </w:r>
      <w:r>
        <w:rPr>
          <w:spacing w:val="-3"/>
        </w:rPr>
        <w:t> </w:t>
      </w:r>
      <w:r>
        <w:rPr/>
        <w:t>hasta</w:t>
      </w:r>
      <w:r>
        <w:rPr>
          <w:spacing w:val="-3"/>
        </w:rPr>
        <w:t> </w:t>
      </w:r>
      <w:r>
        <w:rPr/>
        <w:t>alcanzar</w:t>
      </w:r>
      <w:r>
        <w:rPr>
          <w:spacing w:val="-2"/>
        </w:rPr>
        <w:t> </w:t>
      </w:r>
      <w:r>
        <w:rPr/>
        <w:t>la</w:t>
      </w:r>
      <w:r>
        <w:rPr>
          <w:spacing w:val="-3"/>
        </w:rPr>
        <w:t> </w:t>
      </w:r>
      <w:r>
        <w:rPr/>
        <w:t>distribución</w:t>
      </w:r>
      <w:r>
        <w:rPr>
          <w:spacing w:val="-6"/>
        </w:rPr>
        <w:t> </w:t>
      </w:r>
      <w:r>
        <w:rPr/>
        <w:t>que</w:t>
      </w:r>
      <w:r>
        <w:rPr>
          <w:spacing w:val="-2"/>
        </w:rPr>
        <w:t> </w:t>
      </w:r>
      <w:r>
        <w:rPr/>
        <w:t>más</w:t>
      </w:r>
      <w:r>
        <w:rPr>
          <w:spacing w:val="-3"/>
        </w:rPr>
        <w:t> </w:t>
      </w:r>
      <w:r>
        <w:rPr/>
        <w:t>se</w:t>
      </w:r>
      <w:r>
        <w:rPr>
          <w:spacing w:val="-2"/>
        </w:rPr>
        <w:t> </w:t>
      </w:r>
      <w:r>
        <w:rPr/>
        <w:t>acerca</w:t>
      </w:r>
      <w:r>
        <w:rPr>
          <w:spacing w:val="-3"/>
        </w:rPr>
        <w:t> </w:t>
      </w:r>
      <w:r>
        <w:rPr/>
        <w:t>a</w:t>
      </w:r>
      <w:r>
        <w:rPr>
          <w:spacing w:val="-3"/>
        </w:rPr>
        <w:t> </w:t>
      </w:r>
      <w:r>
        <w:rPr/>
        <w:t>la</w:t>
      </w:r>
      <w:r>
        <w:rPr>
          <w:spacing w:val="-3"/>
        </w:rPr>
        <w:t> </w:t>
      </w:r>
      <w:r>
        <w:rPr/>
        <w:t>deseada.</w:t>
      </w:r>
    </w:p>
    <w:p>
      <w:pPr>
        <w:pStyle w:val="BodyText"/>
      </w:pPr>
    </w:p>
    <w:p>
      <w:pPr>
        <w:pStyle w:val="BodyText"/>
        <w:spacing w:line="360" w:lineRule="auto" w:before="127"/>
        <w:ind w:left="100" w:right="118"/>
        <w:jc w:val="both"/>
      </w:pPr>
      <w:r>
        <w:rPr/>
        <w:t>En IMRT, la planeación de los tratamientos es de forma inversa, en la cual el encargado de diseñar el plan comienza por definir cual es la dosis a impartir, la distribución de dosis final en los volúmenes de interés, asi </w:t>
      </w:r>
      <w:r>
        <w:rPr>
          <w:spacing w:val="-3"/>
        </w:rPr>
        <w:t>como </w:t>
      </w:r>
      <w:r>
        <w:rPr/>
        <w:t>la dosis de tolerancia a los organos en riesgo (OAR). El diseñador tambien ha de definir la apertura del colimador para cada haz, así como el ángulo del gantry y del mismo colimador (Cheung, 2006). Para llevar a cabo este trabajo, al igual que en la planeación en RTC-3D, se apoya en imágenes del paciente para determinar los volúmenes de tratamiento y organos de riesgo. Con las restricciones indicadas, el sistema de planeación computacional, mediante un proceso iteratívo, calcula la intensidad de cada uno de los haces para lograr la distribución de dosis que más se acerque a la proyectada. La complejidad y sofisticación del plan de tratamiento dependerá de varios factores, como el número y forma geométrica de órganos en riesgo, la forma del volumen blanco y las tolerancias de dosis en los límites entre el órgano blanco y órganos adyacentes. El sistema de planeación genera distintos tratamientos, los compara y hace los ajustes necesarios para acercarse a los objetivos de dosis planteados, hasta lograr cumplir con lo criterios de aceptación impuestos. Las restricciones de dosis al volumen blanco, asi como a los organos de riesgo, se representan por medio de una función objetivo, y pueden visualizarse y evaluarse como histogramas de dosis-volumen (DVH). Los sistemas de planeación llevan a cabo una optimización de la función objetivo, tomando en consideracion los parámetros que hallan sido incluidas en la misma, algunos de los cuales deben ser acotados de acuerdo al criterio del responsable del</w:t>
      </w:r>
      <w:r>
        <w:rPr>
          <w:spacing w:val="-29"/>
        </w:rPr>
        <w:t> </w:t>
      </w:r>
      <w:r>
        <w:rPr/>
        <w:t>plan.</w:t>
      </w:r>
    </w:p>
    <w:p>
      <w:pPr>
        <w:spacing w:after="0" w:line="360" w:lineRule="auto"/>
        <w:jc w:val="both"/>
        <w:sectPr>
          <w:pgSz w:w="12240" w:h="15840"/>
          <w:pgMar w:header="0" w:footer="1034" w:top="1360" w:bottom="1220" w:left="1600" w:right="1580"/>
        </w:sectPr>
      </w:pPr>
    </w:p>
    <w:p>
      <w:pPr>
        <w:pStyle w:val="Heading6"/>
        <w:numPr>
          <w:ilvl w:val="1"/>
          <w:numId w:val="2"/>
        </w:numPr>
        <w:tabs>
          <w:tab w:pos="893" w:val="left" w:leader="none"/>
        </w:tabs>
        <w:spacing w:line="240" w:lineRule="auto" w:before="55" w:after="0"/>
        <w:ind w:left="893" w:right="0" w:hanging="433"/>
        <w:jc w:val="left"/>
      </w:pPr>
      <w:bookmarkStart w:name="_bookmark8" w:id="13"/>
      <w:bookmarkEnd w:id="13"/>
      <w:r>
        <w:rPr>
          <w:b w:val="0"/>
        </w:rPr>
      </w:r>
      <w:bookmarkStart w:name="_bookmark8" w:id="14"/>
      <w:bookmarkEnd w:id="14"/>
      <w:r>
        <w:rPr/>
        <w:t>C</w:t>
      </w:r>
      <w:r>
        <w:rPr/>
        <w:t>ontrol de calidad en</w:t>
      </w:r>
      <w:r>
        <w:rPr>
          <w:spacing w:val="-12"/>
        </w:rPr>
        <w:t> </w:t>
      </w:r>
      <w:r>
        <w:rPr/>
        <w:t>IMRT</w:t>
      </w:r>
    </w:p>
    <w:p>
      <w:pPr>
        <w:pStyle w:val="BodyText"/>
        <w:rPr>
          <w:b/>
        </w:rPr>
      </w:pPr>
    </w:p>
    <w:p>
      <w:pPr>
        <w:pStyle w:val="BodyText"/>
        <w:spacing w:before="1"/>
        <w:rPr>
          <w:b/>
        </w:rPr>
      </w:pPr>
    </w:p>
    <w:p>
      <w:pPr>
        <w:pStyle w:val="BodyText"/>
        <w:spacing w:line="360" w:lineRule="auto" w:before="1"/>
        <w:ind w:left="100" w:right="118"/>
        <w:jc w:val="both"/>
      </w:pPr>
      <w:r>
        <w:rPr/>
        <w:t>Los tratamientos de radioterapia administrados con la técnica IMRT son cada vez más comunes alrededor del mundo. La conformación y concentración de la dosis a la forma del volumen blanco, así como la minimización de la dosis administrada a los  órganos  de riesgo, son caracteristicas valiosas que han permitido llevar a cabo tratamientos en ciertas zonas y órganos del cuerpo con una precisión y seguridad que no sería posible alcanzar con la RTC-3D. Sin embargo, debido a la forma compleja de la distribución de dosis final, que comunmente presenta zonas con un amplio gradiente de dosis, en ocasiones muy cercanas a los órganos de riesgo, es necesario asegurar que los planes de tratamiento sean entregados, en la práctica, de la manera más cercana posible a su diseño teórico.</w:t>
      </w:r>
    </w:p>
    <w:p>
      <w:pPr>
        <w:pStyle w:val="BodyText"/>
        <w:spacing w:before="9"/>
        <w:rPr>
          <w:sz w:val="32"/>
        </w:rPr>
      </w:pPr>
    </w:p>
    <w:p>
      <w:pPr>
        <w:pStyle w:val="BodyText"/>
        <w:spacing w:line="360" w:lineRule="auto"/>
        <w:ind w:left="100" w:right="115"/>
        <w:jc w:val="both"/>
      </w:pPr>
      <w:r>
        <w:rPr/>
        <w:t>Para la implementación de tratamientos con técnicas complejas como la IMRT es necesario realizar pruebas de aceptación, que garanticen que tanto el sistema de planeación como de entrega cumplan con los objetivos de seguridad y precisión requeridos. Un programa completo de control de calidad debe abarcar los aspectos físicos de hardware y software de la máquina principal, el comisionamiento del haz de radiación, los sistemas de planeación computarizados y los procesos de entrega del tratamiento. Sin embargo, no hay un concenso universalmente aceptado acerca de una metodología única para llevar a cabo el control de calidad en tratamientos de IMRT, y las instituciones que imparten esta técnica adoptan distintos protocolos en función de los recursos de los que disponen, su conocimiento del tema y las necesidades particulares del instituto en cuestión. Entre los autores que se han discutido el problema se encuentran Ezzell (2003), Palta et al. (2003), Ahnesjö et al. (2006),  Stock, et al. (2005) y McDermott et al. (2007).</w:t>
      </w:r>
    </w:p>
    <w:p>
      <w:pPr>
        <w:pStyle w:val="BodyText"/>
      </w:pPr>
    </w:p>
    <w:p>
      <w:pPr>
        <w:pStyle w:val="BodyText"/>
        <w:spacing w:line="360" w:lineRule="auto" w:before="127"/>
        <w:ind w:left="100" w:right="116"/>
        <w:jc w:val="both"/>
      </w:pPr>
      <w:r>
        <w:rPr/>
        <w:t>Se han llevado a cabo esfuerzos de parte de la comunidad cientifica para lograr  un concenso acerca de las pruebas y metodologías necesarias para lograr un adecuado control de calidad de los tratamientos de IMRT. Entre éstas se pueden mencionar los trabajos de la AAPM, que ha publicado el TG 119 con el objetivo de servir de guía en el proceso de planificacion y control de calidad de esta técnica, para lo cual se recopiló la experiencia, resultados y métodos de diversos centros que la aplican. De manera analoga, en Europa se publicó el </w:t>
      </w:r>
      <w:r>
        <w:rPr>
          <w:i/>
        </w:rPr>
        <w:t>Estro Booklet N° 9, Guidelines For The Verification of IMRT</w:t>
      </w:r>
      <w:r>
        <w:rPr/>
        <w:t>, que pretende brindar orientación en la realización de pruebas de verificación, como parte de un programa de control de calidad de IMRT, para garantizar la entrega segura de los tratamientos  para  cada  paciente.     La  guía  se  centra  en  cuestiones  prácticas,     dando</w:t>
      </w:r>
    </w:p>
    <w:p>
      <w:pPr>
        <w:spacing w:after="0" w:line="360" w:lineRule="auto"/>
        <w:jc w:val="both"/>
        <w:sectPr>
          <w:pgSz w:w="12240" w:h="15840"/>
          <w:pgMar w:header="0" w:footer="1034" w:top="1360" w:bottom="1220" w:left="1600" w:right="1580"/>
        </w:sectPr>
      </w:pPr>
    </w:p>
    <w:p>
      <w:pPr>
        <w:spacing w:line="360" w:lineRule="auto" w:before="55"/>
        <w:ind w:left="100" w:right="119" w:firstLine="0"/>
        <w:jc w:val="both"/>
        <w:rPr>
          <w:sz w:val="22"/>
        </w:rPr>
      </w:pPr>
      <w:r>
        <w:rPr>
          <w:sz w:val="22"/>
        </w:rPr>
        <w:t>ejemplos de las pruebas realizadas de forma rutinaria en diversas instituciones europeas (ESTRO, 2008). Pueden mencionarse además las recomendaciones de la </w:t>
      </w:r>
      <w:r>
        <w:rPr>
          <w:i/>
          <w:sz w:val="22"/>
        </w:rPr>
        <w:t>American  </w:t>
      </w:r>
      <w:r>
        <w:rPr>
          <w:i/>
          <w:sz w:val="22"/>
        </w:rPr>
        <w:t>College of Radiology </w:t>
      </w:r>
      <w:r>
        <w:rPr>
          <w:sz w:val="22"/>
        </w:rPr>
        <w:t>(ACR) en conjunto con la </w:t>
      </w:r>
      <w:r>
        <w:rPr>
          <w:i/>
          <w:sz w:val="22"/>
        </w:rPr>
        <w:t>American Society for Radiation Oncology </w:t>
      </w:r>
      <w:r>
        <w:rPr>
          <w:sz w:val="22"/>
        </w:rPr>
        <w:t>(ASTRO) (ACR-ASTRO,</w:t>
      </w:r>
      <w:r>
        <w:rPr>
          <w:spacing w:val="-6"/>
          <w:sz w:val="22"/>
        </w:rPr>
        <w:t> </w:t>
      </w:r>
      <w:r>
        <w:rPr>
          <w:sz w:val="22"/>
        </w:rPr>
        <w:t>2014).</w:t>
      </w:r>
    </w:p>
    <w:p>
      <w:pPr>
        <w:pStyle w:val="BodyText"/>
      </w:pPr>
    </w:p>
    <w:p>
      <w:pPr>
        <w:pStyle w:val="BodyText"/>
        <w:spacing w:line="360" w:lineRule="auto" w:before="127"/>
        <w:ind w:left="100" w:right="127"/>
        <w:jc w:val="both"/>
      </w:pPr>
      <w:r>
        <w:rPr/>
        <w:t>De manera general, los programas de control de calidad de IMRT deben abarcar: a) pruebas y análisis para validar el sistema de planeación del tratamiento. Estas pruebas incluyen comprobación de que los sistemas de entrada y salida de datos funcionen correctamente, tales como entrada de datos de imágen, sistemas de impresión, dispositivos de visualización de la información, asi como validación del sistema de softaware  principal.</w:t>
      </w:r>
    </w:p>
    <w:p>
      <w:pPr>
        <w:pStyle w:val="BodyText"/>
        <w:spacing w:line="360" w:lineRule="auto" w:before="1"/>
        <w:ind w:left="100" w:right="114"/>
        <w:jc w:val="both"/>
      </w:pPr>
      <w:r>
        <w:rPr/>
        <w:t>b) Control de calidad del sistema de entrega del tratamiento. Pretende verificar el correcto funcionamiento del equipo de tratamiento. Son de especial importancia las pruebas realizadas a los colimadores multiláminas. Esto debido a la manera en que se conforma la dosis en IMRT, utilizando distintos segmentos individuales del haz, los cuales son formados por el colimador. Por tanto, la precisión en la posición de las láminas tiene una influencia directa en la dosis total al objetivo. Estas pruebas abarcan evaluación de la velocidad y precisión del movimiento de las láminas, transmisión a traves de las mismas y entre láminas adyacentes, el Dosimetric Leaf Gaf, que es el aumento en el tamaño del campo debido a la transmision entre las láminas por el diseño geométrico de los bordes, efectos de penumbra y tongue and groove (ACR-ASTRO,</w:t>
      </w:r>
      <w:r>
        <w:rPr>
          <w:spacing w:val="-21"/>
        </w:rPr>
        <w:t> </w:t>
      </w:r>
      <w:r>
        <w:rPr/>
        <w:t>2014).</w:t>
      </w:r>
    </w:p>
    <w:p>
      <w:pPr>
        <w:pStyle w:val="BodyText"/>
      </w:pPr>
    </w:p>
    <w:p>
      <w:pPr>
        <w:pStyle w:val="BodyText"/>
        <w:spacing w:line="360" w:lineRule="auto" w:before="127"/>
        <w:ind w:left="100" w:right="121"/>
        <w:jc w:val="both"/>
      </w:pPr>
      <w:r>
        <w:rPr/>
        <w:t>Una parte muy importante del programa de control de calidad en IMRT es el denominado “paciente especifico”. En esta etapa, el objetivo es verificar que el plan de tratamiento diseñado por el sistema de planeación sea entregado correctamente, antes de ser suministrado al paciente. El procedimiento típico para la verificación del plan de tratamiento es tranferirlo a un maniquí especialmente diseñado para tomar mediciones (Lee &amp; Chau, 2001). El maniquí es irradiado de acuerdo a los patrones del plan calculados, utilizando el mismo número de UM y de campos que el plan original diseñado para el paciente. Se realizan dos tipos de mediciones principales: la dosis absoluta en un punto, utilizando para este fin típicamente una camara de ionización, y la distribución de dosis en un plano, para lo cual las mediciones pueden hacerse con dosímetros como peliculas radiocrómicas o radiográficas, o bien con sistemas como arreglos de cámaras  de ionización. Para la realización del control de calidad paciente específico se pueden seguir dos caminos;</w:t>
      </w:r>
    </w:p>
    <w:p>
      <w:pPr>
        <w:spacing w:after="0" w:line="360" w:lineRule="auto"/>
        <w:jc w:val="both"/>
        <w:sectPr>
          <w:pgSz w:w="12240" w:h="15840"/>
          <w:pgMar w:header="0" w:footer="1034" w:top="1360" w:bottom="1220" w:left="1600" w:right="1580"/>
        </w:sectPr>
      </w:pPr>
    </w:p>
    <w:p>
      <w:pPr>
        <w:pStyle w:val="ListParagraph"/>
        <w:numPr>
          <w:ilvl w:val="0"/>
          <w:numId w:val="3"/>
        </w:numPr>
        <w:tabs>
          <w:tab w:pos="377" w:val="left" w:leader="none"/>
        </w:tabs>
        <w:spacing w:line="360" w:lineRule="auto" w:before="55" w:after="0"/>
        <w:ind w:left="100" w:right="116" w:firstLine="0"/>
        <w:jc w:val="both"/>
        <w:rPr>
          <w:sz w:val="22"/>
        </w:rPr>
      </w:pPr>
      <w:r>
        <w:rPr>
          <w:sz w:val="22"/>
        </w:rPr>
        <w:t>La evaluación individual de los campos , en la cual el detector en dos dimensiones se ubica en el maniquí a la profundidad de interés, y se miden las distribuciones de dosis de cada campo por separado. Las mediciones se realizan tipicamente para un angulo del gantry de cero grados. Tiene la ventaja de ser simple de implementar, y en este modo pueden detectarse los errores asociados de cada campo, pero en contra, no es posible detectar</w:t>
      </w:r>
      <w:r>
        <w:rPr>
          <w:spacing w:val="-3"/>
          <w:sz w:val="22"/>
        </w:rPr>
        <w:t> </w:t>
      </w:r>
      <w:r>
        <w:rPr>
          <w:sz w:val="22"/>
        </w:rPr>
        <w:t>los</w:t>
      </w:r>
      <w:r>
        <w:rPr>
          <w:spacing w:val="-4"/>
          <w:sz w:val="22"/>
        </w:rPr>
        <w:t> </w:t>
      </w:r>
      <w:r>
        <w:rPr>
          <w:sz w:val="22"/>
        </w:rPr>
        <w:t>errores</w:t>
      </w:r>
      <w:r>
        <w:rPr>
          <w:spacing w:val="-4"/>
          <w:sz w:val="22"/>
        </w:rPr>
        <w:t> </w:t>
      </w:r>
      <w:r>
        <w:rPr>
          <w:sz w:val="22"/>
        </w:rPr>
        <w:t>asociados</w:t>
      </w:r>
      <w:r>
        <w:rPr>
          <w:spacing w:val="-4"/>
          <w:sz w:val="22"/>
        </w:rPr>
        <w:t> </w:t>
      </w:r>
      <w:r>
        <w:rPr>
          <w:sz w:val="22"/>
        </w:rPr>
        <w:t>a</w:t>
      </w:r>
      <w:r>
        <w:rPr>
          <w:spacing w:val="-4"/>
          <w:sz w:val="22"/>
        </w:rPr>
        <w:t> </w:t>
      </w:r>
      <w:r>
        <w:rPr>
          <w:sz w:val="22"/>
        </w:rPr>
        <w:t>la</w:t>
      </w:r>
      <w:r>
        <w:rPr>
          <w:spacing w:val="-4"/>
          <w:sz w:val="22"/>
        </w:rPr>
        <w:t> </w:t>
      </w:r>
      <w:r>
        <w:rPr>
          <w:sz w:val="22"/>
        </w:rPr>
        <w:t>irradiación</w:t>
      </w:r>
      <w:r>
        <w:rPr>
          <w:spacing w:val="-7"/>
          <w:sz w:val="22"/>
        </w:rPr>
        <w:t> </w:t>
      </w:r>
      <w:r>
        <w:rPr>
          <w:sz w:val="22"/>
        </w:rPr>
        <w:t>en</w:t>
      </w:r>
      <w:r>
        <w:rPr>
          <w:spacing w:val="-7"/>
          <w:sz w:val="22"/>
        </w:rPr>
        <w:t> </w:t>
      </w:r>
      <w:r>
        <w:rPr>
          <w:sz w:val="22"/>
        </w:rPr>
        <w:t>diferentes</w:t>
      </w:r>
      <w:r>
        <w:rPr>
          <w:spacing w:val="-4"/>
          <w:sz w:val="22"/>
        </w:rPr>
        <w:t> </w:t>
      </w:r>
      <w:r>
        <w:rPr>
          <w:sz w:val="22"/>
        </w:rPr>
        <w:t>angulos</w:t>
      </w:r>
      <w:r>
        <w:rPr>
          <w:spacing w:val="-4"/>
          <w:sz w:val="22"/>
        </w:rPr>
        <w:t> </w:t>
      </w:r>
      <w:r>
        <w:rPr>
          <w:sz w:val="22"/>
        </w:rPr>
        <w:t>del</w:t>
      </w:r>
      <w:r>
        <w:rPr>
          <w:spacing w:val="-4"/>
          <w:sz w:val="22"/>
        </w:rPr>
        <w:t> </w:t>
      </w:r>
      <w:r>
        <w:rPr>
          <w:sz w:val="22"/>
        </w:rPr>
        <w:t>gantry.</w:t>
      </w:r>
    </w:p>
    <w:p>
      <w:pPr>
        <w:pStyle w:val="BodyText"/>
        <w:spacing w:before="9"/>
        <w:rPr>
          <w:sz w:val="32"/>
        </w:rPr>
      </w:pPr>
    </w:p>
    <w:p>
      <w:pPr>
        <w:pStyle w:val="ListParagraph"/>
        <w:numPr>
          <w:ilvl w:val="0"/>
          <w:numId w:val="3"/>
        </w:numPr>
        <w:tabs>
          <w:tab w:pos="377" w:val="left" w:leader="none"/>
        </w:tabs>
        <w:spacing w:line="360" w:lineRule="auto" w:before="0" w:after="0"/>
        <w:ind w:left="100" w:right="120" w:firstLine="0"/>
        <w:jc w:val="both"/>
        <w:rPr>
          <w:sz w:val="22"/>
        </w:rPr>
      </w:pPr>
      <w:r>
        <w:rPr>
          <w:sz w:val="22"/>
        </w:rPr>
        <w:t>La verificación de las distribuciones de dosis acumuladas, para lo cual se utilizan todos los campos y posiciones del gantry. En esta forma, se logra que las regiones de altos gradientes de dosis sean más uiformes, representando mejor los casos reales. Además, es posible evaluar los errores asociados al tratamiento completo, por lo cual es mejor para evaluar las incertezas esperadas en la entrega de dosis al</w:t>
      </w:r>
      <w:r>
        <w:rPr>
          <w:spacing w:val="-31"/>
          <w:sz w:val="22"/>
        </w:rPr>
        <w:t> </w:t>
      </w:r>
      <w:r>
        <w:rPr>
          <w:sz w:val="22"/>
        </w:rPr>
        <w:t>paciente.</w:t>
      </w:r>
    </w:p>
    <w:p>
      <w:pPr>
        <w:pStyle w:val="BodyText"/>
      </w:pPr>
    </w:p>
    <w:p>
      <w:pPr>
        <w:pStyle w:val="BodyText"/>
        <w:spacing w:line="360" w:lineRule="auto" w:before="127"/>
        <w:ind w:left="100" w:right="119"/>
        <w:jc w:val="both"/>
      </w:pPr>
      <w:r>
        <w:rPr/>
        <w:t>Posteriormente, los resultados de las mediciones se comparan con los datos del sistema de planeación, y se determina la diferencia entre las dosis calculadas y las medidas. Esta diferencia dictaminará si el plan es aprobado para su implementación en el paciente, si la misma se encuentra dentro de ciertos criterios de aceptación.</w:t>
      </w:r>
    </w:p>
    <w:p>
      <w:pPr>
        <w:pStyle w:val="BodyText"/>
      </w:pPr>
    </w:p>
    <w:p>
      <w:pPr>
        <w:pStyle w:val="BodyText"/>
        <w:spacing w:line="360" w:lineRule="auto" w:before="127"/>
        <w:ind w:left="100" w:right="121"/>
        <w:jc w:val="both"/>
      </w:pPr>
      <w:r>
        <w:rPr/>
        <w:t>La comparación entre dos distribuciones de dosis en un plano puede hacerse de manera cualitativa, superponiendo las curvas de isodosis, o bien de manera cuantitativa, por medio del análisis de la diferencia porcentual de dosis, distancia en concordancia o bien, utilizando el índice gamma como parámetro de comparación.</w:t>
      </w:r>
    </w:p>
    <w:p>
      <w:pPr>
        <w:pStyle w:val="BodyText"/>
        <w:spacing w:before="9"/>
        <w:rPr>
          <w:sz w:val="32"/>
        </w:rPr>
      </w:pPr>
    </w:p>
    <w:p>
      <w:pPr>
        <w:pStyle w:val="Heading6"/>
        <w:numPr>
          <w:ilvl w:val="2"/>
          <w:numId w:val="4"/>
        </w:numPr>
        <w:tabs>
          <w:tab w:pos="1517" w:val="left" w:leader="none"/>
        </w:tabs>
        <w:spacing w:line="240" w:lineRule="auto" w:before="0" w:after="0"/>
        <w:ind w:left="1517" w:right="0" w:hanging="696"/>
        <w:jc w:val="left"/>
      </w:pPr>
      <w:bookmarkStart w:name="_bookmark9" w:id="15"/>
      <w:bookmarkEnd w:id="15"/>
      <w:r>
        <w:rPr>
          <w:b w:val="0"/>
        </w:rPr>
      </w:r>
      <w:bookmarkStart w:name="_bookmark9" w:id="16"/>
      <w:bookmarkEnd w:id="16"/>
      <w:r>
        <w:rPr/>
        <w:t>D</w:t>
      </w:r>
      <w:r>
        <w:rPr/>
        <w:t>iferencia de</w:t>
      </w:r>
      <w:r>
        <w:rPr>
          <w:spacing w:val="-9"/>
        </w:rPr>
        <w:t> </w:t>
      </w:r>
      <w:r>
        <w:rPr/>
        <w:t>dosis</w:t>
      </w:r>
    </w:p>
    <w:p>
      <w:pPr>
        <w:pStyle w:val="BodyText"/>
        <w:rPr>
          <w:b/>
        </w:rPr>
      </w:pPr>
    </w:p>
    <w:p>
      <w:pPr>
        <w:pStyle w:val="BodyText"/>
        <w:spacing w:before="2"/>
        <w:rPr>
          <w:b/>
        </w:rPr>
      </w:pPr>
    </w:p>
    <w:p>
      <w:pPr>
        <w:pStyle w:val="BodyText"/>
        <w:spacing w:line="360" w:lineRule="auto"/>
        <w:ind w:left="100" w:right="115"/>
        <w:jc w:val="both"/>
      </w:pPr>
      <w:r>
        <w:rPr/>
        <w:t>Generalmente, para comparar dos distribuciones de dosis, éstas se dividen en zonas de alto o bajo gradiente, en las zonas de bajo gradiente, los valores de las dosis medidas con el equipo dosimétrico en cuestión son comparadas directamente con los valores calculados por el sistema de planeación. Las diferencias entre los valores medidos y calculados  pueden representarse como porcentajes, y se puede realizar una distribución de diferencia de dosis, donde se identifiquen aquellas zonas en las cuales ésta es muy grande. Los criterios de aceptación más difundidos se encuentran en valores de 3% (Low, et al., 1998). Sin embargo, esta manera de comparación no es muy útil en regiones en las cuales existe un alto gradiente, es decir, aquellas en las cuales una pequeña diferencia espacial puede representar una gran diferencia en la dosis, como típicamente sucede con la aplicación  </w:t>
      </w:r>
      <w:r>
        <w:rPr>
          <w:spacing w:val="30"/>
        </w:rPr>
        <w:t> </w:t>
      </w:r>
      <w:r>
        <w:rPr/>
        <w:t>de</w:t>
      </w:r>
    </w:p>
    <w:p>
      <w:pPr>
        <w:spacing w:after="0" w:line="360" w:lineRule="auto"/>
        <w:jc w:val="both"/>
        <w:sectPr>
          <w:pgSz w:w="12240" w:h="15840"/>
          <w:pgMar w:header="0" w:footer="1034" w:top="1360" w:bottom="1220" w:left="1600" w:right="1580"/>
        </w:sectPr>
      </w:pPr>
    </w:p>
    <w:p>
      <w:pPr>
        <w:pStyle w:val="BodyText"/>
        <w:spacing w:line="360" w:lineRule="auto" w:before="55"/>
        <w:ind w:left="100" w:right="128"/>
        <w:jc w:val="both"/>
      </w:pPr>
      <w:r>
        <w:rPr/>
        <w:t>técnicas de IMRT. Para soslayar este problema, se introduce el concepto de distancia en concordancia (DTA, Distance to Agreement, por sus siglas en inglés).</w:t>
      </w:r>
    </w:p>
    <w:p>
      <w:pPr>
        <w:pStyle w:val="BodyText"/>
        <w:spacing w:before="9"/>
        <w:rPr>
          <w:sz w:val="32"/>
        </w:rPr>
      </w:pPr>
    </w:p>
    <w:p>
      <w:pPr>
        <w:pStyle w:val="Heading6"/>
        <w:numPr>
          <w:ilvl w:val="2"/>
          <w:numId w:val="4"/>
        </w:numPr>
        <w:tabs>
          <w:tab w:pos="1517" w:val="left" w:leader="none"/>
        </w:tabs>
        <w:spacing w:line="240" w:lineRule="auto" w:before="0" w:after="0"/>
        <w:ind w:left="1517" w:right="0" w:hanging="696"/>
        <w:jc w:val="left"/>
      </w:pPr>
      <w:bookmarkStart w:name="_bookmark10" w:id="17"/>
      <w:bookmarkEnd w:id="17"/>
      <w:r>
        <w:rPr>
          <w:b w:val="0"/>
        </w:rPr>
      </w:r>
      <w:bookmarkStart w:name="_bookmark10" w:id="18"/>
      <w:bookmarkEnd w:id="18"/>
      <w:r>
        <w:rPr/>
        <w:t>D</w:t>
      </w:r>
      <w:r>
        <w:rPr/>
        <w:t>istancia en</w:t>
      </w:r>
      <w:r>
        <w:rPr>
          <w:spacing w:val="-12"/>
        </w:rPr>
        <w:t> </w:t>
      </w:r>
      <w:r>
        <w:rPr/>
        <w:t>concordancia</w:t>
      </w:r>
    </w:p>
    <w:p>
      <w:pPr>
        <w:pStyle w:val="BodyText"/>
        <w:rPr>
          <w:b/>
        </w:rPr>
      </w:pPr>
    </w:p>
    <w:p>
      <w:pPr>
        <w:pStyle w:val="BodyText"/>
        <w:spacing w:before="2"/>
        <w:rPr>
          <w:b/>
        </w:rPr>
      </w:pPr>
    </w:p>
    <w:p>
      <w:pPr>
        <w:pStyle w:val="BodyText"/>
        <w:spacing w:line="360" w:lineRule="auto"/>
        <w:ind w:left="100" w:right="127"/>
        <w:jc w:val="both"/>
      </w:pPr>
      <w:r>
        <w:rPr/>
        <w:t>Puede definirse como la distancia mínima entre dos puntos que presentan la misma dosis, cuyos valores corresponden, respectivamente, a datos obtenidos experimentamente en las mediciones y a datos calculados por el sistema de planeación. Si los puntos se encuentran dentro de cierto rango de tolerancia, se considera que pasan el criterio de aceptación. Esta forma de comparación es útil en regiones de alto gradiente de dosis.</w:t>
      </w:r>
    </w:p>
    <w:p>
      <w:pPr>
        <w:pStyle w:val="BodyText"/>
        <w:spacing w:before="10"/>
        <w:rPr>
          <w:sz w:val="32"/>
        </w:rPr>
      </w:pPr>
    </w:p>
    <w:p>
      <w:pPr>
        <w:pStyle w:val="Heading6"/>
        <w:numPr>
          <w:ilvl w:val="2"/>
          <w:numId w:val="4"/>
        </w:numPr>
        <w:tabs>
          <w:tab w:pos="1517" w:val="left" w:leader="none"/>
        </w:tabs>
        <w:spacing w:line="240" w:lineRule="auto" w:before="0" w:after="0"/>
        <w:ind w:left="1517" w:right="0" w:hanging="696"/>
        <w:jc w:val="left"/>
      </w:pPr>
      <w:bookmarkStart w:name="_bookmark11" w:id="19"/>
      <w:bookmarkEnd w:id="19"/>
      <w:r>
        <w:rPr>
          <w:b w:val="0"/>
        </w:rPr>
      </w:r>
      <w:bookmarkStart w:name="_bookmark11" w:id="20"/>
      <w:bookmarkEnd w:id="20"/>
      <w:r>
        <w:rPr/>
        <w:t>Í</w:t>
      </w:r>
      <w:r>
        <w:rPr/>
        <w:t>ndice</w:t>
      </w:r>
      <w:r>
        <w:rPr>
          <w:spacing w:val="-8"/>
        </w:rPr>
        <w:t> </w:t>
      </w:r>
      <w:r>
        <w:rPr/>
        <w:t>Gamma</w:t>
      </w:r>
    </w:p>
    <w:p>
      <w:pPr>
        <w:pStyle w:val="BodyText"/>
        <w:rPr>
          <w:b/>
        </w:rPr>
      </w:pPr>
    </w:p>
    <w:p>
      <w:pPr>
        <w:pStyle w:val="BodyText"/>
        <w:spacing w:before="2"/>
        <w:rPr>
          <w:b/>
        </w:rPr>
      </w:pPr>
    </w:p>
    <w:p>
      <w:pPr>
        <w:pStyle w:val="BodyText"/>
        <w:spacing w:line="360" w:lineRule="auto"/>
        <w:ind w:left="100" w:right="117"/>
        <w:jc w:val="both"/>
      </w:pPr>
      <w:r>
        <w:rPr/>
        <w:t>El Índice Gamma fue propuesto para unificar los criterios de diferencia de dosis y distancia en concordancia (DTA), con el fin de tener una herramienta que sirviera para la comparación de dos distribuciones de dosis diferentes en regiones de alto y bajo gradiente. Con este índice se evalua cada punto de las distribuciones de dosis, y se determina si cumplen o no con los criterios de aceptación impuestos por el usuario, que generalmente son del 3% para el porcentaje de diferencia de dosis y de 3 mm para la DTA (Low, et al., 1998). La función gamma se define de forma independiente para cada punto evaluado, por lo que la vecindad de otros puntos no interifere en el calculo del índice.</w:t>
      </w:r>
    </w:p>
    <w:p>
      <w:pPr>
        <w:pStyle w:val="BodyText"/>
      </w:pPr>
    </w:p>
    <w:p>
      <w:pPr>
        <w:pStyle w:val="BodyText"/>
        <w:spacing w:line="360" w:lineRule="auto" w:before="127"/>
        <w:ind w:left="100" w:right="118"/>
        <w:jc w:val="both"/>
      </w:pPr>
      <w:r>
        <w:rPr/>
        <w:t>Considerando la dosis de referencia </w:t>
      </w:r>
      <w:r>
        <w:rPr>
          <w:i/>
        </w:rPr>
        <w:t>D</w:t>
      </w:r>
      <w:r>
        <w:rPr>
          <w:i/>
          <w:position w:val="-1"/>
          <w:sz w:val="14"/>
        </w:rPr>
        <w:t>c</w:t>
      </w:r>
      <w:r>
        <w:rPr>
          <w:i/>
        </w:rPr>
        <w:t>(r</w:t>
      </w:r>
      <w:r>
        <w:rPr>
          <w:i/>
          <w:position w:val="-1"/>
          <w:sz w:val="14"/>
        </w:rPr>
        <w:t>c</w:t>
      </w:r>
      <w:r>
        <w:rPr>
          <w:i/>
        </w:rPr>
        <w:t>) </w:t>
      </w:r>
      <w:r>
        <w:rPr/>
        <w:t>como la dosis calculada por el sistema de planeación y la dosis medida </w:t>
      </w:r>
      <w:r>
        <w:rPr>
          <w:i/>
        </w:rPr>
        <w:t>D</w:t>
      </w:r>
      <w:r>
        <w:rPr>
          <w:i/>
          <w:position w:val="-1"/>
          <w:sz w:val="14"/>
        </w:rPr>
        <w:t>m</w:t>
      </w:r>
      <w:r>
        <w:rPr>
          <w:i/>
        </w:rPr>
        <w:t>(r</w:t>
      </w:r>
      <w:r>
        <w:rPr>
          <w:i/>
          <w:position w:val="-1"/>
          <w:sz w:val="14"/>
        </w:rPr>
        <w:t>m</w:t>
      </w:r>
      <w:r>
        <w:rPr>
          <w:i/>
        </w:rPr>
        <w:t>) </w:t>
      </w:r>
      <w:r>
        <w:rPr/>
        <w:t>como aquella obtenida del resultado de mediciones con algun tipo de dosímetro. Para definir los criterios de aceptación en el espacio bidimensional formado por la dosis y las coordenadas espaciales del punto a analizar, se toma la superficie de un elipsoide, el cual estará formado por los dos radios de criterio, un </w:t>
      </w:r>
      <w:r>
        <w:rPr>
          <w:rFonts w:ascii="Calibri" w:hAnsi="Calibri"/>
          <w:i/>
        </w:rPr>
        <w:t>ΔD</w:t>
      </w:r>
      <w:r>
        <w:rPr>
          <w:rFonts w:ascii="Calibri" w:hAnsi="Calibri"/>
          <w:i/>
          <w:position w:val="-1"/>
          <w:sz w:val="14"/>
        </w:rPr>
        <w:t>M </w:t>
      </w:r>
      <w:r>
        <w:rPr/>
        <w:t>que representa la tolerancia para la diferencia de dosis, y </w:t>
      </w:r>
      <w:r>
        <w:rPr>
          <w:rFonts w:ascii="Calibri" w:hAnsi="Calibri"/>
          <w:i/>
        </w:rPr>
        <w:t>Δd</w:t>
      </w:r>
      <w:r>
        <w:rPr>
          <w:rFonts w:ascii="Calibri" w:hAnsi="Calibri"/>
          <w:i/>
          <w:position w:val="-1"/>
          <w:sz w:val="14"/>
        </w:rPr>
        <w:t>M </w:t>
      </w:r>
      <w:r>
        <w:rPr/>
        <w:t>para la tolerancia en la DTA. El índice gamma centrado en un punto de radio </w:t>
      </w:r>
      <w:r>
        <w:rPr>
          <w:i/>
        </w:rPr>
        <w:t>r</w:t>
      </w:r>
      <w:r>
        <w:rPr>
          <w:i/>
          <w:position w:val="-1"/>
          <w:sz w:val="14"/>
        </w:rPr>
        <w:t>m </w:t>
      </w:r>
      <w:r>
        <w:rPr/>
        <w:t>buscará la menor distancia entre los puntos de referencia </w:t>
      </w:r>
      <w:r>
        <w:rPr>
          <w:i/>
        </w:rPr>
        <w:t>r</w:t>
      </w:r>
      <w:r>
        <w:rPr>
          <w:i/>
          <w:position w:val="-1"/>
          <w:sz w:val="14"/>
        </w:rPr>
        <w:t>c </w:t>
      </w:r>
      <w:r>
        <w:rPr/>
        <w:t>como;</w:t>
      </w:r>
    </w:p>
    <w:p>
      <w:pPr>
        <w:pStyle w:val="BodyText"/>
        <w:spacing w:before="9"/>
        <w:rPr>
          <w:sz w:val="21"/>
        </w:rPr>
      </w:pPr>
    </w:p>
    <w:p>
      <w:pPr>
        <w:spacing w:before="50"/>
        <w:ind w:left="216" w:right="217" w:firstLine="0"/>
        <w:jc w:val="center"/>
        <w:rPr>
          <w:rFonts w:ascii="Symbol" w:hAnsi="Symbol"/>
          <w:sz w:val="31"/>
        </w:rPr>
      </w:pPr>
      <w:r>
        <w:rPr>
          <w:rFonts w:ascii="Symbol" w:hAnsi="Symbol"/>
          <w:i/>
          <w:w w:val="101"/>
          <w:sz w:val="25"/>
        </w:rPr>
        <w:t></w:t>
      </w:r>
      <w:r>
        <w:rPr>
          <w:rFonts w:ascii="Times New Roman" w:hAnsi="Times New Roman"/>
          <w:spacing w:val="-24"/>
          <w:sz w:val="25"/>
        </w:rPr>
        <w:t> </w:t>
      </w:r>
      <w:r>
        <w:rPr>
          <w:rFonts w:ascii="Times New Roman" w:hAnsi="Times New Roman"/>
          <w:spacing w:val="3"/>
          <w:w w:val="105"/>
          <w:sz w:val="24"/>
        </w:rPr>
        <w:t>(</w:t>
      </w:r>
      <w:r>
        <w:rPr>
          <w:rFonts w:ascii="Times New Roman" w:hAnsi="Times New Roman"/>
          <w:i/>
          <w:spacing w:val="-17"/>
          <w:w w:val="105"/>
          <w:sz w:val="24"/>
        </w:rPr>
        <w:t>r</w:t>
      </w:r>
      <w:r>
        <w:rPr>
          <w:rFonts w:ascii="Times New Roman" w:hAnsi="Times New Roman"/>
          <w:i/>
          <w:w w:val="105"/>
          <w:position w:val="-5"/>
          <w:sz w:val="14"/>
        </w:rPr>
        <w:t>m</w:t>
      </w:r>
      <w:r>
        <w:rPr>
          <w:rFonts w:ascii="Times New Roman" w:hAnsi="Times New Roman"/>
          <w:i/>
          <w:spacing w:val="-4"/>
          <w:position w:val="-5"/>
          <w:sz w:val="14"/>
        </w:rPr>
        <w:t> </w:t>
      </w:r>
      <w:r>
        <w:rPr>
          <w:rFonts w:ascii="Times New Roman" w:hAnsi="Times New Roman"/>
          <w:w w:val="105"/>
          <w:sz w:val="24"/>
        </w:rPr>
        <w:t>)</w:t>
      </w:r>
      <w:r>
        <w:rPr>
          <w:rFonts w:ascii="Times New Roman" w:hAnsi="Times New Roman"/>
          <w:spacing w:val="-1"/>
          <w:sz w:val="24"/>
        </w:rPr>
        <w:t> </w:t>
      </w:r>
      <w:r>
        <w:rPr>
          <w:rFonts w:ascii="Symbol" w:hAnsi="Symbol"/>
          <w:w w:val="105"/>
          <w:sz w:val="24"/>
        </w:rPr>
        <w:t></w:t>
      </w:r>
      <w:r>
        <w:rPr>
          <w:rFonts w:ascii="Times New Roman" w:hAnsi="Times New Roman"/>
          <w:spacing w:val="-3"/>
          <w:sz w:val="24"/>
        </w:rPr>
        <w:t> </w:t>
      </w:r>
      <w:r>
        <w:rPr>
          <w:rFonts w:ascii="Times New Roman" w:hAnsi="Times New Roman"/>
          <w:spacing w:val="-16"/>
          <w:w w:val="105"/>
          <w:sz w:val="24"/>
        </w:rPr>
        <w:t>m</w:t>
      </w:r>
      <w:r>
        <w:rPr>
          <w:rFonts w:ascii="Times New Roman" w:hAnsi="Times New Roman"/>
          <w:spacing w:val="-10"/>
          <w:w w:val="105"/>
          <w:sz w:val="24"/>
        </w:rPr>
        <w:t>i</w:t>
      </w:r>
      <w:r>
        <w:rPr>
          <w:rFonts w:ascii="Times New Roman" w:hAnsi="Times New Roman"/>
          <w:spacing w:val="7"/>
          <w:w w:val="105"/>
          <w:sz w:val="24"/>
        </w:rPr>
        <w:t>n</w:t>
      </w:r>
      <w:r>
        <w:rPr>
          <w:rFonts w:ascii="Symbol" w:hAnsi="Symbol"/>
          <w:spacing w:val="-37"/>
          <w:w w:val="80"/>
          <w:sz w:val="31"/>
        </w:rPr>
        <w:t></w:t>
      </w:r>
      <w:r>
        <w:rPr>
          <w:rFonts w:ascii="Symbol" w:hAnsi="Symbol"/>
          <w:spacing w:val="-2"/>
          <w:w w:val="105"/>
          <w:sz w:val="24"/>
        </w:rPr>
        <w:t></w:t>
      </w:r>
      <w:r>
        <w:rPr>
          <w:rFonts w:ascii="Times New Roman" w:hAnsi="Times New Roman"/>
          <w:spacing w:val="2"/>
          <w:w w:val="105"/>
          <w:sz w:val="24"/>
        </w:rPr>
        <w:t>(</w:t>
      </w:r>
      <w:r>
        <w:rPr>
          <w:rFonts w:ascii="Times New Roman" w:hAnsi="Times New Roman"/>
          <w:i/>
          <w:spacing w:val="-17"/>
          <w:w w:val="105"/>
          <w:sz w:val="24"/>
        </w:rPr>
        <w:t>r</w:t>
      </w:r>
      <w:r>
        <w:rPr>
          <w:rFonts w:ascii="Times New Roman" w:hAnsi="Times New Roman"/>
          <w:i/>
          <w:w w:val="105"/>
          <w:position w:val="-5"/>
          <w:sz w:val="14"/>
        </w:rPr>
        <w:t>m</w:t>
      </w:r>
      <w:r>
        <w:rPr>
          <w:rFonts w:ascii="Times New Roman" w:hAnsi="Times New Roman"/>
          <w:i/>
          <w:spacing w:val="-7"/>
          <w:position w:val="-5"/>
          <w:sz w:val="14"/>
        </w:rPr>
        <w:t> </w:t>
      </w:r>
      <w:r>
        <w:rPr>
          <w:rFonts w:ascii="Times New Roman" w:hAnsi="Times New Roman"/>
          <w:w w:val="105"/>
          <w:sz w:val="24"/>
        </w:rPr>
        <w:t>,</w:t>
      </w:r>
      <w:r>
        <w:rPr>
          <w:rFonts w:ascii="Times New Roman" w:hAnsi="Times New Roman"/>
          <w:spacing w:val="-34"/>
          <w:sz w:val="24"/>
        </w:rPr>
        <w:t> </w:t>
      </w:r>
      <w:r>
        <w:rPr>
          <w:rFonts w:ascii="Times New Roman" w:hAnsi="Times New Roman"/>
          <w:i/>
          <w:spacing w:val="-19"/>
          <w:w w:val="105"/>
          <w:sz w:val="24"/>
        </w:rPr>
        <w:t>r</w:t>
      </w:r>
      <w:r>
        <w:rPr>
          <w:rFonts w:ascii="Times New Roman" w:hAnsi="Times New Roman"/>
          <w:i/>
          <w:w w:val="105"/>
          <w:position w:val="-5"/>
          <w:sz w:val="14"/>
        </w:rPr>
        <w:t>c</w:t>
      </w:r>
      <w:r>
        <w:rPr>
          <w:rFonts w:ascii="Times New Roman" w:hAnsi="Times New Roman"/>
          <w:i/>
          <w:spacing w:val="-1"/>
          <w:position w:val="-5"/>
          <w:sz w:val="14"/>
        </w:rPr>
        <w:t> </w:t>
      </w:r>
      <w:r>
        <w:rPr>
          <w:rFonts w:ascii="Times New Roman" w:hAnsi="Times New Roman"/>
          <w:spacing w:val="-11"/>
          <w:w w:val="105"/>
          <w:sz w:val="24"/>
        </w:rPr>
        <w:t>)</w:t>
      </w:r>
      <w:r>
        <w:rPr>
          <w:rFonts w:ascii="Symbol" w:hAnsi="Symbol"/>
          <w:spacing w:val="-41"/>
          <w:w w:val="80"/>
          <w:sz w:val="31"/>
        </w:rPr>
        <w:t></w:t>
      </w:r>
      <w:r>
        <w:rPr>
          <w:rFonts w:ascii="Symbol" w:hAnsi="Symbol"/>
          <w:spacing w:val="-21"/>
          <w:w w:val="105"/>
          <w:sz w:val="24"/>
        </w:rPr>
        <w:t></w:t>
      </w:r>
      <w:r>
        <w:rPr>
          <w:rFonts w:ascii="Symbol" w:hAnsi="Symbol"/>
          <w:spacing w:val="-33"/>
          <w:w w:val="80"/>
          <w:sz w:val="31"/>
        </w:rPr>
        <w:t></w:t>
      </w:r>
      <w:r>
        <w:rPr>
          <w:rFonts w:ascii="Times New Roman" w:hAnsi="Times New Roman"/>
          <w:i/>
          <w:spacing w:val="-19"/>
          <w:w w:val="105"/>
          <w:sz w:val="24"/>
        </w:rPr>
        <w:t>r</w:t>
      </w:r>
      <w:r>
        <w:rPr>
          <w:rFonts w:ascii="Times New Roman" w:hAnsi="Times New Roman"/>
          <w:i/>
          <w:w w:val="105"/>
          <w:position w:val="-5"/>
          <w:sz w:val="14"/>
        </w:rPr>
        <w:t>c</w:t>
      </w:r>
      <w:r>
        <w:rPr>
          <w:rFonts w:ascii="Times New Roman" w:hAnsi="Times New Roman"/>
          <w:i/>
          <w:spacing w:val="-10"/>
          <w:position w:val="-5"/>
          <w:sz w:val="14"/>
        </w:rPr>
        <w:t> </w:t>
      </w:r>
      <w:r>
        <w:rPr>
          <w:rFonts w:ascii="Symbol" w:hAnsi="Symbol"/>
          <w:w w:val="80"/>
          <w:sz w:val="31"/>
        </w:rPr>
        <w:t></w:t>
      </w:r>
    </w:p>
    <w:p>
      <w:pPr>
        <w:pStyle w:val="BodyText"/>
        <w:rPr>
          <w:rFonts w:ascii="Symbol" w:hAnsi="Symbol"/>
          <w:sz w:val="20"/>
        </w:rPr>
      </w:pPr>
    </w:p>
    <w:p>
      <w:pPr>
        <w:pStyle w:val="BodyText"/>
        <w:rPr>
          <w:rFonts w:ascii="Symbol" w:hAnsi="Symbol"/>
          <w:sz w:val="17"/>
        </w:rPr>
      </w:pPr>
    </w:p>
    <w:p>
      <w:pPr>
        <w:pStyle w:val="BodyText"/>
        <w:spacing w:before="76"/>
        <w:ind w:left="216" w:right="236"/>
        <w:jc w:val="center"/>
      </w:pPr>
      <w:r>
        <w:rPr/>
        <w:t>en donde</w:t>
      </w:r>
    </w:p>
    <w:p>
      <w:pPr>
        <w:spacing w:after="0"/>
        <w:jc w:val="center"/>
        <w:sectPr>
          <w:pgSz w:w="12240" w:h="15840"/>
          <w:pgMar w:header="0" w:footer="1034" w:top="1360" w:bottom="1220" w:left="1600" w:right="1580"/>
        </w:sectPr>
      </w:pPr>
    </w:p>
    <w:p>
      <w:pPr>
        <w:pStyle w:val="BodyText"/>
        <w:spacing w:before="1"/>
        <w:rPr>
          <w:sz w:val="29"/>
        </w:rPr>
      </w:pPr>
    </w:p>
    <w:p>
      <w:pPr>
        <w:spacing w:before="44"/>
        <w:ind w:left="2650" w:right="155" w:firstLine="0"/>
        <w:jc w:val="left"/>
        <w:rPr>
          <w:rFonts w:ascii="Symbol" w:hAnsi="Symbol"/>
          <w:sz w:val="24"/>
        </w:rPr>
      </w:pPr>
      <w:r>
        <w:rPr/>
        <w:pict>
          <v:group style="position:absolute;margin-left:292.314789pt;margin-top:-2.282367pt;width:106.7pt;height:35.8pt;mso-position-horizontal-relative:page;mso-position-vertical-relative:paragraph;z-index:1384" coordorigin="5846,-46" coordsize="2134,716">
            <v:line style="position:absolute" from="5848,406" to="5883,388" stroked="true" strokeweight=".138722pt" strokecolor="#000000"/>
            <v:line style="position:absolute" from="5874,378" to="5927,658" stroked="true" strokeweight=".138695pt" strokecolor="#000000"/>
            <v:shape style="position:absolute;left:1740;top:13247;width:2061;height:719" coordorigin="1740,13247" coordsize="2061,719" path="m5937,668l5991,-44m5991,-44l7979,-44e" filled="false" stroked="true" strokeweight=".138712pt" strokecolor="#000000">
              <v:path arrowok="t"/>
            </v:shape>
            <v:shape style="position:absolute;left:6010;top:150;width:1950;height:260" type="#_x0000_t202" filled="false" stroked="false">
              <v:textbox inset="0,0,0,0">
                <w:txbxContent>
                  <w:p>
                    <w:pPr>
                      <w:tabs>
                        <w:tab w:pos="403" w:val="left" w:leader="none"/>
                        <w:tab w:pos="835" w:val="left" w:leader="none"/>
                        <w:tab w:pos="1516" w:val="left" w:leader="none"/>
                        <w:tab w:pos="1949" w:val="left" w:leader="none"/>
                      </w:tabs>
                      <w:spacing w:line="259" w:lineRule="exact" w:before="0"/>
                      <w:ind w:left="0" w:right="0" w:firstLine="0"/>
                      <w:jc w:val="left"/>
                      <w:rPr>
                        <w:rFonts w:ascii="Times New Roman" w:hAnsi="Times New Roman"/>
                        <w:i/>
                        <w:sz w:val="14"/>
                      </w:rPr>
                    </w:pPr>
                    <w:r>
                      <w:rPr>
                        <w:rFonts w:ascii="Times New Roman" w:hAnsi="Times New Roman"/>
                        <w:i/>
                        <w:w w:val="101"/>
                        <w:sz w:val="14"/>
                        <w:u w:val="single"/>
                      </w:rPr>
                      <w:t> </w:t>
                    </w:r>
                    <w:r>
                      <w:rPr>
                        <w:rFonts w:ascii="Times New Roman" w:hAnsi="Times New Roman"/>
                        <w:i/>
                        <w:sz w:val="14"/>
                        <w:u w:val="single"/>
                      </w:rPr>
                      <w:tab/>
                      <w:t>m</w:t>
                      <w:tab/>
                    </w:r>
                    <w:r>
                      <w:rPr>
                        <w:rFonts w:ascii="Symbol" w:hAnsi="Symbol"/>
                        <w:position w:val="-9"/>
                        <w:sz w:val="24"/>
                      </w:rPr>
                      <w:t></w:t>
                    </w:r>
                    <w:r>
                      <w:rPr>
                        <w:rFonts w:ascii="Times New Roman" w:hAnsi="Times New Roman"/>
                        <w:i/>
                        <w:sz w:val="14"/>
                        <w:u w:val="single"/>
                      </w:rPr>
                      <w:t> </w:t>
                      <w:tab/>
                      <w:t>m</w:t>
                      <w:tab/>
                    </w:r>
                  </w:p>
                </w:txbxContent>
              </v:textbox>
              <w10:wrap type="none"/>
            </v:shape>
            <v:shape style="position:absolute;left:6016;top:-19;width:1924;height:271" type="#_x0000_t202" filled="false" stroked="false">
              <v:textbox inset="0,0,0,0">
                <w:txbxContent>
                  <w:p>
                    <w:pPr>
                      <w:tabs>
                        <w:tab w:pos="1064" w:val="left" w:leader="none"/>
                      </w:tabs>
                      <w:spacing w:line="271" w:lineRule="exact" w:before="0"/>
                      <w:ind w:left="0" w:right="0" w:firstLine="0"/>
                      <w:jc w:val="left"/>
                      <w:rPr>
                        <w:rFonts w:ascii="Times New Roman" w:hAnsi="Times New Roman"/>
                        <w:sz w:val="24"/>
                      </w:rPr>
                    </w:pPr>
                    <w:r>
                      <w:rPr>
                        <w:rFonts w:ascii="Times New Roman" w:hAnsi="Times New Roman"/>
                        <w:i/>
                        <w:sz w:val="24"/>
                      </w:rPr>
                      <w:t>r </w:t>
                    </w:r>
                    <w:r>
                      <w:rPr>
                        <w:rFonts w:ascii="Times New Roman" w:hAnsi="Times New Roman"/>
                        <w:position w:val="11"/>
                        <w:sz w:val="14"/>
                      </w:rPr>
                      <w:t>2 </w:t>
                    </w:r>
                    <w:r>
                      <w:rPr>
                        <w:rFonts w:ascii="Times New Roman" w:hAnsi="Times New Roman"/>
                        <w:spacing w:val="2"/>
                        <w:sz w:val="24"/>
                      </w:rPr>
                      <w:t>(</w:t>
                    </w:r>
                    <w:r>
                      <w:rPr>
                        <w:rFonts w:ascii="Times New Roman" w:hAnsi="Times New Roman"/>
                        <w:i/>
                        <w:spacing w:val="2"/>
                        <w:sz w:val="24"/>
                      </w:rPr>
                      <w:t>r</w:t>
                    </w:r>
                    <w:r>
                      <w:rPr>
                        <w:rFonts w:ascii="Times New Roman" w:hAnsi="Times New Roman"/>
                        <w:i/>
                        <w:spacing w:val="32"/>
                        <w:sz w:val="24"/>
                      </w:rPr>
                      <w:t> </w:t>
                    </w:r>
                    <w:r>
                      <w:rPr>
                        <w:rFonts w:ascii="Times New Roman" w:hAnsi="Times New Roman"/>
                        <w:sz w:val="24"/>
                      </w:rPr>
                      <w:t>,</w:t>
                    </w:r>
                    <w:r>
                      <w:rPr>
                        <w:rFonts w:ascii="Times New Roman" w:hAnsi="Times New Roman"/>
                        <w:spacing w:val="-31"/>
                        <w:sz w:val="24"/>
                      </w:rPr>
                      <w:t> </w:t>
                    </w:r>
                    <w:r>
                      <w:rPr>
                        <w:rFonts w:ascii="Times New Roman" w:hAnsi="Times New Roman"/>
                        <w:i/>
                        <w:spacing w:val="6"/>
                        <w:sz w:val="24"/>
                      </w:rPr>
                      <w:t>r</w:t>
                    </w:r>
                    <w:r>
                      <w:rPr>
                        <w:rFonts w:ascii="Times New Roman" w:hAnsi="Times New Roman"/>
                        <w:spacing w:val="6"/>
                        <w:sz w:val="24"/>
                      </w:rPr>
                      <w:t>)</w:t>
                      <w:tab/>
                    </w:r>
                    <w:r>
                      <w:rPr>
                        <w:rFonts w:ascii="Symbol" w:hAnsi="Symbol"/>
                        <w:i/>
                        <w:sz w:val="25"/>
                      </w:rPr>
                      <w:t></w:t>
                    </w:r>
                    <w:r>
                      <w:rPr>
                        <w:rFonts w:ascii="Times New Roman" w:hAnsi="Times New Roman"/>
                        <w:i/>
                        <w:sz w:val="25"/>
                      </w:rPr>
                      <w:t> </w:t>
                    </w:r>
                    <w:r>
                      <w:rPr>
                        <w:rFonts w:ascii="Times New Roman" w:hAnsi="Times New Roman"/>
                        <w:position w:val="11"/>
                        <w:sz w:val="14"/>
                      </w:rPr>
                      <w:t>2 </w:t>
                    </w:r>
                    <w:r>
                      <w:rPr>
                        <w:rFonts w:ascii="Times New Roman" w:hAnsi="Times New Roman"/>
                        <w:spacing w:val="2"/>
                        <w:sz w:val="24"/>
                      </w:rPr>
                      <w:t>(</w:t>
                    </w:r>
                    <w:r>
                      <w:rPr>
                        <w:rFonts w:ascii="Times New Roman" w:hAnsi="Times New Roman"/>
                        <w:i/>
                        <w:spacing w:val="2"/>
                        <w:sz w:val="24"/>
                      </w:rPr>
                      <w:t>r  </w:t>
                    </w:r>
                    <w:r>
                      <w:rPr>
                        <w:rFonts w:ascii="Times New Roman" w:hAnsi="Times New Roman"/>
                        <w:sz w:val="24"/>
                      </w:rPr>
                      <w:t>,</w:t>
                    </w:r>
                    <w:r>
                      <w:rPr>
                        <w:rFonts w:ascii="Times New Roman" w:hAnsi="Times New Roman"/>
                        <w:spacing w:val="-42"/>
                        <w:sz w:val="24"/>
                      </w:rPr>
                      <w:t> </w:t>
                    </w:r>
                    <w:r>
                      <w:rPr>
                        <w:rFonts w:ascii="Times New Roman" w:hAnsi="Times New Roman"/>
                        <w:i/>
                        <w:spacing w:val="6"/>
                        <w:sz w:val="24"/>
                      </w:rPr>
                      <w:t>r</w:t>
                    </w:r>
                    <w:r>
                      <w:rPr>
                        <w:rFonts w:ascii="Times New Roman" w:hAnsi="Times New Roman"/>
                        <w:spacing w:val="6"/>
                        <w:sz w:val="24"/>
                      </w:rPr>
                      <w:t>)</w:t>
                    </w:r>
                  </w:p>
                </w:txbxContent>
              </v:textbox>
              <w10:wrap type="none"/>
            </v:shape>
            <v:shape style="position:absolute;left:6103;top:378;width:268;height:248" type="#_x0000_t202" filled="false" stroked="false">
              <v:textbox inset="0,0,0,0">
                <w:txbxContent>
                  <w:p>
                    <w:pPr>
                      <w:spacing w:line="248" w:lineRule="exact" w:before="0"/>
                      <w:ind w:left="0" w:right="-19" w:firstLine="0"/>
                      <w:jc w:val="left"/>
                      <w:rPr>
                        <w:rFonts w:ascii="Times New Roman" w:hAnsi="Times New Roman"/>
                        <w:i/>
                        <w:sz w:val="24"/>
                      </w:rPr>
                    </w:pPr>
                    <w:r>
                      <w:rPr>
                        <w:rFonts w:ascii="Symbol" w:hAnsi="Symbol"/>
                        <w:sz w:val="24"/>
                      </w:rPr>
                      <w:t></w:t>
                    </w:r>
                    <w:r>
                      <w:rPr>
                        <w:rFonts w:ascii="Times New Roman" w:hAnsi="Times New Roman"/>
                        <w:i/>
                        <w:sz w:val="24"/>
                      </w:rPr>
                      <w:t>d</w:t>
                    </w:r>
                  </w:p>
                </w:txbxContent>
              </v:textbox>
              <w10:wrap type="none"/>
            </v:shape>
            <v:shape style="position:absolute;left:6553;top:337;width:72;height:143" type="#_x0000_t202" filled="false" stroked="false">
              <v:textbox inset="0,0,0,0">
                <w:txbxContent>
                  <w:p>
                    <w:pPr>
                      <w:spacing w:line="142" w:lineRule="exact" w:before="0"/>
                      <w:ind w:left="0" w:right="0" w:firstLine="0"/>
                      <w:jc w:val="left"/>
                      <w:rPr>
                        <w:rFonts w:ascii="Times New Roman"/>
                        <w:sz w:val="14"/>
                      </w:rPr>
                    </w:pPr>
                    <w:r>
                      <w:rPr>
                        <w:rFonts w:ascii="Times New Roman"/>
                        <w:w w:val="101"/>
                        <w:sz w:val="14"/>
                      </w:rPr>
                      <w:t>2</w:t>
                    </w:r>
                  </w:p>
                </w:txbxContent>
              </v:textbox>
              <w10:wrap type="none"/>
            </v:shape>
            <v:shape style="position:absolute;left:7708;top:337;width:72;height:143" type="#_x0000_t202" filled="false" stroked="false">
              <v:textbox inset="0,0,0,0">
                <w:txbxContent>
                  <w:p>
                    <w:pPr>
                      <w:spacing w:line="142" w:lineRule="exact" w:before="0"/>
                      <w:ind w:left="0" w:right="0" w:firstLine="0"/>
                      <w:jc w:val="left"/>
                      <w:rPr>
                        <w:rFonts w:ascii="Times New Roman"/>
                        <w:sz w:val="14"/>
                      </w:rPr>
                    </w:pPr>
                    <w:r>
                      <w:rPr>
                        <w:rFonts w:ascii="Times New Roman"/>
                        <w:w w:val="101"/>
                        <w:sz w:val="14"/>
                      </w:rPr>
                      <w:t>2</w:t>
                    </w:r>
                  </w:p>
                </w:txbxContent>
              </v:textbox>
              <w10:wrap type="none"/>
            </v:shape>
            <v:shape style="position:absolute;left:6392;top:525;width:119;height:143" type="#_x0000_t202" filled="false" stroked="false">
              <v:textbox inset="0,0,0,0">
                <w:txbxContent>
                  <w:p>
                    <w:pPr>
                      <w:spacing w:line="142" w:lineRule="exact" w:before="0"/>
                      <w:ind w:left="0" w:right="0" w:firstLine="0"/>
                      <w:jc w:val="left"/>
                      <w:rPr>
                        <w:rFonts w:ascii="Times New Roman"/>
                        <w:i/>
                        <w:sz w:val="14"/>
                      </w:rPr>
                    </w:pPr>
                    <w:r>
                      <w:rPr>
                        <w:rFonts w:ascii="Times New Roman"/>
                        <w:i/>
                        <w:w w:val="101"/>
                        <w:sz w:val="14"/>
                      </w:rPr>
                      <w:t>M</w:t>
                    </w:r>
                  </w:p>
                </w:txbxContent>
              </v:textbox>
              <w10:wrap type="none"/>
            </v:shape>
            <v:shape style="position:absolute;left:7224;top:378;width:323;height:248" type="#_x0000_t202" filled="false" stroked="false">
              <v:textbox inset="0,0,0,0">
                <w:txbxContent>
                  <w:p>
                    <w:pPr>
                      <w:spacing w:line="248" w:lineRule="exact" w:before="0"/>
                      <w:ind w:left="0" w:right="-18" w:firstLine="0"/>
                      <w:jc w:val="left"/>
                      <w:rPr>
                        <w:rFonts w:ascii="Times New Roman" w:hAnsi="Times New Roman"/>
                        <w:i/>
                        <w:sz w:val="24"/>
                      </w:rPr>
                    </w:pPr>
                    <w:r>
                      <w:rPr>
                        <w:rFonts w:ascii="Symbol" w:hAnsi="Symbol"/>
                        <w:sz w:val="24"/>
                      </w:rPr>
                      <w:t></w:t>
                    </w:r>
                    <w:r>
                      <w:rPr>
                        <w:rFonts w:ascii="Times New Roman" w:hAnsi="Times New Roman"/>
                        <w:i/>
                        <w:sz w:val="24"/>
                      </w:rPr>
                      <w:t>D</w:t>
                    </w:r>
                  </w:p>
                </w:txbxContent>
              </v:textbox>
              <w10:wrap type="none"/>
            </v:shape>
            <v:shape style="position:absolute;left:7547;top:525;width:119;height:143" type="#_x0000_t202" filled="false" stroked="false">
              <v:textbox inset="0,0,0,0">
                <w:txbxContent>
                  <w:p>
                    <w:pPr>
                      <w:spacing w:line="142" w:lineRule="exact" w:before="0"/>
                      <w:ind w:left="0" w:right="0" w:firstLine="0"/>
                      <w:jc w:val="left"/>
                      <w:rPr>
                        <w:rFonts w:ascii="Times New Roman"/>
                        <w:i/>
                        <w:sz w:val="14"/>
                      </w:rPr>
                    </w:pPr>
                    <w:r>
                      <w:rPr>
                        <w:rFonts w:ascii="Times New Roman"/>
                        <w:i/>
                        <w:w w:val="101"/>
                        <w:sz w:val="14"/>
                      </w:rPr>
                      <w:t>M</w:t>
                    </w:r>
                  </w:p>
                </w:txbxContent>
              </v:textbox>
              <w10:wrap type="none"/>
            </v:shape>
            <w10:wrap type="none"/>
          </v:group>
        </w:pict>
      </w:r>
      <w:r>
        <w:rPr>
          <w:rFonts w:ascii="Times New Roman" w:hAnsi="Times New Roman"/>
          <w:spacing w:val="-11"/>
          <w:w w:val="101"/>
          <w:sz w:val="24"/>
        </w:rPr>
        <w:t>m</w:t>
      </w:r>
      <w:r>
        <w:rPr>
          <w:rFonts w:ascii="Times New Roman" w:hAnsi="Times New Roman"/>
          <w:spacing w:val="-8"/>
          <w:w w:val="101"/>
          <w:sz w:val="24"/>
        </w:rPr>
        <w:t>i</w:t>
      </w:r>
      <w:r>
        <w:rPr>
          <w:rFonts w:ascii="Times New Roman" w:hAnsi="Times New Roman"/>
          <w:spacing w:val="10"/>
          <w:w w:val="101"/>
          <w:sz w:val="24"/>
        </w:rPr>
        <w:t>n</w:t>
      </w:r>
      <w:r>
        <w:rPr>
          <w:rFonts w:ascii="Symbol" w:hAnsi="Symbol"/>
          <w:spacing w:val="-33"/>
          <w:w w:val="75"/>
          <w:sz w:val="32"/>
        </w:rPr>
        <w:t></w:t>
      </w:r>
      <w:r>
        <w:rPr>
          <w:rFonts w:ascii="Symbol" w:hAnsi="Symbol"/>
          <w:spacing w:val="2"/>
          <w:w w:val="101"/>
          <w:sz w:val="24"/>
        </w:rPr>
        <w:t></w:t>
      </w:r>
      <w:r>
        <w:rPr>
          <w:rFonts w:ascii="Times New Roman" w:hAnsi="Times New Roman"/>
          <w:spacing w:val="4"/>
          <w:w w:val="101"/>
          <w:sz w:val="24"/>
        </w:rPr>
        <w:t>(</w:t>
      </w:r>
      <w:r>
        <w:rPr>
          <w:rFonts w:ascii="Times New Roman" w:hAnsi="Times New Roman"/>
          <w:i/>
          <w:spacing w:val="-14"/>
          <w:w w:val="101"/>
          <w:sz w:val="24"/>
        </w:rPr>
        <w:t>r</w:t>
      </w:r>
      <w:r>
        <w:rPr>
          <w:rFonts w:ascii="Times New Roman" w:hAnsi="Times New Roman"/>
          <w:i/>
          <w:w w:val="101"/>
          <w:position w:val="-5"/>
          <w:sz w:val="14"/>
        </w:rPr>
        <w:t>m</w:t>
      </w:r>
      <w:r>
        <w:rPr>
          <w:rFonts w:ascii="Times New Roman" w:hAnsi="Times New Roman"/>
          <w:i/>
          <w:spacing w:val="-5"/>
          <w:position w:val="-5"/>
          <w:sz w:val="14"/>
        </w:rPr>
        <w:t> </w:t>
      </w:r>
      <w:r>
        <w:rPr>
          <w:rFonts w:ascii="Times New Roman" w:hAnsi="Times New Roman"/>
          <w:w w:val="101"/>
          <w:sz w:val="24"/>
        </w:rPr>
        <w:t>,</w:t>
      </w:r>
      <w:r>
        <w:rPr>
          <w:rFonts w:ascii="Times New Roman" w:hAnsi="Times New Roman"/>
          <w:spacing w:val="-32"/>
          <w:sz w:val="24"/>
        </w:rPr>
        <w:t> </w:t>
      </w:r>
      <w:r>
        <w:rPr>
          <w:rFonts w:ascii="Times New Roman" w:hAnsi="Times New Roman"/>
          <w:i/>
          <w:spacing w:val="-16"/>
          <w:w w:val="101"/>
          <w:sz w:val="24"/>
        </w:rPr>
        <w:t>r</w:t>
      </w:r>
      <w:r>
        <w:rPr>
          <w:rFonts w:ascii="Times New Roman" w:hAnsi="Times New Roman"/>
          <w:i/>
          <w:w w:val="101"/>
          <w:position w:val="-5"/>
          <w:sz w:val="14"/>
        </w:rPr>
        <w:t>c</w:t>
      </w:r>
      <w:r>
        <w:rPr>
          <w:rFonts w:ascii="Times New Roman" w:hAnsi="Times New Roman"/>
          <w:i/>
          <w:spacing w:val="1"/>
          <w:position w:val="-5"/>
          <w:sz w:val="14"/>
        </w:rPr>
        <w:t> </w:t>
      </w:r>
      <w:r>
        <w:rPr>
          <w:rFonts w:ascii="Times New Roman" w:hAnsi="Times New Roman"/>
          <w:spacing w:val="-9"/>
          <w:w w:val="101"/>
          <w:sz w:val="24"/>
        </w:rPr>
        <w:t>)</w:t>
      </w:r>
      <w:r>
        <w:rPr>
          <w:rFonts w:ascii="Symbol" w:hAnsi="Symbol"/>
          <w:w w:val="75"/>
          <w:sz w:val="32"/>
        </w:rPr>
        <w:t></w:t>
      </w:r>
      <w:r>
        <w:rPr>
          <w:rFonts w:ascii="Times New Roman" w:hAnsi="Times New Roman"/>
          <w:spacing w:val="-54"/>
          <w:sz w:val="32"/>
        </w:rPr>
        <w:t> </w:t>
      </w:r>
      <w:r>
        <w:rPr>
          <w:rFonts w:ascii="Symbol" w:hAnsi="Symbol"/>
          <w:w w:val="101"/>
          <w:sz w:val="24"/>
        </w:rPr>
        <w:t></w:t>
      </w:r>
    </w:p>
    <w:p>
      <w:pPr>
        <w:pStyle w:val="BodyText"/>
        <w:rPr>
          <w:rFonts w:ascii="Symbol" w:hAnsi="Symbol"/>
          <w:sz w:val="20"/>
        </w:rPr>
      </w:pPr>
    </w:p>
    <w:p>
      <w:pPr>
        <w:pStyle w:val="BodyText"/>
        <w:rPr>
          <w:rFonts w:ascii="Symbol" w:hAnsi="Symbol"/>
          <w:sz w:val="20"/>
        </w:rPr>
      </w:pPr>
    </w:p>
    <w:p>
      <w:pPr>
        <w:pStyle w:val="BodyText"/>
        <w:spacing w:before="10"/>
        <w:rPr>
          <w:rFonts w:ascii="Symbol" w:hAnsi="Symbol"/>
          <w:sz w:val="23"/>
        </w:rPr>
      </w:pPr>
    </w:p>
    <w:p>
      <w:pPr>
        <w:spacing w:before="59"/>
        <w:ind w:left="119" w:right="240" w:firstLine="0"/>
        <w:jc w:val="center"/>
        <w:rPr>
          <w:rFonts w:ascii="Times New Roman" w:hAnsi="Times New Roman"/>
          <w:i/>
          <w:sz w:val="14"/>
        </w:rPr>
      </w:pPr>
      <w:r>
        <w:rPr/>
        <w:pict>
          <v:line style="position:absolute;mso-position-horizontal-relative:page;mso-position-vertical-relative:paragraph;z-index:-105640" from="325.832642pt,5.184394pt" to="325.832642pt,19.683216pt" stroked="true" strokeweight=".137378pt" strokecolor="#000000">
            <w10:wrap type="none"/>
          </v:line>
        </w:pict>
      </w:r>
      <w:r>
        <w:rPr/>
        <w:pict>
          <v:line style="position:absolute;mso-position-horizontal-relative:page;mso-position-vertical-relative:paragraph;z-index:1432" from="358.629639pt,5.184394pt" to="358.629639pt,19.683216pt" stroked="true" strokeweight=".137378pt" strokecolor="#000000">
            <w10:wrap type="none"/>
          </v:line>
        </w:pict>
      </w:r>
      <w:r>
        <w:rPr>
          <w:w w:val="105"/>
          <w:sz w:val="22"/>
        </w:rPr>
        <w:t>Con </w:t>
      </w:r>
      <w:r>
        <w:rPr>
          <w:rFonts w:ascii="Times New Roman" w:hAnsi="Times New Roman"/>
          <w:i/>
          <w:w w:val="105"/>
          <w:sz w:val="24"/>
        </w:rPr>
        <w:t>r</w:t>
      </w:r>
      <w:r>
        <w:rPr>
          <w:rFonts w:ascii="Times New Roman" w:hAnsi="Times New Roman"/>
          <w:w w:val="105"/>
          <w:sz w:val="24"/>
        </w:rPr>
        <w:t>(</w:t>
      </w:r>
      <w:r>
        <w:rPr>
          <w:rFonts w:ascii="Times New Roman" w:hAnsi="Times New Roman"/>
          <w:i/>
          <w:w w:val="105"/>
          <w:sz w:val="24"/>
        </w:rPr>
        <w:t>r</w:t>
      </w:r>
      <w:r>
        <w:rPr>
          <w:rFonts w:ascii="Times New Roman" w:hAnsi="Times New Roman"/>
          <w:i/>
          <w:w w:val="105"/>
          <w:position w:val="-5"/>
          <w:sz w:val="14"/>
        </w:rPr>
        <w:t>m </w:t>
      </w:r>
      <w:r>
        <w:rPr>
          <w:rFonts w:ascii="Times New Roman" w:hAnsi="Times New Roman"/>
          <w:w w:val="105"/>
          <w:sz w:val="24"/>
        </w:rPr>
        <w:t>, </w:t>
      </w:r>
      <w:r>
        <w:rPr>
          <w:rFonts w:ascii="Times New Roman" w:hAnsi="Times New Roman"/>
          <w:i/>
          <w:w w:val="105"/>
          <w:sz w:val="24"/>
        </w:rPr>
        <w:t>r</w:t>
      </w:r>
      <w:r>
        <w:rPr>
          <w:rFonts w:ascii="Times New Roman" w:hAnsi="Times New Roman"/>
          <w:i/>
          <w:w w:val="105"/>
          <w:position w:val="-5"/>
          <w:sz w:val="14"/>
        </w:rPr>
        <w:t>c </w:t>
      </w:r>
      <w:r>
        <w:rPr>
          <w:rFonts w:ascii="Times New Roman" w:hAnsi="Times New Roman"/>
          <w:w w:val="105"/>
          <w:sz w:val="24"/>
        </w:rPr>
        <w:t>) </w:t>
      </w:r>
      <w:r>
        <w:rPr>
          <w:rFonts w:ascii="Symbol" w:hAnsi="Symbol"/>
          <w:w w:val="105"/>
          <w:sz w:val="24"/>
        </w:rPr>
        <w:t></w:t>
      </w:r>
      <w:r>
        <w:rPr>
          <w:rFonts w:ascii="Times New Roman" w:hAnsi="Times New Roman"/>
          <w:w w:val="105"/>
          <w:sz w:val="24"/>
        </w:rPr>
        <w:t> </w:t>
      </w:r>
      <w:r>
        <w:rPr>
          <w:rFonts w:ascii="Times New Roman" w:hAnsi="Times New Roman"/>
          <w:i/>
          <w:w w:val="105"/>
          <w:sz w:val="24"/>
        </w:rPr>
        <w:t>r</w:t>
      </w:r>
      <w:r>
        <w:rPr>
          <w:rFonts w:ascii="Times New Roman" w:hAnsi="Times New Roman"/>
          <w:i/>
          <w:w w:val="105"/>
          <w:position w:val="-5"/>
          <w:sz w:val="14"/>
        </w:rPr>
        <w:t>c   </w:t>
      </w:r>
      <w:r>
        <w:rPr>
          <w:rFonts w:ascii="Symbol" w:hAnsi="Symbol"/>
          <w:w w:val="105"/>
          <w:sz w:val="24"/>
        </w:rPr>
        <w:t></w:t>
      </w:r>
      <w:r>
        <w:rPr>
          <w:rFonts w:ascii="Times New Roman" w:hAnsi="Times New Roman"/>
          <w:w w:val="105"/>
          <w:sz w:val="24"/>
        </w:rPr>
        <w:t> </w:t>
      </w:r>
      <w:r>
        <w:rPr>
          <w:rFonts w:ascii="Times New Roman" w:hAnsi="Times New Roman"/>
          <w:i/>
          <w:w w:val="105"/>
          <w:sz w:val="24"/>
        </w:rPr>
        <w:t>r</w:t>
      </w:r>
      <w:r>
        <w:rPr>
          <w:rFonts w:ascii="Times New Roman" w:hAnsi="Times New Roman"/>
          <w:i/>
          <w:w w:val="105"/>
          <w:position w:val="-5"/>
          <w:sz w:val="14"/>
        </w:rPr>
        <w:t>m</w:t>
      </w:r>
    </w:p>
    <w:p>
      <w:pPr>
        <w:pStyle w:val="BodyText"/>
        <w:rPr>
          <w:rFonts w:ascii="Times New Roman"/>
          <w:i/>
          <w:sz w:val="20"/>
        </w:rPr>
      </w:pPr>
    </w:p>
    <w:p>
      <w:pPr>
        <w:pStyle w:val="BodyText"/>
        <w:spacing w:before="10"/>
        <w:rPr>
          <w:rFonts w:ascii="Times New Roman"/>
          <w:i/>
          <w:sz w:val="21"/>
        </w:rPr>
      </w:pPr>
    </w:p>
    <w:p>
      <w:pPr>
        <w:spacing w:before="57"/>
        <w:ind w:left="197" w:right="240" w:firstLine="0"/>
        <w:jc w:val="center"/>
        <w:rPr>
          <w:rFonts w:ascii="Times New Roman" w:hAnsi="Times New Roman"/>
          <w:sz w:val="24"/>
        </w:rPr>
      </w:pPr>
      <w:r>
        <w:rPr>
          <w:w w:val="105"/>
          <w:sz w:val="22"/>
        </w:rPr>
        <w:t>y  </w:t>
      </w:r>
      <w:r>
        <w:rPr>
          <w:rFonts w:ascii="Symbol" w:hAnsi="Symbol"/>
          <w:i/>
          <w:w w:val="105"/>
          <w:sz w:val="25"/>
        </w:rPr>
        <w:t></w:t>
      </w:r>
      <w:r>
        <w:rPr>
          <w:rFonts w:ascii="Times New Roman" w:hAnsi="Times New Roman"/>
          <w:i/>
          <w:w w:val="105"/>
          <w:sz w:val="25"/>
        </w:rPr>
        <w:t> </w:t>
      </w:r>
      <w:r>
        <w:rPr>
          <w:rFonts w:ascii="Times New Roman" w:hAnsi="Times New Roman"/>
          <w:w w:val="105"/>
          <w:sz w:val="24"/>
        </w:rPr>
        <w:t>(</w:t>
      </w:r>
      <w:r>
        <w:rPr>
          <w:rFonts w:ascii="Times New Roman" w:hAnsi="Times New Roman"/>
          <w:i/>
          <w:w w:val="105"/>
          <w:sz w:val="24"/>
        </w:rPr>
        <w:t>r</w:t>
      </w:r>
      <w:r>
        <w:rPr>
          <w:rFonts w:ascii="Times New Roman" w:hAnsi="Times New Roman"/>
          <w:i/>
          <w:w w:val="105"/>
          <w:position w:val="-5"/>
          <w:sz w:val="14"/>
        </w:rPr>
        <w:t>m </w:t>
      </w:r>
      <w:r>
        <w:rPr>
          <w:rFonts w:ascii="Times New Roman" w:hAnsi="Times New Roman"/>
          <w:w w:val="105"/>
          <w:sz w:val="24"/>
        </w:rPr>
        <w:t>, </w:t>
      </w:r>
      <w:r>
        <w:rPr>
          <w:rFonts w:ascii="Times New Roman" w:hAnsi="Times New Roman"/>
          <w:i/>
          <w:w w:val="105"/>
          <w:sz w:val="24"/>
        </w:rPr>
        <w:t>r</w:t>
      </w:r>
      <w:r>
        <w:rPr>
          <w:rFonts w:ascii="Times New Roman" w:hAnsi="Times New Roman"/>
          <w:i/>
          <w:w w:val="105"/>
          <w:position w:val="-5"/>
          <w:sz w:val="14"/>
        </w:rPr>
        <w:t>c </w:t>
      </w:r>
      <w:r>
        <w:rPr>
          <w:rFonts w:ascii="Times New Roman" w:hAnsi="Times New Roman"/>
          <w:w w:val="105"/>
          <w:sz w:val="24"/>
        </w:rPr>
        <w:t>) </w:t>
      </w:r>
      <w:r>
        <w:rPr>
          <w:rFonts w:ascii="Symbol" w:hAnsi="Symbol"/>
          <w:w w:val="105"/>
          <w:sz w:val="24"/>
        </w:rPr>
        <w:t></w:t>
      </w:r>
      <w:r>
        <w:rPr>
          <w:rFonts w:ascii="Times New Roman" w:hAnsi="Times New Roman"/>
          <w:w w:val="105"/>
          <w:sz w:val="24"/>
        </w:rPr>
        <w:t> </w:t>
      </w:r>
      <w:r>
        <w:rPr>
          <w:rFonts w:ascii="Times New Roman" w:hAnsi="Times New Roman"/>
          <w:i/>
          <w:w w:val="105"/>
          <w:sz w:val="24"/>
        </w:rPr>
        <w:t>D</w:t>
      </w:r>
      <w:r>
        <w:rPr>
          <w:rFonts w:ascii="Times New Roman" w:hAnsi="Times New Roman"/>
          <w:i/>
          <w:w w:val="105"/>
          <w:position w:val="-5"/>
          <w:sz w:val="14"/>
        </w:rPr>
        <w:t>c </w:t>
      </w:r>
      <w:r>
        <w:rPr>
          <w:rFonts w:ascii="Times New Roman" w:hAnsi="Times New Roman"/>
          <w:w w:val="105"/>
          <w:sz w:val="24"/>
        </w:rPr>
        <w:t>(</w:t>
      </w:r>
      <w:r>
        <w:rPr>
          <w:rFonts w:ascii="Times New Roman" w:hAnsi="Times New Roman"/>
          <w:i/>
          <w:w w:val="105"/>
          <w:sz w:val="24"/>
        </w:rPr>
        <w:t>r</w:t>
      </w:r>
      <w:r>
        <w:rPr>
          <w:rFonts w:ascii="Times New Roman" w:hAnsi="Times New Roman"/>
          <w:i/>
          <w:w w:val="105"/>
          <w:position w:val="-5"/>
          <w:sz w:val="14"/>
        </w:rPr>
        <w:t>c </w:t>
      </w:r>
      <w:r>
        <w:rPr>
          <w:rFonts w:ascii="Times New Roman" w:hAnsi="Times New Roman"/>
          <w:w w:val="105"/>
          <w:sz w:val="24"/>
        </w:rPr>
        <w:t>) </w:t>
      </w:r>
      <w:r>
        <w:rPr>
          <w:rFonts w:ascii="Symbol" w:hAnsi="Symbol"/>
          <w:w w:val="105"/>
          <w:sz w:val="24"/>
        </w:rPr>
        <w:t></w:t>
      </w:r>
      <w:r>
        <w:rPr>
          <w:rFonts w:ascii="Times New Roman" w:hAnsi="Times New Roman"/>
          <w:w w:val="105"/>
          <w:sz w:val="24"/>
        </w:rPr>
        <w:t> </w:t>
      </w:r>
      <w:r>
        <w:rPr>
          <w:rFonts w:ascii="Times New Roman" w:hAnsi="Times New Roman"/>
          <w:i/>
          <w:w w:val="105"/>
          <w:sz w:val="24"/>
        </w:rPr>
        <w:t>D</w:t>
      </w:r>
      <w:r>
        <w:rPr>
          <w:rFonts w:ascii="Times New Roman" w:hAnsi="Times New Roman"/>
          <w:i/>
          <w:w w:val="105"/>
          <w:position w:val="-5"/>
          <w:sz w:val="14"/>
        </w:rPr>
        <w:t>m </w:t>
      </w:r>
      <w:r>
        <w:rPr>
          <w:rFonts w:ascii="Times New Roman" w:hAnsi="Times New Roman"/>
          <w:w w:val="105"/>
          <w:sz w:val="24"/>
        </w:rPr>
        <w:t>(</w:t>
      </w:r>
      <w:r>
        <w:rPr>
          <w:rFonts w:ascii="Times New Roman" w:hAnsi="Times New Roman"/>
          <w:i/>
          <w:w w:val="105"/>
          <w:sz w:val="24"/>
        </w:rPr>
        <w:t>r</w:t>
      </w:r>
      <w:r>
        <w:rPr>
          <w:rFonts w:ascii="Times New Roman" w:hAnsi="Times New Roman"/>
          <w:i/>
          <w:w w:val="105"/>
          <w:position w:val="-5"/>
          <w:sz w:val="14"/>
        </w:rPr>
        <w:t>m </w:t>
      </w:r>
      <w:r>
        <w:rPr>
          <w:rFonts w:ascii="Times New Roman" w:hAnsi="Times New Roman"/>
          <w:w w:val="105"/>
          <w:sz w:val="24"/>
        </w:rPr>
        <w:t>)</w:t>
      </w:r>
    </w:p>
    <w:p>
      <w:pPr>
        <w:pStyle w:val="BodyText"/>
        <w:spacing w:line="352" w:lineRule="auto" w:before="151"/>
        <w:ind w:left="100" w:right="155"/>
        <w:rPr>
          <w:rFonts w:ascii="Times New Roman" w:hAnsi="Times New Roman"/>
          <w:sz w:val="24"/>
        </w:rPr>
      </w:pPr>
      <w:r>
        <w:rPr/>
        <w:t>como la diferencia entre valores de las dosis calculadas y medidas repectivamente. El criterio del indice gamma pasa si </w:t>
      </w:r>
      <w:r>
        <w:rPr>
          <w:rFonts w:ascii="Symbol" w:hAnsi="Symbol"/>
          <w:i/>
          <w:sz w:val="25"/>
        </w:rPr>
        <w:t></w:t>
      </w:r>
      <w:r>
        <w:rPr>
          <w:rFonts w:ascii="Times New Roman" w:hAnsi="Times New Roman"/>
          <w:i/>
          <w:sz w:val="25"/>
        </w:rPr>
        <w:t> </w:t>
      </w:r>
      <w:r>
        <w:rPr>
          <w:rFonts w:ascii="Times New Roman" w:hAnsi="Times New Roman"/>
          <w:sz w:val="24"/>
        </w:rPr>
        <w:t>(</w:t>
      </w:r>
      <w:r>
        <w:rPr>
          <w:rFonts w:ascii="Times New Roman" w:hAnsi="Times New Roman"/>
          <w:i/>
          <w:sz w:val="24"/>
        </w:rPr>
        <w:t>r</w:t>
      </w:r>
      <w:r>
        <w:rPr>
          <w:rFonts w:ascii="Times New Roman" w:hAnsi="Times New Roman"/>
          <w:i/>
          <w:position w:val="-5"/>
          <w:sz w:val="14"/>
        </w:rPr>
        <w:t>m </w:t>
      </w:r>
      <w:r>
        <w:rPr>
          <w:rFonts w:ascii="Times New Roman" w:hAnsi="Times New Roman"/>
          <w:sz w:val="24"/>
        </w:rPr>
        <w:t>) </w:t>
      </w:r>
      <w:r>
        <w:rPr>
          <w:rFonts w:ascii="Symbol" w:hAnsi="Symbol"/>
          <w:sz w:val="24"/>
        </w:rPr>
        <w:t></w:t>
      </w:r>
      <w:r>
        <w:rPr>
          <w:rFonts w:ascii="Times New Roman" w:hAnsi="Times New Roman"/>
          <w:sz w:val="24"/>
        </w:rPr>
        <w:t> 1</w:t>
      </w:r>
    </w:p>
    <w:p>
      <w:pPr>
        <w:pStyle w:val="BodyText"/>
        <w:ind w:left="1817"/>
        <w:rPr>
          <w:rFonts w:ascii="Times New Roman"/>
          <w:sz w:val="20"/>
        </w:rPr>
      </w:pPr>
      <w:r>
        <w:rPr>
          <w:rFonts w:ascii="Times New Roman"/>
          <w:sz w:val="20"/>
        </w:rPr>
        <w:drawing>
          <wp:inline distT="0" distB="0" distL="0" distR="0">
            <wp:extent cx="3433958" cy="1990725"/>
            <wp:effectExtent l="0" t="0" r="0" b="0"/>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7" cstate="print"/>
                    <a:stretch>
                      <a:fillRect/>
                    </a:stretch>
                  </pic:blipFill>
                  <pic:spPr>
                    <a:xfrm>
                      <a:off x="0" y="0"/>
                      <a:ext cx="3433958" cy="1990725"/>
                    </a:xfrm>
                    <a:prstGeom prst="rect">
                      <a:avLst/>
                    </a:prstGeom>
                  </pic:spPr>
                </pic:pic>
              </a:graphicData>
            </a:graphic>
          </wp:inline>
        </w:drawing>
      </w:r>
      <w:r>
        <w:rPr>
          <w:rFonts w:ascii="Times New Roman"/>
          <w:sz w:val="20"/>
        </w:rPr>
      </w:r>
    </w:p>
    <w:p>
      <w:pPr>
        <w:pStyle w:val="BodyText"/>
        <w:spacing w:before="3"/>
        <w:rPr>
          <w:rFonts w:ascii="Times New Roman"/>
          <w:sz w:val="41"/>
        </w:rPr>
      </w:pPr>
    </w:p>
    <w:p>
      <w:pPr>
        <w:spacing w:before="0"/>
        <w:ind w:left="204" w:right="155" w:firstLine="0"/>
        <w:jc w:val="left"/>
        <w:rPr>
          <w:b/>
          <w:sz w:val="20"/>
        </w:rPr>
      </w:pPr>
      <w:bookmarkStart w:name="_bookmark12" w:id="21"/>
      <w:bookmarkEnd w:id="21"/>
      <w:r>
        <w:rPr/>
      </w:r>
      <w:r>
        <w:rPr>
          <w:sz w:val="20"/>
        </w:rPr>
        <w:t>Figura 3. Representación teórica del índice gamma en dos dimensiones </w:t>
      </w:r>
      <w:r>
        <w:rPr>
          <w:b/>
          <w:sz w:val="20"/>
        </w:rPr>
        <w:t>(Depuydt, et al., 2002)</w:t>
      </w:r>
    </w:p>
    <w:p>
      <w:pPr>
        <w:pStyle w:val="BodyText"/>
        <w:rPr>
          <w:b/>
          <w:sz w:val="20"/>
        </w:rPr>
      </w:pPr>
    </w:p>
    <w:p>
      <w:pPr>
        <w:pStyle w:val="BodyText"/>
        <w:rPr>
          <w:b/>
          <w:sz w:val="20"/>
        </w:rPr>
      </w:pPr>
    </w:p>
    <w:p>
      <w:pPr>
        <w:pStyle w:val="Heading6"/>
        <w:numPr>
          <w:ilvl w:val="1"/>
          <w:numId w:val="2"/>
        </w:numPr>
        <w:tabs>
          <w:tab w:pos="893" w:val="left" w:leader="none"/>
        </w:tabs>
        <w:spacing w:line="240" w:lineRule="auto" w:before="128" w:after="0"/>
        <w:ind w:left="893" w:right="0" w:hanging="433"/>
        <w:jc w:val="left"/>
      </w:pPr>
      <w:bookmarkStart w:name="_bookmark13" w:id="22"/>
      <w:bookmarkEnd w:id="22"/>
      <w:r>
        <w:rPr>
          <w:b w:val="0"/>
        </w:rPr>
      </w:r>
      <w:bookmarkStart w:name="_bookmark13" w:id="23"/>
      <w:bookmarkEnd w:id="23"/>
      <w:r>
        <w:rPr/>
        <w:t>Dos</w:t>
      </w:r>
      <w:r>
        <w:rPr/>
        <w:t>imetría</w:t>
      </w:r>
    </w:p>
    <w:p>
      <w:pPr>
        <w:pStyle w:val="BodyText"/>
        <w:rPr>
          <w:b/>
        </w:rPr>
      </w:pPr>
    </w:p>
    <w:p>
      <w:pPr>
        <w:pStyle w:val="BodyText"/>
        <w:spacing w:before="9"/>
        <w:rPr>
          <w:b/>
          <w:sz w:val="21"/>
        </w:rPr>
      </w:pPr>
    </w:p>
    <w:p>
      <w:pPr>
        <w:pStyle w:val="BodyText"/>
        <w:spacing w:line="360" w:lineRule="auto"/>
        <w:ind w:left="100" w:right="116"/>
        <w:jc w:val="both"/>
      </w:pPr>
      <w:r>
        <w:rPr/>
        <w:t>Un dosimetro puede definirse como un dispositivo que tiene la capacidad de detectar y cuantificar parámetros relacionados a la radiación ionizante, tales como exposición,  kerma, dosis absorbida o dosis equivalente, entre otros. Algunas caracteristicas de importancia a tener en cuenta en su utilizacion son la precisición y exactitud, linearidad, dependencia de la energía, de la tasa de dosis y de la dirección, resolución espacial, resolucion energética, tamaño y diseño estructural, y facilidad de manejo. Los dosimetros se diseñan para medir diferentes magnitudes, y por tanto, se adaptan para propositos específicos. En radioterapia, la calibración del haz de radiación se lleva a cabo principalmente con camaras de ionización en conjunto con un electrómetro. A su  vez,  éstos  deben  estar  adecuadamente  calibrados  contra  instrumentos  de  referencia, </w:t>
      </w:r>
      <w:r>
        <w:rPr>
          <w:spacing w:val="15"/>
        </w:rPr>
        <w:t> </w:t>
      </w:r>
      <w:r>
        <w:rPr/>
        <w:t>como</w:t>
      </w:r>
    </w:p>
    <w:p>
      <w:pPr>
        <w:spacing w:after="0" w:line="360" w:lineRule="auto"/>
        <w:jc w:val="both"/>
        <w:sectPr>
          <w:pgSz w:w="12240" w:h="15840"/>
          <w:pgMar w:header="0" w:footer="1034" w:top="1500" w:bottom="1220" w:left="1600" w:right="1580"/>
        </w:sectPr>
      </w:pPr>
    </w:p>
    <w:p>
      <w:pPr>
        <w:pStyle w:val="BodyText"/>
        <w:spacing w:line="360" w:lineRule="auto" w:before="55"/>
        <w:ind w:left="100" w:right="114"/>
        <w:jc w:val="both"/>
      </w:pPr>
      <w:r>
        <w:rPr/>
        <w:t>calorímetros. Existen muchos tipos de camaras de ionización, siendo las más comunes las cilíndricas y las plano paralelas. Las camaras de ionización cilindricas son ampliamente utilizadas para llevar a cabo las mediciones puntuales de dosis absoluta en procedimientos de control de calidad de IMRT. Algunas caracteristicas que han propiciado su extenso uso para estas aplicaciones son su excelente estabilidad, respuesta lineal a la dosis absorbida, escasa dependencia direccional, independencia de la calidad del haz y, muy importante en aplicaciones de IMRT, alta resolución espacial.</w:t>
      </w:r>
    </w:p>
    <w:p>
      <w:pPr>
        <w:pStyle w:val="BodyText"/>
        <w:spacing w:before="9"/>
        <w:rPr>
          <w:sz w:val="32"/>
        </w:rPr>
      </w:pPr>
    </w:p>
    <w:p>
      <w:pPr>
        <w:pStyle w:val="BodyText"/>
        <w:spacing w:line="360" w:lineRule="auto"/>
        <w:ind w:left="100" w:right="116"/>
        <w:jc w:val="both"/>
      </w:pPr>
      <w:r>
        <w:rPr/>
        <w:t>Además de las cámaras de ionización, existen otros dosímetros utilizados para la  validación de los tratamientos en radioterapia, como los diodos detectores semiconductores y los detectores</w:t>
      </w:r>
      <w:r>
        <w:rPr>
          <w:spacing w:val="-21"/>
        </w:rPr>
        <w:t> </w:t>
      </w:r>
      <w:r>
        <w:rPr/>
        <w:t>termolumiscentes.</w:t>
      </w:r>
    </w:p>
    <w:p>
      <w:pPr>
        <w:pStyle w:val="BodyText"/>
        <w:spacing w:before="9"/>
        <w:rPr>
          <w:sz w:val="32"/>
        </w:rPr>
      </w:pPr>
    </w:p>
    <w:p>
      <w:pPr>
        <w:pStyle w:val="BodyText"/>
        <w:spacing w:line="360" w:lineRule="auto"/>
        <w:ind w:left="100" w:right="116"/>
        <w:jc w:val="both"/>
      </w:pPr>
      <w:r>
        <w:rPr/>
        <w:t>Los diodos semiconductores son requeridos especialmente para llevar a cabo la medición de dosis en campos pequeños. Presentan una alta sensibilidad a la radiación, del orden de 20 a 100 veces mayor que las cámaras de ionización, la cual es evidente en la deteccción de fotones de baja energía. Sin embargo, exhiben dependencia de la orientación, variando desde 3% para haces incidentes perpendicularmente al eje del diodo, hasta 15% cuando el haz entra de forma paralela al mismo (Westermark, et al., 2000).  Además, reciben daño  de la radiación, con lo cual su sensibilidad se va degradando a lo largo del tiempo (Low, et al., 2011).</w:t>
      </w:r>
    </w:p>
    <w:p>
      <w:pPr>
        <w:pStyle w:val="BodyText"/>
      </w:pPr>
    </w:p>
    <w:p>
      <w:pPr>
        <w:pStyle w:val="BodyText"/>
        <w:spacing w:line="360" w:lineRule="auto" w:before="127"/>
        <w:ind w:left="100" w:right="121"/>
        <w:jc w:val="both"/>
      </w:pPr>
      <w:r>
        <w:rPr/>
        <w:t>Los detectores termolumiscentes se encuentran como dosimetros integrados de pequeño tamaño, es decir, chips de forma cilindrica o cúbica. Exiben una respuesta no lineal a la dosis, por lo que requieren calibrarse antes de su uso, así como algunas variaciones en su respuesta energética. El proceso de calibración de estos dosimetros puede requerir el uso del haz de radiación principal, por lo que su implementacion es lenta y requiere mucho trabajo. Por este motivo, sólo son utilizados en situaciones en las cuales las cámaras de ionización resultan poco practicas, como en la dosimetría con múltiples detectores en maniquis antropomorfos (Low, et al., 2011).</w:t>
      </w:r>
    </w:p>
    <w:p>
      <w:pPr>
        <w:pStyle w:val="BodyText"/>
        <w:spacing w:before="9"/>
        <w:rPr>
          <w:sz w:val="32"/>
        </w:rPr>
      </w:pPr>
    </w:p>
    <w:p>
      <w:pPr>
        <w:pStyle w:val="BodyText"/>
        <w:spacing w:line="360" w:lineRule="auto"/>
        <w:ind w:left="100" w:right="121"/>
        <w:jc w:val="both"/>
      </w:pPr>
      <w:r>
        <w:rPr/>
        <w:t>Los dosimetros mencionados sólo proporcionan informacion de la dosis en un punto, y no entregan información de la distribución de dosis en dos dimensiones. Para este objetivo, se han implementado arreglos de cámaras de ionización o diodos. Sin embargo, el principal problema de este tipo de arreglos es su limitada resolución espacial,  debido al espacio entre detectores que inevitablemente resulta por el volumen que estos ocupan en virtud de</w:t>
      </w:r>
    </w:p>
    <w:p>
      <w:pPr>
        <w:spacing w:after="0" w:line="360" w:lineRule="auto"/>
        <w:jc w:val="both"/>
        <w:sectPr>
          <w:pgSz w:w="12240" w:h="15840"/>
          <w:pgMar w:header="0" w:footer="1034" w:top="1360" w:bottom="1220" w:left="1600" w:right="1580"/>
        </w:sectPr>
      </w:pPr>
    </w:p>
    <w:p>
      <w:pPr>
        <w:pStyle w:val="BodyText"/>
        <w:spacing w:line="360" w:lineRule="auto" w:before="55"/>
        <w:ind w:left="100" w:right="124"/>
        <w:jc w:val="both"/>
      </w:pPr>
      <w:r>
        <w:rPr/>
        <w:t>su tamaño (Sim, et al., 2013). La manera más difundida de determinar la distribución de dosis en un plano es haciendo uso de películas radiosensibles, ya sean radiográficas o radiocrómicas.</w:t>
      </w:r>
    </w:p>
    <w:p>
      <w:pPr>
        <w:pStyle w:val="BodyText"/>
        <w:spacing w:before="9"/>
        <w:rPr>
          <w:sz w:val="32"/>
        </w:rPr>
      </w:pPr>
    </w:p>
    <w:p>
      <w:pPr>
        <w:pStyle w:val="Heading6"/>
        <w:numPr>
          <w:ilvl w:val="2"/>
          <w:numId w:val="2"/>
        </w:numPr>
        <w:tabs>
          <w:tab w:pos="1517" w:val="left" w:leader="none"/>
        </w:tabs>
        <w:spacing w:line="240" w:lineRule="auto" w:before="0" w:after="0"/>
        <w:ind w:left="1517" w:right="0" w:hanging="696"/>
        <w:jc w:val="left"/>
      </w:pPr>
      <w:bookmarkStart w:name="_bookmark14" w:id="24"/>
      <w:bookmarkEnd w:id="24"/>
      <w:r>
        <w:rPr>
          <w:b w:val="0"/>
        </w:rPr>
      </w:r>
      <w:bookmarkStart w:name="_bookmark14" w:id="25"/>
      <w:bookmarkEnd w:id="25"/>
      <w:r>
        <w:rPr/>
        <w:t>Dos</w:t>
      </w:r>
      <w:r>
        <w:rPr/>
        <w:t>imetría con</w:t>
      </w:r>
      <w:r>
        <w:rPr>
          <w:spacing w:val="-13"/>
        </w:rPr>
        <w:t> </w:t>
      </w:r>
      <w:r>
        <w:rPr/>
        <w:t>película</w:t>
      </w:r>
    </w:p>
    <w:p>
      <w:pPr>
        <w:pStyle w:val="BodyText"/>
        <w:rPr>
          <w:b/>
        </w:rPr>
      </w:pPr>
    </w:p>
    <w:p>
      <w:pPr>
        <w:pStyle w:val="BodyText"/>
        <w:spacing w:before="2"/>
        <w:rPr>
          <w:b/>
        </w:rPr>
      </w:pPr>
    </w:p>
    <w:p>
      <w:pPr>
        <w:pStyle w:val="BodyText"/>
        <w:spacing w:line="360" w:lineRule="auto"/>
        <w:ind w:left="100" w:right="114"/>
        <w:jc w:val="both"/>
      </w:pPr>
      <w:r>
        <w:rPr/>
        <w:t>La dosimetría con película puede realizarse con películas radiográficas, o bien, con películas radiocrómicas. Estos dosímetros son especialmente utilizados en los tratamientos de radioterapia para determinar la distribución de fluencia de dosis en dos dimensiones, con objeto de caracterización de esta dosis, o bien, de verificación de los tratamientos y desarrollo de protocolos de control de calidad del haz de radiación. (Pai, et al., 2007). En los últimos años, la dosimetría con películas ha cobrado cada vez mayor importancia para la determinación de las distribuciones de dosis en técnicas avanzadas de radioterapia como la Radioterapia de Intensidad Modulada. Por la misma naturaleza de este tipo de radioterapia, que busca concentrar la dosis en el tumor y proteger los tejidos sanos, se forman gradientes de dosis mayores entre el volumen blanco y los órganos de riesgo, por lo que las desviaciones entre la dosis calculada por el sistema de planeación y la irradiada pueden ser bastante mayores que en los sistemas de radioterapia RTC-3D. Por tanto, es indispensable que los tratamientos calculados por el sistema de planeación utilizado sean verificados antes de ser impartidos al</w:t>
      </w:r>
      <w:r>
        <w:rPr>
          <w:spacing w:val="-27"/>
        </w:rPr>
        <w:t> </w:t>
      </w:r>
      <w:r>
        <w:rPr/>
        <w:t>paciente.</w:t>
      </w:r>
    </w:p>
    <w:p>
      <w:pPr>
        <w:pStyle w:val="BodyText"/>
      </w:pPr>
    </w:p>
    <w:p>
      <w:pPr>
        <w:pStyle w:val="Heading6"/>
        <w:numPr>
          <w:ilvl w:val="2"/>
          <w:numId w:val="2"/>
        </w:numPr>
        <w:tabs>
          <w:tab w:pos="1517" w:val="left" w:leader="none"/>
        </w:tabs>
        <w:spacing w:line="240" w:lineRule="auto" w:before="127" w:after="0"/>
        <w:ind w:left="1517" w:right="0" w:hanging="696"/>
        <w:jc w:val="left"/>
      </w:pPr>
      <w:bookmarkStart w:name="_bookmark15" w:id="26"/>
      <w:bookmarkEnd w:id="26"/>
      <w:r>
        <w:rPr>
          <w:b w:val="0"/>
        </w:rPr>
      </w:r>
      <w:bookmarkStart w:name="_bookmark15" w:id="27"/>
      <w:bookmarkEnd w:id="27"/>
      <w:r>
        <w:rPr/>
        <w:t>P</w:t>
      </w:r>
      <w:r>
        <w:rPr/>
        <w:t>elículas</w:t>
      </w:r>
      <w:r>
        <w:rPr>
          <w:spacing w:val="-13"/>
        </w:rPr>
        <w:t> </w:t>
      </w:r>
      <w:r>
        <w:rPr/>
        <w:t>Radiográficas</w:t>
      </w:r>
    </w:p>
    <w:p>
      <w:pPr>
        <w:pStyle w:val="BodyText"/>
        <w:rPr>
          <w:b/>
        </w:rPr>
      </w:pPr>
    </w:p>
    <w:p>
      <w:pPr>
        <w:pStyle w:val="BodyText"/>
        <w:spacing w:before="9"/>
        <w:rPr>
          <w:b/>
          <w:sz w:val="21"/>
        </w:rPr>
      </w:pPr>
    </w:p>
    <w:p>
      <w:pPr>
        <w:pStyle w:val="BodyText"/>
        <w:spacing w:line="360" w:lineRule="auto"/>
        <w:ind w:left="100" w:right="127"/>
        <w:jc w:val="both"/>
      </w:pPr>
      <w:r>
        <w:rPr/>
        <w:t>Las películas radiográficas basadas en emulsiones de haluros de plata han sido ampliamente utilizadas en tratamientos de radioterapia de haz externo, en el rango de megavoltaje. Estas películas pueden ser usadas en un amplio rango de dosis, desde algunos cGy a varios Gy (Pai, et al., 2007).</w:t>
      </w:r>
    </w:p>
    <w:p>
      <w:pPr>
        <w:pStyle w:val="BodyText"/>
      </w:pPr>
    </w:p>
    <w:p>
      <w:pPr>
        <w:pStyle w:val="BodyText"/>
        <w:spacing w:line="360" w:lineRule="auto" w:before="127"/>
        <w:ind w:left="100" w:right="119"/>
        <w:jc w:val="both"/>
      </w:pPr>
      <w:r>
        <w:rPr/>
        <w:t>Típicamente, una película radiográfica está formada por una base  de poliéster, sobre  la cual se coloca una emulsión sensible a la radiación. Esta emulsión forma una capa de entre</w:t>
      </w:r>
    </w:p>
    <w:p>
      <w:pPr>
        <w:pStyle w:val="BodyText"/>
        <w:spacing w:line="362" w:lineRule="auto"/>
        <w:ind w:left="100" w:right="117"/>
        <w:jc w:val="both"/>
      </w:pPr>
      <w:r>
        <w:rPr/>
        <w:t>10 y 25 </w:t>
      </w:r>
      <w:r>
        <w:rPr>
          <w:rFonts w:ascii="Calibri" w:hAnsi="Calibri"/>
        </w:rPr>
        <w:t>μ</w:t>
      </w:r>
      <w:r>
        <w:rPr/>
        <w:t>m, y contiene finos granos de haluro y bromuro de plata, en proporciones variables, montados en una gelatina. Cada fabricante determina la composición de la emulsión de sus películas, y éstas son secretas. Las propiedades de la esta emulsión están muy relacionadas con el tamaño y la forma de los granos. Dependiendo de la aplicación,  la</w:t>
      </w:r>
    </w:p>
    <w:p>
      <w:pPr>
        <w:spacing w:after="0" w:line="362" w:lineRule="auto"/>
        <w:jc w:val="both"/>
        <w:sectPr>
          <w:pgSz w:w="12240" w:h="15840"/>
          <w:pgMar w:header="0" w:footer="1034" w:top="1360" w:bottom="1220" w:left="1600" w:right="1580"/>
        </w:sectPr>
      </w:pPr>
    </w:p>
    <w:p>
      <w:pPr>
        <w:pStyle w:val="BodyText"/>
        <w:spacing w:line="360" w:lineRule="auto" w:before="55"/>
        <w:ind w:left="100" w:right="116"/>
        <w:jc w:val="both"/>
      </w:pPr>
      <w:r>
        <w:rPr/>
        <w:t>emulsión puede encontrarse montada a ambos lados de la película, o bien en uno solo. La composición de los granos, así como la densidad de la emulsión, determinan la respuesta de la película a la dosis irradiada. Por otro lado, el tamaño de los granos determina la resolución espacial. En una película radiográfica típica se encuentran aproximadamente entre 10</w:t>
      </w:r>
      <w:r>
        <w:rPr>
          <w:position w:val="6"/>
          <w:sz w:val="14"/>
        </w:rPr>
        <w:t>10</w:t>
      </w:r>
      <w:r>
        <w:rPr/>
        <w:t>-10</w:t>
      </w:r>
      <w:r>
        <w:rPr>
          <w:position w:val="6"/>
          <w:sz w:val="14"/>
        </w:rPr>
        <w:t>12 </w:t>
      </w:r>
      <w:r>
        <w:rPr/>
        <w:t>granos/cm</w:t>
      </w:r>
      <w:r>
        <w:rPr>
          <w:position w:val="6"/>
          <w:sz w:val="14"/>
        </w:rPr>
        <w:t>2 </w:t>
      </w:r>
      <w:r>
        <w:rPr/>
        <w:t>(Pai, et al.,</w:t>
      </w:r>
      <w:r>
        <w:rPr>
          <w:spacing w:val="22"/>
        </w:rPr>
        <w:t> </w:t>
      </w:r>
      <w:r>
        <w:rPr/>
        <w:t>2007).</w:t>
      </w:r>
    </w:p>
    <w:p>
      <w:pPr>
        <w:pStyle w:val="BodyText"/>
      </w:pPr>
    </w:p>
    <w:p>
      <w:pPr>
        <w:pStyle w:val="BodyText"/>
        <w:spacing w:line="360" w:lineRule="auto" w:before="127"/>
        <w:ind w:left="100" w:right="115"/>
        <w:jc w:val="both"/>
      </w:pPr>
      <w:r>
        <w:rPr/>
        <w:t>Al ser expuestos a la radiación, los granos en esta emulsión absorben energía de la luz o los rayos x, por lo que tiene lugar un cambio físico para formar lo que se conoce como imagen latente. Su proceso de formación no ha sido explicado por completo, pero algunos procesos indirectos apuntan a la aparición de agregados de átomos de plata al interior de los granos como la causa principal. Sin embargo, para que esta imagen sea visible, es necesario pasar por un proceso de revelado, en la cual la película es procesada en una solución reveladora, que provoca una reacción química de reducción. La reducción de los granos de plata expuestos, provoca que se forme una pequeña masa de plata metálica negra, dejando inalterados al resto de granos sin exponer. Posteriormente, se somete a la película a un proceso de fijado, en el cual se eliminan los granos sin reaccionar (Pizzutiello &amp; Cullinan, 1993). El proceso de revelado puede detenerse al sumergir la película en ácido acético. Posteriormente, la imagen se fija por medio de la aplicación de varios químicos, como el sulfato de sodio. Finalmente la película se lava con agua y se deja secar. La respuesta dependerá del tiempo de revelado, así como de la temperatura y demás características del mismo proceso (Yeo &amp; Kim, 2004). Las películas radiográficas, por otra parte, presentan una marcada dependencia de la energía para bajas energías de fotones, sus propiedades de absorción y transferencia de energía no corresponden a los del tejido biológico, y son sensibles a la luz, por lo que su manejo requiere de cuidados especiales.</w:t>
      </w:r>
    </w:p>
    <w:p>
      <w:pPr>
        <w:pStyle w:val="BodyText"/>
      </w:pPr>
    </w:p>
    <w:p>
      <w:pPr>
        <w:pStyle w:val="BodyText"/>
        <w:spacing w:line="360" w:lineRule="auto" w:before="127"/>
        <w:ind w:left="100" w:right="117"/>
        <w:jc w:val="both"/>
      </w:pPr>
      <w:r>
        <w:rPr/>
        <w:t>No obstante estas desventajas, las películas radiográficas han sido extensamente utilizadas en la dosimetría de radioterapia de haz externo, interviniendo en el control de calidad y la verificación de tratamientos, especialmente en radiocirugía estereotáctica (SRS) e IMRT, y en la adquisición de datos de haces de fotones y electrones para el comisionamiento de equipos de radioterapia (Pai, et al., 2007). Esto debido principalmente a su alta resolución espacial, bajo costo, tiempo de lectura rápido, y porque permiten determinar  la distribución de la dosis en dos dimensiones de una manera más precisa que con los arreglos de cámaras de ionización o</w:t>
      </w:r>
      <w:r>
        <w:rPr>
          <w:spacing w:val="-27"/>
        </w:rPr>
        <w:t> </w:t>
      </w:r>
      <w:r>
        <w:rPr/>
        <w:t>diodos.</w:t>
      </w:r>
    </w:p>
    <w:p>
      <w:pPr>
        <w:spacing w:after="0" w:line="360" w:lineRule="auto"/>
        <w:jc w:val="both"/>
        <w:sectPr>
          <w:pgSz w:w="12240" w:h="15840"/>
          <w:pgMar w:header="0" w:footer="1034" w:top="1360" w:bottom="1220" w:left="1600" w:right="1580"/>
        </w:sectPr>
      </w:pPr>
    </w:p>
    <w:p>
      <w:pPr>
        <w:pStyle w:val="BodyText"/>
        <w:spacing w:line="360" w:lineRule="auto" w:before="55"/>
        <w:ind w:left="100" w:right="117"/>
        <w:jc w:val="both"/>
      </w:pPr>
      <w:r>
        <w:rPr/>
        <w:t>El uso de películas radiográficas en la como dosímetro en haces de radiación del rango de MV presenta ciertos retos por la dependencia de la densidad óptica de los siguientes parámetros (Pai, et al., 2007).</w:t>
      </w:r>
    </w:p>
    <w:p>
      <w:pPr>
        <w:pStyle w:val="BodyText"/>
        <w:spacing w:before="9"/>
        <w:rPr>
          <w:sz w:val="32"/>
        </w:rPr>
      </w:pPr>
    </w:p>
    <w:p>
      <w:pPr>
        <w:pStyle w:val="ListParagraph"/>
        <w:numPr>
          <w:ilvl w:val="0"/>
          <w:numId w:val="5"/>
        </w:numPr>
        <w:tabs>
          <w:tab w:pos="348" w:val="left" w:leader="none"/>
        </w:tabs>
        <w:spacing w:line="240" w:lineRule="auto" w:before="0" w:after="0"/>
        <w:ind w:left="100" w:right="0" w:firstLine="0"/>
        <w:jc w:val="both"/>
        <w:rPr>
          <w:sz w:val="22"/>
        </w:rPr>
      </w:pPr>
      <w:r>
        <w:rPr>
          <w:sz w:val="22"/>
        </w:rPr>
        <w:t>Energía del haz, tamaño de campo y profundidad en el</w:t>
      </w:r>
      <w:r>
        <w:rPr>
          <w:spacing w:val="-30"/>
          <w:sz w:val="22"/>
        </w:rPr>
        <w:t> </w:t>
      </w:r>
      <w:r>
        <w:rPr>
          <w:sz w:val="22"/>
        </w:rPr>
        <w:t>maniquí</w:t>
      </w:r>
    </w:p>
    <w:p>
      <w:pPr>
        <w:pStyle w:val="ListParagraph"/>
        <w:numPr>
          <w:ilvl w:val="0"/>
          <w:numId w:val="5"/>
        </w:numPr>
        <w:tabs>
          <w:tab w:pos="413" w:val="left" w:leader="none"/>
        </w:tabs>
        <w:spacing w:line="240" w:lineRule="auto" w:before="126" w:after="0"/>
        <w:ind w:left="412" w:right="0" w:hanging="260"/>
        <w:jc w:val="both"/>
        <w:rPr>
          <w:sz w:val="22"/>
        </w:rPr>
      </w:pPr>
      <w:r>
        <w:rPr>
          <w:sz w:val="22"/>
        </w:rPr>
        <w:t>Orientación</w:t>
      </w:r>
      <w:r>
        <w:rPr>
          <w:spacing w:val="-6"/>
          <w:sz w:val="22"/>
        </w:rPr>
        <w:t> </w:t>
      </w:r>
      <w:r>
        <w:rPr>
          <w:sz w:val="22"/>
        </w:rPr>
        <w:t>de</w:t>
      </w:r>
      <w:r>
        <w:rPr>
          <w:spacing w:val="-2"/>
          <w:sz w:val="22"/>
        </w:rPr>
        <w:t> </w:t>
      </w:r>
      <w:r>
        <w:rPr>
          <w:sz w:val="22"/>
        </w:rPr>
        <w:t>la</w:t>
      </w:r>
      <w:r>
        <w:rPr>
          <w:spacing w:val="-3"/>
          <w:sz w:val="22"/>
        </w:rPr>
        <w:t> </w:t>
      </w:r>
      <w:r>
        <w:rPr>
          <w:sz w:val="22"/>
        </w:rPr>
        <w:t>película</w:t>
      </w:r>
      <w:r>
        <w:rPr>
          <w:spacing w:val="-3"/>
          <w:sz w:val="22"/>
        </w:rPr>
        <w:t> </w:t>
      </w:r>
      <w:r>
        <w:rPr>
          <w:sz w:val="22"/>
        </w:rPr>
        <w:t>con</w:t>
      </w:r>
      <w:r>
        <w:rPr>
          <w:spacing w:val="-6"/>
          <w:sz w:val="22"/>
        </w:rPr>
        <w:t> </w:t>
      </w:r>
      <w:r>
        <w:rPr>
          <w:sz w:val="22"/>
        </w:rPr>
        <w:t>respecto</w:t>
      </w:r>
      <w:r>
        <w:rPr>
          <w:spacing w:val="-6"/>
          <w:sz w:val="22"/>
        </w:rPr>
        <w:t> </w:t>
      </w:r>
      <w:r>
        <w:rPr>
          <w:sz w:val="22"/>
        </w:rPr>
        <w:t>a</w:t>
      </w:r>
      <w:r>
        <w:rPr>
          <w:spacing w:val="-3"/>
          <w:sz w:val="22"/>
        </w:rPr>
        <w:t> </w:t>
      </w:r>
      <w:r>
        <w:rPr>
          <w:sz w:val="22"/>
        </w:rPr>
        <w:t>la</w:t>
      </w:r>
      <w:r>
        <w:rPr>
          <w:spacing w:val="-3"/>
          <w:sz w:val="22"/>
        </w:rPr>
        <w:t> </w:t>
      </w:r>
      <w:r>
        <w:rPr>
          <w:sz w:val="22"/>
        </w:rPr>
        <w:t>dirección</w:t>
      </w:r>
      <w:r>
        <w:rPr>
          <w:spacing w:val="-6"/>
          <w:sz w:val="22"/>
        </w:rPr>
        <w:t> </w:t>
      </w:r>
      <w:r>
        <w:rPr>
          <w:sz w:val="22"/>
        </w:rPr>
        <w:t>de</w:t>
      </w:r>
      <w:r>
        <w:rPr>
          <w:spacing w:val="-2"/>
          <w:sz w:val="22"/>
        </w:rPr>
        <w:t> </w:t>
      </w:r>
      <w:r>
        <w:rPr>
          <w:sz w:val="22"/>
        </w:rPr>
        <w:t>incidencia</w:t>
      </w:r>
      <w:r>
        <w:rPr>
          <w:spacing w:val="-3"/>
          <w:sz w:val="22"/>
        </w:rPr>
        <w:t> </w:t>
      </w:r>
      <w:r>
        <w:rPr>
          <w:sz w:val="22"/>
        </w:rPr>
        <w:t>del</w:t>
      </w:r>
      <w:r>
        <w:rPr>
          <w:spacing w:val="-3"/>
          <w:sz w:val="22"/>
        </w:rPr>
        <w:t> </w:t>
      </w:r>
      <w:r>
        <w:rPr>
          <w:sz w:val="22"/>
        </w:rPr>
        <w:t>haz</w:t>
      </w:r>
    </w:p>
    <w:p>
      <w:pPr>
        <w:pStyle w:val="ListParagraph"/>
        <w:numPr>
          <w:ilvl w:val="0"/>
          <w:numId w:val="5"/>
        </w:numPr>
        <w:tabs>
          <w:tab w:pos="365" w:val="left" w:leader="none"/>
        </w:tabs>
        <w:spacing w:line="357" w:lineRule="auto" w:before="126" w:after="0"/>
        <w:ind w:left="100" w:right="129" w:firstLine="0"/>
        <w:jc w:val="both"/>
        <w:rPr>
          <w:sz w:val="22"/>
        </w:rPr>
      </w:pPr>
      <w:r>
        <w:rPr>
          <w:sz w:val="22"/>
        </w:rPr>
        <w:t>Diferencias en la composición de la emulsión entre películas de diferentes lotes, en el mismo lote, o aún entre diferentes zonas de la misma</w:t>
      </w:r>
      <w:r>
        <w:rPr>
          <w:spacing w:val="-26"/>
          <w:sz w:val="22"/>
        </w:rPr>
        <w:t> </w:t>
      </w:r>
      <w:r>
        <w:rPr>
          <w:sz w:val="22"/>
        </w:rPr>
        <w:t>película</w:t>
      </w:r>
    </w:p>
    <w:p>
      <w:pPr>
        <w:pStyle w:val="ListParagraph"/>
        <w:numPr>
          <w:ilvl w:val="0"/>
          <w:numId w:val="5"/>
        </w:numPr>
        <w:tabs>
          <w:tab w:pos="365" w:val="left" w:leader="none"/>
        </w:tabs>
        <w:spacing w:line="240" w:lineRule="auto" w:before="3" w:after="0"/>
        <w:ind w:left="364" w:right="0" w:hanging="264"/>
        <w:jc w:val="both"/>
        <w:rPr>
          <w:sz w:val="22"/>
        </w:rPr>
      </w:pPr>
      <w:r>
        <w:rPr>
          <w:sz w:val="22"/>
        </w:rPr>
        <w:t>condiciones de</w:t>
      </w:r>
      <w:r>
        <w:rPr>
          <w:spacing w:val="-12"/>
          <w:sz w:val="22"/>
        </w:rPr>
        <w:t> </w:t>
      </w:r>
      <w:r>
        <w:rPr>
          <w:sz w:val="22"/>
        </w:rPr>
        <w:t>procesamiento</w:t>
      </w:r>
    </w:p>
    <w:p>
      <w:pPr>
        <w:pStyle w:val="ListParagraph"/>
        <w:numPr>
          <w:ilvl w:val="0"/>
          <w:numId w:val="5"/>
        </w:numPr>
        <w:tabs>
          <w:tab w:pos="345" w:val="left" w:leader="none"/>
        </w:tabs>
        <w:spacing w:line="240" w:lineRule="auto" w:before="126" w:after="0"/>
        <w:ind w:left="344" w:right="0" w:hanging="244"/>
        <w:jc w:val="both"/>
        <w:rPr>
          <w:sz w:val="22"/>
        </w:rPr>
      </w:pPr>
      <w:r>
        <w:rPr>
          <w:sz w:val="22"/>
        </w:rPr>
        <w:t>condiciones de</w:t>
      </w:r>
      <w:r>
        <w:rPr>
          <w:spacing w:val="-9"/>
          <w:sz w:val="22"/>
        </w:rPr>
        <w:t> </w:t>
      </w:r>
      <w:r>
        <w:rPr>
          <w:sz w:val="22"/>
        </w:rPr>
        <w:t>lectura</w:t>
      </w:r>
    </w:p>
    <w:p>
      <w:pPr>
        <w:pStyle w:val="BodyText"/>
      </w:pPr>
    </w:p>
    <w:p>
      <w:pPr>
        <w:pStyle w:val="BodyText"/>
        <w:spacing w:before="10"/>
        <w:rPr>
          <w:sz w:val="21"/>
        </w:rPr>
      </w:pPr>
    </w:p>
    <w:p>
      <w:pPr>
        <w:pStyle w:val="Heading6"/>
        <w:numPr>
          <w:ilvl w:val="2"/>
          <w:numId w:val="2"/>
        </w:numPr>
        <w:tabs>
          <w:tab w:pos="1517" w:val="left" w:leader="none"/>
        </w:tabs>
        <w:spacing w:line="240" w:lineRule="auto" w:before="0" w:after="0"/>
        <w:ind w:left="1517" w:right="0" w:hanging="696"/>
        <w:jc w:val="left"/>
      </w:pPr>
      <w:bookmarkStart w:name="_bookmark16" w:id="28"/>
      <w:bookmarkEnd w:id="28"/>
      <w:r>
        <w:rPr>
          <w:b w:val="0"/>
        </w:rPr>
      </w:r>
      <w:bookmarkStart w:name="_bookmark16" w:id="29"/>
      <w:bookmarkEnd w:id="29"/>
      <w:r>
        <w:rPr/>
        <w:t>P</w:t>
      </w:r>
      <w:r>
        <w:rPr/>
        <w:t>elículas</w:t>
      </w:r>
      <w:r>
        <w:rPr>
          <w:spacing w:val="-15"/>
        </w:rPr>
        <w:t> </w:t>
      </w:r>
      <w:r>
        <w:rPr/>
        <w:t>Radiocrómicas</w:t>
      </w:r>
    </w:p>
    <w:p>
      <w:pPr>
        <w:pStyle w:val="BodyText"/>
        <w:rPr>
          <w:b/>
        </w:rPr>
      </w:pPr>
    </w:p>
    <w:p>
      <w:pPr>
        <w:pStyle w:val="BodyText"/>
        <w:spacing w:before="2"/>
        <w:rPr>
          <w:b/>
        </w:rPr>
      </w:pPr>
    </w:p>
    <w:p>
      <w:pPr>
        <w:pStyle w:val="BodyText"/>
        <w:spacing w:line="360" w:lineRule="auto"/>
        <w:ind w:left="100" w:right="115"/>
        <w:jc w:val="both"/>
      </w:pPr>
      <w:r>
        <w:rPr/>
        <w:t>Las películas radiocrómicas son medios que cambian de color en función de la radiación a la que son expuestas. Cuando su componente activo, compuesto principalmente de carbono, hidrógeno, oxígeno y nitrógeno, se expone a la radiación ionizante, o bien a la luz ultravioleta, éste sufre un cambio de coloración debido a la absorción de la radiación, cambiando su transmitancia y volviéndose más oscura a la luz visible (Devic, </w:t>
      </w:r>
      <w:r>
        <w:rPr>
          <w:i/>
        </w:rPr>
        <w:t>et al</w:t>
      </w:r>
      <w:r>
        <w:rPr/>
        <w:t>., 2004, Nelms &amp; Simon, 2007). Este es un proceso de polimerización sobre la capa activa de la película, y produce un aumento en la densidad óptica de la misma, con lo cual puede prescindirse del proceso de revelado necesario en las películas radiográficas. No requiere procesos físicos, térmicos o químicos adicionales, y la estabilidad de la densidad de color que toma la película después de ser irradiada sufre muy pocas variaciones en las primeras 24 horas posteriores a la exposición (McLaughlin, et al., 1991).</w:t>
      </w:r>
    </w:p>
    <w:p>
      <w:pPr>
        <w:pStyle w:val="BodyText"/>
      </w:pPr>
    </w:p>
    <w:p>
      <w:pPr>
        <w:pStyle w:val="BodyText"/>
        <w:spacing w:line="360" w:lineRule="auto" w:before="127"/>
        <w:ind w:left="100" w:right="119"/>
        <w:jc w:val="both"/>
      </w:pPr>
      <w:r>
        <w:rPr/>
        <w:t>Las películas radiocrómicas llevan años utilizándose en otras áreas como la industria, principalmente para obtener imágenes y mapas de distribuciones de dosis entre interfaces de diversos materiales. Estas películas tenían una sensibilidad desde algunos Gy hasta cientos, por lo cual no eran apropiadas para su uso en las mediciones de dosis del rango clínico, localizadas alrededor de los 2 Gy. La composición de la capa activa se mantuvo constante en los primeros modelos, hasta la aparición de las películas EBT. Los espectros de absorción de los primeros modelos tenían un máximo en 673 nm, mientras que los más recientes en 636 nm.</w:t>
      </w:r>
    </w:p>
    <w:p>
      <w:pPr>
        <w:spacing w:after="0" w:line="360" w:lineRule="auto"/>
        <w:jc w:val="both"/>
        <w:sectPr>
          <w:pgSz w:w="12240" w:h="15840"/>
          <w:pgMar w:header="0" w:footer="1034" w:top="1360" w:bottom="1220" w:left="1600" w:right="1580"/>
        </w:sectPr>
      </w:pPr>
    </w:p>
    <w:p>
      <w:pPr>
        <w:pStyle w:val="BodyText"/>
        <w:spacing w:line="360" w:lineRule="auto" w:before="55"/>
        <w:ind w:left="100" w:right="113"/>
        <w:jc w:val="both"/>
      </w:pPr>
      <w:r>
        <w:rPr/>
        <w:t>La primera película radiocrómica utilizada para aplicaciones dosimétricas fue el modelo HD 810. (McLaughlin, et al., 1994), a pesar que fue diseñada para aplicaciones  industriales. Sin embargo, requería estar expuesta a dosis del orden de 50 Gy para alcanzar una precisión dentro el 2% de tolerancia. Estaba formada por una capa sensitiva de 7 </w:t>
      </w:r>
      <w:r>
        <w:rPr>
          <w:rFonts w:ascii="Calibri" w:hAnsi="Calibri"/>
        </w:rPr>
        <w:t>μ</w:t>
      </w:r>
      <w:r>
        <w:rPr/>
        <w:t>m  de espesor sobre una base de poliéster de 100 </w:t>
      </w:r>
      <w:r>
        <w:rPr>
          <w:rFonts w:ascii="Calibri" w:hAnsi="Calibri"/>
        </w:rPr>
        <w:t>μ</w:t>
      </w:r>
      <w:r>
        <w:rPr/>
        <w:t>m, una capa conductiva de 0.05 </w:t>
      </w:r>
      <w:r>
        <w:rPr>
          <w:rFonts w:ascii="Calibri" w:hAnsi="Calibri"/>
          <w:spacing w:val="-3"/>
        </w:rPr>
        <w:t>μ</w:t>
      </w:r>
      <w:r>
        <w:rPr>
          <w:spacing w:val="-3"/>
        </w:rPr>
        <w:t>m </w:t>
      </w:r>
      <w:r>
        <w:rPr/>
        <w:t>y una capa adhesiva de 1.5 </w:t>
      </w:r>
      <w:r>
        <w:rPr>
          <w:rFonts w:ascii="Calibri" w:hAnsi="Calibri"/>
        </w:rPr>
        <w:t>μ</w:t>
      </w:r>
      <w:r>
        <w:rPr/>
        <w:t>m. Sus parámetros de respuesta presentaban una insensibilidad a la luz para longitudes de onda por encima de 300 nm, pero con una sensibilidad a la luz ultravioleta a bajas longitudes de onda. La película mostraba gran estabilidad a las variaciones de humedad, y pequeños cambios en el espectro de absorción en respuesta a las variaciones de</w:t>
      </w:r>
      <w:r>
        <w:rPr>
          <w:spacing w:val="-18"/>
        </w:rPr>
        <w:t> </w:t>
      </w:r>
      <w:r>
        <w:rPr/>
        <w:t>temperatura.</w:t>
      </w:r>
    </w:p>
    <w:p>
      <w:pPr>
        <w:pStyle w:val="BodyText"/>
        <w:spacing w:before="9"/>
        <w:rPr>
          <w:sz w:val="32"/>
        </w:rPr>
      </w:pPr>
    </w:p>
    <w:p>
      <w:pPr>
        <w:pStyle w:val="BodyText"/>
        <w:spacing w:line="360" w:lineRule="auto" w:before="1"/>
        <w:ind w:left="100" w:right="116"/>
        <w:jc w:val="both"/>
      </w:pPr>
      <w:r>
        <w:rPr/>
        <w:t>Posteriormente se desarrollaron otros modelos como la MD-55, MD-55-2 y la HS, diferenciándose principalmente en la sensibilidad de cada una, posiblemente asociada al grosor de su capa activa (Arrans, et al., 2009). La película MD-55 estaba formada por una capa sensitiva de 15 </w:t>
      </w:r>
      <w:r>
        <w:rPr>
          <w:rFonts w:ascii="Calibri" w:hAnsi="Calibri"/>
        </w:rPr>
        <w:t>μ</w:t>
      </w:r>
      <w:r>
        <w:rPr/>
        <w:t>m sobre una base de poliéster de67 </w:t>
      </w:r>
      <w:r>
        <w:rPr>
          <w:rFonts w:ascii="Calibri" w:hAnsi="Calibri"/>
        </w:rPr>
        <w:t>μ</w:t>
      </w:r>
      <w:r>
        <w:rPr/>
        <w:t>m. Esta película presenta una dependencia de la energía en su respuesta, variando hasta 40% al ser expuesta a radiación de </w:t>
      </w:r>
      <w:r>
        <w:rPr>
          <w:position w:val="6"/>
          <w:sz w:val="14"/>
        </w:rPr>
        <w:t>60</w:t>
      </w:r>
      <w:r>
        <w:rPr/>
        <w:t>Co e </w:t>
      </w:r>
      <w:r>
        <w:rPr>
          <w:position w:val="6"/>
          <w:sz w:val="14"/>
        </w:rPr>
        <w:t>125</w:t>
      </w:r>
      <w:r>
        <w:rPr/>
        <w:t>I (Chiu-Tsao, et al., 1994). No presentaba dependencia de la tasa de dosis. La estructura de la película MD-55-2 estaba constituida por una doble capa activa de 15 </w:t>
      </w:r>
      <w:r>
        <w:rPr>
          <w:rFonts w:ascii="Calibri" w:hAnsi="Calibri"/>
        </w:rPr>
        <w:t>μ</w:t>
      </w:r>
      <w:r>
        <w:rPr/>
        <w:t>m en cada lado, dos capas adhesivas de 45 </w:t>
      </w:r>
      <w:r>
        <w:rPr>
          <w:rFonts w:ascii="Calibri" w:hAnsi="Calibri"/>
        </w:rPr>
        <w:t>μ</w:t>
      </w:r>
      <w:r>
        <w:rPr/>
        <w:t>m, una base de poliéster en el centro de 25 </w:t>
      </w:r>
      <w:r>
        <w:rPr>
          <w:rFonts w:ascii="Calibri" w:hAnsi="Calibri"/>
        </w:rPr>
        <w:t>μ</w:t>
      </w:r>
      <w:r>
        <w:rPr/>
        <w:t>m y dos capas exteriores de 67 </w:t>
      </w:r>
      <w:r>
        <w:rPr>
          <w:rFonts w:ascii="Calibri" w:hAnsi="Calibri"/>
        </w:rPr>
        <w:t>μ</w:t>
      </w:r>
      <w:r>
        <w:rPr/>
        <w:t>m cada una. Estaba diseñada para realizar mediciones en el rango de 3 a 100 Gy, presentaba sensibilidad a la luz ultravioleta, un pico de absorción en los 676 nm y respuesta dependiente de la energía, con variaciones del 40% para fotones de entre 20-40 keV y radiaciín gamma del </w:t>
      </w:r>
      <w:r>
        <w:rPr>
          <w:position w:val="6"/>
          <w:sz w:val="14"/>
        </w:rPr>
        <w:t>137</w:t>
      </w:r>
      <w:r>
        <w:rPr/>
        <w:t>Cs y </w:t>
      </w:r>
      <w:r>
        <w:rPr>
          <w:position w:val="6"/>
          <w:sz w:val="14"/>
        </w:rPr>
        <w:t>60</w:t>
      </w:r>
      <w:r>
        <w:rPr/>
        <w:t>Co en mediciones de dosis absorbida en agua.</w:t>
      </w:r>
    </w:p>
    <w:p>
      <w:pPr>
        <w:pStyle w:val="BodyText"/>
      </w:pPr>
    </w:p>
    <w:p>
      <w:pPr>
        <w:pStyle w:val="BodyText"/>
        <w:spacing w:line="360" w:lineRule="auto" w:before="127"/>
        <w:ind w:left="100" w:right="116"/>
        <w:jc w:val="both"/>
      </w:pPr>
      <w:r>
        <w:rPr/>
        <w:t>Actualmente, las películas radiocrómicas más ampliamente utilizadas en la dosimetría de haz externo son las películas Gafchromic, con los modelos EBT, EBT2 y EBT3. Estas películas son fabricadas por la casa comercial ISP (International Specialty Products, Wayne, NY), y fueron diseñadas específicamente para aplicaciones dosimétricas.</w:t>
      </w:r>
    </w:p>
    <w:p>
      <w:pPr>
        <w:pStyle w:val="BodyText"/>
        <w:spacing w:before="9"/>
        <w:rPr>
          <w:sz w:val="32"/>
        </w:rPr>
      </w:pPr>
    </w:p>
    <w:p>
      <w:pPr>
        <w:pStyle w:val="Heading6"/>
        <w:numPr>
          <w:ilvl w:val="2"/>
          <w:numId w:val="2"/>
        </w:numPr>
        <w:tabs>
          <w:tab w:pos="1517" w:val="left" w:leader="none"/>
        </w:tabs>
        <w:spacing w:line="240" w:lineRule="auto" w:before="0" w:after="0"/>
        <w:ind w:left="1517" w:right="0" w:hanging="696"/>
        <w:jc w:val="left"/>
      </w:pPr>
      <w:bookmarkStart w:name="_bookmark17" w:id="30"/>
      <w:bookmarkEnd w:id="30"/>
      <w:r>
        <w:rPr>
          <w:b w:val="0"/>
        </w:rPr>
      </w:r>
      <w:bookmarkStart w:name="_bookmark17" w:id="31"/>
      <w:bookmarkEnd w:id="31"/>
      <w:r>
        <w:rPr/>
        <w:t>P</w:t>
      </w:r>
      <w:r>
        <w:rPr/>
        <w:t>elículas radiocrómicas Gafchromic</w:t>
      </w:r>
      <w:r>
        <w:rPr>
          <w:spacing w:val="-15"/>
        </w:rPr>
        <w:t> </w:t>
      </w:r>
      <w:r>
        <w:rPr/>
        <w:t>EBT</w:t>
      </w:r>
    </w:p>
    <w:p>
      <w:pPr>
        <w:pStyle w:val="BodyText"/>
        <w:rPr>
          <w:b/>
        </w:rPr>
      </w:pPr>
    </w:p>
    <w:p>
      <w:pPr>
        <w:pStyle w:val="BodyText"/>
        <w:spacing w:before="2"/>
        <w:rPr>
          <w:b/>
        </w:rPr>
      </w:pPr>
    </w:p>
    <w:p>
      <w:pPr>
        <w:pStyle w:val="BodyText"/>
        <w:spacing w:line="360" w:lineRule="auto"/>
        <w:ind w:left="100" w:right="127"/>
        <w:jc w:val="both"/>
      </w:pPr>
      <w:r>
        <w:rPr/>
        <w:t>Las películas radiocrómicas EBT fueron las primeras utilizadas ampliamente para fines de dosimetría. Las principales características de esta película son: un rango de sensibilidad entre 1cGy y 800 cGy, relativa independencia energética entre energías de keV y MeV, Z</w:t>
      </w:r>
    </w:p>
    <w:p>
      <w:pPr>
        <w:spacing w:after="0" w:line="360" w:lineRule="auto"/>
        <w:jc w:val="both"/>
        <w:sectPr>
          <w:pgSz w:w="12240" w:h="15840"/>
          <w:pgMar w:header="0" w:footer="1034" w:top="1360" w:bottom="1220" w:left="1600" w:right="1580"/>
        </w:sectPr>
      </w:pPr>
    </w:p>
    <w:p>
      <w:pPr>
        <w:pStyle w:val="BodyText"/>
        <w:spacing w:line="360" w:lineRule="auto" w:before="55"/>
        <w:ind w:left="100" w:right="116"/>
        <w:jc w:val="both"/>
      </w:pPr>
      <w:r>
        <w:rPr/>
        <w:t>efectiva (Z</w:t>
      </w:r>
      <w:r>
        <w:rPr>
          <w:position w:val="-1"/>
          <w:sz w:val="14"/>
        </w:rPr>
        <w:t>eff</w:t>
      </w:r>
      <w:r>
        <w:rPr/>
        <w:t>=6.89) similar al agua (Z</w:t>
      </w:r>
      <w:r>
        <w:rPr>
          <w:position w:val="-1"/>
          <w:sz w:val="14"/>
        </w:rPr>
        <w:t>eff</w:t>
      </w:r>
      <w:r>
        <w:rPr/>
        <w:t>=7.3), además que pueden sumergirse en agua durante breves periodos de tiempo y cortarse en pedazos pequeños (Lewis, 2010). Las películas EBT2 sustituyeron a las películas EBT, contando con algunas mejoras que las hacen más adecuadas para aplicaciones dosimétricas. La principal diferencia es que la capa activa y la capa superior han sido cambiadas de polímero natural a sintético, lo que provee una composición química más estable en la fabricación. Aún más importante es la adición de un tinte amarillo en la capa activa del modelo EBT2, lo que le confiere una menor sensibilidad a la luz visible y ultravioleta, con lo cual es más fácil de manejar al no necesitarse de un ambiente oscuro (Slobodan, 2011).</w:t>
      </w:r>
    </w:p>
    <w:p>
      <w:pPr>
        <w:pStyle w:val="BodyText"/>
      </w:pPr>
    </w:p>
    <w:p>
      <w:pPr>
        <w:pStyle w:val="BodyText"/>
        <w:spacing w:line="360" w:lineRule="auto" w:before="127"/>
        <w:ind w:left="100" w:right="116"/>
        <w:jc w:val="both"/>
      </w:pPr>
      <w:r>
        <w:rPr/>
        <w:t>Las películas radiocrómicas EBT2, al igual que las EBT, tienen un Z efectivo similar al  agua. Su capa sensible está formada mayormente por 42.3% de carbono, 39.7% de hidrógeno, y 16.2% de oxígeno. En menores proporciones contiene también Nitrógeno, Litio y Cloro. Presenta una construcción asimétrica, con únicamente una capa activa. Esta mide 30 </w:t>
      </w:r>
      <w:r>
        <w:rPr>
          <w:rFonts w:ascii="Calibri" w:hAnsi="Calibri"/>
        </w:rPr>
        <w:t>μ</w:t>
      </w:r>
      <w:r>
        <w:rPr/>
        <w:t>m de espesor, fabricada sobre un sustrato de poliéster de 170 μm. La capa activa está formada de polímeros sensibles a la radiación y está cubierta por una superficie de poliéster de 5 </w:t>
      </w:r>
      <w:r>
        <w:rPr>
          <w:rFonts w:ascii="Calibri" w:hAnsi="Calibri"/>
        </w:rPr>
        <w:t>μ</w:t>
      </w:r>
      <w:r>
        <w:rPr/>
        <w:t>m y una capa adhesiva de 25 </w:t>
      </w:r>
      <w:r>
        <w:rPr>
          <w:rFonts w:ascii="Calibri" w:hAnsi="Calibri"/>
        </w:rPr>
        <w:t>μ</w:t>
      </w:r>
      <w:r>
        <w:rPr/>
        <w:t>m de espesor. Finalmente, en  la  capa superior se encuentra un sobrelaminado de poliéster de 50 </w:t>
      </w:r>
      <w:r>
        <w:rPr>
          <w:rFonts w:ascii="Calibri" w:hAnsi="Calibri"/>
        </w:rPr>
        <w:t>μ</w:t>
      </w:r>
      <w:r>
        <w:rPr/>
        <w:t>m (International Speciality Products, 2009). Presentan un pico de absorción en 636 nm y uno secundario </w:t>
      </w:r>
      <w:r>
        <w:rPr>
          <w:spacing w:val="3"/>
        </w:rPr>
        <w:t>de </w:t>
      </w:r>
      <w:r>
        <w:rPr/>
        <w:t>585 nm, las cuales corresponden al rojo y al amarillo, respectivamente, según datos del fabricante y validados por estudios externos (Butson, et al.,</w:t>
      </w:r>
      <w:r>
        <w:rPr>
          <w:spacing w:val="-14"/>
        </w:rPr>
        <w:t> </w:t>
      </w:r>
      <w:r>
        <w:rPr/>
        <w:t>2009).</w:t>
      </w:r>
    </w:p>
    <w:p>
      <w:pPr>
        <w:pStyle w:val="BodyText"/>
        <w:spacing w:before="5"/>
        <w:rPr>
          <w:sz w:val="29"/>
        </w:rPr>
      </w:pPr>
      <w:r>
        <w:rPr/>
        <w:drawing>
          <wp:anchor distT="0" distB="0" distL="0" distR="0" allowOverlap="1" layoutInCell="1" locked="0" behindDoc="0" simplePos="0" relativeHeight="1456">
            <wp:simplePos x="0" y="0"/>
            <wp:positionH relativeFrom="page">
              <wp:posOffset>2133600</wp:posOffset>
            </wp:positionH>
            <wp:positionV relativeFrom="paragraph">
              <wp:posOffset>237732</wp:posOffset>
            </wp:positionV>
            <wp:extent cx="3495675" cy="2181225"/>
            <wp:effectExtent l="0" t="0" r="0" b="0"/>
            <wp:wrapTopAndBottom/>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18" cstate="print"/>
                    <a:stretch>
                      <a:fillRect/>
                    </a:stretch>
                  </pic:blipFill>
                  <pic:spPr>
                    <a:xfrm>
                      <a:off x="0" y="0"/>
                      <a:ext cx="3495675" cy="2181225"/>
                    </a:xfrm>
                    <a:prstGeom prst="rect">
                      <a:avLst/>
                    </a:prstGeom>
                  </pic:spPr>
                </pic:pic>
              </a:graphicData>
            </a:graphic>
          </wp:anchor>
        </w:drawing>
      </w:r>
    </w:p>
    <w:p>
      <w:pPr>
        <w:spacing w:before="106"/>
        <w:ind w:left="1445" w:right="155" w:firstLine="0"/>
        <w:jc w:val="left"/>
        <w:rPr>
          <w:sz w:val="20"/>
        </w:rPr>
      </w:pPr>
      <w:bookmarkStart w:name="_bookmark18" w:id="32"/>
      <w:bookmarkEnd w:id="32"/>
      <w:r>
        <w:rPr/>
      </w:r>
      <w:r>
        <w:rPr>
          <w:sz w:val="20"/>
        </w:rPr>
        <w:t>Figura 4. Configuración de la película radiocrómica Gafchromic EBT2</w:t>
      </w:r>
    </w:p>
    <w:p>
      <w:pPr>
        <w:spacing w:after="0"/>
        <w:jc w:val="left"/>
        <w:rPr>
          <w:sz w:val="20"/>
        </w:rPr>
        <w:sectPr>
          <w:pgSz w:w="12240" w:h="15840"/>
          <w:pgMar w:header="0" w:footer="1034" w:top="1360" w:bottom="1220" w:left="1600" w:right="1580"/>
        </w:sectPr>
      </w:pPr>
    </w:p>
    <w:p>
      <w:pPr>
        <w:pStyle w:val="BodyText"/>
        <w:spacing w:line="360" w:lineRule="auto" w:before="55"/>
        <w:ind w:left="100" w:right="116"/>
        <w:jc w:val="both"/>
      </w:pPr>
      <w:r>
        <w:rPr/>
        <w:t>La película EBT2 presenta una baja dependencia a la energía tanto para fotones como para electrones (Butson, et al., 2010), (Arjomandy, et al., 2010). Se ha evaluado su respuesta en un amplio rango de energías, desde 50 KeV a 10 MeV, encontrándose una pequeña dependencia de energía con variaciones en el cambio en la densidad óptica cuando se escanea en el canal rojo, por unidad de dosis, de 6.5%. Esto representa una mejora en comparación del modelo EBT, el cual presenta una dependencia de 7.7% (Butson, et al., 2010).</w:t>
      </w:r>
    </w:p>
    <w:p>
      <w:pPr>
        <w:pStyle w:val="BodyText"/>
        <w:spacing w:before="9"/>
        <w:rPr>
          <w:sz w:val="32"/>
        </w:rPr>
      </w:pPr>
    </w:p>
    <w:p>
      <w:pPr>
        <w:pStyle w:val="Heading6"/>
        <w:numPr>
          <w:ilvl w:val="2"/>
          <w:numId w:val="2"/>
        </w:numPr>
        <w:tabs>
          <w:tab w:pos="1517" w:val="left" w:leader="none"/>
        </w:tabs>
        <w:spacing w:line="240" w:lineRule="auto" w:before="0" w:after="0"/>
        <w:ind w:left="1517" w:right="0" w:hanging="696"/>
        <w:jc w:val="left"/>
      </w:pPr>
      <w:bookmarkStart w:name="_bookmark19" w:id="33"/>
      <w:bookmarkEnd w:id="33"/>
      <w:r>
        <w:rPr>
          <w:b w:val="0"/>
        </w:rPr>
      </w:r>
      <w:bookmarkStart w:name="_bookmark19" w:id="34"/>
      <w:bookmarkEnd w:id="34"/>
      <w:r>
        <w:rPr/>
        <w:t>P</w:t>
      </w:r>
      <w:r>
        <w:rPr/>
        <w:t>elículas radiocrómicas</w:t>
      </w:r>
      <w:r>
        <w:rPr>
          <w:spacing w:val="-12"/>
        </w:rPr>
        <w:t> </w:t>
      </w:r>
      <w:r>
        <w:rPr/>
        <w:t>EBT3</w:t>
      </w:r>
    </w:p>
    <w:p>
      <w:pPr>
        <w:pStyle w:val="BodyText"/>
        <w:rPr>
          <w:b/>
        </w:rPr>
      </w:pPr>
    </w:p>
    <w:p>
      <w:pPr>
        <w:pStyle w:val="BodyText"/>
        <w:spacing w:line="360" w:lineRule="auto" w:before="164"/>
        <w:ind w:left="100" w:right="116"/>
        <w:jc w:val="both"/>
      </w:pPr>
      <w:r>
        <w:rPr/>
        <w:t>Las películas radiocrómicas EBT3 se encuentran disponibles en el mercado desde 2011. Presentan la misma composición de la capa sensible que las EBT2, así </w:t>
      </w:r>
      <w:r>
        <w:rPr>
          <w:spacing w:val="-3"/>
        </w:rPr>
        <w:t>como </w:t>
      </w:r>
      <w:r>
        <w:rPr/>
        <w:t>un rendimiento similar. Las mejoras introducidas consisten básicamente en la estructura simétrica de las películas EBT3, formada por una capa activa entre dos capas idénticas </w:t>
      </w:r>
      <w:r>
        <w:rPr>
          <w:spacing w:val="-3"/>
        </w:rPr>
        <w:t>de </w:t>
      </w:r>
      <w:r>
        <w:rPr/>
        <w:t>poliéster, por lo cual puede sumergirse en agua. La capa activa tiene un grosor de entre 28 y 30 </w:t>
      </w:r>
      <w:r>
        <w:rPr>
          <w:rFonts w:ascii="Calibri" w:hAnsi="Calibri"/>
        </w:rPr>
        <w:t>μ</w:t>
      </w:r>
      <w:r>
        <w:rPr/>
        <w:t>m, y tanto la capa superior como la inferior 125 </w:t>
      </w:r>
      <w:r>
        <w:rPr>
          <w:rFonts w:ascii="Calibri" w:hAnsi="Calibri"/>
        </w:rPr>
        <w:t>μ</w:t>
      </w:r>
      <w:r>
        <w:rPr/>
        <w:t>m. Al igual que las EBT2, presentan un pico de absorción en 636 nm, y el fabricante recomienda su lectura en el canal rojo. Además, presentan una menor sensibilidad a la luz ultravioleta, y su sustrato de poliéster permite evitar la formación de anillos de Newton (ISP,</w:t>
      </w:r>
      <w:r>
        <w:rPr>
          <w:spacing w:val="-20"/>
        </w:rPr>
        <w:t> </w:t>
      </w:r>
      <w:r>
        <w:rPr/>
        <w:t>2011).</w:t>
      </w:r>
    </w:p>
    <w:p>
      <w:pPr>
        <w:pStyle w:val="BodyText"/>
        <w:rPr>
          <w:sz w:val="20"/>
        </w:rPr>
      </w:pPr>
    </w:p>
    <w:p>
      <w:pPr>
        <w:pStyle w:val="BodyText"/>
        <w:spacing w:before="1" w:after="1"/>
        <w:rPr>
          <w:sz w:val="13"/>
        </w:rPr>
      </w:pPr>
    </w:p>
    <w:tbl>
      <w:tblPr>
        <w:tblW w:w="0" w:type="auto"/>
        <w:jc w:val="left"/>
        <w:tblInd w:w="13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346"/>
      </w:tblGrid>
      <w:tr>
        <w:trPr>
          <w:trHeight w:val="576" w:hRule="exact"/>
        </w:trPr>
        <w:tc>
          <w:tcPr>
            <w:tcW w:w="6346" w:type="dxa"/>
            <w:shd w:val="clear" w:color="auto" w:fill="DBE4F0"/>
          </w:tcPr>
          <w:p>
            <w:pPr>
              <w:pStyle w:val="TableParagraph"/>
              <w:spacing w:before="99"/>
              <w:ind w:left="889" w:right="890"/>
              <w:rPr>
                <w:b/>
                <w:sz w:val="20"/>
              </w:rPr>
            </w:pPr>
            <w:r>
              <w:rPr>
                <w:b/>
                <w:sz w:val="20"/>
              </w:rPr>
              <w:t>Base de poliéster de superficie mate, 125 </w:t>
            </w:r>
            <w:r>
              <w:rPr>
                <w:rFonts w:ascii="Calibri" w:hAnsi="Calibri"/>
                <w:b/>
                <w:sz w:val="20"/>
              </w:rPr>
              <w:t>μ</w:t>
            </w:r>
            <w:r>
              <w:rPr>
                <w:b/>
                <w:sz w:val="20"/>
              </w:rPr>
              <w:t>m</w:t>
            </w:r>
          </w:p>
        </w:tc>
      </w:tr>
      <w:tr>
        <w:trPr>
          <w:trHeight w:val="578" w:hRule="exact"/>
        </w:trPr>
        <w:tc>
          <w:tcPr>
            <w:tcW w:w="6346" w:type="dxa"/>
            <w:tcBorders>
              <w:bottom w:val="single" w:sz="5" w:space="0" w:color="000000"/>
            </w:tcBorders>
            <w:shd w:val="clear" w:color="auto" w:fill="8DB3E1"/>
          </w:tcPr>
          <w:p>
            <w:pPr>
              <w:pStyle w:val="TableParagraph"/>
              <w:spacing w:before="100"/>
              <w:ind w:left="887" w:right="890"/>
              <w:rPr>
                <w:b/>
                <w:sz w:val="20"/>
              </w:rPr>
            </w:pPr>
            <w:r>
              <w:rPr>
                <w:b/>
                <w:sz w:val="20"/>
              </w:rPr>
              <w:t>Capa activa, 128-130 </w:t>
            </w:r>
            <w:r>
              <w:rPr>
                <w:rFonts w:ascii="Calibri" w:hAnsi="Calibri"/>
                <w:b/>
                <w:sz w:val="20"/>
              </w:rPr>
              <w:t>μ</w:t>
            </w:r>
            <w:r>
              <w:rPr>
                <w:b/>
                <w:sz w:val="20"/>
              </w:rPr>
              <w:t>m</w:t>
            </w:r>
          </w:p>
        </w:tc>
      </w:tr>
      <w:tr>
        <w:trPr>
          <w:trHeight w:val="572" w:hRule="exact"/>
        </w:trPr>
        <w:tc>
          <w:tcPr>
            <w:tcW w:w="6346" w:type="dxa"/>
            <w:shd w:val="clear" w:color="auto" w:fill="DBE4F0"/>
          </w:tcPr>
          <w:p>
            <w:pPr>
              <w:pStyle w:val="TableParagraph"/>
              <w:spacing w:before="97"/>
              <w:ind w:left="889" w:right="890"/>
              <w:rPr>
                <w:b/>
                <w:sz w:val="20"/>
              </w:rPr>
            </w:pPr>
            <w:r>
              <w:rPr>
                <w:b/>
                <w:sz w:val="20"/>
              </w:rPr>
              <w:t>Base de poliéster de superficie mate, 125 </w:t>
            </w:r>
            <w:r>
              <w:rPr>
                <w:rFonts w:ascii="Calibri" w:hAnsi="Calibri"/>
                <w:b/>
                <w:sz w:val="20"/>
              </w:rPr>
              <w:t>μ</w:t>
            </w:r>
            <w:r>
              <w:rPr>
                <w:b/>
                <w:sz w:val="20"/>
              </w:rPr>
              <w:t>m</w:t>
            </w:r>
          </w:p>
        </w:tc>
      </w:tr>
    </w:tbl>
    <w:p>
      <w:pPr>
        <w:pStyle w:val="BodyText"/>
        <w:spacing w:before="10"/>
        <w:rPr>
          <w:sz w:val="12"/>
        </w:rPr>
      </w:pPr>
    </w:p>
    <w:p>
      <w:pPr>
        <w:spacing w:before="78"/>
        <w:ind w:left="1448" w:right="155" w:firstLine="0"/>
        <w:jc w:val="left"/>
        <w:rPr>
          <w:sz w:val="20"/>
        </w:rPr>
      </w:pPr>
      <w:bookmarkStart w:name="_bookmark20" w:id="35"/>
      <w:bookmarkEnd w:id="35"/>
      <w:r>
        <w:rPr/>
      </w:r>
      <w:r>
        <w:rPr>
          <w:sz w:val="20"/>
        </w:rPr>
        <w:t>Figura 5. Configuración de la película radiocrómica Gafchromic EBT3</w:t>
      </w:r>
    </w:p>
    <w:p>
      <w:pPr>
        <w:pStyle w:val="BodyText"/>
        <w:rPr>
          <w:sz w:val="20"/>
        </w:rPr>
      </w:pPr>
    </w:p>
    <w:p>
      <w:pPr>
        <w:pStyle w:val="BodyText"/>
        <w:spacing w:line="360" w:lineRule="auto" w:before="155"/>
        <w:ind w:left="100" w:right="115"/>
        <w:jc w:val="both"/>
      </w:pPr>
      <w:r>
        <w:rPr/>
        <w:t>El rango de sensibilidad de las películas EBT3 se encuentra entre 1 cGy a 20 cGy, con un rango óptimo entre 2 cGy a 10 cGy. La orientación en la cual se escanea la película, ya sea </w:t>
      </w:r>
      <w:r>
        <w:rPr>
          <w:i/>
        </w:rPr>
        <w:t>lanscape </w:t>
      </w:r>
      <w:r>
        <w:rPr/>
        <w:t>o </w:t>
      </w:r>
      <w:r>
        <w:rPr>
          <w:i/>
        </w:rPr>
        <w:t>portrait, </w:t>
      </w:r>
      <w:r>
        <w:rPr/>
        <w:t>tiene una pequeña influencia en la densidad óptica neta, del orden del 4.5%. Las diferencias encontradas al escanear las películas por ambos lados se encuentran en el rango del 0.7%, representando una mejora sustancial en comparación a las películas EBT2, que mostraban una diferencia de 2% (Desroches, et al., 2010). Los cambios en la densidad óptica después de la irradiación se estiman entre el 2.1 y 4.3 % entre 1 y 24 horas, y de menos del 2.5%       entre 2 y 24 horas, para varios niveles de dosis entre 30 y 400 cGy.</w:t>
      </w:r>
    </w:p>
    <w:p>
      <w:pPr>
        <w:spacing w:after="0" w:line="360" w:lineRule="auto"/>
        <w:jc w:val="both"/>
        <w:sectPr>
          <w:pgSz w:w="12240" w:h="15840"/>
          <w:pgMar w:header="0" w:footer="1034" w:top="1360" w:bottom="1220" w:left="1600" w:right="1580"/>
        </w:sectPr>
      </w:pPr>
    </w:p>
    <w:p>
      <w:pPr>
        <w:pStyle w:val="BodyText"/>
        <w:spacing w:line="360" w:lineRule="auto" w:before="55"/>
        <w:ind w:left="100" w:right="116"/>
        <w:jc w:val="both"/>
      </w:pPr>
      <w:r>
        <w:rPr/>
        <w:t>Por tanto, el tiempo recomendable para llevar a cabo los escaneos de las películas es a partir de 2 horas, garantizando de esta forma la estabilidad de las mediciones. Algunos autores han reportado variaciones del orden del 11% debido a la dependencia energética, para bajas energías de fotones (50 kV) (Massillon, et al., 2012). Sin embargo, otros trabajos han encontrado diferencias menores al 1% al variar la tasa de dosis y la energía de irradiación de 6 a 15 MV, por lo que puede considerarse que la respuesta es prácticamente independiente de la energía para las dosis en el rango clínico (Borca, et al., 2013).</w:t>
      </w:r>
    </w:p>
    <w:p>
      <w:pPr>
        <w:pStyle w:val="BodyText"/>
        <w:spacing w:before="9"/>
        <w:rPr>
          <w:sz w:val="32"/>
        </w:rPr>
      </w:pPr>
    </w:p>
    <w:p>
      <w:pPr>
        <w:pStyle w:val="Heading6"/>
        <w:numPr>
          <w:ilvl w:val="2"/>
          <w:numId w:val="2"/>
        </w:numPr>
        <w:tabs>
          <w:tab w:pos="1517" w:val="left" w:leader="none"/>
        </w:tabs>
        <w:spacing w:line="240" w:lineRule="auto" w:before="0" w:after="0"/>
        <w:ind w:left="1517" w:right="0" w:hanging="696"/>
        <w:jc w:val="left"/>
      </w:pPr>
      <w:bookmarkStart w:name="_bookmark21" w:id="36"/>
      <w:bookmarkEnd w:id="36"/>
      <w:r>
        <w:rPr>
          <w:b w:val="0"/>
        </w:rPr>
      </w:r>
      <w:bookmarkStart w:name="_bookmark21" w:id="37"/>
      <w:bookmarkEnd w:id="37"/>
      <w:r>
        <w:rPr/>
        <w:t>C</w:t>
      </w:r>
      <w:r>
        <w:rPr/>
        <w:t>alibración de películas</w:t>
      </w:r>
      <w:r>
        <w:rPr>
          <w:spacing w:val="-16"/>
        </w:rPr>
        <w:t> </w:t>
      </w:r>
      <w:r>
        <w:rPr/>
        <w:t>radiocrómicas</w:t>
      </w:r>
    </w:p>
    <w:p>
      <w:pPr>
        <w:pStyle w:val="BodyText"/>
        <w:rPr>
          <w:b/>
        </w:rPr>
      </w:pPr>
    </w:p>
    <w:p>
      <w:pPr>
        <w:pStyle w:val="BodyText"/>
        <w:spacing w:before="2"/>
        <w:rPr>
          <w:b/>
        </w:rPr>
      </w:pPr>
    </w:p>
    <w:p>
      <w:pPr>
        <w:pStyle w:val="BodyText"/>
        <w:spacing w:line="360" w:lineRule="auto"/>
        <w:ind w:left="100" w:right="116"/>
        <w:jc w:val="both"/>
      </w:pPr>
      <w:r>
        <w:rPr/>
        <w:t>Como con otros detectores de radiación, la calibración de las películas radiocrómicas debe realizarse mediante comparación con un sistema de dosimetría estandarizado y adecuadamente calibrado, que funciona como “gold standard”. Usualmente este sistema de comparación está formado por el conjunto electrómetro-cámara de ionización. La relación entre la dosis absorbida y la respuesta de la película, en términos del cambio en su densidad óptica, conformará la curva sensitométrica o curva de calibración. Para  establecer la curva de calibración, se irradia la película y se toman puntos en donde se medirá la densidad óptica como función de la dosis. El número de puntos de medición utilizados es de gran importancia para reducir la incertidumbre. Bouchard </w:t>
      </w:r>
      <w:r>
        <w:rPr>
          <w:i/>
        </w:rPr>
        <w:t>et al </w:t>
      </w:r>
      <w:r>
        <w:rPr/>
        <w:t>recomiendan utilizar un mínimo de 12 puntos, encontrando resultados óptimos para 35 puntos, con un intervalo de 0.25 Gy. Así mismo, establecen que la curva de calibración  debe cumplir que: a) pase por el origen, b) sea monótonamente creciente, c) tenga uno o ningún punto de inflexión en la zona de interés, y si éste existe, ha de estar entre 0 y 0,5 veces el valor de densidad neta óptica máxima (Bouchard, et al.,</w:t>
      </w:r>
      <w:r>
        <w:rPr>
          <w:spacing w:val="-23"/>
        </w:rPr>
        <w:t> </w:t>
      </w:r>
      <w:r>
        <w:rPr/>
        <w:t>2009).</w:t>
      </w:r>
    </w:p>
    <w:p>
      <w:pPr>
        <w:pStyle w:val="BodyText"/>
      </w:pPr>
    </w:p>
    <w:p>
      <w:pPr>
        <w:pStyle w:val="BodyText"/>
        <w:spacing w:line="360" w:lineRule="auto" w:before="127"/>
        <w:ind w:left="100" w:right="113"/>
        <w:jc w:val="both"/>
      </w:pPr>
      <w:r>
        <w:rPr/>
        <w:t>Para irradiar la película, se siguen dos procedimientos principales: En una misma película se irradia por zonas, correspondiendo a cada zona un nivel de dosis, o bien se corta la película en pedazos y cada pedazo se irradia de forma individual. Las condiciones de irradiación de las muestras de películas radiocrómicas para su calibración se encuentran publicadas en las recomendaciones de la AAPM-TG55 (Niroomand-Rad, et al., 1998). Sin embargo, el rango de dosis con las cuales se hace la calibración varía entre varios autores, desde rangos amplios (0.5-50 Gy) (Bouchard, et al., 2009) hasta rangos más estrechos de entre 0.1-8 Gy o entre 0 y 3 Gy (Renade, et al., 2008).</w:t>
      </w:r>
    </w:p>
    <w:p>
      <w:pPr>
        <w:spacing w:after="0" w:line="360" w:lineRule="auto"/>
        <w:jc w:val="both"/>
        <w:sectPr>
          <w:pgSz w:w="12240" w:h="15840"/>
          <w:pgMar w:header="0" w:footer="1034" w:top="1360" w:bottom="1220" w:left="1600" w:right="1580"/>
        </w:sectPr>
      </w:pPr>
    </w:p>
    <w:p>
      <w:pPr>
        <w:pStyle w:val="BodyText"/>
        <w:spacing w:line="352" w:lineRule="auto" w:before="60"/>
        <w:ind w:left="100" w:right="56"/>
      </w:pPr>
      <w:r>
        <w:rPr/>
        <w:t>La intensidad de luz </w:t>
      </w:r>
      <w:r>
        <w:rPr>
          <w:rFonts w:ascii="Times New Roman" w:hAnsi="Times New Roman"/>
          <w:i/>
          <w:sz w:val="23"/>
        </w:rPr>
        <w:t>I </w:t>
      </w:r>
      <w:r>
        <w:rPr/>
        <w:t>que pasa a través de la película cuando es digitalizada por el escáner es proporcional a la dosis absorbida. Se puede definir la transmitancia,  </w:t>
      </w:r>
      <w:r>
        <w:rPr>
          <w:rFonts w:ascii="Times New Roman" w:hAnsi="Times New Roman"/>
          <w:i/>
          <w:sz w:val="23"/>
        </w:rPr>
        <w:t>T </w:t>
      </w:r>
      <w:r>
        <w:rPr/>
        <w:t>como la  relación</w:t>
      </w:r>
    </w:p>
    <w:p>
      <w:pPr>
        <w:spacing w:after="0" w:line="352" w:lineRule="auto"/>
        <w:sectPr>
          <w:pgSz w:w="12240" w:h="15840"/>
          <w:pgMar w:header="0" w:footer="1034" w:top="1360" w:bottom="1220" w:left="1600" w:right="1580"/>
        </w:sectPr>
      </w:pPr>
    </w:p>
    <w:p>
      <w:pPr>
        <w:pStyle w:val="BodyText"/>
        <w:spacing w:before="38"/>
        <w:ind w:left="100" w:right="-2"/>
      </w:pPr>
      <w:r>
        <w:rPr/>
        <w:t>entre la intensidad de la película sin</w:t>
      </w:r>
      <w:r>
        <w:rPr>
          <w:spacing w:val="-24"/>
        </w:rPr>
        <w:t> </w:t>
      </w:r>
      <w:r>
        <w:rPr/>
        <w:t>exponer</w:t>
      </w:r>
    </w:p>
    <w:p>
      <w:pPr>
        <w:pStyle w:val="BodyText"/>
        <w:spacing w:before="18"/>
        <w:ind w:left="63"/>
        <w:rPr>
          <w:rFonts w:ascii="Times New Roman" w:hAnsi="Times New Roman"/>
          <w:i/>
          <w:sz w:val="14"/>
        </w:rPr>
      </w:pPr>
      <w:r>
        <w:rPr/>
        <w:br w:type="column"/>
      </w:r>
      <w:r>
        <w:rPr>
          <w:rFonts w:ascii="Times New Roman" w:hAnsi="Times New Roman"/>
          <w:i/>
          <w:sz w:val="24"/>
        </w:rPr>
        <w:t>I </w:t>
      </w:r>
      <w:r>
        <w:rPr>
          <w:rFonts w:ascii="Times New Roman" w:hAnsi="Times New Roman"/>
          <w:position w:val="-5"/>
          <w:sz w:val="14"/>
        </w:rPr>
        <w:t>0 </w:t>
      </w:r>
      <w:r>
        <w:rPr/>
        <w:t>y la intensidad de la película expuesta </w:t>
      </w:r>
      <w:r>
        <w:rPr>
          <w:rFonts w:ascii="Times New Roman" w:hAnsi="Times New Roman"/>
          <w:i/>
          <w:sz w:val="24"/>
        </w:rPr>
        <w:t>I </w:t>
      </w:r>
      <w:r>
        <w:rPr>
          <w:rFonts w:ascii="Times New Roman" w:hAnsi="Times New Roman"/>
          <w:i/>
          <w:position w:val="-5"/>
          <w:sz w:val="14"/>
        </w:rPr>
        <w:t>e</w:t>
      </w:r>
    </w:p>
    <w:p>
      <w:pPr>
        <w:spacing w:after="0"/>
        <w:rPr>
          <w:rFonts w:ascii="Times New Roman" w:hAnsi="Times New Roman"/>
          <w:sz w:val="14"/>
        </w:rPr>
        <w:sectPr>
          <w:type w:val="continuous"/>
          <w:pgSz w:w="12240" w:h="15840"/>
          <w:pgMar w:top="1380" w:bottom="280" w:left="1600" w:right="1580"/>
          <w:cols w:num="2" w:equalWidth="0">
            <w:col w:w="4422" w:space="40"/>
            <w:col w:w="4598"/>
          </w:cols>
        </w:sectPr>
      </w:pPr>
    </w:p>
    <w:p>
      <w:pPr>
        <w:pStyle w:val="BodyText"/>
        <w:spacing w:before="1"/>
        <w:rPr>
          <w:rFonts w:ascii="Times New Roman"/>
          <w:i/>
          <w:sz w:val="9"/>
        </w:rPr>
      </w:pPr>
    </w:p>
    <w:p>
      <w:pPr>
        <w:spacing w:after="0"/>
        <w:rPr>
          <w:rFonts w:ascii="Times New Roman"/>
          <w:sz w:val="9"/>
        </w:rPr>
        <w:sectPr>
          <w:type w:val="continuous"/>
          <w:pgSz w:w="12240" w:h="15840"/>
          <w:pgMar w:top="1380" w:bottom="280" w:left="1600" w:right="1580"/>
        </w:sectPr>
      </w:pPr>
    </w:p>
    <w:p>
      <w:pPr>
        <w:pStyle w:val="BodyText"/>
        <w:rPr>
          <w:rFonts w:ascii="Times New Roman"/>
          <w:i/>
        </w:rPr>
      </w:pPr>
    </w:p>
    <w:p>
      <w:pPr>
        <w:pStyle w:val="BodyText"/>
        <w:rPr>
          <w:rFonts w:ascii="Times New Roman"/>
          <w:i/>
        </w:rPr>
      </w:pPr>
    </w:p>
    <w:p>
      <w:pPr>
        <w:pStyle w:val="BodyText"/>
        <w:spacing w:before="4"/>
        <w:rPr>
          <w:rFonts w:ascii="Times New Roman"/>
          <w:i/>
          <w:sz w:val="32"/>
        </w:rPr>
      </w:pPr>
    </w:p>
    <w:p>
      <w:pPr>
        <w:pStyle w:val="BodyText"/>
        <w:ind w:left="100" w:right="-19"/>
      </w:pPr>
      <w:r>
        <w:rPr/>
        <w:t>La densidad óptica puede hallarse como</w:t>
      </w:r>
    </w:p>
    <w:p>
      <w:pPr>
        <w:spacing w:line="393" w:lineRule="exact" w:before="71"/>
        <w:ind w:left="0" w:right="2" w:firstLine="0"/>
        <w:jc w:val="right"/>
        <w:rPr>
          <w:rFonts w:ascii="Times New Roman" w:hAnsi="Times New Roman"/>
          <w:i/>
          <w:sz w:val="14"/>
        </w:rPr>
      </w:pPr>
      <w:r>
        <w:rPr/>
        <w:br w:type="column"/>
      </w:r>
      <w:r>
        <w:rPr>
          <w:rFonts w:ascii="Times New Roman" w:hAnsi="Times New Roman"/>
          <w:i/>
          <w:sz w:val="24"/>
        </w:rPr>
        <w:t>T </w:t>
      </w:r>
      <w:r>
        <w:rPr>
          <w:rFonts w:ascii="Symbol" w:hAnsi="Symbol"/>
          <w:sz w:val="24"/>
        </w:rPr>
        <w:t></w:t>
      </w:r>
      <w:r>
        <w:rPr>
          <w:rFonts w:ascii="Times New Roman" w:hAnsi="Times New Roman"/>
          <w:sz w:val="24"/>
        </w:rPr>
        <w:t> </w:t>
      </w:r>
      <w:r>
        <w:rPr>
          <w:rFonts w:ascii="Times New Roman" w:hAnsi="Times New Roman"/>
          <w:i/>
          <w:position w:val="16"/>
          <w:sz w:val="24"/>
        </w:rPr>
        <w:t>I </w:t>
      </w:r>
      <w:r>
        <w:rPr>
          <w:rFonts w:ascii="Times New Roman" w:hAnsi="Times New Roman"/>
          <w:i/>
          <w:position w:val="10"/>
          <w:sz w:val="14"/>
        </w:rPr>
        <w:t>e</w:t>
      </w:r>
    </w:p>
    <w:p>
      <w:pPr>
        <w:spacing w:line="270" w:lineRule="exact" w:before="0"/>
        <w:ind w:left="0" w:right="0" w:firstLine="0"/>
        <w:jc w:val="right"/>
        <w:rPr>
          <w:rFonts w:ascii="Times New Roman"/>
          <w:sz w:val="14"/>
        </w:rPr>
      </w:pPr>
      <w:r>
        <w:rPr/>
        <w:pict>
          <v:line style="position:absolute;mso-position-horizontal-relative:page;mso-position-vertical-relative:paragraph;z-index:-105568" from="308.763214pt,-2.954694pt" to="320.644838pt,-2.954694pt" stroked="true" strokeweight=".136985pt" strokecolor="#000000">
            <w10:wrap type="none"/>
          </v:line>
        </w:pict>
      </w:r>
      <w:r>
        <w:rPr>
          <w:rFonts w:ascii="Times New Roman"/>
          <w:i/>
          <w:sz w:val="24"/>
        </w:rPr>
        <w:t>I </w:t>
      </w:r>
      <w:r>
        <w:rPr>
          <w:rFonts w:ascii="Times New Roman"/>
          <w:position w:val="-5"/>
          <w:sz w:val="14"/>
        </w:rPr>
        <w:t>0</w:t>
      </w:r>
    </w:p>
    <w:p>
      <w:pPr>
        <w:pStyle w:val="BodyText"/>
        <w:rPr>
          <w:rFonts w:ascii="Times New Roman"/>
        </w:rPr>
      </w:pPr>
      <w:r>
        <w:rPr/>
        <w:br w:type="column"/>
      </w:r>
      <w:r>
        <w:rPr>
          <w:rFonts w:ascii="Times New Roman"/>
        </w:rPr>
      </w:r>
    </w:p>
    <w:p>
      <w:pPr>
        <w:pStyle w:val="BodyText"/>
        <w:ind w:left="100"/>
      </w:pPr>
      <w:r>
        <w:rPr/>
        <w:t>(1)</w:t>
      </w:r>
    </w:p>
    <w:p>
      <w:pPr>
        <w:spacing w:after="0"/>
        <w:sectPr>
          <w:type w:val="continuous"/>
          <w:pgSz w:w="12240" w:h="15840"/>
          <w:pgMar w:top="1380" w:bottom="280" w:left="1600" w:right="1580"/>
          <w:cols w:num="3" w:equalWidth="0">
            <w:col w:w="3981" w:space="62"/>
            <w:col w:w="719" w:space="3813"/>
            <w:col w:w="485"/>
          </w:cols>
        </w:sectPr>
      </w:pPr>
    </w:p>
    <w:p>
      <w:pPr>
        <w:pStyle w:val="BodyText"/>
        <w:rPr>
          <w:sz w:val="20"/>
        </w:rPr>
      </w:pPr>
    </w:p>
    <w:p>
      <w:pPr>
        <w:pStyle w:val="BodyText"/>
        <w:spacing w:before="10"/>
        <w:rPr>
          <w:sz w:val="18"/>
        </w:rPr>
      </w:pPr>
    </w:p>
    <w:p>
      <w:pPr>
        <w:spacing w:after="0"/>
        <w:rPr>
          <w:sz w:val="18"/>
        </w:rPr>
        <w:sectPr>
          <w:type w:val="continuous"/>
          <w:pgSz w:w="12240" w:h="15840"/>
          <w:pgMar w:top="1380" w:bottom="280" w:left="1600" w:right="1580"/>
        </w:sectPr>
      </w:pPr>
    </w:p>
    <w:p>
      <w:pPr>
        <w:spacing w:before="96"/>
        <w:ind w:left="0" w:right="0" w:firstLine="0"/>
        <w:jc w:val="right"/>
        <w:rPr>
          <w:rFonts w:ascii="Times New Roman"/>
          <w:i/>
          <w:sz w:val="14"/>
        </w:rPr>
      </w:pPr>
      <w:r>
        <w:rPr>
          <w:rFonts w:ascii="Times New Roman"/>
          <w:i/>
          <w:sz w:val="24"/>
        </w:rPr>
        <w:t>DO</w:t>
      </w:r>
      <w:r>
        <w:rPr>
          <w:rFonts w:ascii="Times New Roman"/>
          <w:i/>
          <w:position w:val="-5"/>
          <w:sz w:val="14"/>
        </w:rPr>
        <w:t>e</w:t>
      </w:r>
    </w:p>
    <w:p>
      <w:pPr>
        <w:spacing w:before="70"/>
        <w:ind w:left="53" w:right="-12" w:firstLine="0"/>
        <w:jc w:val="left"/>
        <w:rPr>
          <w:rFonts w:ascii="Times New Roman" w:hAnsi="Times New Roman"/>
          <w:sz w:val="24"/>
        </w:rPr>
      </w:pPr>
      <w:r>
        <w:rPr/>
        <w:br w:type="column"/>
      </w:r>
      <w:r>
        <w:rPr>
          <w:rFonts w:ascii="Symbol" w:hAnsi="Symbol"/>
          <w:w w:val="105"/>
          <w:sz w:val="24"/>
        </w:rPr>
        <w:t></w:t>
      </w:r>
      <w:r>
        <w:rPr>
          <w:rFonts w:ascii="Times New Roman" w:hAnsi="Times New Roman"/>
          <w:spacing w:val="-17"/>
          <w:w w:val="105"/>
          <w:sz w:val="24"/>
        </w:rPr>
        <w:t> </w:t>
      </w:r>
      <w:r>
        <w:rPr>
          <w:rFonts w:ascii="Times New Roman" w:hAnsi="Times New Roman"/>
          <w:spacing w:val="-6"/>
          <w:w w:val="105"/>
          <w:sz w:val="24"/>
        </w:rPr>
        <w:t>log(</w:t>
      </w:r>
      <w:r>
        <w:rPr>
          <w:rFonts w:ascii="Times New Roman" w:hAnsi="Times New Roman"/>
          <w:i/>
          <w:spacing w:val="-6"/>
          <w:w w:val="105"/>
          <w:sz w:val="24"/>
        </w:rPr>
        <w:t>T</w:t>
      </w:r>
      <w:r>
        <w:rPr>
          <w:rFonts w:ascii="Times New Roman" w:hAnsi="Times New Roman"/>
          <w:i/>
          <w:spacing w:val="-27"/>
          <w:w w:val="105"/>
          <w:sz w:val="24"/>
        </w:rPr>
        <w:t> </w:t>
      </w:r>
      <w:r>
        <w:rPr>
          <w:rFonts w:ascii="Symbol" w:hAnsi="Symbol"/>
          <w:w w:val="105"/>
          <w:position w:val="11"/>
          <w:sz w:val="14"/>
        </w:rPr>
        <w:t></w:t>
      </w:r>
      <w:r>
        <w:rPr>
          <w:rFonts w:ascii="Times New Roman" w:hAnsi="Times New Roman"/>
          <w:w w:val="105"/>
          <w:position w:val="11"/>
          <w:sz w:val="14"/>
        </w:rPr>
        <w:t>1</w:t>
      </w:r>
      <w:r>
        <w:rPr>
          <w:rFonts w:ascii="Times New Roman" w:hAnsi="Times New Roman"/>
          <w:spacing w:val="-19"/>
          <w:w w:val="105"/>
          <w:position w:val="11"/>
          <w:sz w:val="14"/>
        </w:rPr>
        <w:t> </w:t>
      </w:r>
      <w:r>
        <w:rPr>
          <w:rFonts w:ascii="Times New Roman" w:hAnsi="Times New Roman"/>
          <w:w w:val="105"/>
          <w:sz w:val="24"/>
        </w:rPr>
        <w:t>)</w:t>
      </w:r>
    </w:p>
    <w:p>
      <w:pPr>
        <w:spacing w:before="116"/>
        <w:ind w:left="0" w:right="120" w:firstLine="0"/>
        <w:jc w:val="right"/>
        <w:rPr>
          <w:sz w:val="22"/>
        </w:rPr>
      </w:pPr>
      <w:r>
        <w:rPr/>
        <w:br w:type="column"/>
      </w:r>
      <w:r>
        <w:rPr>
          <w:sz w:val="22"/>
        </w:rPr>
        <w:t>(2)</w:t>
      </w:r>
    </w:p>
    <w:p>
      <w:pPr>
        <w:spacing w:after="0"/>
        <w:jc w:val="right"/>
        <w:rPr>
          <w:sz w:val="22"/>
        </w:rPr>
        <w:sectPr>
          <w:type w:val="continuous"/>
          <w:pgSz w:w="12240" w:h="15840"/>
          <w:pgMar w:top="1380" w:bottom="280" w:left="1600" w:right="1580"/>
          <w:cols w:num="3" w:equalWidth="0">
            <w:col w:w="4293" w:space="40"/>
            <w:col w:w="1054" w:space="40"/>
            <w:col w:w="3633"/>
          </w:cols>
        </w:sectPr>
      </w:pPr>
    </w:p>
    <w:p>
      <w:pPr>
        <w:pStyle w:val="BodyText"/>
        <w:spacing w:before="149"/>
        <w:ind w:left="100" w:right="155"/>
      </w:pPr>
      <w:r>
        <w:rPr/>
        <w:t>La densidad óptica neta es aquella a la que se le ha sustraído la densidad óptica de la</w:t>
      </w:r>
    </w:p>
    <w:p>
      <w:pPr>
        <w:spacing w:after="0"/>
        <w:sectPr>
          <w:type w:val="continuous"/>
          <w:pgSz w:w="12240" w:h="15840"/>
          <w:pgMar w:top="1380" w:bottom="280" w:left="1600" w:right="1580"/>
        </w:sectPr>
      </w:pPr>
    </w:p>
    <w:p>
      <w:pPr>
        <w:pStyle w:val="BodyText"/>
        <w:spacing w:before="162"/>
        <w:ind w:left="100" w:right="-18"/>
      </w:pPr>
      <w:r>
        <w:rPr/>
        <w:t>película sin irradiar</w:t>
      </w:r>
    </w:p>
    <w:p>
      <w:pPr>
        <w:pStyle w:val="BodyText"/>
        <w:spacing w:before="141"/>
        <w:ind w:left="100"/>
      </w:pPr>
      <w:r>
        <w:rPr/>
        <w:br w:type="column"/>
      </w:r>
      <w:r>
        <w:rPr>
          <w:rFonts w:ascii="Times New Roman" w:hAnsi="Times New Roman"/>
          <w:i/>
          <w:sz w:val="24"/>
        </w:rPr>
        <w:t>DO</w:t>
      </w:r>
      <w:r>
        <w:rPr>
          <w:rFonts w:ascii="Times New Roman" w:hAnsi="Times New Roman"/>
          <w:position w:val="-5"/>
          <w:sz w:val="14"/>
        </w:rPr>
        <w:t>0 </w:t>
      </w:r>
      <w:r>
        <w:rPr/>
        <w:t>, y es la más utilizada en los cálculos.</w:t>
      </w:r>
    </w:p>
    <w:p>
      <w:pPr>
        <w:spacing w:line="199" w:lineRule="exact" w:before="188"/>
        <w:ind w:left="3619" w:right="2858" w:firstLine="0"/>
        <w:jc w:val="center"/>
        <w:rPr>
          <w:rFonts w:ascii="Symbol" w:hAnsi="Symbol"/>
          <w:sz w:val="24"/>
        </w:rPr>
      </w:pPr>
      <w:r>
        <w:rPr>
          <w:rFonts w:ascii="Symbol" w:hAnsi="Symbol"/>
          <w:position w:val="1"/>
          <w:sz w:val="24"/>
        </w:rPr>
        <w:t></w:t>
      </w:r>
      <w:r>
        <w:rPr>
          <w:rFonts w:ascii="Times New Roman" w:hAnsi="Times New Roman"/>
          <w:position w:val="1"/>
          <w:sz w:val="24"/>
        </w:rPr>
        <w:t> </w:t>
      </w:r>
      <w:r>
        <w:rPr>
          <w:rFonts w:ascii="Times New Roman" w:hAnsi="Times New Roman"/>
          <w:i/>
          <w:sz w:val="24"/>
        </w:rPr>
        <w:t>I </w:t>
      </w:r>
      <w:r>
        <w:rPr>
          <w:rFonts w:ascii="Times New Roman" w:hAnsi="Times New Roman"/>
          <w:position w:val="-5"/>
          <w:sz w:val="14"/>
        </w:rPr>
        <w:t>0 </w:t>
      </w:r>
      <w:r>
        <w:rPr>
          <w:rFonts w:ascii="Symbol" w:hAnsi="Symbol"/>
          <w:position w:val="1"/>
          <w:sz w:val="24"/>
        </w:rPr>
        <w:t></w:t>
      </w:r>
    </w:p>
    <w:p>
      <w:pPr>
        <w:spacing w:after="0" w:line="199" w:lineRule="exact"/>
        <w:jc w:val="center"/>
        <w:rPr>
          <w:rFonts w:ascii="Symbol" w:hAnsi="Symbol"/>
          <w:sz w:val="24"/>
        </w:rPr>
        <w:sectPr>
          <w:type w:val="continuous"/>
          <w:pgSz w:w="12240" w:h="15840"/>
          <w:pgMar w:top="1380" w:bottom="280" w:left="1600" w:right="1580"/>
          <w:cols w:num="2" w:equalWidth="0">
            <w:col w:w="2005" w:space="47"/>
            <w:col w:w="7008"/>
          </w:cols>
        </w:sectPr>
      </w:pPr>
    </w:p>
    <w:p>
      <w:pPr>
        <w:tabs>
          <w:tab w:pos="2980" w:val="left" w:leader="none"/>
        </w:tabs>
        <w:spacing w:line="295" w:lineRule="exact" w:before="0"/>
        <w:ind w:left="0" w:right="0" w:firstLine="0"/>
        <w:jc w:val="right"/>
        <w:rPr>
          <w:rFonts w:ascii="Symbol" w:hAnsi="Symbol"/>
          <w:sz w:val="24"/>
        </w:rPr>
      </w:pPr>
      <w:r>
        <w:rPr/>
        <w:pict>
          <v:line style="position:absolute;mso-position-horizontal-relative:page;mso-position-vertical-relative:paragraph;z-index:-105544" from="371.316437pt,8.113328pt" to="383.29891pt,8.113328pt" stroked="true" strokeweight=".137219pt" strokecolor="#000000">
            <w10:wrap type="none"/>
          </v:line>
        </w:pict>
      </w:r>
      <w:r>
        <w:rPr/>
        <w:pict>
          <v:shape style="position:absolute;margin-left:372.182281pt;margin-top:10.345963pt;width:4.1pt;height:12.1pt;mso-position-horizontal-relative:page;mso-position-vertical-relative:paragraph;z-index:-105520" type="#_x0000_t202" filled="false" stroked="false">
            <v:textbox inset="0,0,0,0">
              <w:txbxContent>
                <w:p>
                  <w:pPr>
                    <w:spacing w:line="242" w:lineRule="exact" w:before="0"/>
                    <w:ind w:left="0" w:right="0" w:firstLine="0"/>
                    <w:jc w:val="left"/>
                    <w:rPr>
                      <w:rFonts w:ascii="Times New Roman"/>
                      <w:i/>
                      <w:sz w:val="24"/>
                    </w:rPr>
                  </w:pPr>
                  <w:r>
                    <w:rPr>
                      <w:rFonts w:ascii="Times New Roman"/>
                      <w:i/>
                      <w:w w:val="102"/>
                      <w:sz w:val="24"/>
                    </w:rPr>
                    <w:t>I</w:t>
                  </w:r>
                </w:p>
              </w:txbxContent>
            </v:textbox>
            <w10:wrap type="none"/>
          </v:shape>
        </w:pict>
      </w:r>
      <w:r>
        <w:rPr>
          <w:rFonts w:ascii="Times New Roman" w:hAnsi="Times New Roman"/>
          <w:i/>
          <w:spacing w:val="3"/>
          <w:w w:val="102"/>
          <w:sz w:val="24"/>
        </w:rPr>
        <w:t>D</w:t>
      </w:r>
      <w:r>
        <w:rPr>
          <w:rFonts w:ascii="Times New Roman" w:hAnsi="Times New Roman"/>
          <w:i/>
          <w:spacing w:val="-8"/>
          <w:w w:val="102"/>
          <w:sz w:val="24"/>
        </w:rPr>
        <w:t>O</w:t>
      </w:r>
      <w:r>
        <w:rPr>
          <w:rFonts w:ascii="Times New Roman" w:hAnsi="Times New Roman"/>
          <w:i/>
          <w:spacing w:val="8"/>
          <w:w w:val="102"/>
          <w:position w:val="-5"/>
          <w:sz w:val="14"/>
        </w:rPr>
        <w:t>n</w:t>
      </w:r>
      <w:r>
        <w:rPr>
          <w:rFonts w:ascii="Times New Roman" w:hAnsi="Times New Roman"/>
          <w:i/>
          <w:spacing w:val="-4"/>
          <w:w w:val="102"/>
          <w:position w:val="-5"/>
          <w:sz w:val="14"/>
        </w:rPr>
        <w:t>e</w:t>
      </w:r>
      <w:r>
        <w:rPr>
          <w:rFonts w:ascii="Times New Roman" w:hAnsi="Times New Roman"/>
          <w:i/>
          <w:w w:val="102"/>
          <w:position w:val="-5"/>
          <w:sz w:val="14"/>
        </w:rPr>
        <w:t>ta</w:t>
      </w:r>
      <w:r>
        <w:rPr>
          <w:rFonts w:ascii="Times New Roman" w:hAnsi="Times New Roman"/>
          <w:i/>
          <w:position w:val="-5"/>
          <w:sz w:val="14"/>
        </w:rPr>
        <w:t>  </w:t>
      </w:r>
      <w:r>
        <w:rPr>
          <w:rFonts w:ascii="Times New Roman" w:hAnsi="Times New Roman"/>
          <w:i/>
          <w:spacing w:val="-17"/>
          <w:position w:val="-5"/>
          <w:sz w:val="14"/>
        </w:rPr>
        <w:t> </w:t>
      </w:r>
      <w:r>
        <w:rPr>
          <w:rFonts w:ascii="Symbol" w:hAnsi="Symbol"/>
          <w:w w:val="102"/>
          <w:sz w:val="24"/>
        </w:rPr>
        <w:t></w:t>
      </w:r>
      <w:r>
        <w:rPr>
          <w:rFonts w:ascii="Times New Roman" w:hAnsi="Times New Roman"/>
          <w:spacing w:val="8"/>
          <w:sz w:val="24"/>
        </w:rPr>
        <w:t> </w:t>
      </w:r>
      <w:r>
        <w:rPr>
          <w:rFonts w:ascii="Times New Roman" w:hAnsi="Times New Roman"/>
          <w:i/>
          <w:spacing w:val="3"/>
          <w:w w:val="102"/>
          <w:sz w:val="24"/>
        </w:rPr>
        <w:t>D</w:t>
      </w:r>
      <w:r>
        <w:rPr>
          <w:rFonts w:ascii="Times New Roman" w:hAnsi="Times New Roman"/>
          <w:i/>
          <w:spacing w:val="-11"/>
          <w:w w:val="102"/>
          <w:sz w:val="24"/>
        </w:rPr>
        <w:t>O</w:t>
      </w:r>
      <w:r>
        <w:rPr>
          <w:rFonts w:ascii="Times New Roman" w:hAnsi="Times New Roman"/>
          <w:i/>
          <w:w w:val="102"/>
          <w:position w:val="-5"/>
          <w:sz w:val="14"/>
        </w:rPr>
        <w:t>e</w:t>
      </w:r>
      <w:r>
        <w:rPr>
          <w:rFonts w:ascii="Times New Roman" w:hAnsi="Times New Roman"/>
          <w:i/>
          <w:position w:val="-5"/>
          <w:sz w:val="14"/>
        </w:rPr>
        <w:t> </w:t>
      </w:r>
      <w:r>
        <w:rPr>
          <w:rFonts w:ascii="Times New Roman" w:hAnsi="Times New Roman"/>
          <w:i/>
          <w:spacing w:val="9"/>
          <w:position w:val="-5"/>
          <w:sz w:val="14"/>
        </w:rPr>
        <w:t> </w:t>
      </w:r>
      <w:r>
        <w:rPr>
          <w:rFonts w:ascii="Symbol" w:hAnsi="Symbol"/>
          <w:w w:val="102"/>
          <w:sz w:val="24"/>
        </w:rPr>
        <w:t></w:t>
      </w:r>
      <w:r>
        <w:rPr>
          <w:rFonts w:ascii="Times New Roman" w:hAnsi="Times New Roman"/>
          <w:spacing w:val="-7"/>
          <w:sz w:val="24"/>
        </w:rPr>
        <w:t> </w:t>
      </w:r>
      <w:r>
        <w:rPr>
          <w:rFonts w:ascii="Times New Roman" w:hAnsi="Times New Roman"/>
          <w:i/>
          <w:spacing w:val="3"/>
          <w:w w:val="102"/>
          <w:sz w:val="24"/>
        </w:rPr>
        <w:t>D</w:t>
      </w:r>
      <w:r>
        <w:rPr>
          <w:rFonts w:ascii="Times New Roman" w:hAnsi="Times New Roman"/>
          <w:i/>
          <w:spacing w:val="-11"/>
          <w:w w:val="102"/>
          <w:sz w:val="24"/>
        </w:rPr>
        <w:t>O</w:t>
      </w:r>
      <w:r>
        <w:rPr>
          <w:rFonts w:ascii="Times New Roman" w:hAnsi="Times New Roman"/>
          <w:w w:val="102"/>
          <w:position w:val="-5"/>
          <w:sz w:val="14"/>
        </w:rPr>
        <w:t>0</w:t>
      </w:r>
      <w:r>
        <w:rPr>
          <w:rFonts w:ascii="Times New Roman" w:hAnsi="Times New Roman"/>
          <w:position w:val="-5"/>
          <w:sz w:val="14"/>
        </w:rPr>
        <w:t>  </w:t>
      </w:r>
      <w:r>
        <w:rPr>
          <w:rFonts w:ascii="Times New Roman" w:hAnsi="Times New Roman"/>
          <w:spacing w:val="-12"/>
          <w:position w:val="-5"/>
          <w:sz w:val="14"/>
        </w:rPr>
        <w:t> </w:t>
      </w:r>
      <w:r>
        <w:rPr>
          <w:rFonts w:ascii="Symbol" w:hAnsi="Symbol"/>
          <w:w w:val="102"/>
          <w:sz w:val="24"/>
        </w:rPr>
        <w:t></w:t>
      </w:r>
      <w:r>
        <w:rPr>
          <w:rFonts w:ascii="Times New Roman" w:hAnsi="Times New Roman"/>
          <w:spacing w:val="-3"/>
          <w:sz w:val="24"/>
        </w:rPr>
        <w:t> </w:t>
      </w:r>
      <w:r>
        <w:rPr>
          <w:rFonts w:ascii="Times New Roman" w:hAnsi="Times New Roman"/>
          <w:spacing w:val="-8"/>
          <w:w w:val="102"/>
          <w:sz w:val="24"/>
        </w:rPr>
        <w:t>l</w:t>
      </w:r>
      <w:r>
        <w:rPr>
          <w:rFonts w:ascii="Times New Roman" w:hAnsi="Times New Roman"/>
          <w:spacing w:val="-3"/>
          <w:w w:val="102"/>
          <w:sz w:val="24"/>
        </w:rPr>
        <w:t>o</w:t>
      </w:r>
      <w:r>
        <w:rPr>
          <w:rFonts w:ascii="Times New Roman" w:hAnsi="Times New Roman"/>
          <w:spacing w:val="4"/>
          <w:w w:val="102"/>
          <w:sz w:val="24"/>
        </w:rPr>
        <w:t>g</w:t>
      </w:r>
      <w:r>
        <w:rPr>
          <w:rFonts w:ascii="Symbol" w:hAnsi="Symbol"/>
          <w:spacing w:val="-95"/>
          <w:w w:val="102"/>
          <w:position w:val="-9"/>
          <w:sz w:val="24"/>
        </w:rPr>
        <w:t></w:t>
      </w:r>
      <w:r>
        <w:rPr>
          <w:rFonts w:ascii="Symbol" w:hAnsi="Symbol"/>
          <w:w w:val="102"/>
          <w:position w:val="1"/>
          <w:sz w:val="24"/>
        </w:rPr>
        <w:t></w:t>
      </w:r>
      <w:r>
        <w:rPr>
          <w:rFonts w:ascii="Times New Roman" w:hAnsi="Times New Roman"/>
          <w:position w:val="1"/>
          <w:sz w:val="24"/>
        </w:rPr>
        <w:tab/>
      </w:r>
      <w:r>
        <w:rPr>
          <w:rFonts w:ascii="Symbol" w:hAnsi="Symbol"/>
          <w:spacing w:val="-95"/>
          <w:w w:val="102"/>
          <w:position w:val="-9"/>
          <w:sz w:val="24"/>
        </w:rPr>
        <w:t></w:t>
      </w:r>
      <w:r>
        <w:rPr>
          <w:rFonts w:ascii="Symbol" w:hAnsi="Symbol"/>
          <w:w w:val="102"/>
          <w:position w:val="1"/>
          <w:sz w:val="24"/>
        </w:rPr>
        <w:t></w:t>
      </w:r>
    </w:p>
    <w:p>
      <w:pPr>
        <w:spacing w:line="223" w:lineRule="exact" w:before="0"/>
        <w:ind w:left="0" w:right="0" w:firstLine="0"/>
        <w:jc w:val="right"/>
        <w:rPr>
          <w:rFonts w:ascii="Symbol" w:hAnsi="Symbol"/>
          <w:sz w:val="24"/>
        </w:rPr>
      </w:pPr>
      <w:r>
        <w:rPr>
          <w:rFonts w:ascii="Symbol" w:hAnsi="Symbol"/>
          <w:sz w:val="24"/>
        </w:rPr>
        <w:t></w:t>
      </w:r>
      <w:r>
        <w:rPr>
          <w:rFonts w:ascii="Times New Roman" w:hAnsi="Times New Roman"/>
          <w:sz w:val="24"/>
        </w:rPr>
        <w:t>   </w:t>
      </w:r>
      <w:r>
        <w:rPr>
          <w:rFonts w:ascii="Times New Roman" w:hAnsi="Times New Roman"/>
          <w:i/>
          <w:sz w:val="14"/>
        </w:rPr>
        <w:t>e </w:t>
      </w:r>
      <w:r>
        <w:rPr>
          <w:rFonts w:ascii="Symbol" w:hAnsi="Symbol"/>
          <w:sz w:val="24"/>
        </w:rPr>
        <w:t></w:t>
      </w:r>
    </w:p>
    <w:p>
      <w:pPr>
        <w:spacing w:before="12"/>
        <w:ind w:left="0" w:right="124" w:firstLine="0"/>
        <w:jc w:val="right"/>
        <w:rPr>
          <w:sz w:val="22"/>
        </w:rPr>
      </w:pPr>
      <w:r>
        <w:rPr/>
        <w:br w:type="column"/>
      </w:r>
      <w:r>
        <w:rPr>
          <w:sz w:val="22"/>
        </w:rPr>
        <w:t>(3)</w:t>
      </w:r>
    </w:p>
    <w:p>
      <w:pPr>
        <w:spacing w:after="0"/>
        <w:jc w:val="right"/>
        <w:rPr>
          <w:sz w:val="22"/>
        </w:rPr>
        <w:sectPr>
          <w:type w:val="continuous"/>
          <w:pgSz w:w="12240" w:h="15840"/>
          <w:pgMar w:top="1380" w:bottom="280" w:left="1600" w:right="1580"/>
          <w:cols w:num="2" w:equalWidth="0">
            <w:col w:w="6181" w:space="40"/>
            <w:col w:w="2839"/>
          </w:cols>
        </w:sectPr>
      </w:pPr>
    </w:p>
    <w:p>
      <w:pPr>
        <w:pStyle w:val="BodyText"/>
        <w:rPr>
          <w:sz w:val="20"/>
        </w:rPr>
      </w:pPr>
    </w:p>
    <w:p>
      <w:pPr>
        <w:pStyle w:val="BodyText"/>
        <w:spacing w:before="7"/>
        <w:rPr>
          <w:sz w:val="18"/>
        </w:rPr>
      </w:pPr>
    </w:p>
    <w:p>
      <w:pPr>
        <w:pStyle w:val="BodyText"/>
        <w:spacing w:line="360" w:lineRule="auto" w:before="76"/>
        <w:ind w:left="100" w:right="116"/>
        <w:jc w:val="both"/>
      </w:pPr>
      <w:r>
        <w:rPr/>
        <w:t>La densidad óptica obtenida se relaciona entonces con la dosis absorbida. La función de ajuste a los datos experimentales se realiza por medio de polinomios de segundo o tercer grado. Diversos autores proponen varias formas de hacerlo, como por ejemplo en la relación</w:t>
      </w:r>
    </w:p>
    <w:p>
      <w:pPr>
        <w:spacing w:after="0" w:line="360" w:lineRule="auto"/>
        <w:jc w:val="both"/>
        <w:sectPr>
          <w:type w:val="continuous"/>
          <w:pgSz w:w="12240" w:h="15840"/>
          <w:pgMar w:top="1380" w:bottom="280" w:left="1600" w:right="1580"/>
        </w:sectPr>
      </w:pPr>
    </w:p>
    <w:p>
      <w:pPr>
        <w:spacing w:before="42"/>
        <w:ind w:left="0" w:right="0" w:firstLine="0"/>
        <w:jc w:val="right"/>
        <w:rPr>
          <w:rFonts w:ascii="Times New Roman"/>
          <w:i/>
          <w:sz w:val="14"/>
        </w:rPr>
      </w:pPr>
      <w:r>
        <w:rPr>
          <w:rFonts w:ascii="Times New Roman"/>
          <w:i/>
          <w:w w:val="105"/>
          <w:position w:val="6"/>
          <w:sz w:val="24"/>
        </w:rPr>
        <w:t>DO</w:t>
      </w:r>
      <w:r>
        <w:rPr>
          <w:rFonts w:ascii="Times New Roman"/>
          <w:i/>
          <w:w w:val="105"/>
          <w:sz w:val="14"/>
        </w:rPr>
        <w:t>fit</w:t>
      </w:r>
    </w:p>
    <w:p>
      <w:pPr>
        <w:spacing w:before="25"/>
        <w:ind w:left="61" w:right="0" w:firstLine="0"/>
        <w:jc w:val="left"/>
        <w:rPr>
          <w:rFonts w:ascii="Times New Roman" w:hAnsi="Times New Roman"/>
          <w:i/>
          <w:sz w:val="24"/>
        </w:rPr>
      </w:pPr>
      <w:r>
        <w:rPr/>
        <w:br w:type="column"/>
      </w:r>
      <w:r>
        <w:rPr>
          <w:rFonts w:ascii="Symbol" w:hAnsi="Symbol"/>
          <w:w w:val="105"/>
          <w:position w:val="1"/>
          <w:sz w:val="24"/>
        </w:rPr>
        <w:t></w:t>
      </w:r>
      <w:r>
        <w:rPr>
          <w:rFonts w:ascii="Times New Roman" w:hAnsi="Times New Roman"/>
          <w:w w:val="105"/>
          <w:position w:val="1"/>
          <w:sz w:val="24"/>
        </w:rPr>
        <w:t> </w:t>
      </w:r>
      <w:r>
        <w:rPr>
          <w:rFonts w:ascii="Times New Roman" w:hAnsi="Times New Roman"/>
          <w:i/>
          <w:w w:val="105"/>
          <w:position w:val="1"/>
          <w:sz w:val="24"/>
        </w:rPr>
        <w:t>aDO</w:t>
      </w:r>
      <w:r>
        <w:rPr>
          <w:rFonts w:ascii="Times New Roman" w:hAnsi="Times New Roman"/>
          <w:i/>
          <w:w w:val="105"/>
          <w:position w:val="12"/>
          <w:sz w:val="14"/>
        </w:rPr>
        <w:t>n </w:t>
      </w:r>
      <w:r>
        <w:rPr>
          <w:rFonts w:ascii="Times New Roman" w:hAnsi="Times New Roman"/>
          <w:i/>
          <w:w w:val="105"/>
          <w:sz w:val="14"/>
        </w:rPr>
        <w:t>neta  </w:t>
      </w:r>
      <w:r>
        <w:rPr>
          <w:rFonts w:ascii="Symbol" w:hAnsi="Symbol"/>
          <w:w w:val="105"/>
          <w:position w:val="1"/>
          <w:sz w:val="24"/>
        </w:rPr>
        <w:t></w:t>
      </w:r>
      <w:r>
        <w:rPr>
          <w:rFonts w:ascii="Times New Roman" w:hAnsi="Times New Roman"/>
          <w:spacing w:val="-50"/>
          <w:w w:val="105"/>
          <w:position w:val="1"/>
          <w:sz w:val="24"/>
        </w:rPr>
        <w:t> </w:t>
      </w:r>
      <w:r>
        <w:rPr>
          <w:rFonts w:ascii="Times New Roman" w:hAnsi="Times New Roman"/>
          <w:i/>
          <w:w w:val="105"/>
          <w:position w:val="1"/>
          <w:sz w:val="24"/>
        </w:rPr>
        <w:t>bDO</w:t>
      </w:r>
    </w:p>
    <w:p>
      <w:pPr>
        <w:spacing w:before="65"/>
        <w:ind w:left="0" w:right="120" w:firstLine="0"/>
        <w:jc w:val="right"/>
        <w:rPr>
          <w:sz w:val="22"/>
        </w:rPr>
      </w:pPr>
      <w:r>
        <w:rPr/>
        <w:br w:type="column"/>
      </w:r>
      <w:r>
        <w:rPr>
          <w:sz w:val="22"/>
        </w:rPr>
        <w:t>(4)</w:t>
      </w:r>
    </w:p>
    <w:p>
      <w:pPr>
        <w:spacing w:after="0"/>
        <w:jc w:val="right"/>
        <w:rPr>
          <w:sz w:val="22"/>
        </w:rPr>
        <w:sectPr>
          <w:type w:val="continuous"/>
          <w:pgSz w:w="12240" w:h="15840"/>
          <w:pgMar w:top="1380" w:bottom="280" w:left="1600" w:right="1580"/>
          <w:cols w:num="3" w:equalWidth="0">
            <w:col w:w="3785" w:space="40"/>
            <w:col w:w="2080" w:space="40"/>
            <w:col w:w="3115"/>
          </w:cols>
        </w:sectPr>
      </w:pPr>
    </w:p>
    <w:p>
      <w:pPr>
        <w:pStyle w:val="BodyText"/>
        <w:spacing w:line="362" w:lineRule="auto" w:before="172"/>
        <w:ind w:left="100" w:right="155"/>
      </w:pPr>
      <w:r>
        <w:rPr/>
        <w:pict>
          <v:shape style="position:absolute;margin-left:362.461761pt;margin-top:-7.240138pt;width:12.8pt;height:7.1pt;mso-position-horizontal-relative:page;mso-position-vertical-relative:paragraph;z-index:-105496" type="#_x0000_t202" filled="false" stroked="false">
            <v:textbox inset="0,0,0,0">
              <w:txbxContent>
                <w:p>
                  <w:pPr>
                    <w:spacing w:line="141" w:lineRule="exact" w:before="0"/>
                    <w:ind w:left="0" w:right="-18" w:firstLine="0"/>
                    <w:jc w:val="left"/>
                    <w:rPr>
                      <w:rFonts w:ascii="Times New Roman"/>
                      <w:i/>
                      <w:sz w:val="14"/>
                    </w:rPr>
                  </w:pPr>
                  <w:r>
                    <w:rPr>
                      <w:rFonts w:ascii="Times New Roman"/>
                      <w:i/>
                      <w:w w:val="105"/>
                      <w:sz w:val="14"/>
                    </w:rPr>
                    <w:t>neta</w:t>
                  </w:r>
                </w:p>
              </w:txbxContent>
            </v:textbox>
            <w10:wrap type="none"/>
          </v:shape>
        </w:pict>
      </w:r>
      <w:r>
        <w:rPr/>
        <w:t>En donde </w:t>
      </w:r>
      <w:r>
        <w:rPr>
          <w:i/>
        </w:rPr>
        <w:t>a </w:t>
      </w:r>
      <w:r>
        <w:rPr/>
        <w:t>y </w:t>
      </w:r>
      <w:r>
        <w:rPr>
          <w:i/>
        </w:rPr>
        <w:t>b </w:t>
      </w:r>
      <w:r>
        <w:rPr/>
        <w:t>son parámetros de ajuste, y </w:t>
      </w:r>
      <w:r>
        <w:rPr>
          <w:i/>
        </w:rPr>
        <w:t>n </w:t>
      </w:r>
      <w:r>
        <w:rPr/>
        <w:t>el exponente que minimiza la incertidumbre total (Devic, et al., 2004), (Devic, et al., 2005), (Ferreira, et al., 2008).</w:t>
      </w:r>
    </w:p>
    <w:p>
      <w:pPr>
        <w:spacing w:after="0" w:line="362" w:lineRule="auto"/>
        <w:sectPr>
          <w:type w:val="continuous"/>
          <w:pgSz w:w="12240" w:h="15840"/>
          <w:pgMar w:top="1380" w:bottom="280" w:left="1600" w:right="1580"/>
        </w:sectPr>
      </w:pPr>
    </w:p>
    <w:p>
      <w:pPr>
        <w:pStyle w:val="Heading1"/>
        <w:numPr>
          <w:ilvl w:val="0"/>
          <w:numId w:val="2"/>
        </w:numPr>
        <w:tabs>
          <w:tab w:pos="461" w:val="left" w:leader="none"/>
        </w:tabs>
        <w:spacing w:line="240" w:lineRule="auto" w:before="51" w:after="0"/>
        <w:ind w:left="460" w:right="0" w:hanging="360"/>
        <w:jc w:val="both"/>
      </w:pPr>
      <w:bookmarkStart w:name="_bookmark22" w:id="38"/>
      <w:bookmarkEnd w:id="38"/>
      <w:r>
        <w:rPr>
          <w:b w:val="0"/>
        </w:rPr>
      </w:r>
      <w:bookmarkStart w:name="_bookmark22" w:id="39"/>
      <w:bookmarkEnd w:id="39"/>
      <w:r>
        <w:rPr/>
        <w:t>H</w:t>
      </w:r>
      <w:r>
        <w:rPr/>
        <w:t>ipótesis, objetivos generales y</w:t>
      </w:r>
      <w:r>
        <w:rPr>
          <w:spacing w:val="-16"/>
        </w:rPr>
        <w:t> </w:t>
      </w:r>
      <w:r>
        <w:rPr/>
        <w:t>específicos</w:t>
      </w:r>
    </w:p>
    <w:p>
      <w:pPr>
        <w:pStyle w:val="BodyText"/>
        <w:spacing w:before="3"/>
        <w:rPr>
          <w:b/>
          <w:sz w:val="31"/>
        </w:rPr>
      </w:pPr>
    </w:p>
    <w:p>
      <w:pPr>
        <w:pStyle w:val="Heading6"/>
        <w:numPr>
          <w:ilvl w:val="1"/>
          <w:numId w:val="2"/>
        </w:numPr>
        <w:tabs>
          <w:tab w:pos="893" w:val="left" w:leader="none"/>
        </w:tabs>
        <w:spacing w:line="240" w:lineRule="auto" w:before="1" w:after="0"/>
        <w:ind w:left="893" w:right="0" w:hanging="433"/>
        <w:jc w:val="left"/>
      </w:pPr>
      <w:bookmarkStart w:name="_bookmark23" w:id="40"/>
      <w:bookmarkEnd w:id="40"/>
      <w:r>
        <w:rPr>
          <w:b w:val="0"/>
        </w:rPr>
      </w:r>
      <w:bookmarkStart w:name="_bookmark23" w:id="41"/>
      <w:bookmarkEnd w:id="41"/>
      <w:r>
        <w:rPr/>
        <w:t>P</w:t>
      </w:r>
      <w:r>
        <w:rPr/>
        <w:t>lanteamiento del</w:t>
      </w:r>
      <w:r>
        <w:rPr>
          <w:spacing w:val="-12"/>
        </w:rPr>
        <w:t> </w:t>
      </w:r>
      <w:r>
        <w:rPr/>
        <w:t>problema</w:t>
      </w:r>
    </w:p>
    <w:p>
      <w:pPr>
        <w:pStyle w:val="BodyText"/>
        <w:rPr>
          <w:b/>
        </w:rPr>
      </w:pPr>
    </w:p>
    <w:p>
      <w:pPr>
        <w:pStyle w:val="BodyText"/>
        <w:spacing w:before="8"/>
        <w:rPr>
          <w:b/>
          <w:sz w:val="19"/>
        </w:rPr>
      </w:pPr>
    </w:p>
    <w:p>
      <w:pPr>
        <w:pStyle w:val="BodyText"/>
        <w:spacing w:line="360" w:lineRule="auto"/>
        <w:ind w:left="100" w:right="117"/>
        <w:jc w:val="both"/>
      </w:pPr>
      <w:r>
        <w:rPr/>
        <w:t>Por la complejidad de los tratamientos de IMRT, que incluye una gran cantidad de procesos automatizados controlados por computadora, se hace necesaria la verificación de los planes de tratamiento, calculados por los sistemas de planeación, previo a su administración al paciente. Esta verificación se ha llevado a cabo generalmente con cámaras de ionización para medir la dosis absoluta en algún punto de interés, y con películas radiográficas para la medición de la distribución de dosis. Sin embargo, por las ventajas que presentan las películas radiocrómicas, como su alta resolución espacial, baja dependencia de la energía, equivalencia a tejido y a la no necesidad de procesos de revelado, la tendencia actual es sustituir las películas radiográficas por radiocrómicas para la verificación de los tratamientos. En el Hospital General de México esta verificación se hace actualmente con cámara de ionización y películas radiográficas, y se pretende evaluar el uso de películas radiocrómicas Gafchromic EBT3 para medir las distribuciones de dosis en un plano. Para tal fin, se compararán las mediciones hechas con ambos tipos de películas, utilizando el índice gamma como indicador de la semejanza entre las distribuciones</w:t>
      </w:r>
      <w:r>
        <w:rPr>
          <w:spacing w:val="-4"/>
        </w:rPr>
        <w:t> </w:t>
      </w:r>
      <w:r>
        <w:rPr/>
        <w:t>de</w:t>
      </w:r>
      <w:r>
        <w:rPr>
          <w:spacing w:val="-3"/>
        </w:rPr>
        <w:t> </w:t>
      </w:r>
      <w:r>
        <w:rPr/>
        <w:t>fluencia</w:t>
      </w:r>
      <w:r>
        <w:rPr>
          <w:spacing w:val="-4"/>
        </w:rPr>
        <w:t> </w:t>
      </w:r>
      <w:r>
        <w:rPr/>
        <w:t>de</w:t>
      </w:r>
      <w:r>
        <w:rPr>
          <w:spacing w:val="-3"/>
        </w:rPr>
        <w:t> </w:t>
      </w:r>
      <w:r>
        <w:rPr/>
        <w:t>dosis</w:t>
      </w:r>
      <w:r>
        <w:rPr>
          <w:spacing w:val="-4"/>
        </w:rPr>
        <w:t> </w:t>
      </w:r>
      <w:r>
        <w:rPr/>
        <w:t>medidas</w:t>
      </w:r>
      <w:r>
        <w:rPr>
          <w:spacing w:val="-4"/>
        </w:rPr>
        <w:t> </w:t>
      </w:r>
      <w:r>
        <w:rPr/>
        <w:t>y</w:t>
      </w:r>
      <w:r>
        <w:rPr>
          <w:spacing w:val="-5"/>
        </w:rPr>
        <w:t> </w:t>
      </w:r>
      <w:r>
        <w:rPr/>
        <w:t>las</w:t>
      </w:r>
      <w:r>
        <w:rPr>
          <w:spacing w:val="-4"/>
        </w:rPr>
        <w:t> </w:t>
      </w:r>
      <w:r>
        <w:rPr/>
        <w:t>calculadas</w:t>
      </w:r>
      <w:r>
        <w:rPr>
          <w:spacing w:val="-2"/>
        </w:rPr>
        <w:t> </w:t>
      </w:r>
      <w:r>
        <w:rPr/>
        <w:t>por</w:t>
      </w:r>
      <w:r>
        <w:rPr>
          <w:spacing w:val="-3"/>
        </w:rPr>
        <w:t> </w:t>
      </w:r>
      <w:r>
        <w:rPr/>
        <w:t>el</w:t>
      </w:r>
      <w:r>
        <w:rPr>
          <w:spacing w:val="-4"/>
        </w:rPr>
        <w:t> </w:t>
      </w:r>
      <w:r>
        <w:rPr/>
        <w:t>sistema</w:t>
      </w:r>
      <w:r>
        <w:rPr>
          <w:spacing w:val="-4"/>
        </w:rPr>
        <w:t> </w:t>
      </w:r>
      <w:r>
        <w:rPr/>
        <w:t>de</w:t>
      </w:r>
      <w:r>
        <w:rPr>
          <w:spacing w:val="-3"/>
        </w:rPr>
        <w:t> </w:t>
      </w:r>
      <w:r>
        <w:rPr/>
        <w:t>planeación.</w:t>
      </w:r>
    </w:p>
    <w:p>
      <w:pPr>
        <w:pStyle w:val="BodyText"/>
        <w:spacing w:before="10"/>
        <w:rPr>
          <w:sz w:val="21"/>
        </w:rPr>
      </w:pPr>
    </w:p>
    <w:p>
      <w:pPr>
        <w:pStyle w:val="Heading6"/>
        <w:numPr>
          <w:ilvl w:val="1"/>
          <w:numId w:val="2"/>
        </w:numPr>
        <w:tabs>
          <w:tab w:pos="893" w:val="left" w:leader="none"/>
        </w:tabs>
        <w:spacing w:line="240" w:lineRule="auto" w:before="0" w:after="0"/>
        <w:ind w:left="893" w:right="0" w:hanging="433"/>
        <w:jc w:val="left"/>
      </w:pPr>
      <w:bookmarkStart w:name="_bookmark24" w:id="42"/>
      <w:bookmarkEnd w:id="42"/>
      <w:r>
        <w:rPr>
          <w:b w:val="0"/>
        </w:rPr>
      </w:r>
      <w:bookmarkStart w:name="_bookmark24" w:id="43"/>
      <w:bookmarkEnd w:id="43"/>
      <w:r>
        <w:rPr/>
        <w:t>P</w:t>
      </w:r>
      <w:r>
        <w:rPr/>
        <w:t>regunta de</w:t>
      </w:r>
      <w:r>
        <w:rPr>
          <w:spacing w:val="-14"/>
        </w:rPr>
        <w:t> </w:t>
      </w:r>
      <w:r>
        <w:rPr/>
        <w:t>investigación</w:t>
      </w:r>
    </w:p>
    <w:p>
      <w:pPr>
        <w:pStyle w:val="BodyText"/>
        <w:spacing w:before="9"/>
        <w:rPr>
          <w:b/>
          <w:sz w:val="30"/>
        </w:rPr>
      </w:pPr>
    </w:p>
    <w:p>
      <w:pPr>
        <w:pStyle w:val="BodyText"/>
        <w:spacing w:line="360" w:lineRule="auto"/>
        <w:ind w:left="100" w:right="118"/>
      </w:pPr>
      <w:r>
        <w:rPr/>
        <w:t>¿Son las películas radiocrómicas Gafchromic EBT3 una alternativa aceptable a las películas radiográficas kodak EDR2, para la validación del índice gamma en los planes de tratamiento de IMRT en el acelerador Varian 21EX?</w:t>
      </w:r>
    </w:p>
    <w:p>
      <w:pPr>
        <w:pStyle w:val="BodyText"/>
        <w:spacing w:before="10"/>
        <w:rPr>
          <w:sz w:val="21"/>
        </w:rPr>
      </w:pPr>
    </w:p>
    <w:p>
      <w:pPr>
        <w:pStyle w:val="Heading6"/>
        <w:numPr>
          <w:ilvl w:val="1"/>
          <w:numId w:val="2"/>
        </w:numPr>
        <w:tabs>
          <w:tab w:pos="893" w:val="left" w:leader="none"/>
        </w:tabs>
        <w:spacing w:line="240" w:lineRule="auto" w:before="0" w:after="0"/>
        <w:ind w:left="893" w:right="0" w:hanging="433"/>
        <w:jc w:val="left"/>
      </w:pPr>
      <w:bookmarkStart w:name="_bookmark25" w:id="44"/>
      <w:bookmarkEnd w:id="44"/>
      <w:r>
        <w:rPr>
          <w:b w:val="0"/>
        </w:rPr>
      </w:r>
      <w:bookmarkStart w:name="_bookmark25" w:id="45"/>
      <w:bookmarkEnd w:id="45"/>
      <w:r>
        <w:rPr/>
        <w:t>H</w:t>
      </w:r>
      <w:r>
        <w:rPr/>
        <w:t>ipótesis</w:t>
      </w:r>
    </w:p>
    <w:p>
      <w:pPr>
        <w:pStyle w:val="BodyText"/>
        <w:rPr>
          <w:b/>
        </w:rPr>
      </w:pPr>
    </w:p>
    <w:p>
      <w:pPr>
        <w:pStyle w:val="BodyText"/>
        <w:spacing w:line="360" w:lineRule="auto" w:before="128"/>
        <w:ind w:left="100" w:right="123"/>
        <w:jc w:val="both"/>
      </w:pPr>
      <w:r>
        <w:rPr/>
        <w:t>Las películas radiocrómicas EBT3 son una alternativa viable a las películas radiográficas kodak EDR2 para la validación del índice gamma en los planes de tratamiento de IMRT en el acelerador Varian 21EX.</w:t>
      </w:r>
    </w:p>
    <w:p>
      <w:pPr>
        <w:pStyle w:val="BodyText"/>
        <w:spacing w:before="10"/>
        <w:rPr>
          <w:sz w:val="21"/>
        </w:rPr>
      </w:pPr>
    </w:p>
    <w:p>
      <w:pPr>
        <w:pStyle w:val="Heading6"/>
        <w:numPr>
          <w:ilvl w:val="1"/>
          <w:numId w:val="2"/>
        </w:numPr>
        <w:tabs>
          <w:tab w:pos="893" w:val="left" w:leader="none"/>
        </w:tabs>
        <w:spacing w:line="240" w:lineRule="auto" w:before="0" w:after="0"/>
        <w:ind w:left="893" w:right="0" w:hanging="433"/>
        <w:jc w:val="left"/>
      </w:pPr>
      <w:bookmarkStart w:name="_bookmark26" w:id="46"/>
      <w:bookmarkEnd w:id="46"/>
      <w:r>
        <w:rPr>
          <w:b w:val="0"/>
        </w:rPr>
      </w:r>
      <w:bookmarkStart w:name="_bookmark26" w:id="47"/>
      <w:bookmarkEnd w:id="47"/>
      <w:r>
        <w:rPr/>
        <w:t>O</w:t>
      </w:r>
      <w:r>
        <w:rPr/>
        <w:t>bjetivo</w:t>
      </w:r>
      <w:r>
        <w:rPr>
          <w:spacing w:val="-9"/>
        </w:rPr>
        <w:t> </w:t>
      </w:r>
      <w:r>
        <w:rPr/>
        <w:t>general</w:t>
      </w:r>
    </w:p>
    <w:p>
      <w:pPr>
        <w:pStyle w:val="BodyText"/>
        <w:rPr>
          <w:b/>
        </w:rPr>
      </w:pPr>
    </w:p>
    <w:p>
      <w:pPr>
        <w:pStyle w:val="BodyText"/>
        <w:rPr>
          <w:b/>
          <w:sz w:val="20"/>
        </w:rPr>
      </w:pPr>
    </w:p>
    <w:p>
      <w:pPr>
        <w:pStyle w:val="BodyText"/>
        <w:spacing w:line="357" w:lineRule="auto" w:before="1"/>
        <w:ind w:left="100" w:right="130"/>
        <w:jc w:val="both"/>
      </w:pPr>
      <w:r>
        <w:rPr/>
        <w:t>Validar el uso de las películas radiocrómicas Gafchromic EBT3 en un protocolo de control de calidad para tratamientos de IMRT en el Hospital General de México.</w:t>
      </w:r>
    </w:p>
    <w:p>
      <w:pPr>
        <w:spacing w:after="0" w:line="357" w:lineRule="auto"/>
        <w:jc w:val="both"/>
        <w:sectPr>
          <w:pgSz w:w="12240" w:h="15840"/>
          <w:pgMar w:header="0" w:footer="1034" w:top="1360" w:bottom="1220" w:left="1600" w:right="1580"/>
        </w:sectPr>
      </w:pPr>
    </w:p>
    <w:p>
      <w:pPr>
        <w:pStyle w:val="Heading6"/>
        <w:numPr>
          <w:ilvl w:val="1"/>
          <w:numId w:val="2"/>
        </w:numPr>
        <w:tabs>
          <w:tab w:pos="773" w:val="left" w:leader="none"/>
        </w:tabs>
        <w:spacing w:line="240" w:lineRule="auto" w:before="55" w:after="0"/>
        <w:ind w:left="773" w:right="0" w:hanging="433"/>
        <w:jc w:val="left"/>
      </w:pPr>
      <w:bookmarkStart w:name="_bookmark27" w:id="48"/>
      <w:bookmarkEnd w:id="48"/>
      <w:r>
        <w:rPr>
          <w:b w:val="0"/>
        </w:rPr>
      </w:r>
      <w:bookmarkStart w:name="_bookmark27" w:id="49"/>
      <w:bookmarkEnd w:id="49"/>
      <w:r>
        <w:rPr/>
        <w:t>O</w:t>
      </w:r>
      <w:r>
        <w:rPr/>
        <w:t>bjetivos</w:t>
      </w:r>
      <w:r>
        <w:rPr>
          <w:spacing w:val="-12"/>
        </w:rPr>
        <w:t> </w:t>
      </w:r>
      <w:r>
        <w:rPr/>
        <w:t>específicos</w:t>
      </w:r>
    </w:p>
    <w:p>
      <w:pPr>
        <w:pStyle w:val="BodyText"/>
        <w:rPr>
          <w:b/>
        </w:rPr>
      </w:pPr>
    </w:p>
    <w:p>
      <w:pPr>
        <w:pStyle w:val="BodyText"/>
        <w:spacing w:before="8"/>
        <w:rPr>
          <w:b/>
          <w:sz w:val="19"/>
        </w:rPr>
      </w:pPr>
    </w:p>
    <w:p>
      <w:pPr>
        <w:pStyle w:val="ListParagraph"/>
        <w:numPr>
          <w:ilvl w:val="0"/>
          <w:numId w:val="6"/>
        </w:numPr>
        <w:tabs>
          <w:tab w:pos="692" w:val="left" w:leader="none"/>
          <w:tab w:pos="693" w:val="left" w:leader="none"/>
        </w:tabs>
        <w:spacing w:line="240" w:lineRule="auto" w:before="0" w:after="0"/>
        <w:ind w:left="693" w:right="0" w:hanging="357"/>
        <w:jc w:val="left"/>
        <w:rPr>
          <w:sz w:val="22"/>
        </w:rPr>
      </w:pPr>
      <w:r>
        <w:rPr>
          <w:sz w:val="22"/>
        </w:rPr>
        <w:t>Planeación  de tratamientos con</w:t>
      </w:r>
      <w:r>
        <w:rPr>
          <w:spacing w:val="-20"/>
          <w:sz w:val="22"/>
        </w:rPr>
        <w:t> </w:t>
      </w:r>
      <w:r>
        <w:rPr>
          <w:sz w:val="22"/>
        </w:rPr>
        <w:t>IMRT</w:t>
      </w:r>
    </w:p>
    <w:p>
      <w:pPr>
        <w:pStyle w:val="ListParagraph"/>
        <w:numPr>
          <w:ilvl w:val="0"/>
          <w:numId w:val="6"/>
        </w:numPr>
        <w:tabs>
          <w:tab w:pos="692" w:val="left" w:leader="none"/>
          <w:tab w:pos="693" w:val="left" w:leader="none"/>
        </w:tabs>
        <w:spacing w:line="352" w:lineRule="auto" w:before="126" w:after="0"/>
        <w:ind w:left="693" w:right="128" w:hanging="357"/>
        <w:jc w:val="left"/>
        <w:rPr>
          <w:sz w:val="22"/>
        </w:rPr>
      </w:pPr>
      <w:r>
        <w:rPr>
          <w:sz w:val="22"/>
        </w:rPr>
        <w:t>Determinar el proceso más conveniente para calibrar las películas radiocrómicas EBT3</w:t>
      </w:r>
    </w:p>
    <w:p>
      <w:pPr>
        <w:pStyle w:val="ListParagraph"/>
        <w:numPr>
          <w:ilvl w:val="0"/>
          <w:numId w:val="6"/>
        </w:numPr>
        <w:tabs>
          <w:tab w:pos="692" w:val="left" w:leader="none"/>
          <w:tab w:pos="693" w:val="left" w:leader="none"/>
        </w:tabs>
        <w:spacing w:line="352" w:lineRule="auto" w:before="5" w:after="0"/>
        <w:ind w:left="693" w:right="116" w:hanging="357"/>
        <w:jc w:val="left"/>
        <w:rPr>
          <w:sz w:val="22"/>
        </w:rPr>
      </w:pPr>
      <w:r>
        <w:rPr>
          <w:sz w:val="22"/>
        </w:rPr>
        <w:t>Mediciones puntuales de dosis con cámara de ionización y su comparación con el sistema de</w:t>
      </w:r>
      <w:r>
        <w:rPr>
          <w:spacing w:val="-8"/>
          <w:sz w:val="22"/>
        </w:rPr>
        <w:t> </w:t>
      </w:r>
      <w:r>
        <w:rPr>
          <w:sz w:val="22"/>
        </w:rPr>
        <w:t>planeación</w:t>
      </w:r>
    </w:p>
    <w:p>
      <w:pPr>
        <w:pStyle w:val="ListParagraph"/>
        <w:numPr>
          <w:ilvl w:val="0"/>
          <w:numId w:val="6"/>
        </w:numPr>
        <w:tabs>
          <w:tab w:pos="692" w:val="left" w:leader="none"/>
          <w:tab w:pos="693" w:val="left" w:leader="none"/>
        </w:tabs>
        <w:spacing w:line="240" w:lineRule="auto" w:before="9" w:after="0"/>
        <w:ind w:left="693" w:right="0" w:hanging="357"/>
        <w:jc w:val="left"/>
        <w:rPr>
          <w:sz w:val="22"/>
        </w:rPr>
      </w:pPr>
      <w:r>
        <w:rPr>
          <w:sz w:val="22"/>
        </w:rPr>
        <w:t>Validar el uso de películas radiográficas EDR2 en el control de calidad de</w:t>
      </w:r>
      <w:r>
        <w:rPr>
          <w:spacing w:val="-30"/>
          <w:sz w:val="22"/>
        </w:rPr>
        <w:t> </w:t>
      </w:r>
      <w:r>
        <w:rPr>
          <w:sz w:val="22"/>
        </w:rPr>
        <w:t>IMRT</w:t>
      </w:r>
    </w:p>
    <w:p>
      <w:pPr>
        <w:pStyle w:val="ListParagraph"/>
        <w:numPr>
          <w:ilvl w:val="0"/>
          <w:numId w:val="6"/>
        </w:numPr>
        <w:tabs>
          <w:tab w:pos="692" w:val="left" w:leader="none"/>
          <w:tab w:pos="693" w:val="left" w:leader="none"/>
        </w:tabs>
        <w:spacing w:line="352" w:lineRule="auto" w:before="122" w:after="0"/>
        <w:ind w:left="693" w:right="119" w:hanging="357"/>
        <w:jc w:val="left"/>
        <w:rPr>
          <w:sz w:val="22"/>
        </w:rPr>
      </w:pPr>
      <w:r>
        <w:rPr>
          <w:sz w:val="22"/>
        </w:rPr>
        <w:t>Medir la fluencia de dosis impartida en el tratamiento, con películas radiocrómicas y radiográficas, y compararlas con los datos del sistema de</w:t>
      </w:r>
      <w:r>
        <w:rPr>
          <w:spacing w:val="-35"/>
          <w:sz w:val="22"/>
        </w:rPr>
        <w:t> </w:t>
      </w:r>
      <w:r>
        <w:rPr>
          <w:sz w:val="22"/>
        </w:rPr>
        <w:t>planeación</w:t>
      </w:r>
    </w:p>
    <w:p>
      <w:pPr>
        <w:pStyle w:val="ListParagraph"/>
        <w:numPr>
          <w:ilvl w:val="0"/>
          <w:numId w:val="6"/>
        </w:numPr>
        <w:tabs>
          <w:tab w:pos="693" w:val="left" w:leader="none"/>
        </w:tabs>
        <w:spacing w:line="355" w:lineRule="auto" w:before="9" w:after="0"/>
        <w:ind w:left="693" w:right="117" w:hanging="357"/>
        <w:jc w:val="both"/>
        <w:rPr>
          <w:sz w:val="22"/>
        </w:rPr>
      </w:pPr>
      <w:r>
        <w:rPr>
          <w:sz w:val="22"/>
        </w:rPr>
        <w:t>Comparar la distribución de fluencia de dosis medida con las películas radiocrómicas con la dosis medida con películas radiográficas, utilizando el índice gamma como</w:t>
      </w:r>
      <w:r>
        <w:rPr>
          <w:spacing w:val="-8"/>
          <w:sz w:val="22"/>
        </w:rPr>
        <w:t> </w:t>
      </w:r>
      <w:r>
        <w:rPr>
          <w:sz w:val="22"/>
        </w:rPr>
        <w:t>criterio</w:t>
      </w:r>
    </w:p>
    <w:p>
      <w:pPr>
        <w:spacing w:after="0" w:line="355" w:lineRule="auto"/>
        <w:jc w:val="both"/>
        <w:rPr>
          <w:sz w:val="22"/>
        </w:rPr>
        <w:sectPr>
          <w:pgSz w:w="12240" w:h="15840"/>
          <w:pgMar w:header="0" w:footer="1034" w:top="1360" w:bottom="1220" w:left="1720" w:right="1580"/>
        </w:sectPr>
      </w:pPr>
    </w:p>
    <w:p>
      <w:pPr>
        <w:pStyle w:val="Heading1"/>
        <w:numPr>
          <w:ilvl w:val="0"/>
          <w:numId w:val="2"/>
        </w:numPr>
        <w:tabs>
          <w:tab w:pos="461" w:val="left" w:leader="none"/>
        </w:tabs>
        <w:spacing w:line="240" w:lineRule="auto" w:before="15" w:after="0"/>
        <w:ind w:left="460" w:right="0" w:hanging="360"/>
        <w:jc w:val="both"/>
        <w:rPr>
          <w:rFonts w:ascii="Verdana"/>
        </w:rPr>
      </w:pPr>
      <w:bookmarkStart w:name="_bookmark28" w:id="50"/>
      <w:bookmarkEnd w:id="50"/>
      <w:r>
        <w:rPr>
          <w:b w:val="0"/>
        </w:rPr>
      </w:r>
      <w:bookmarkStart w:name="_bookmark28" w:id="51"/>
      <w:bookmarkEnd w:id="51"/>
      <w:r>
        <w:rPr/>
        <w:t>M</w:t>
      </w:r>
      <w:r>
        <w:rPr/>
        <w:t>ateriales y</w:t>
      </w:r>
      <w:r>
        <w:rPr>
          <w:spacing w:val="-7"/>
        </w:rPr>
        <w:t> </w:t>
      </w:r>
      <w:r>
        <w:rPr/>
        <w:t>equipo</w:t>
      </w:r>
    </w:p>
    <w:p>
      <w:pPr>
        <w:pStyle w:val="BodyText"/>
        <w:rPr>
          <w:b/>
          <w:sz w:val="33"/>
        </w:rPr>
      </w:pPr>
    </w:p>
    <w:p>
      <w:pPr>
        <w:pStyle w:val="Heading6"/>
        <w:numPr>
          <w:ilvl w:val="1"/>
          <w:numId w:val="2"/>
        </w:numPr>
        <w:tabs>
          <w:tab w:pos="893" w:val="left" w:leader="none"/>
        </w:tabs>
        <w:spacing w:line="240" w:lineRule="auto" w:before="1" w:after="0"/>
        <w:ind w:left="893" w:right="0" w:hanging="433"/>
        <w:jc w:val="left"/>
      </w:pPr>
      <w:bookmarkStart w:name="_bookmark29" w:id="52"/>
      <w:bookmarkEnd w:id="52"/>
      <w:r>
        <w:rPr>
          <w:b w:val="0"/>
        </w:rPr>
      </w:r>
      <w:bookmarkStart w:name="_bookmark29" w:id="53"/>
      <w:bookmarkEnd w:id="53"/>
      <w:r>
        <w:rPr/>
        <w:t>P</w:t>
      </w:r>
      <w:r>
        <w:rPr/>
        <w:t>elículas radiocrómicas Gafchromic</w:t>
      </w:r>
      <w:r>
        <w:rPr>
          <w:spacing w:val="-14"/>
        </w:rPr>
        <w:t> </w:t>
      </w:r>
      <w:r>
        <w:rPr/>
        <w:t>EBT3</w:t>
      </w:r>
    </w:p>
    <w:p>
      <w:pPr>
        <w:pStyle w:val="BodyText"/>
        <w:rPr>
          <w:b/>
        </w:rPr>
      </w:pPr>
    </w:p>
    <w:p>
      <w:pPr>
        <w:pStyle w:val="BodyText"/>
        <w:spacing w:before="8"/>
        <w:rPr>
          <w:b/>
          <w:sz w:val="19"/>
        </w:rPr>
      </w:pPr>
    </w:p>
    <w:p>
      <w:pPr>
        <w:pStyle w:val="BodyText"/>
        <w:spacing w:line="360" w:lineRule="auto"/>
        <w:ind w:left="100" w:right="117"/>
        <w:jc w:val="both"/>
      </w:pPr>
      <w:r>
        <w:rPr/>
        <w:t>Para la realización de este trabajo se utilizaron las películas radiocrómicas Gafchromic EBT3, fabricadas por la empresa </w:t>
      </w:r>
      <w:r>
        <w:rPr>
          <w:i/>
        </w:rPr>
        <w:t>International Specialty Products </w:t>
      </w:r>
      <w:r>
        <w:rPr/>
        <w:t>(ISP). Estas películas se encuentran marcadas con el número de lote 03171501, y vienen en presentación de una  caja con 25 piezas de 8 x 10 pulgadas (20.3 x 25.4 cm). Sus características principales se encuentran descritas en la sección</w:t>
      </w:r>
      <w:r>
        <w:rPr>
          <w:spacing w:val="-17"/>
        </w:rPr>
        <w:t> </w:t>
      </w:r>
      <w:hyperlink w:history="true" w:anchor="_bookmark19">
        <w:r>
          <w:rPr/>
          <w:t>2.4.5</w:t>
        </w:r>
      </w:hyperlink>
      <w:r>
        <w:rPr/>
        <w:t>.</w:t>
      </w:r>
    </w:p>
    <w:p>
      <w:pPr>
        <w:pStyle w:val="BodyText"/>
        <w:spacing w:before="3"/>
        <w:rPr>
          <w:sz w:val="19"/>
        </w:rPr>
      </w:pPr>
      <w:r>
        <w:rPr/>
        <w:drawing>
          <wp:anchor distT="0" distB="0" distL="0" distR="0" allowOverlap="1" layoutInCell="1" locked="0" behindDoc="0" simplePos="0" relativeHeight="1576">
            <wp:simplePos x="0" y="0"/>
            <wp:positionH relativeFrom="page">
              <wp:posOffset>1649729</wp:posOffset>
            </wp:positionH>
            <wp:positionV relativeFrom="paragraph">
              <wp:posOffset>164199</wp:posOffset>
            </wp:positionV>
            <wp:extent cx="2234710" cy="2057971"/>
            <wp:effectExtent l="0" t="0" r="0" b="0"/>
            <wp:wrapTopAndBottom/>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19" cstate="print"/>
                    <a:stretch>
                      <a:fillRect/>
                    </a:stretch>
                  </pic:blipFill>
                  <pic:spPr>
                    <a:xfrm>
                      <a:off x="0" y="0"/>
                      <a:ext cx="2234710" cy="2057971"/>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3977132</wp:posOffset>
            </wp:positionH>
            <wp:positionV relativeFrom="paragraph">
              <wp:posOffset>650927</wp:posOffset>
            </wp:positionV>
            <wp:extent cx="2095409" cy="864108"/>
            <wp:effectExtent l="0" t="0" r="0" b="0"/>
            <wp:wrapTopAndBottom/>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20" cstate="print"/>
                    <a:stretch>
                      <a:fillRect/>
                    </a:stretch>
                  </pic:blipFill>
                  <pic:spPr>
                    <a:xfrm>
                      <a:off x="0" y="0"/>
                      <a:ext cx="2095409" cy="864108"/>
                    </a:xfrm>
                    <a:prstGeom prst="rect">
                      <a:avLst/>
                    </a:prstGeom>
                  </pic:spPr>
                </pic:pic>
              </a:graphicData>
            </a:graphic>
          </wp:anchor>
        </w:drawing>
      </w:r>
    </w:p>
    <w:p>
      <w:pPr>
        <w:pStyle w:val="BodyText"/>
        <w:spacing w:before="4"/>
        <w:rPr>
          <w:sz w:val="19"/>
        </w:rPr>
      </w:pPr>
    </w:p>
    <w:p>
      <w:pPr>
        <w:spacing w:before="0"/>
        <w:ind w:left="2241" w:right="155" w:firstLine="0"/>
        <w:jc w:val="left"/>
        <w:rPr>
          <w:sz w:val="20"/>
        </w:rPr>
      </w:pPr>
      <w:bookmarkStart w:name="_bookmark30" w:id="54"/>
      <w:bookmarkEnd w:id="54"/>
      <w:r>
        <w:rPr/>
      </w:r>
      <w:r>
        <w:rPr>
          <w:sz w:val="20"/>
        </w:rPr>
        <w:t>Figura 6. Películas radiocrómicas Gafchromic EBT3</w:t>
      </w:r>
    </w:p>
    <w:p>
      <w:pPr>
        <w:pStyle w:val="BodyText"/>
        <w:rPr>
          <w:sz w:val="20"/>
        </w:rPr>
      </w:pPr>
    </w:p>
    <w:p>
      <w:pPr>
        <w:pStyle w:val="BodyText"/>
        <w:rPr>
          <w:sz w:val="20"/>
        </w:rPr>
      </w:pPr>
    </w:p>
    <w:p>
      <w:pPr>
        <w:pStyle w:val="Heading6"/>
        <w:numPr>
          <w:ilvl w:val="1"/>
          <w:numId w:val="2"/>
        </w:numPr>
        <w:tabs>
          <w:tab w:pos="893" w:val="left" w:leader="none"/>
        </w:tabs>
        <w:spacing w:line="240" w:lineRule="auto" w:before="124" w:after="0"/>
        <w:ind w:left="893" w:right="0" w:hanging="433"/>
        <w:jc w:val="left"/>
      </w:pPr>
      <w:bookmarkStart w:name="_bookmark31" w:id="55"/>
      <w:bookmarkEnd w:id="55"/>
      <w:r>
        <w:rPr>
          <w:b w:val="0"/>
        </w:rPr>
      </w:r>
      <w:bookmarkStart w:name="_bookmark31" w:id="56"/>
      <w:bookmarkEnd w:id="56"/>
      <w:r>
        <w:rPr/>
        <w:t>P</w:t>
      </w:r>
      <w:r>
        <w:rPr/>
        <w:t>elículas radiográficas Carestream</w:t>
      </w:r>
      <w:r>
        <w:rPr>
          <w:spacing w:val="-18"/>
        </w:rPr>
        <w:t> </w:t>
      </w:r>
      <w:r>
        <w:rPr/>
        <w:t>EDR2</w:t>
      </w:r>
    </w:p>
    <w:p>
      <w:pPr>
        <w:pStyle w:val="BodyText"/>
        <w:rPr>
          <w:b/>
        </w:rPr>
      </w:pPr>
    </w:p>
    <w:p>
      <w:pPr>
        <w:pStyle w:val="BodyText"/>
        <w:spacing w:before="8"/>
        <w:rPr>
          <w:b/>
          <w:sz w:val="19"/>
        </w:rPr>
      </w:pPr>
    </w:p>
    <w:p>
      <w:pPr>
        <w:pStyle w:val="BodyText"/>
        <w:spacing w:line="360" w:lineRule="auto"/>
        <w:ind w:left="100" w:right="119"/>
        <w:jc w:val="both"/>
      </w:pPr>
      <w:r>
        <w:rPr/>
        <w:t>La película radiográfica EDR2 ha sido durante mucho tiempo un estándar en las mediciones dosimétricas para fines clínicos y de control de calidad en tratamientos de radioterapia. Fueron diseñadas para aplicaciones oncológicas, y es capaz de registrar dosis altas sin saturarse. En la </w:t>
      </w:r>
      <w:hyperlink w:history="true" w:anchor="_bookmark32">
        <w:r>
          <w:rPr>
            <w:sz w:val="20"/>
          </w:rPr>
          <w:t>Tabla </w:t>
        </w:r>
        <w:r>
          <w:rPr>
            <w:b/>
            <w:sz w:val="20"/>
          </w:rPr>
          <w:t>1</w:t>
        </w:r>
      </w:hyperlink>
      <w:r>
        <w:rPr>
          <w:b/>
          <w:sz w:val="20"/>
        </w:rPr>
        <w:t> </w:t>
      </w:r>
      <w:r>
        <w:rPr/>
        <w:t>se aprecia la composición de este tipo de película. Los granos de plata presentan una forma cubica, de 0.24 </w:t>
      </w:r>
      <w:r>
        <w:rPr>
          <w:rFonts w:ascii="Calibri" w:hAnsi="Calibri"/>
        </w:rPr>
        <w:t>μ</w:t>
      </w:r>
      <w:r>
        <w:rPr/>
        <w:t>m de diámetro, y el tamaño de los mismos y su proporción de plata permiten una menor dependencia a la energía, en comparación con otros modelos de películas radiográficas. Su rango de respuesta ve de 25 a 500 cGy. Son fabricadas por la marca Carestream, que anteriormente pertenecía a la división médica de</w:t>
      </w:r>
      <w:r>
        <w:rPr>
          <w:spacing w:val="-3"/>
        </w:rPr>
        <w:t> </w:t>
      </w:r>
      <w:r>
        <w:rPr/>
        <w:t>Kodak</w:t>
      </w:r>
    </w:p>
    <w:p>
      <w:pPr>
        <w:spacing w:after="0" w:line="360" w:lineRule="auto"/>
        <w:jc w:val="both"/>
        <w:sectPr>
          <w:pgSz w:w="12240" w:h="15840"/>
          <w:pgMar w:header="0" w:footer="1034" w:top="1400" w:bottom="1220" w:left="1600" w:right="1580"/>
        </w:sectPr>
      </w:pPr>
    </w:p>
    <w:tbl>
      <w:tblPr>
        <w:tblW w:w="0" w:type="auto"/>
        <w:jc w:val="left"/>
        <w:tblInd w:w="186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29"/>
        <w:gridCol w:w="1700"/>
        <w:gridCol w:w="1845"/>
      </w:tblGrid>
      <w:tr>
        <w:trPr>
          <w:trHeight w:val="384" w:hRule="exact"/>
        </w:trPr>
        <w:tc>
          <w:tcPr>
            <w:tcW w:w="1529" w:type="dxa"/>
          </w:tcPr>
          <w:p>
            <w:pPr>
              <w:pStyle w:val="TableParagraph"/>
              <w:spacing w:line="249" w:lineRule="exact"/>
              <w:ind w:left="195" w:right="196"/>
              <w:rPr>
                <w:b/>
                <w:sz w:val="22"/>
              </w:rPr>
            </w:pPr>
            <w:r>
              <w:rPr>
                <w:b/>
                <w:sz w:val="22"/>
              </w:rPr>
              <w:t>Elemento</w:t>
            </w:r>
          </w:p>
        </w:tc>
        <w:tc>
          <w:tcPr>
            <w:tcW w:w="1700" w:type="dxa"/>
          </w:tcPr>
          <w:p>
            <w:pPr>
              <w:pStyle w:val="TableParagraph"/>
              <w:spacing w:line="249" w:lineRule="exact"/>
              <w:ind w:right="438"/>
              <w:jc w:val="right"/>
              <w:rPr>
                <w:b/>
                <w:sz w:val="14"/>
              </w:rPr>
            </w:pPr>
            <w:r>
              <w:rPr>
                <w:b/>
                <w:sz w:val="22"/>
              </w:rPr>
              <w:t>ng/cm</w:t>
            </w:r>
            <w:r>
              <w:rPr>
                <w:b/>
                <w:position w:val="6"/>
                <w:sz w:val="14"/>
              </w:rPr>
              <w:t>2</w:t>
            </w:r>
          </w:p>
        </w:tc>
        <w:tc>
          <w:tcPr>
            <w:tcW w:w="1845" w:type="dxa"/>
          </w:tcPr>
          <w:p>
            <w:pPr>
              <w:pStyle w:val="TableParagraph"/>
              <w:spacing w:line="249" w:lineRule="exact"/>
              <w:ind w:left="337" w:right="337"/>
              <w:rPr>
                <w:b/>
                <w:sz w:val="14"/>
              </w:rPr>
            </w:pPr>
            <w:r>
              <w:rPr>
                <w:b/>
                <w:sz w:val="22"/>
              </w:rPr>
              <w:t>nmol/cm</w:t>
            </w:r>
            <w:r>
              <w:rPr>
                <w:b/>
                <w:position w:val="6"/>
                <w:sz w:val="14"/>
              </w:rPr>
              <w:t>2</w:t>
            </w:r>
          </w:p>
        </w:tc>
      </w:tr>
      <w:tr>
        <w:trPr>
          <w:trHeight w:val="388" w:hRule="exact"/>
        </w:trPr>
        <w:tc>
          <w:tcPr>
            <w:tcW w:w="1529" w:type="dxa"/>
          </w:tcPr>
          <w:p>
            <w:pPr>
              <w:pStyle w:val="TableParagraph"/>
              <w:spacing w:line="248" w:lineRule="exact"/>
              <w:ind w:left="195" w:right="195"/>
              <w:rPr>
                <w:sz w:val="22"/>
              </w:rPr>
            </w:pPr>
            <w:r>
              <w:rPr>
                <w:sz w:val="22"/>
              </w:rPr>
              <w:t>Ag</w:t>
            </w:r>
          </w:p>
        </w:tc>
        <w:tc>
          <w:tcPr>
            <w:tcW w:w="1700" w:type="dxa"/>
          </w:tcPr>
          <w:p>
            <w:pPr>
              <w:pStyle w:val="TableParagraph"/>
              <w:spacing w:line="248" w:lineRule="exact"/>
              <w:ind w:right="480"/>
              <w:jc w:val="right"/>
              <w:rPr>
                <w:sz w:val="22"/>
              </w:rPr>
            </w:pPr>
            <w:r>
              <w:rPr>
                <w:sz w:val="22"/>
              </w:rPr>
              <w:t>233100</w:t>
            </w:r>
          </w:p>
        </w:tc>
        <w:tc>
          <w:tcPr>
            <w:tcW w:w="1845" w:type="dxa"/>
          </w:tcPr>
          <w:p>
            <w:pPr>
              <w:pStyle w:val="TableParagraph"/>
              <w:spacing w:line="248" w:lineRule="exact"/>
              <w:ind w:left="337" w:right="335"/>
              <w:rPr>
                <w:sz w:val="22"/>
              </w:rPr>
            </w:pPr>
            <w:r>
              <w:rPr>
                <w:sz w:val="22"/>
              </w:rPr>
              <w:t>2161</w:t>
            </w:r>
          </w:p>
        </w:tc>
      </w:tr>
      <w:tr>
        <w:trPr>
          <w:trHeight w:val="384" w:hRule="exact"/>
        </w:trPr>
        <w:tc>
          <w:tcPr>
            <w:tcW w:w="1529" w:type="dxa"/>
          </w:tcPr>
          <w:p>
            <w:pPr>
              <w:pStyle w:val="TableParagraph"/>
              <w:spacing w:line="245" w:lineRule="exact"/>
              <w:ind w:left="195" w:right="193"/>
              <w:rPr>
                <w:sz w:val="22"/>
              </w:rPr>
            </w:pPr>
            <w:r>
              <w:rPr>
                <w:sz w:val="22"/>
              </w:rPr>
              <w:t>Br</w:t>
            </w:r>
          </w:p>
        </w:tc>
        <w:tc>
          <w:tcPr>
            <w:tcW w:w="1700" w:type="dxa"/>
          </w:tcPr>
          <w:p>
            <w:pPr>
              <w:pStyle w:val="TableParagraph"/>
              <w:spacing w:line="245" w:lineRule="exact"/>
              <w:ind w:left="552"/>
              <w:jc w:val="left"/>
              <w:rPr>
                <w:sz w:val="22"/>
              </w:rPr>
            </w:pPr>
            <w:r>
              <w:rPr>
                <w:sz w:val="22"/>
              </w:rPr>
              <w:t>51383</w:t>
            </w:r>
          </w:p>
        </w:tc>
        <w:tc>
          <w:tcPr>
            <w:tcW w:w="1845" w:type="dxa"/>
          </w:tcPr>
          <w:p>
            <w:pPr>
              <w:pStyle w:val="TableParagraph"/>
              <w:spacing w:line="245" w:lineRule="exact"/>
              <w:ind w:left="335" w:right="337"/>
              <w:rPr>
                <w:sz w:val="22"/>
              </w:rPr>
            </w:pPr>
            <w:r>
              <w:rPr>
                <w:sz w:val="22"/>
              </w:rPr>
              <w:t>650</w:t>
            </w:r>
          </w:p>
        </w:tc>
      </w:tr>
      <w:tr>
        <w:trPr>
          <w:trHeight w:val="384" w:hRule="exact"/>
        </w:trPr>
        <w:tc>
          <w:tcPr>
            <w:tcW w:w="1529" w:type="dxa"/>
          </w:tcPr>
          <w:p>
            <w:pPr>
              <w:pStyle w:val="TableParagraph"/>
              <w:spacing w:line="245" w:lineRule="exact"/>
              <w:ind w:left="192" w:right="196"/>
              <w:rPr>
                <w:sz w:val="22"/>
              </w:rPr>
            </w:pPr>
            <w:r>
              <w:rPr>
                <w:sz w:val="22"/>
              </w:rPr>
              <w:t>Cl</w:t>
            </w:r>
          </w:p>
        </w:tc>
        <w:tc>
          <w:tcPr>
            <w:tcW w:w="1700" w:type="dxa"/>
          </w:tcPr>
          <w:p>
            <w:pPr>
              <w:pStyle w:val="TableParagraph"/>
              <w:spacing w:line="245" w:lineRule="exact"/>
              <w:ind w:left="564"/>
              <w:jc w:val="left"/>
              <w:rPr>
                <w:sz w:val="22"/>
              </w:rPr>
            </w:pPr>
            <w:r>
              <w:rPr>
                <w:sz w:val="22"/>
              </w:rPr>
              <w:t>21357</w:t>
            </w:r>
          </w:p>
        </w:tc>
        <w:tc>
          <w:tcPr>
            <w:tcW w:w="1845" w:type="dxa"/>
          </w:tcPr>
          <w:p>
            <w:pPr>
              <w:pStyle w:val="TableParagraph"/>
              <w:spacing w:line="245" w:lineRule="exact"/>
              <w:ind w:left="335" w:right="337"/>
              <w:rPr>
                <w:sz w:val="22"/>
              </w:rPr>
            </w:pPr>
            <w:r>
              <w:rPr>
                <w:sz w:val="22"/>
              </w:rPr>
              <w:t>602</w:t>
            </w:r>
          </w:p>
        </w:tc>
      </w:tr>
      <w:tr>
        <w:trPr>
          <w:trHeight w:val="384" w:hRule="exact"/>
        </w:trPr>
        <w:tc>
          <w:tcPr>
            <w:tcW w:w="1529" w:type="dxa"/>
          </w:tcPr>
          <w:p>
            <w:pPr>
              <w:pStyle w:val="TableParagraph"/>
              <w:spacing w:line="249" w:lineRule="exact"/>
              <w:ind w:left="195" w:right="195"/>
              <w:rPr>
                <w:sz w:val="22"/>
              </w:rPr>
            </w:pPr>
            <w:r>
              <w:rPr>
                <w:sz w:val="22"/>
              </w:rPr>
              <w:t>Sb</w:t>
            </w:r>
          </w:p>
        </w:tc>
        <w:tc>
          <w:tcPr>
            <w:tcW w:w="1700" w:type="dxa"/>
          </w:tcPr>
          <w:p>
            <w:pPr>
              <w:pStyle w:val="TableParagraph"/>
              <w:spacing w:line="249" w:lineRule="exact"/>
              <w:ind w:left="575" w:right="576"/>
              <w:rPr>
                <w:sz w:val="22"/>
              </w:rPr>
            </w:pPr>
            <w:r>
              <w:rPr>
                <w:sz w:val="22"/>
              </w:rPr>
              <w:t>6737</w:t>
            </w:r>
          </w:p>
        </w:tc>
        <w:tc>
          <w:tcPr>
            <w:tcW w:w="1845" w:type="dxa"/>
          </w:tcPr>
          <w:p>
            <w:pPr>
              <w:pStyle w:val="TableParagraph"/>
              <w:spacing w:line="249" w:lineRule="exact"/>
              <w:ind w:left="336" w:right="337"/>
              <w:rPr>
                <w:sz w:val="22"/>
              </w:rPr>
            </w:pPr>
            <w:r>
              <w:rPr>
                <w:sz w:val="22"/>
              </w:rPr>
              <w:t>55</w:t>
            </w:r>
          </w:p>
        </w:tc>
      </w:tr>
      <w:tr>
        <w:trPr>
          <w:trHeight w:val="388" w:hRule="exact"/>
        </w:trPr>
        <w:tc>
          <w:tcPr>
            <w:tcW w:w="1529" w:type="dxa"/>
          </w:tcPr>
          <w:p>
            <w:pPr>
              <w:pStyle w:val="TableParagraph"/>
              <w:spacing w:line="249" w:lineRule="exact"/>
              <w:ind w:right="2"/>
              <w:rPr>
                <w:sz w:val="22"/>
              </w:rPr>
            </w:pPr>
            <w:r>
              <w:rPr>
                <w:sz w:val="22"/>
              </w:rPr>
              <w:t>S</w:t>
            </w:r>
          </w:p>
        </w:tc>
        <w:tc>
          <w:tcPr>
            <w:tcW w:w="1700" w:type="dxa"/>
          </w:tcPr>
          <w:p>
            <w:pPr>
              <w:pStyle w:val="TableParagraph"/>
              <w:spacing w:line="249" w:lineRule="exact"/>
              <w:ind w:left="576" w:right="576"/>
              <w:rPr>
                <w:sz w:val="22"/>
              </w:rPr>
            </w:pPr>
            <w:r>
              <w:rPr>
                <w:sz w:val="22"/>
              </w:rPr>
              <w:t>5518</w:t>
            </w:r>
          </w:p>
        </w:tc>
        <w:tc>
          <w:tcPr>
            <w:tcW w:w="1845" w:type="dxa"/>
          </w:tcPr>
          <w:p>
            <w:pPr>
              <w:pStyle w:val="TableParagraph"/>
              <w:spacing w:line="249" w:lineRule="exact"/>
              <w:ind w:left="337" w:right="337"/>
              <w:rPr>
                <w:sz w:val="22"/>
              </w:rPr>
            </w:pPr>
            <w:r>
              <w:rPr>
                <w:sz w:val="22"/>
              </w:rPr>
              <w:t>172</w:t>
            </w:r>
          </w:p>
        </w:tc>
      </w:tr>
      <w:tr>
        <w:trPr>
          <w:trHeight w:val="384" w:hRule="exact"/>
        </w:trPr>
        <w:tc>
          <w:tcPr>
            <w:tcW w:w="1529" w:type="dxa"/>
          </w:tcPr>
          <w:p>
            <w:pPr>
              <w:pStyle w:val="TableParagraph"/>
              <w:spacing w:line="245" w:lineRule="exact"/>
              <w:ind w:left="195" w:right="195"/>
              <w:rPr>
                <w:sz w:val="22"/>
              </w:rPr>
            </w:pPr>
            <w:r>
              <w:rPr>
                <w:sz w:val="22"/>
              </w:rPr>
              <w:t>Si</w:t>
            </w:r>
          </w:p>
        </w:tc>
        <w:tc>
          <w:tcPr>
            <w:tcW w:w="1700" w:type="dxa"/>
          </w:tcPr>
          <w:p>
            <w:pPr>
              <w:pStyle w:val="TableParagraph"/>
              <w:spacing w:line="245" w:lineRule="exact"/>
              <w:ind w:left="573" w:right="576"/>
              <w:rPr>
                <w:sz w:val="22"/>
              </w:rPr>
            </w:pPr>
            <w:r>
              <w:rPr>
                <w:sz w:val="22"/>
              </w:rPr>
              <w:t>5422</w:t>
            </w:r>
          </w:p>
        </w:tc>
        <w:tc>
          <w:tcPr>
            <w:tcW w:w="1845" w:type="dxa"/>
          </w:tcPr>
          <w:p>
            <w:pPr>
              <w:pStyle w:val="TableParagraph"/>
              <w:spacing w:line="245" w:lineRule="exact"/>
              <w:ind w:left="337" w:right="336"/>
              <w:rPr>
                <w:sz w:val="22"/>
              </w:rPr>
            </w:pPr>
            <w:r>
              <w:rPr>
                <w:sz w:val="22"/>
              </w:rPr>
              <w:t>193</w:t>
            </w:r>
          </w:p>
        </w:tc>
      </w:tr>
      <w:tr>
        <w:trPr>
          <w:trHeight w:val="384" w:hRule="exact"/>
        </w:trPr>
        <w:tc>
          <w:tcPr>
            <w:tcW w:w="1529" w:type="dxa"/>
          </w:tcPr>
          <w:p>
            <w:pPr>
              <w:pStyle w:val="TableParagraph"/>
              <w:spacing w:line="245" w:lineRule="exact"/>
              <w:ind w:right="1"/>
              <w:rPr>
                <w:sz w:val="22"/>
              </w:rPr>
            </w:pPr>
            <w:r>
              <w:rPr>
                <w:sz w:val="22"/>
              </w:rPr>
              <w:t>I</w:t>
            </w:r>
          </w:p>
        </w:tc>
        <w:tc>
          <w:tcPr>
            <w:tcW w:w="1700" w:type="dxa"/>
          </w:tcPr>
          <w:p>
            <w:pPr>
              <w:pStyle w:val="TableParagraph"/>
              <w:spacing w:line="245" w:lineRule="exact"/>
              <w:ind w:left="576" w:right="576"/>
              <w:rPr>
                <w:sz w:val="22"/>
              </w:rPr>
            </w:pPr>
            <w:r>
              <w:rPr>
                <w:sz w:val="22"/>
              </w:rPr>
              <w:t>2887</w:t>
            </w:r>
          </w:p>
        </w:tc>
        <w:tc>
          <w:tcPr>
            <w:tcW w:w="1845" w:type="dxa"/>
          </w:tcPr>
          <w:p>
            <w:pPr>
              <w:pStyle w:val="TableParagraph"/>
              <w:spacing w:line="245" w:lineRule="exact"/>
              <w:ind w:left="337" w:right="335"/>
              <w:rPr>
                <w:sz w:val="22"/>
              </w:rPr>
            </w:pPr>
            <w:r>
              <w:rPr>
                <w:sz w:val="22"/>
              </w:rPr>
              <w:t>23</w:t>
            </w:r>
          </w:p>
        </w:tc>
      </w:tr>
      <w:tr>
        <w:trPr>
          <w:trHeight w:val="384" w:hRule="exact"/>
        </w:trPr>
        <w:tc>
          <w:tcPr>
            <w:tcW w:w="1529" w:type="dxa"/>
          </w:tcPr>
          <w:p>
            <w:pPr>
              <w:pStyle w:val="TableParagraph"/>
              <w:spacing w:line="249" w:lineRule="exact"/>
              <w:ind w:left="195" w:right="196"/>
              <w:rPr>
                <w:sz w:val="22"/>
              </w:rPr>
            </w:pPr>
            <w:r>
              <w:rPr>
                <w:sz w:val="22"/>
              </w:rPr>
              <w:t>Na</w:t>
            </w:r>
          </w:p>
        </w:tc>
        <w:tc>
          <w:tcPr>
            <w:tcW w:w="1700" w:type="dxa"/>
          </w:tcPr>
          <w:p>
            <w:pPr>
              <w:pStyle w:val="TableParagraph"/>
              <w:spacing w:line="249" w:lineRule="exact"/>
              <w:ind w:left="576" w:right="576"/>
              <w:rPr>
                <w:sz w:val="22"/>
              </w:rPr>
            </w:pPr>
            <w:r>
              <w:rPr>
                <w:sz w:val="22"/>
              </w:rPr>
              <w:t>2560</w:t>
            </w:r>
          </w:p>
        </w:tc>
        <w:tc>
          <w:tcPr>
            <w:tcW w:w="1845" w:type="dxa"/>
          </w:tcPr>
          <w:p>
            <w:pPr>
              <w:pStyle w:val="TableParagraph"/>
              <w:spacing w:line="249" w:lineRule="exact"/>
              <w:ind w:left="337" w:right="333"/>
              <w:rPr>
                <w:sz w:val="22"/>
              </w:rPr>
            </w:pPr>
            <w:r>
              <w:rPr>
                <w:sz w:val="22"/>
              </w:rPr>
              <w:t>111</w:t>
            </w:r>
          </w:p>
        </w:tc>
      </w:tr>
      <w:tr>
        <w:trPr>
          <w:trHeight w:val="388" w:hRule="exact"/>
        </w:trPr>
        <w:tc>
          <w:tcPr>
            <w:tcW w:w="1529" w:type="dxa"/>
          </w:tcPr>
          <w:p>
            <w:pPr>
              <w:pStyle w:val="TableParagraph"/>
              <w:spacing w:line="249" w:lineRule="exact"/>
              <w:ind w:left="1"/>
              <w:rPr>
                <w:sz w:val="22"/>
              </w:rPr>
            </w:pPr>
            <w:r>
              <w:rPr>
                <w:sz w:val="22"/>
              </w:rPr>
              <w:t>K</w:t>
            </w:r>
          </w:p>
        </w:tc>
        <w:tc>
          <w:tcPr>
            <w:tcW w:w="1700" w:type="dxa"/>
          </w:tcPr>
          <w:p>
            <w:pPr>
              <w:pStyle w:val="TableParagraph"/>
              <w:spacing w:line="249" w:lineRule="exact"/>
              <w:ind w:left="575" w:right="576"/>
              <w:rPr>
                <w:sz w:val="22"/>
              </w:rPr>
            </w:pPr>
            <w:r>
              <w:rPr>
                <w:sz w:val="22"/>
              </w:rPr>
              <w:t>2017</w:t>
            </w:r>
          </w:p>
        </w:tc>
        <w:tc>
          <w:tcPr>
            <w:tcW w:w="1845" w:type="dxa"/>
          </w:tcPr>
          <w:p>
            <w:pPr>
              <w:pStyle w:val="TableParagraph"/>
              <w:spacing w:line="249" w:lineRule="exact"/>
              <w:ind w:left="334" w:right="337"/>
              <w:rPr>
                <w:sz w:val="22"/>
              </w:rPr>
            </w:pPr>
            <w:r>
              <w:rPr>
                <w:sz w:val="22"/>
              </w:rPr>
              <w:t>52</w:t>
            </w:r>
          </w:p>
        </w:tc>
      </w:tr>
      <w:tr>
        <w:trPr>
          <w:trHeight w:val="384" w:hRule="exact"/>
        </w:trPr>
        <w:tc>
          <w:tcPr>
            <w:tcW w:w="1529" w:type="dxa"/>
          </w:tcPr>
          <w:p>
            <w:pPr>
              <w:pStyle w:val="TableParagraph"/>
              <w:spacing w:line="245" w:lineRule="exact"/>
              <w:ind w:left="194" w:right="196"/>
              <w:rPr>
                <w:sz w:val="22"/>
              </w:rPr>
            </w:pPr>
            <w:r>
              <w:rPr>
                <w:sz w:val="22"/>
              </w:rPr>
              <w:t>Al</w:t>
            </w:r>
          </w:p>
        </w:tc>
        <w:tc>
          <w:tcPr>
            <w:tcW w:w="1700" w:type="dxa"/>
          </w:tcPr>
          <w:p>
            <w:pPr>
              <w:pStyle w:val="TableParagraph"/>
              <w:spacing w:line="245" w:lineRule="exact"/>
              <w:ind w:left="576" w:right="576"/>
              <w:rPr>
                <w:sz w:val="22"/>
              </w:rPr>
            </w:pPr>
            <w:r>
              <w:rPr>
                <w:sz w:val="22"/>
              </w:rPr>
              <w:t>2001</w:t>
            </w:r>
          </w:p>
        </w:tc>
        <w:tc>
          <w:tcPr>
            <w:tcW w:w="1845" w:type="dxa"/>
          </w:tcPr>
          <w:p>
            <w:pPr>
              <w:pStyle w:val="TableParagraph"/>
              <w:spacing w:line="245" w:lineRule="exact"/>
              <w:ind w:left="337" w:right="335"/>
              <w:rPr>
                <w:sz w:val="22"/>
              </w:rPr>
            </w:pPr>
            <w:r>
              <w:rPr>
                <w:sz w:val="22"/>
              </w:rPr>
              <w:t>74</w:t>
            </w:r>
          </w:p>
        </w:tc>
      </w:tr>
      <w:tr>
        <w:trPr>
          <w:trHeight w:val="384" w:hRule="exact"/>
        </w:trPr>
        <w:tc>
          <w:tcPr>
            <w:tcW w:w="1529" w:type="dxa"/>
          </w:tcPr>
          <w:p>
            <w:pPr>
              <w:pStyle w:val="TableParagraph"/>
              <w:spacing w:line="245" w:lineRule="exact"/>
              <w:ind w:left="195" w:right="196"/>
              <w:rPr>
                <w:sz w:val="22"/>
              </w:rPr>
            </w:pPr>
            <w:r>
              <w:rPr>
                <w:sz w:val="22"/>
              </w:rPr>
              <w:t>Zn</w:t>
            </w:r>
          </w:p>
        </w:tc>
        <w:tc>
          <w:tcPr>
            <w:tcW w:w="1700" w:type="dxa"/>
          </w:tcPr>
          <w:p>
            <w:pPr>
              <w:pStyle w:val="TableParagraph"/>
              <w:spacing w:line="245" w:lineRule="exact"/>
              <w:ind w:left="576" w:right="576"/>
              <w:rPr>
                <w:sz w:val="22"/>
              </w:rPr>
            </w:pPr>
            <w:r>
              <w:rPr>
                <w:sz w:val="22"/>
              </w:rPr>
              <w:t>1565</w:t>
            </w:r>
          </w:p>
        </w:tc>
        <w:tc>
          <w:tcPr>
            <w:tcW w:w="1845" w:type="dxa"/>
          </w:tcPr>
          <w:p>
            <w:pPr>
              <w:pStyle w:val="TableParagraph"/>
              <w:spacing w:line="245" w:lineRule="exact"/>
              <w:ind w:left="337" w:right="337"/>
              <w:rPr>
                <w:sz w:val="22"/>
              </w:rPr>
            </w:pPr>
            <w:r>
              <w:rPr>
                <w:sz w:val="22"/>
              </w:rPr>
              <w:t>24</w:t>
            </w:r>
          </w:p>
        </w:tc>
      </w:tr>
      <w:tr>
        <w:trPr>
          <w:trHeight w:val="384" w:hRule="exact"/>
        </w:trPr>
        <w:tc>
          <w:tcPr>
            <w:tcW w:w="1529" w:type="dxa"/>
          </w:tcPr>
          <w:p>
            <w:pPr>
              <w:pStyle w:val="TableParagraph"/>
              <w:spacing w:line="249" w:lineRule="exact"/>
              <w:ind w:left="195" w:right="195"/>
              <w:rPr>
                <w:sz w:val="22"/>
              </w:rPr>
            </w:pPr>
            <w:r>
              <w:rPr>
                <w:sz w:val="22"/>
              </w:rPr>
              <w:t>Pd</w:t>
            </w:r>
          </w:p>
        </w:tc>
        <w:tc>
          <w:tcPr>
            <w:tcW w:w="1700" w:type="dxa"/>
          </w:tcPr>
          <w:p>
            <w:pPr>
              <w:pStyle w:val="TableParagraph"/>
              <w:spacing w:line="249" w:lineRule="exact"/>
              <w:ind w:left="576" w:right="572"/>
              <w:rPr>
                <w:sz w:val="22"/>
              </w:rPr>
            </w:pPr>
            <w:r>
              <w:rPr>
                <w:sz w:val="22"/>
              </w:rPr>
              <w:t>1416</w:t>
            </w:r>
          </w:p>
        </w:tc>
        <w:tc>
          <w:tcPr>
            <w:tcW w:w="1845" w:type="dxa"/>
          </w:tcPr>
          <w:p>
            <w:pPr>
              <w:pStyle w:val="TableParagraph"/>
              <w:spacing w:line="249" w:lineRule="exact"/>
              <w:ind w:left="337" w:right="337"/>
              <w:rPr>
                <w:sz w:val="22"/>
              </w:rPr>
            </w:pPr>
            <w:r>
              <w:rPr>
                <w:sz w:val="22"/>
              </w:rPr>
              <w:t>13</w:t>
            </w:r>
          </w:p>
        </w:tc>
      </w:tr>
      <w:tr>
        <w:trPr>
          <w:trHeight w:val="388" w:hRule="exact"/>
        </w:trPr>
        <w:tc>
          <w:tcPr>
            <w:tcW w:w="1529" w:type="dxa"/>
          </w:tcPr>
          <w:p>
            <w:pPr>
              <w:pStyle w:val="TableParagraph"/>
              <w:spacing w:line="249" w:lineRule="exact"/>
              <w:ind w:left="193" w:right="196"/>
              <w:rPr>
                <w:sz w:val="22"/>
              </w:rPr>
            </w:pPr>
            <w:r>
              <w:rPr>
                <w:sz w:val="22"/>
              </w:rPr>
              <w:t>Ca</w:t>
            </w:r>
          </w:p>
        </w:tc>
        <w:tc>
          <w:tcPr>
            <w:tcW w:w="1700" w:type="dxa"/>
          </w:tcPr>
          <w:p>
            <w:pPr>
              <w:pStyle w:val="TableParagraph"/>
              <w:spacing w:line="249" w:lineRule="exact"/>
              <w:ind w:left="576" w:right="573"/>
              <w:rPr>
                <w:sz w:val="22"/>
              </w:rPr>
            </w:pPr>
            <w:r>
              <w:rPr>
                <w:sz w:val="22"/>
              </w:rPr>
              <w:t>1198</w:t>
            </w:r>
          </w:p>
        </w:tc>
        <w:tc>
          <w:tcPr>
            <w:tcW w:w="1845" w:type="dxa"/>
          </w:tcPr>
          <w:p>
            <w:pPr>
              <w:pStyle w:val="TableParagraph"/>
              <w:spacing w:line="249" w:lineRule="exact"/>
              <w:ind w:left="337" w:right="337"/>
              <w:rPr>
                <w:sz w:val="22"/>
              </w:rPr>
            </w:pPr>
            <w:r>
              <w:rPr>
                <w:sz w:val="22"/>
              </w:rPr>
              <w:t>29</w:t>
            </w:r>
          </w:p>
        </w:tc>
      </w:tr>
      <w:tr>
        <w:trPr>
          <w:trHeight w:val="384" w:hRule="exact"/>
        </w:trPr>
        <w:tc>
          <w:tcPr>
            <w:tcW w:w="1529" w:type="dxa"/>
          </w:tcPr>
          <w:p>
            <w:pPr>
              <w:pStyle w:val="TableParagraph"/>
              <w:spacing w:line="245" w:lineRule="exact"/>
              <w:ind w:left="195" w:right="196"/>
              <w:rPr>
                <w:sz w:val="22"/>
              </w:rPr>
            </w:pPr>
            <w:r>
              <w:rPr>
                <w:sz w:val="22"/>
              </w:rPr>
              <w:t>Rh</w:t>
            </w:r>
          </w:p>
        </w:tc>
        <w:tc>
          <w:tcPr>
            <w:tcW w:w="1700" w:type="dxa"/>
          </w:tcPr>
          <w:p>
            <w:pPr>
              <w:pStyle w:val="TableParagraph"/>
              <w:spacing w:line="245" w:lineRule="exact"/>
              <w:ind w:left="575" w:right="576"/>
              <w:rPr>
                <w:sz w:val="22"/>
              </w:rPr>
            </w:pPr>
            <w:r>
              <w:rPr>
                <w:sz w:val="22"/>
              </w:rPr>
              <w:t>971</w:t>
            </w:r>
          </w:p>
        </w:tc>
        <w:tc>
          <w:tcPr>
            <w:tcW w:w="1845" w:type="dxa"/>
          </w:tcPr>
          <w:p>
            <w:pPr>
              <w:pStyle w:val="TableParagraph"/>
              <w:spacing w:line="245" w:lineRule="exact"/>
              <w:ind w:left="1"/>
              <w:rPr>
                <w:sz w:val="22"/>
              </w:rPr>
            </w:pPr>
            <w:r>
              <w:rPr>
                <w:sz w:val="22"/>
              </w:rPr>
              <w:t>9</w:t>
            </w:r>
          </w:p>
        </w:tc>
      </w:tr>
      <w:tr>
        <w:trPr>
          <w:trHeight w:val="384" w:hRule="exact"/>
        </w:trPr>
        <w:tc>
          <w:tcPr>
            <w:tcW w:w="1529" w:type="dxa"/>
          </w:tcPr>
          <w:p>
            <w:pPr>
              <w:pStyle w:val="TableParagraph"/>
              <w:spacing w:line="245" w:lineRule="exact"/>
              <w:ind w:left="195" w:right="195"/>
              <w:rPr>
                <w:sz w:val="22"/>
              </w:rPr>
            </w:pPr>
            <w:r>
              <w:rPr>
                <w:sz w:val="22"/>
              </w:rPr>
              <w:t>Th</w:t>
            </w:r>
          </w:p>
        </w:tc>
        <w:tc>
          <w:tcPr>
            <w:tcW w:w="1700" w:type="dxa"/>
          </w:tcPr>
          <w:p>
            <w:pPr>
              <w:pStyle w:val="TableParagraph"/>
              <w:spacing w:line="245" w:lineRule="exact"/>
              <w:ind w:left="576" w:right="576"/>
              <w:rPr>
                <w:sz w:val="22"/>
              </w:rPr>
            </w:pPr>
            <w:r>
              <w:rPr>
                <w:sz w:val="22"/>
              </w:rPr>
              <w:t>320</w:t>
            </w:r>
          </w:p>
        </w:tc>
        <w:tc>
          <w:tcPr>
            <w:tcW w:w="1845" w:type="dxa"/>
          </w:tcPr>
          <w:p>
            <w:pPr>
              <w:pStyle w:val="TableParagraph"/>
              <w:spacing w:line="245" w:lineRule="exact"/>
              <w:ind w:right="2"/>
              <w:rPr>
                <w:sz w:val="22"/>
              </w:rPr>
            </w:pPr>
            <w:r>
              <w:rPr>
                <w:sz w:val="22"/>
              </w:rPr>
              <w:t>1</w:t>
            </w:r>
          </w:p>
        </w:tc>
      </w:tr>
      <w:tr>
        <w:trPr>
          <w:trHeight w:val="384" w:hRule="exact"/>
        </w:trPr>
        <w:tc>
          <w:tcPr>
            <w:tcW w:w="1529" w:type="dxa"/>
          </w:tcPr>
          <w:p>
            <w:pPr>
              <w:pStyle w:val="TableParagraph"/>
              <w:spacing w:line="249" w:lineRule="exact"/>
              <w:ind w:left="195" w:right="192"/>
              <w:rPr>
                <w:sz w:val="22"/>
              </w:rPr>
            </w:pPr>
            <w:r>
              <w:rPr>
                <w:sz w:val="22"/>
              </w:rPr>
              <w:t>Total</w:t>
            </w:r>
          </w:p>
        </w:tc>
        <w:tc>
          <w:tcPr>
            <w:tcW w:w="1700" w:type="dxa"/>
          </w:tcPr>
          <w:p>
            <w:pPr>
              <w:pStyle w:val="TableParagraph"/>
              <w:spacing w:line="249" w:lineRule="exact"/>
              <w:ind w:left="488"/>
              <w:jc w:val="left"/>
              <w:rPr>
                <w:sz w:val="22"/>
              </w:rPr>
            </w:pPr>
            <w:r>
              <w:rPr>
                <w:sz w:val="22"/>
              </w:rPr>
              <w:t>338421</w:t>
            </w:r>
          </w:p>
        </w:tc>
        <w:tc>
          <w:tcPr>
            <w:tcW w:w="1845" w:type="dxa"/>
          </w:tcPr>
          <w:p>
            <w:pPr>
              <w:pStyle w:val="TableParagraph"/>
              <w:spacing w:line="249" w:lineRule="exact"/>
              <w:ind w:left="336" w:right="337"/>
              <w:rPr>
                <w:sz w:val="22"/>
              </w:rPr>
            </w:pPr>
            <w:r>
              <w:rPr>
                <w:sz w:val="22"/>
              </w:rPr>
              <w:t>4171</w:t>
            </w:r>
          </w:p>
        </w:tc>
      </w:tr>
    </w:tbl>
    <w:p>
      <w:pPr>
        <w:pStyle w:val="BodyText"/>
        <w:spacing w:before="6"/>
        <w:rPr>
          <w:sz w:val="25"/>
        </w:rPr>
      </w:pPr>
    </w:p>
    <w:p>
      <w:pPr>
        <w:spacing w:before="79"/>
        <w:ind w:left="1229" w:right="1348" w:firstLine="0"/>
        <w:jc w:val="center"/>
        <w:rPr>
          <w:b/>
          <w:sz w:val="20"/>
        </w:rPr>
      </w:pPr>
      <w:bookmarkStart w:name="_bookmark32" w:id="57"/>
      <w:bookmarkEnd w:id="57"/>
      <w:r>
        <w:rPr/>
      </w:r>
      <w:r>
        <w:rPr>
          <w:sz w:val="20"/>
        </w:rPr>
        <w:t>Tabla 1. Composición de las películas EDR2 </w:t>
      </w:r>
      <w:r>
        <w:rPr>
          <w:b/>
          <w:sz w:val="20"/>
        </w:rPr>
        <w:t>(Childress, et al., 2005)</w:t>
      </w:r>
    </w:p>
    <w:p>
      <w:pPr>
        <w:pStyle w:val="BodyText"/>
        <w:spacing w:before="3"/>
        <w:rPr>
          <w:b/>
          <w:sz w:val="14"/>
        </w:rPr>
      </w:pPr>
      <w:r>
        <w:rPr/>
        <w:drawing>
          <wp:anchor distT="0" distB="0" distL="0" distR="0" allowOverlap="1" layoutInCell="1" locked="0" behindDoc="0" simplePos="0" relativeHeight="1624">
            <wp:simplePos x="0" y="0"/>
            <wp:positionH relativeFrom="page">
              <wp:posOffset>2991485</wp:posOffset>
            </wp:positionH>
            <wp:positionV relativeFrom="paragraph">
              <wp:posOffset>127858</wp:posOffset>
            </wp:positionV>
            <wp:extent cx="1888743" cy="2124837"/>
            <wp:effectExtent l="0" t="0" r="0" b="0"/>
            <wp:wrapTopAndBottom/>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21" cstate="print"/>
                    <a:stretch>
                      <a:fillRect/>
                    </a:stretch>
                  </pic:blipFill>
                  <pic:spPr>
                    <a:xfrm>
                      <a:off x="0" y="0"/>
                      <a:ext cx="1888743" cy="2124837"/>
                    </a:xfrm>
                    <a:prstGeom prst="rect">
                      <a:avLst/>
                    </a:prstGeom>
                  </pic:spPr>
                </pic:pic>
              </a:graphicData>
            </a:graphic>
          </wp:anchor>
        </w:drawing>
      </w:r>
    </w:p>
    <w:p>
      <w:pPr>
        <w:pStyle w:val="BodyText"/>
        <w:rPr>
          <w:b/>
          <w:sz w:val="20"/>
        </w:rPr>
      </w:pPr>
    </w:p>
    <w:p>
      <w:pPr>
        <w:spacing w:before="146"/>
        <w:ind w:left="1223" w:right="1348" w:firstLine="0"/>
        <w:jc w:val="center"/>
        <w:rPr>
          <w:sz w:val="20"/>
        </w:rPr>
      </w:pPr>
      <w:bookmarkStart w:name="_bookmark33" w:id="58"/>
      <w:bookmarkEnd w:id="58"/>
      <w:r>
        <w:rPr/>
      </w:r>
      <w:r>
        <w:rPr>
          <w:sz w:val="20"/>
        </w:rPr>
        <w:t>Figura 7. Películas radiocrómicas Carestream EDR2</w:t>
      </w:r>
    </w:p>
    <w:p>
      <w:pPr>
        <w:spacing w:after="0"/>
        <w:jc w:val="center"/>
        <w:rPr>
          <w:sz w:val="20"/>
        </w:rPr>
        <w:sectPr>
          <w:pgSz w:w="12240" w:h="15840"/>
          <w:pgMar w:header="0" w:footer="1034" w:top="1420" w:bottom="1220" w:left="1720" w:right="1600"/>
        </w:sectPr>
      </w:pPr>
    </w:p>
    <w:p>
      <w:pPr>
        <w:pStyle w:val="Heading6"/>
        <w:numPr>
          <w:ilvl w:val="1"/>
          <w:numId w:val="2"/>
        </w:numPr>
        <w:tabs>
          <w:tab w:pos="893" w:val="left" w:leader="none"/>
        </w:tabs>
        <w:spacing w:line="240" w:lineRule="auto" w:before="55" w:after="0"/>
        <w:ind w:left="893" w:right="0" w:hanging="433"/>
        <w:jc w:val="left"/>
      </w:pPr>
      <w:bookmarkStart w:name="_bookmark34" w:id="59"/>
      <w:bookmarkEnd w:id="59"/>
      <w:r>
        <w:rPr>
          <w:b w:val="0"/>
        </w:rPr>
      </w:r>
      <w:bookmarkStart w:name="_bookmark34" w:id="60"/>
      <w:bookmarkEnd w:id="60"/>
      <w:r>
        <w:rPr/>
        <w:t>A</w:t>
      </w:r>
      <w:r>
        <w:rPr/>
        <w:t>celerador lineal Varian</w:t>
      </w:r>
      <w:r>
        <w:rPr>
          <w:spacing w:val="-11"/>
        </w:rPr>
        <w:t> </w:t>
      </w:r>
      <w:r>
        <w:rPr/>
        <w:t>21EX</w:t>
      </w:r>
    </w:p>
    <w:p>
      <w:pPr>
        <w:pStyle w:val="BodyText"/>
        <w:rPr>
          <w:b/>
        </w:rPr>
      </w:pPr>
    </w:p>
    <w:p>
      <w:pPr>
        <w:pStyle w:val="BodyText"/>
        <w:spacing w:before="8"/>
        <w:rPr>
          <w:b/>
          <w:sz w:val="19"/>
        </w:rPr>
      </w:pPr>
    </w:p>
    <w:p>
      <w:pPr>
        <w:pStyle w:val="BodyText"/>
        <w:spacing w:line="360" w:lineRule="auto"/>
        <w:ind w:left="100" w:right="101"/>
        <w:jc w:val="both"/>
      </w:pPr>
      <w:r>
        <w:rPr/>
        <w:t>El Varian 21EX es un acelerador lineal de alta energía, utilizado en los tratamientos de radioterapia en el Hospital General. Opera con energías de fotones de 6, 10, 15 y 18 MV nominales, y está habilitado para energías de electrones. Opera con una tasa de dosis de 1 cGy/UM, utilizada para impartir los tratamientos de IMRT y radioterapia convencional a los pacientes del hospital. Cuenta con un colimador multihojas formado por 60 pares de láminas independientes por lado, cada una con un ancho de 5 mm en el área central. El tamaño máximo de campo es de 40 x 40 cm</w:t>
      </w:r>
      <w:r>
        <w:rPr>
          <w:position w:val="6"/>
          <w:sz w:val="14"/>
        </w:rPr>
        <w:t>2</w:t>
      </w:r>
      <w:r>
        <w:rPr/>
        <w:t>. Actualmente, el acelerador solo esta comisionado para trabajar con fotones. De manera periódica, el personal lleva a cabo las pruebas de comisionamiento y chequeo, de acuerdo al protocolo TRS-398.</w:t>
      </w:r>
    </w:p>
    <w:p>
      <w:pPr>
        <w:pStyle w:val="BodyText"/>
        <w:rPr>
          <w:sz w:val="20"/>
        </w:rPr>
      </w:pPr>
    </w:p>
    <w:p>
      <w:pPr>
        <w:pStyle w:val="BodyText"/>
        <w:spacing w:before="11"/>
        <w:rPr>
          <w:sz w:val="19"/>
        </w:rPr>
      </w:pPr>
      <w:r>
        <w:rPr/>
        <w:drawing>
          <wp:anchor distT="0" distB="0" distL="0" distR="0" allowOverlap="1" layoutInCell="1" locked="0" behindDoc="0" simplePos="0" relativeHeight="1648">
            <wp:simplePos x="0" y="0"/>
            <wp:positionH relativeFrom="page">
              <wp:posOffset>2581275</wp:posOffset>
            </wp:positionH>
            <wp:positionV relativeFrom="paragraph">
              <wp:posOffset>168996</wp:posOffset>
            </wp:positionV>
            <wp:extent cx="2634594" cy="2870835"/>
            <wp:effectExtent l="0" t="0" r="0" b="0"/>
            <wp:wrapTopAndBottom/>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22" cstate="print"/>
                    <a:stretch>
                      <a:fillRect/>
                    </a:stretch>
                  </pic:blipFill>
                  <pic:spPr>
                    <a:xfrm>
                      <a:off x="0" y="0"/>
                      <a:ext cx="2634594" cy="2870835"/>
                    </a:xfrm>
                    <a:prstGeom prst="rect">
                      <a:avLst/>
                    </a:prstGeom>
                  </pic:spPr>
                </pic:pic>
              </a:graphicData>
            </a:graphic>
          </wp:anchor>
        </w:drawing>
      </w:r>
    </w:p>
    <w:p>
      <w:pPr>
        <w:pStyle w:val="BodyText"/>
      </w:pPr>
    </w:p>
    <w:p>
      <w:pPr>
        <w:spacing w:before="159"/>
        <w:ind w:left="2733" w:right="0" w:firstLine="0"/>
        <w:jc w:val="left"/>
        <w:rPr>
          <w:sz w:val="20"/>
        </w:rPr>
      </w:pPr>
      <w:bookmarkStart w:name="_bookmark35" w:id="61"/>
      <w:bookmarkEnd w:id="61"/>
      <w:r>
        <w:rPr/>
      </w:r>
      <w:r>
        <w:rPr>
          <w:sz w:val="20"/>
        </w:rPr>
        <w:t>Figura 8. Acelerador Lineal Varian 21EX</w:t>
      </w:r>
    </w:p>
    <w:p>
      <w:pPr>
        <w:pStyle w:val="BodyText"/>
        <w:rPr>
          <w:sz w:val="20"/>
        </w:rPr>
      </w:pPr>
    </w:p>
    <w:p>
      <w:pPr>
        <w:pStyle w:val="BodyText"/>
        <w:spacing w:before="5"/>
      </w:pPr>
    </w:p>
    <w:p>
      <w:pPr>
        <w:pStyle w:val="Heading6"/>
        <w:numPr>
          <w:ilvl w:val="1"/>
          <w:numId w:val="2"/>
        </w:numPr>
        <w:tabs>
          <w:tab w:pos="894" w:val="left" w:leader="none"/>
        </w:tabs>
        <w:spacing w:line="240" w:lineRule="auto" w:before="0" w:after="0"/>
        <w:ind w:left="893" w:right="0" w:hanging="433"/>
        <w:jc w:val="left"/>
      </w:pPr>
      <w:bookmarkStart w:name="_bookmark36" w:id="62"/>
      <w:bookmarkEnd w:id="62"/>
      <w:r>
        <w:rPr>
          <w:b w:val="0"/>
        </w:rPr>
      </w:r>
      <w:bookmarkStart w:name="_bookmark36" w:id="63"/>
      <w:bookmarkEnd w:id="63"/>
      <w:r>
        <w:rPr/>
        <w:t>M</w:t>
      </w:r>
      <w:r>
        <w:rPr/>
        <w:t>aniquí de placas</w:t>
      </w:r>
      <w:r>
        <w:rPr>
          <w:spacing w:val="-9"/>
        </w:rPr>
        <w:t> </w:t>
      </w:r>
      <w:r>
        <w:rPr/>
        <w:t>solidas</w:t>
      </w:r>
    </w:p>
    <w:p>
      <w:pPr>
        <w:pStyle w:val="BodyText"/>
        <w:spacing w:before="9"/>
        <w:rPr>
          <w:b/>
          <w:sz w:val="30"/>
        </w:rPr>
      </w:pPr>
    </w:p>
    <w:p>
      <w:pPr>
        <w:pStyle w:val="BodyText"/>
        <w:spacing w:line="360" w:lineRule="auto"/>
        <w:ind w:left="100" w:right="98"/>
        <w:jc w:val="both"/>
      </w:pPr>
      <w:r>
        <w:rPr/>
        <w:t>Se utilizó un maniquí de placas solidas agua-equivalente para realizar las llevar a cabo la irradiación de las películas radiocrómicas, en la determinación de la curva de calibración. La marca y modelo es Wellhofer SP34, fabricado por la casa comercial IBA Dosimetry GmbH. Ël maniquí está formado por 1 placa de 1 mm de espesor,  2 placas de 2 mm, 1  placa de 5 mm y 29 placas de 10 mm, y cada placa tiene una superficie de 30 x 30 cm. El material de construcción es RW3,  tiene una densidad de 1.045 g/cm</w:t>
      </w:r>
      <w:r>
        <w:rPr>
          <w:position w:val="6"/>
          <w:sz w:val="14"/>
        </w:rPr>
        <w:t>3  </w:t>
      </w:r>
      <w:r>
        <w:rPr/>
        <w:t>y está diseñado</w:t>
      </w:r>
      <w:r>
        <w:rPr>
          <w:spacing w:val="48"/>
        </w:rPr>
        <w:t> </w:t>
      </w:r>
      <w:r>
        <w:rPr/>
        <w:t>para</w:t>
      </w:r>
    </w:p>
    <w:p>
      <w:pPr>
        <w:spacing w:after="0" w:line="360" w:lineRule="auto"/>
        <w:jc w:val="both"/>
        <w:sectPr>
          <w:pgSz w:w="12240" w:h="15840"/>
          <w:pgMar w:header="0" w:footer="1034" w:top="1360" w:bottom="1220" w:left="1600" w:right="1600"/>
        </w:sectPr>
      </w:pPr>
    </w:p>
    <w:p>
      <w:pPr>
        <w:pStyle w:val="BodyText"/>
        <w:spacing w:line="360" w:lineRule="auto" w:before="55"/>
        <w:ind w:left="100" w:right="122"/>
        <w:jc w:val="both"/>
      </w:pPr>
      <w:r>
        <w:rPr/>
        <w:t>energías de fotones en el rango de 0.1 a 50 MV. Cuenta demás con una cavidad para alojar cámaras de ionización cilíndricas.</w:t>
      </w:r>
    </w:p>
    <w:p>
      <w:pPr>
        <w:pStyle w:val="BodyText"/>
        <w:rPr>
          <w:sz w:val="20"/>
        </w:rPr>
      </w:pPr>
    </w:p>
    <w:p>
      <w:pPr>
        <w:pStyle w:val="BodyText"/>
        <w:spacing w:before="1"/>
        <w:rPr>
          <w:sz w:val="13"/>
        </w:rPr>
      </w:pPr>
      <w:r>
        <w:rPr/>
        <w:drawing>
          <wp:anchor distT="0" distB="0" distL="0" distR="0" allowOverlap="1" layoutInCell="1" locked="0" behindDoc="0" simplePos="0" relativeHeight="1672">
            <wp:simplePos x="0" y="0"/>
            <wp:positionH relativeFrom="page">
              <wp:posOffset>2834004</wp:posOffset>
            </wp:positionH>
            <wp:positionV relativeFrom="paragraph">
              <wp:posOffset>119466</wp:posOffset>
            </wp:positionV>
            <wp:extent cx="2126306" cy="2254757"/>
            <wp:effectExtent l="0" t="0" r="0" b="0"/>
            <wp:wrapTopAndBottom/>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23" cstate="print"/>
                    <a:stretch>
                      <a:fillRect/>
                    </a:stretch>
                  </pic:blipFill>
                  <pic:spPr>
                    <a:xfrm>
                      <a:off x="0" y="0"/>
                      <a:ext cx="2126306" cy="2254757"/>
                    </a:xfrm>
                    <a:prstGeom prst="rect">
                      <a:avLst/>
                    </a:prstGeom>
                  </pic:spPr>
                </pic:pic>
              </a:graphicData>
            </a:graphic>
          </wp:anchor>
        </w:drawing>
      </w:r>
    </w:p>
    <w:p>
      <w:pPr>
        <w:spacing w:before="65"/>
        <w:ind w:left="2248" w:right="155" w:firstLine="0"/>
        <w:jc w:val="left"/>
        <w:rPr>
          <w:sz w:val="20"/>
        </w:rPr>
      </w:pPr>
      <w:bookmarkStart w:name="_bookmark37" w:id="64"/>
      <w:bookmarkEnd w:id="64"/>
      <w:r>
        <w:rPr/>
      </w:r>
      <w:r>
        <w:rPr>
          <w:sz w:val="20"/>
        </w:rPr>
        <w:t>Figura 9. Maniqui de placas solidas Wellhofer SP34</w:t>
      </w:r>
    </w:p>
    <w:p>
      <w:pPr>
        <w:pStyle w:val="BodyText"/>
        <w:rPr>
          <w:sz w:val="20"/>
        </w:rPr>
      </w:pPr>
    </w:p>
    <w:p>
      <w:pPr>
        <w:pStyle w:val="BodyText"/>
        <w:rPr>
          <w:sz w:val="20"/>
        </w:rPr>
      </w:pPr>
    </w:p>
    <w:p>
      <w:pPr>
        <w:pStyle w:val="Heading6"/>
        <w:numPr>
          <w:ilvl w:val="1"/>
          <w:numId w:val="2"/>
        </w:numPr>
        <w:tabs>
          <w:tab w:pos="893" w:val="left" w:leader="none"/>
        </w:tabs>
        <w:spacing w:line="240" w:lineRule="auto" w:before="167" w:after="0"/>
        <w:ind w:left="893" w:right="0" w:hanging="433"/>
        <w:jc w:val="left"/>
      </w:pPr>
      <w:bookmarkStart w:name="_bookmark38" w:id="65"/>
      <w:bookmarkEnd w:id="65"/>
      <w:r>
        <w:rPr>
          <w:b w:val="0"/>
        </w:rPr>
      </w:r>
      <w:bookmarkStart w:name="_bookmark38" w:id="66"/>
      <w:bookmarkEnd w:id="66"/>
      <w:r>
        <w:rPr/>
        <w:t>M</w:t>
      </w:r>
      <w:r>
        <w:rPr/>
        <w:t>aniqui de</w:t>
      </w:r>
      <w:r>
        <w:rPr>
          <w:spacing w:val="-13"/>
        </w:rPr>
        <w:t> </w:t>
      </w:r>
      <w:r>
        <w:rPr/>
        <w:t>acrilico</w:t>
      </w:r>
    </w:p>
    <w:p>
      <w:pPr>
        <w:pStyle w:val="BodyText"/>
        <w:spacing w:before="11"/>
        <w:rPr>
          <w:b/>
          <w:sz w:val="32"/>
        </w:rPr>
      </w:pPr>
    </w:p>
    <w:p>
      <w:pPr>
        <w:pStyle w:val="BodyText"/>
        <w:spacing w:line="360" w:lineRule="auto"/>
        <w:ind w:left="100" w:right="114"/>
        <w:jc w:val="both"/>
      </w:pPr>
      <w:r>
        <w:rPr/>
        <w:t>Para la irradiación de las películas radiocrómicas y radiográficas con los planes de los pacientes, se utilizó un maniquí de acrílico de placas gruesas. Estos maniquís están diseñados para servir de apoyo en tareas de calibración del haz de radiación, tanto de fotones como de electrones, y para la dosimetría con películas. El material es polimetilmetacrilato (PMMA), con densidad similar al agua, y está formado por placas de 5 cm de espesor y una superficie de 25 x 25 cm. La placa central tiene una cavidad para  alojar cámaras de</w:t>
      </w:r>
      <w:r>
        <w:rPr>
          <w:spacing w:val="-17"/>
        </w:rPr>
        <w:t> </w:t>
      </w:r>
      <w:r>
        <w:rPr/>
        <w:t>ionización.</w:t>
      </w:r>
    </w:p>
    <w:p>
      <w:pPr>
        <w:pStyle w:val="BodyText"/>
        <w:spacing w:before="4"/>
        <w:rPr>
          <w:sz w:val="29"/>
        </w:rPr>
      </w:pPr>
      <w:r>
        <w:rPr/>
        <w:drawing>
          <wp:anchor distT="0" distB="0" distL="0" distR="0" allowOverlap="1" layoutInCell="1" locked="0" behindDoc="0" simplePos="0" relativeHeight="1696">
            <wp:simplePos x="0" y="0"/>
            <wp:positionH relativeFrom="page">
              <wp:posOffset>2587879</wp:posOffset>
            </wp:positionH>
            <wp:positionV relativeFrom="paragraph">
              <wp:posOffset>236843</wp:posOffset>
            </wp:positionV>
            <wp:extent cx="2588303" cy="1941385"/>
            <wp:effectExtent l="0" t="0" r="0" b="0"/>
            <wp:wrapTopAndBottom/>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24" cstate="print"/>
                    <a:stretch>
                      <a:fillRect/>
                    </a:stretch>
                  </pic:blipFill>
                  <pic:spPr>
                    <a:xfrm>
                      <a:off x="0" y="0"/>
                      <a:ext cx="2588303" cy="1941385"/>
                    </a:xfrm>
                    <a:prstGeom prst="rect">
                      <a:avLst/>
                    </a:prstGeom>
                  </pic:spPr>
                </pic:pic>
              </a:graphicData>
            </a:graphic>
          </wp:anchor>
        </w:drawing>
      </w:r>
    </w:p>
    <w:p>
      <w:pPr>
        <w:spacing w:before="113"/>
        <w:ind w:left="216" w:right="236" w:firstLine="0"/>
        <w:jc w:val="center"/>
        <w:rPr>
          <w:sz w:val="20"/>
        </w:rPr>
      </w:pPr>
      <w:bookmarkStart w:name="_bookmark39" w:id="67"/>
      <w:bookmarkEnd w:id="67"/>
      <w:r>
        <w:rPr/>
      </w:r>
      <w:r>
        <w:rPr>
          <w:sz w:val="20"/>
        </w:rPr>
        <w:t>Figura 10. Maniquí de acrílico</w:t>
      </w:r>
    </w:p>
    <w:p>
      <w:pPr>
        <w:spacing w:after="0"/>
        <w:jc w:val="center"/>
        <w:rPr>
          <w:sz w:val="20"/>
        </w:rPr>
        <w:sectPr>
          <w:pgSz w:w="12240" w:h="15840"/>
          <w:pgMar w:header="0" w:footer="1034" w:top="1360" w:bottom="1220" w:left="1600" w:right="1580"/>
        </w:sectPr>
      </w:pPr>
    </w:p>
    <w:p>
      <w:pPr>
        <w:pStyle w:val="Heading6"/>
        <w:numPr>
          <w:ilvl w:val="1"/>
          <w:numId w:val="2"/>
        </w:numPr>
        <w:tabs>
          <w:tab w:pos="894" w:val="left" w:leader="none"/>
        </w:tabs>
        <w:spacing w:line="240" w:lineRule="auto" w:before="55" w:after="0"/>
        <w:ind w:left="893" w:right="0" w:hanging="433"/>
        <w:jc w:val="left"/>
      </w:pPr>
      <w:bookmarkStart w:name="_bookmark40" w:id="68"/>
      <w:bookmarkEnd w:id="68"/>
      <w:r>
        <w:rPr>
          <w:b w:val="0"/>
        </w:rPr>
      </w:r>
      <w:bookmarkStart w:name="_bookmark40" w:id="69"/>
      <w:bookmarkEnd w:id="69"/>
      <w:r>
        <w:rPr/>
        <w:t>C</w:t>
      </w:r>
      <w:r>
        <w:rPr/>
        <w:t>ámara de</w:t>
      </w:r>
      <w:r>
        <w:rPr>
          <w:spacing w:val="-11"/>
        </w:rPr>
        <w:t> </w:t>
      </w:r>
      <w:r>
        <w:rPr/>
        <w:t>ionización</w:t>
      </w:r>
    </w:p>
    <w:p>
      <w:pPr>
        <w:pStyle w:val="BodyText"/>
        <w:rPr>
          <w:b/>
        </w:rPr>
      </w:pPr>
    </w:p>
    <w:p>
      <w:pPr>
        <w:pStyle w:val="BodyText"/>
        <w:spacing w:before="8"/>
        <w:rPr>
          <w:b/>
          <w:sz w:val="19"/>
        </w:rPr>
      </w:pPr>
    </w:p>
    <w:p>
      <w:pPr>
        <w:pStyle w:val="BodyText"/>
        <w:spacing w:line="360" w:lineRule="auto"/>
        <w:ind w:left="100" w:right="115"/>
        <w:jc w:val="both"/>
      </w:pPr>
      <w:r>
        <w:rPr/>
        <w:t>Las cámaras de ionización son una referencia en las mediciones de dosis en radioterapia. Básicamente, están formadas por una pared recubierta de material conductor, </w:t>
      </w:r>
      <w:r>
        <w:rPr>
          <w:spacing w:val="-3"/>
        </w:rPr>
        <w:t>que  </w:t>
      </w:r>
      <w:r>
        <w:rPr/>
        <w:t>contiene un volumen de aire. Al aplicar una diferencia de potencial entre este electrodo y un electrodo central, los iones provocados por la radiación son colectados y un electrómetro conectado a la cámara permite medir la carga colectada, en forma de corriente, y con esta medida, determinar la dosis o tasa de dosis. Para llevar a cabo las mediciones de dosis absolutas, tanto en la determinación de las curvas de calibración de  las películas como en las dosis puntuales de los tratamientos, se utilizó una cámara </w:t>
      </w:r>
      <w:r>
        <w:rPr>
          <w:spacing w:val="-3"/>
        </w:rPr>
        <w:t>de </w:t>
      </w:r>
      <w:r>
        <w:rPr/>
        <w:t>ionización tipo Farmer, marca Wellhofer modelo Scanditronix FC65-P. Esta cámara está diseñada para mediciones de dosis en aire, en maniquís de agua o maniquís sólidos. El volumen de la cavidad es de 0.65 cm</w:t>
      </w:r>
      <w:r>
        <w:rPr>
          <w:position w:val="6"/>
          <w:sz w:val="14"/>
        </w:rPr>
        <w:t>3</w:t>
      </w:r>
      <w:r>
        <w:rPr/>
        <w:t>, y la pared está hecha de POM, con un electrodo central de aluminio. La cámara de ionización y el electrómetro asociado fueron calibrados en el departamento de metrología de radiaciones ionizantes del Instituto Nacional de Investigaciones Nucleares (ININ). El coeficiente de calibración reportado es de 4.907 x </w:t>
      </w:r>
      <w:r>
        <w:rPr>
          <w:spacing w:val="3"/>
        </w:rPr>
        <w:t>10</w:t>
      </w:r>
      <w:r>
        <w:rPr>
          <w:spacing w:val="3"/>
          <w:position w:val="6"/>
          <w:sz w:val="14"/>
        </w:rPr>
        <w:t>7 </w:t>
      </w:r>
      <w:r>
        <w:rPr/>
        <w:t>Gy/C, con una tolerancia de</w:t>
      </w:r>
      <w:r>
        <w:rPr>
          <w:spacing w:val="-15"/>
        </w:rPr>
        <w:t> </w:t>
      </w:r>
      <w:r>
        <w:rPr>
          <w:rFonts w:ascii="Calibri" w:hAnsi="Calibri"/>
        </w:rPr>
        <w:t>±</w:t>
      </w:r>
      <w:r>
        <w:rPr/>
        <w:t>0.53%.</w:t>
      </w:r>
    </w:p>
    <w:p>
      <w:pPr>
        <w:pStyle w:val="BodyText"/>
        <w:spacing w:before="9"/>
        <w:rPr>
          <w:sz w:val="29"/>
        </w:rPr>
      </w:pPr>
      <w:r>
        <w:rPr/>
        <w:drawing>
          <wp:anchor distT="0" distB="0" distL="0" distR="0" allowOverlap="1" layoutInCell="1" locked="0" behindDoc="0" simplePos="0" relativeHeight="1720">
            <wp:simplePos x="0" y="0"/>
            <wp:positionH relativeFrom="page">
              <wp:posOffset>2330704</wp:posOffset>
            </wp:positionH>
            <wp:positionV relativeFrom="paragraph">
              <wp:posOffset>239916</wp:posOffset>
            </wp:positionV>
            <wp:extent cx="3089415" cy="1126807"/>
            <wp:effectExtent l="0" t="0" r="0" b="0"/>
            <wp:wrapTopAndBottom/>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25" cstate="print"/>
                    <a:stretch>
                      <a:fillRect/>
                    </a:stretch>
                  </pic:blipFill>
                  <pic:spPr>
                    <a:xfrm>
                      <a:off x="0" y="0"/>
                      <a:ext cx="3089415" cy="1126807"/>
                    </a:xfrm>
                    <a:prstGeom prst="rect">
                      <a:avLst/>
                    </a:prstGeom>
                  </pic:spPr>
                </pic:pic>
              </a:graphicData>
            </a:graphic>
          </wp:anchor>
        </w:drawing>
      </w:r>
    </w:p>
    <w:p>
      <w:pPr>
        <w:spacing w:before="118"/>
        <w:ind w:left="2168" w:right="155" w:firstLine="0"/>
        <w:jc w:val="left"/>
        <w:rPr>
          <w:sz w:val="20"/>
        </w:rPr>
      </w:pPr>
      <w:bookmarkStart w:name="_bookmark41" w:id="70"/>
      <w:bookmarkEnd w:id="70"/>
      <w:r>
        <w:rPr/>
      </w:r>
      <w:r>
        <w:rPr>
          <w:sz w:val="20"/>
        </w:rPr>
        <w:t>Figura 11. Cámara de ionización Scanditronix FC65-P</w:t>
      </w:r>
    </w:p>
    <w:p>
      <w:pPr>
        <w:pStyle w:val="BodyText"/>
        <w:rPr>
          <w:sz w:val="20"/>
        </w:rPr>
      </w:pPr>
    </w:p>
    <w:p>
      <w:pPr>
        <w:pStyle w:val="BodyText"/>
        <w:spacing w:before="11"/>
        <w:rPr>
          <w:sz w:val="19"/>
        </w:rPr>
      </w:pPr>
    </w:p>
    <w:p>
      <w:pPr>
        <w:pStyle w:val="Heading6"/>
        <w:numPr>
          <w:ilvl w:val="1"/>
          <w:numId w:val="2"/>
        </w:numPr>
        <w:tabs>
          <w:tab w:pos="893" w:val="left" w:leader="none"/>
        </w:tabs>
        <w:spacing w:line="240" w:lineRule="auto" w:before="0" w:after="0"/>
        <w:ind w:left="893" w:right="0" w:hanging="433"/>
        <w:jc w:val="left"/>
      </w:pPr>
      <w:bookmarkStart w:name="_bookmark42" w:id="71"/>
      <w:bookmarkEnd w:id="71"/>
      <w:r>
        <w:rPr>
          <w:b w:val="0"/>
        </w:rPr>
      </w:r>
      <w:bookmarkStart w:name="_bookmark42" w:id="72"/>
      <w:bookmarkEnd w:id="72"/>
      <w:r>
        <w:rPr/>
        <w:t>E</w:t>
      </w:r>
      <w:r>
        <w:rPr/>
        <w:t>lectrómetro</w:t>
      </w:r>
    </w:p>
    <w:p>
      <w:pPr>
        <w:pStyle w:val="BodyText"/>
        <w:rPr>
          <w:b/>
        </w:rPr>
      </w:pPr>
    </w:p>
    <w:p>
      <w:pPr>
        <w:pStyle w:val="BodyText"/>
        <w:spacing w:before="8"/>
        <w:rPr>
          <w:b/>
          <w:sz w:val="19"/>
        </w:rPr>
      </w:pPr>
    </w:p>
    <w:p>
      <w:pPr>
        <w:pStyle w:val="BodyText"/>
        <w:spacing w:line="360" w:lineRule="auto"/>
        <w:ind w:left="100" w:right="126"/>
        <w:jc w:val="both"/>
      </w:pPr>
      <w:r>
        <w:rPr/>
        <w:t>Se utilizó un electrómetro marca Wellhofer modelo Scanditronix Dose 1. Este una unidad portable, de un solo canal, y puede adaptarse a cámaras de ionización, detectores semiconductores y de diamante. El voltaje de colección es de +300 V, tiene un rango de colección de cargas de 40 pC a 1 C y puede detectar corrientes de 40 pA a 100 nA.</w:t>
      </w:r>
    </w:p>
    <w:p>
      <w:pPr>
        <w:spacing w:after="0" w:line="360" w:lineRule="auto"/>
        <w:jc w:val="both"/>
        <w:sectPr>
          <w:pgSz w:w="12240" w:h="15840"/>
          <w:pgMar w:header="0" w:footer="1034" w:top="1360" w:bottom="1220" w:left="1600" w:right="1580"/>
        </w:sectPr>
      </w:pPr>
    </w:p>
    <w:p>
      <w:pPr>
        <w:pStyle w:val="BodyText"/>
        <w:ind w:left="2598"/>
        <w:rPr>
          <w:sz w:val="20"/>
        </w:rPr>
      </w:pPr>
      <w:r>
        <w:rPr>
          <w:sz w:val="20"/>
        </w:rPr>
        <w:drawing>
          <wp:inline distT="0" distB="0" distL="0" distR="0">
            <wp:extent cx="2454102" cy="1953958"/>
            <wp:effectExtent l="0" t="0" r="0" b="0"/>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26" cstate="print"/>
                    <a:stretch>
                      <a:fillRect/>
                    </a:stretch>
                  </pic:blipFill>
                  <pic:spPr>
                    <a:xfrm>
                      <a:off x="0" y="0"/>
                      <a:ext cx="2454102" cy="1953958"/>
                    </a:xfrm>
                    <a:prstGeom prst="rect">
                      <a:avLst/>
                    </a:prstGeom>
                  </pic:spPr>
                </pic:pic>
              </a:graphicData>
            </a:graphic>
          </wp:inline>
        </w:drawing>
      </w:r>
      <w:r>
        <w:rPr>
          <w:sz w:val="20"/>
        </w:rPr>
      </w:r>
    </w:p>
    <w:p>
      <w:pPr>
        <w:spacing w:before="95"/>
        <w:ind w:left="213" w:right="240" w:firstLine="0"/>
        <w:jc w:val="center"/>
        <w:rPr>
          <w:sz w:val="20"/>
        </w:rPr>
      </w:pPr>
      <w:bookmarkStart w:name="_bookmark43" w:id="73"/>
      <w:bookmarkEnd w:id="73"/>
      <w:r>
        <w:rPr/>
      </w:r>
      <w:r>
        <w:rPr>
          <w:sz w:val="20"/>
        </w:rPr>
        <w:t>Figura 12. Electrómetro Wellhofer Scanditronix Dose 1</w:t>
      </w:r>
    </w:p>
    <w:p>
      <w:pPr>
        <w:pStyle w:val="BodyText"/>
        <w:rPr>
          <w:sz w:val="20"/>
        </w:rPr>
      </w:pPr>
    </w:p>
    <w:p>
      <w:pPr>
        <w:pStyle w:val="BodyText"/>
        <w:spacing w:before="5"/>
      </w:pPr>
    </w:p>
    <w:p>
      <w:pPr>
        <w:pStyle w:val="Heading6"/>
        <w:numPr>
          <w:ilvl w:val="1"/>
          <w:numId w:val="2"/>
        </w:numPr>
        <w:tabs>
          <w:tab w:pos="1516" w:val="left" w:leader="none"/>
          <w:tab w:pos="1517" w:val="left" w:leader="none"/>
        </w:tabs>
        <w:spacing w:line="240" w:lineRule="auto" w:before="0" w:after="0"/>
        <w:ind w:left="1517" w:right="0" w:hanging="1057"/>
        <w:jc w:val="left"/>
      </w:pPr>
      <w:bookmarkStart w:name="_bookmark44" w:id="74"/>
      <w:bookmarkEnd w:id="74"/>
      <w:r>
        <w:rPr>
          <w:b w:val="0"/>
        </w:rPr>
      </w:r>
      <w:bookmarkStart w:name="_bookmark44" w:id="75"/>
      <w:bookmarkEnd w:id="75"/>
      <w:r>
        <w:rPr/>
        <w:t>E</w:t>
      </w:r>
      <w:r>
        <w:rPr/>
        <w:t>scáner Epson  Expression</w:t>
      </w:r>
      <w:r>
        <w:rPr>
          <w:spacing w:val="-10"/>
        </w:rPr>
        <w:t> </w:t>
      </w:r>
      <w:r>
        <w:rPr/>
        <w:t>10000XL</w:t>
      </w:r>
    </w:p>
    <w:p>
      <w:pPr>
        <w:pStyle w:val="BodyText"/>
        <w:rPr>
          <w:b/>
        </w:rPr>
      </w:pPr>
    </w:p>
    <w:p>
      <w:pPr>
        <w:pStyle w:val="BodyText"/>
        <w:spacing w:line="360" w:lineRule="auto" w:before="128"/>
        <w:ind w:left="100" w:right="116"/>
        <w:jc w:val="both"/>
      </w:pPr>
      <w:r>
        <w:rPr/>
        <w:t>Para digitalizar las películas radiocrómicas de los tratamientos de los pacientes, así como para llevar a cabo su curva de calibración de utilizo el escáner de cama plana en color Epson Expression 10000XL. Este escáner se recomienda por los fabricantes de las películas EBT3, y su uso se encuentra bien documentado en la literatura. Tiene una resolución de 2400 x 4800 ppp y 48 bits en color, un área de lectura de 310 x 437 mm, y cuenta con una lámpara fluorescente de Xenon de catodo frio como fuente de luz. El manejo</w:t>
      </w:r>
      <w:r>
        <w:rPr>
          <w:spacing w:val="-4"/>
        </w:rPr>
        <w:t> </w:t>
      </w:r>
      <w:r>
        <w:rPr/>
        <w:t>de</w:t>
      </w:r>
      <w:r>
        <w:rPr>
          <w:spacing w:val="-3"/>
        </w:rPr>
        <w:t> </w:t>
      </w:r>
      <w:r>
        <w:rPr/>
        <w:t>las</w:t>
      </w:r>
      <w:r>
        <w:rPr>
          <w:spacing w:val="-4"/>
        </w:rPr>
        <w:t> </w:t>
      </w:r>
      <w:r>
        <w:rPr/>
        <w:t>imágenes</w:t>
      </w:r>
      <w:r>
        <w:rPr>
          <w:spacing w:val="-4"/>
        </w:rPr>
        <w:t> </w:t>
      </w:r>
      <w:r>
        <w:rPr/>
        <w:t>escaneadas</w:t>
      </w:r>
      <w:r>
        <w:rPr>
          <w:spacing w:val="-4"/>
        </w:rPr>
        <w:t> </w:t>
      </w:r>
      <w:r>
        <w:rPr/>
        <w:t>se</w:t>
      </w:r>
      <w:r>
        <w:rPr>
          <w:spacing w:val="-3"/>
        </w:rPr>
        <w:t> </w:t>
      </w:r>
      <w:r>
        <w:rPr/>
        <w:t>hace</w:t>
      </w:r>
      <w:r>
        <w:rPr>
          <w:spacing w:val="-3"/>
        </w:rPr>
        <w:t> </w:t>
      </w:r>
      <w:r>
        <w:rPr/>
        <w:t>con</w:t>
      </w:r>
      <w:r>
        <w:rPr>
          <w:spacing w:val="-7"/>
        </w:rPr>
        <w:t> </w:t>
      </w:r>
      <w:r>
        <w:rPr/>
        <w:t>el</w:t>
      </w:r>
      <w:r>
        <w:rPr>
          <w:spacing w:val="-4"/>
        </w:rPr>
        <w:t> </w:t>
      </w:r>
      <w:r>
        <w:rPr/>
        <w:t>software</w:t>
      </w:r>
      <w:r>
        <w:rPr>
          <w:spacing w:val="-3"/>
        </w:rPr>
        <w:t> </w:t>
      </w:r>
      <w:r>
        <w:rPr/>
        <w:t>Epson</w:t>
      </w:r>
      <w:r>
        <w:rPr>
          <w:spacing w:val="-7"/>
        </w:rPr>
        <w:t> </w:t>
      </w:r>
      <w:r>
        <w:rPr/>
        <w:t>Scan.</w:t>
      </w:r>
    </w:p>
    <w:p>
      <w:pPr>
        <w:pStyle w:val="BodyText"/>
        <w:spacing w:before="8"/>
        <w:rPr>
          <w:sz w:val="29"/>
        </w:rPr>
      </w:pPr>
      <w:r>
        <w:rPr/>
        <w:drawing>
          <wp:anchor distT="0" distB="0" distL="0" distR="0" allowOverlap="1" layoutInCell="1" locked="0" behindDoc="0" simplePos="0" relativeHeight="1744">
            <wp:simplePos x="0" y="0"/>
            <wp:positionH relativeFrom="page">
              <wp:posOffset>2476500</wp:posOffset>
            </wp:positionH>
            <wp:positionV relativeFrom="paragraph">
              <wp:posOffset>239256</wp:posOffset>
            </wp:positionV>
            <wp:extent cx="2785905" cy="2088832"/>
            <wp:effectExtent l="0" t="0" r="0" b="0"/>
            <wp:wrapTopAndBottom/>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27" cstate="print"/>
                    <a:stretch>
                      <a:fillRect/>
                    </a:stretch>
                  </pic:blipFill>
                  <pic:spPr>
                    <a:xfrm>
                      <a:off x="0" y="0"/>
                      <a:ext cx="2785905" cy="2088832"/>
                    </a:xfrm>
                    <a:prstGeom prst="rect">
                      <a:avLst/>
                    </a:prstGeom>
                  </pic:spPr>
                </pic:pic>
              </a:graphicData>
            </a:graphic>
          </wp:anchor>
        </w:drawing>
      </w:r>
    </w:p>
    <w:p>
      <w:pPr>
        <w:pStyle w:val="BodyText"/>
        <w:spacing w:before="8"/>
        <w:rPr>
          <w:sz w:val="24"/>
        </w:rPr>
      </w:pPr>
    </w:p>
    <w:p>
      <w:pPr>
        <w:spacing w:before="0"/>
        <w:ind w:left="215" w:right="240" w:firstLine="0"/>
        <w:jc w:val="center"/>
        <w:rPr>
          <w:sz w:val="20"/>
        </w:rPr>
      </w:pPr>
      <w:bookmarkStart w:name="_bookmark45" w:id="76"/>
      <w:bookmarkEnd w:id="76"/>
      <w:r>
        <w:rPr/>
      </w:r>
      <w:r>
        <w:rPr>
          <w:sz w:val="20"/>
        </w:rPr>
        <w:t>Figura 13. Escaner Epson Expression 10000XL</w:t>
      </w:r>
    </w:p>
    <w:p>
      <w:pPr>
        <w:spacing w:after="0"/>
        <w:jc w:val="center"/>
        <w:rPr>
          <w:sz w:val="20"/>
        </w:rPr>
        <w:sectPr>
          <w:pgSz w:w="12240" w:h="15840"/>
          <w:pgMar w:header="0" w:footer="1034" w:top="1420" w:bottom="1220" w:left="1600" w:right="1580"/>
        </w:sectPr>
      </w:pPr>
    </w:p>
    <w:p>
      <w:pPr>
        <w:pStyle w:val="Heading6"/>
        <w:numPr>
          <w:ilvl w:val="1"/>
          <w:numId w:val="2"/>
        </w:numPr>
        <w:tabs>
          <w:tab w:pos="894" w:val="left" w:leader="none"/>
        </w:tabs>
        <w:spacing w:line="240" w:lineRule="auto" w:before="55" w:after="0"/>
        <w:ind w:left="893" w:right="0" w:hanging="433"/>
        <w:jc w:val="left"/>
      </w:pPr>
      <w:bookmarkStart w:name="_bookmark46" w:id="77"/>
      <w:bookmarkEnd w:id="77"/>
      <w:r>
        <w:rPr>
          <w:b w:val="0"/>
        </w:rPr>
      </w:r>
      <w:bookmarkStart w:name="_bookmark46" w:id="78"/>
      <w:bookmarkEnd w:id="78"/>
      <w:r>
        <w:rPr/>
        <w:t>E</w:t>
      </w:r>
      <w:r>
        <w:rPr/>
        <w:t>scáner Vidar DosimetryPro Advantage</w:t>
      </w:r>
      <w:r>
        <w:rPr>
          <w:spacing w:val="-17"/>
        </w:rPr>
        <w:t> </w:t>
      </w:r>
      <w:r>
        <w:rPr/>
        <w:t>(Red)</w:t>
      </w:r>
    </w:p>
    <w:p>
      <w:pPr>
        <w:pStyle w:val="BodyText"/>
        <w:rPr>
          <w:b/>
        </w:rPr>
      </w:pPr>
    </w:p>
    <w:p>
      <w:pPr>
        <w:pStyle w:val="BodyText"/>
        <w:spacing w:line="360" w:lineRule="auto" w:before="128"/>
        <w:ind w:left="100" w:right="116"/>
        <w:jc w:val="both"/>
      </w:pPr>
      <w:r>
        <w:rPr/>
        <w:t>Es un digitalizador de películas radiocrómicas y radiográficas, desarrollado específicamente para propósitos de dosimetría y control de calidad en tratamientos de IMRT. Cuenta con una resolución entre 71.25 y 285 DPI (Dots Per Inch, siglas en inglés), con 65,536 tonos de grises para una mayor precisión en la zona de penumbra, utiliza una matriz de fotodiodos como fuente de luz, (espectro del rojo),  con un máximo de emisión  en 627 nm, y tiene un rango de detección de densidades ópticas entre 0 y 4. El equipo se encuentra integrado con el software Mephysto para el análisis de las</w:t>
      </w:r>
      <w:r>
        <w:rPr>
          <w:spacing w:val="11"/>
        </w:rPr>
        <w:t> </w:t>
      </w:r>
      <w:r>
        <w:rPr/>
        <w:t>imágenes.</w:t>
      </w:r>
    </w:p>
    <w:p>
      <w:pPr>
        <w:pStyle w:val="BodyText"/>
        <w:spacing w:before="9"/>
        <w:rPr>
          <w:sz w:val="29"/>
        </w:rPr>
      </w:pPr>
      <w:r>
        <w:rPr/>
        <w:drawing>
          <wp:anchor distT="0" distB="0" distL="0" distR="0" allowOverlap="1" layoutInCell="1" locked="0" behindDoc="0" simplePos="0" relativeHeight="1768">
            <wp:simplePos x="0" y="0"/>
            <wp:positionH relativeFrom="page">
              <wp:posOffset>1828800</wp:posOffset>
            </wp:positionH>
            <wp:positionV relativeFrom="paragraph">
              <wp:posOffset>239891</wp:posOffset>
            </wp:positionV>
            <wp:extent cx="4149922" cy="2761869"/>
            <wp:effectExtent l="0" t="0" r="0" b="0"/>
            <wp:wrapTopAndBottom/>
            <wp:docPr id="35" name="image20.png" descr=""/>
            <wp:cNvGraphicFramePr>
              <a:graphicFrameLocks noChangeAspect="1"/>
            </wp:cNvGraphicFramePr>
            <a:graphic>
              <a:graphicData uri="http://schemas.openxmlformats.org/drawingml/2006/picture">
                <pic:pic>
                  <pic:nvPicPr>
                    <pic:cNvPr id="36" name="image20.png"/>
                    <pic:cNvPicPr/>
                  </pic:nvPicPr>
                  <pic:blipFill>
                    <a:blip r:embed="rId28" cstate="print"/>
                    <a:stretch>
                      <a:fillRect/>
                    </a:stretch>
                  </pic:blipFill>
                  <pic:spPr>
                    <a:xfrm>
                      <a:off x="0" y="0"/>
                      <a:ext cx="4149922" cy="2761869"/>
                    </a:xfrm>
                    <a:prstGeom prst="rect">
                      <a:avLst/>
                    </a:prstGeom>
                  </pic:spPr>
                </pic:pic>
              </a:graphicData>
            </a:graphic>
          </wp:anchor>
        </w:drawing>
      </w:r>
    </w:p>
    <w:p>
      <w:pPr>
        <w:spacing w:before="61"/>
        <w:ind w:left="2301" w:right="155" w:firstLine="0"/>
        <w:jc w:val="left"/>
        <w:rPr>
          <w:sz w:val="20"/>
        </w:rPr>
      </w:pPr>
      <w:bookmarkStart w:name="_bookmark47" w:id="79"/>
      <w:bookmarkEnd w:id="79"/>
      <w:r>
        <w:rPr/>
      </w:r>
      <w:r>
        <w:rPr>
          <w:sz w:val="20"/>
        </w:rPr>
        <w:t>Figura 14. Escáner Vidar DosimetryPro Advantege</w:t>
      </w:r>
    </w:p>
    <w:p>
      <w:pPr>
        <w:pStyle w:val="BodyText"/>
        <w:rPr>
          <w:sz w:val="20"/>
        </w:rPr>
      </w:pPr>
    </w:p>
    <w:p>
      <w:pPr>
        <w:pStyle w:val="BodyText"/>
        <w:spacing w:before="5"/>
      </w:pPr>
    </w:p>
    <w:p>
      <w:pPr>
        <w:pStyle w:val="Heading6"/>
        <w:numPr>
          <w:ilvl w:val="1"/>
          <w:numId w:val="2"/>
        </w:numPr>
        <w:tabs>
          <w:tab w:pos="1516" w:val="left" w:leader="none"/>
          <w:tab w:pos="1517" w:val="left" w:leader="none"/>
        </w:tabs>
        <w:spacing w:line="240" w:lineRule="auto" w:before="0" w:after="0"/>
        <w:ind w:left="1517" w:right="0" w:hanging="1057"/>
        <w:jc w:val="left"/>
      </w:pPr>
      <w:bookmarkStart w:name="_bookmark48" w:id="80"/>
      <w:bookmarkEnd w:id="80"/>
      <w:r>
        <w:rPr>
          <w:b w:val="0"/>
        </w:rPr>
      </w:r>
      <w:bookmarkStart w:name="_bookmark48" w:id="81"/>
      <w:bookmarkEnd w:id="81"/>
      <w:r>
        <w:rPr/>
        <w:t>P</w:t>
      </w:r>
      <w:r>
        <w:rPr/>
        <w:t>rocesadora de películas radiográficas Kodak M35</w:t>
      </w:r>
      <w:r>
        <w:rPr>
          <w:spacing w:val="-20"/>
        </w:rPr>
        <w:t> </w:t>
      </w:r>
      <w:r>
        <w:rPr/>
        <w:t>X-Omat</w:t>
      </w:r>
    </w:p>
    <w:p>
      <w:pPr>
        <w:pStyle w:val="BodyText"/>
        <w:spacing w:before="10"/>
        <w:rPr>
          <w:b/>
          <w:sz w:val="32"/>
        </w:rPr>
      </w:pPr>
    </w:p>
    <w:p>
      <w:pPr>
        <w:pStyle w:val="BodyText"/>
        <w:spacing w:line="360" w:lineRule="auto"/>
        <w:ind w:left="100" w:right="117"/>
        <w:jc w:val="both"/>
      </w:pPr>
      <w:r>
        <w:rPr/>
        <w:t>La procesadora Kodak M35 X-Omat es un equipo diseñado para realizar de forma automática los pasos necesarios en el proceso de revelado de películas radiográficas (revelado, fijado, lavado y secado), ya sean de uso médico o en rollo. Cuenta con tres secciones, por donde la película es transportada a través de un sistema de rodillos, y su velocidad de procesado para una película de 24 pulgadas es de 2 minutos 20 segundos. La temperatura de revelado es de 33.3 °C, con un tiempo de inmersión en solución reveladora de 33 segundos.</w:t>
      </w:r>
    </w:p>
    <w:p>
      <w:pPr>
        <w:spacing w:after="0" w:line="360" w:lineRule="auto"/>
        <w:jc w:val="both"/>
        <w:sectPr>
          <w:pgSz w:w="12240" w:h="15840"/>
          <w:pgMar w:header="0" w:footer="1034" w:top="1360" w:bottom="1220" w:left="1600" w:right="1580"/>
        </w:sectPr>
      </w:pPr>
    </w:p>
    <w:p>
      <w:pPr>
        <w:pStyle w:val="BodyText"/>
        <w:ind w:left="439"/>
        <w:rPr>
          <w:sz w:val="20"/>
        </w:rPr>
      </w:pPr>
      <w:r>
        <w:rPr>
          <w:sz w:val="20"/>
        </w:rPr>
        <w:drawing>
          <wp:inline distT="0" distB="0" distL="0" distR="0">
            <wp:extent cx="5230282" cy="1961387"/>
            <wp:effectExtent l="0" t="0" r="0" b="0"/>
            <wp:docPr id="37" name="image21.png" descr=""/>
            <wp:cNvGraphicFramePr>
              <a:graphicFrameLocks noChangeAspect="1"/>
            </wp:cNvGraphicFramePr>
            <a:graphic>
              <a:graphicData uri="http://schemas.openxmlformats.org/drawingml/2006/picture">
                <pic:pic>
                  <pic:nvPicPr>
                    <pic:cNvPr id="38" name="image21.png"/>
                    <pic:cNvPicPr/>
                  </pic:nvPicPr>
                  <pic:blipFill>
                    <a:blip r:embed="rId29" cstate="print"/>
                    <a:stretch>
                      <a:fillRect/>
                    </a:stretch>
                  </pic:blipFill>
                  <pic:spPr>
                    <a:xfrm>
                      <a:off x="0" y="0"/>
                      <a:ext cx="5230282" cy="1961387"/>
                    </a:xfrm>
                    <a:prstGeom prst="rect">
                      <a:avLst/>
                    </a:prstGeom>
                  </pic:spPr>
                </pic:pic>
              </a:graphicData>
            </a:graphic>
          </wp:inline>
        </w:drawing>
      </w:r>
      <w:r>
        <w:rPr>
          <w:sz w:val="20"/>
        </w:rPr>
      </w:r>
    </w:p>
    <w:p>
      <w:pPr>
        <w:spacing w:before="88"/>
        <w:ind w:left="2649" w:right="155" w:firstLine="0"/>
        <w:jc w:val="left"/>
        <w:rPr>
          <w:sz w:val="20"/>
        </w:rPr>
      </w:pPr>
      <w:bookmarkStart w:name="_bookmark49" w:id="82"/>
      <w:bookmarkEnd w:id="82"/>
      <w:r>
        <w:rPr/>
      </w:r>
      <w:r>
        <w:rPr>
          <w:sz w:val="20"/>
        </w:rPr>
        <w:t>Figura 15. Procesador Kodak M35 X-Omat</w:t>
      </w:r>
    </w:p>
    <w:p>
      <w:pPr>
        <w:pStyle w:val="BodyText"/>
        <w:rPr>
          <w:sz w:val="20"/>
        </w:rPr>
      </w:pPr>
    </w:p>
    <w:p>
      <w:pPr>
        <w:pStyle w:val="BodyText"/>
        <w:spacing w:before="5"/>
      </w:pPr>
    </w:p>
    <w:p>
      <w:pPr>
        <w:pStyle w:val="Heading6"/>
        <w:numPr>
          <w:ilvl w:val="1"/>
          <w:numId w:val="2"/>
        </w:numPr>
        <w:tabs>
          <w:tab w:pos="1516" w:val="left" w:leader="none"/>
          <w:tab w:pos="1517" w:val="left" w:leader="none"/>
        </w:tabs>
        <w:spacing w:line="240" w:lineRule="auto" w:before="0" w:after="0"/>
        <w:ind w:left="1517" w:right="0" w:hanging="1057"/>
        <w:jc w:val="left"/>
      </w:pPr>
      <w:bookmarkStart w:name="_bookmark50" w:id="83"/>
      <w:bookmarkEnd w:id="83"/>
      <w:r>
        <w:rPr>
          <w:b w:val="0"/>
        </w:rPr>
      </w:r>
      <w:bookmarkStart w:name="_bookmark50" w:id="84"/>
      <w:bookmarkEnd w:id="84"/>
      <w:r>
        <w:rPr/>
        <w:t>S</w:t>
      </w:r>
      <w:r>
        <w:rPr/>
        <w:t>istema de planeación Eclipse</w:t>
      </w:r>
      <w:r>
        <w:rPr>
          <w:spacing w:val="-12"/>
        </w:rPr>
        <w:t> </w:t>
      </w:r>
      <w:r>
        <w:rPr/>
        <w:t>1.0</w:t>
      </w:r>
    </w:p>
    <w:p>
      <w:pPr>
        <w:pStyle w:val="BodyText"/>
        <w:spacing w:before="10"/>
        <w:rPr>
          <w:b/>
          <w:sz w:val="32"/>
        </w:rPr>
      </w:pPr>
    </w:p>
    <w:p>
      <w:pPr>
        <w:pStyle w:val="BodyText"/>
        <w:spacing w:line="360" w:lineRule="auto"/>
        <w:ind w:left="100" w:right="118"/>
        <w:jc w:val="both"/>
      </w:pPr>
      <w:r>
        <w:rPr/>
        <w:t>Para la planeación de los tratamientos se utilizó el sistema de Varian, Eclipse 1.0. El sistema permite exportar imágenes de </w:t>
      </w:r>
      <w:r>
        <w:rPr>
          <w:spacing w:val="-3"/>
        </w:rPr>
        <w:t>TC </w:t>
      </w:r>
      <w:r>
        <w:rPr/>
        <w:t>e integrarlas en su entorno </w:t>
      </w:r>
      <w:r>
        <w:rPr>
          <w:spacing w:val="2"/>
        </w:rPr>
        <w:t>para </w:t>
      </w:r>
      <w:r>
        <w:rPr/>
        <w:t>llevar a cabo planeaciones de IMRT y radioterapia convencional. En este trabajo, la opción de cálculo utilizada fue el algoritmo AAA, integrado al</w:t>
      </w:r>
      <w:r>
        <w:rPr>
          <w:spacing w:val="-26"/>
        </w:rPr>
        <w:t> </w:t>
      </w:r>
      <w:r>
        <w:rPr/>
        <w:t>software.</w:t>
      </w:r>
    </w:p>
    <w:p>
      <w:pPr>
        <w:pStyle w:val="BodyText"/>
      </w:pPr>
    </w:p>
    <w:p>
      <w:pPr>
        <w:pStyle w:val="Heading6"/>
        <w:numPr>
          <w:ilvl w:val="1"/>
          <w:numId w:val="2"/>
        </w:numPr>
        <w:tabs>
          <w:tab w:pos="1516" w:val="left" w:leader="none"/>
          <w:tab w:pos="1517" w:val="left" w:leader="none"/>
        </w:tabs>
        <w:spacing w:line="240" w:lineRule="auto" w:before="127" w:after="0"/>
        <w:ind w:left="1517" w:right="0" w:hanging="1057"/>
        <w:jc w:val="left"/>
      </w:pPr>
      <w:bookmarkStart w:name="_bookmark51" w:id="85"/>
      <w:bookmarkEnd w:id="85"/>
      <w:r>
        <w:rPr>
          <w:b w:val="0"/>
        </w:rPr>
      </w:r>
      <w:bookmarkStart w:name="_bookmark51" w:id="86"/>
      <w:bookmarkEnd w:id="86"/>
      <w:r>
        <w:rPr/>
        <w:t>I</w:t>
      </w:r>
      <w:r>
        <w:rPr/>
        <w:t>mage J</w:t>
      </w:r>
    </w:p>
    <w:p>
      <w:pPr>
        <w:pStyle w:val="BodyText"/>
        <w:spacing w:before="10"/>
        <w:rPr>
          <w:b/>
          <w:sz w:val="32"/>
        </w:rPr>
      </w:pPr>
    </w:p>
    <w:p>
      <w:pPr>
        <w:pStyle w:val="BodyText"/>
        <w:spacing w:line="360" w:lineRule="auto"/>
        <w:ind w:left="100" w:right="113"/>
        <w:jc w:val="both"/>
      </w:pPr>
      <w:r>
        <w:rPr/>
        <w:t>Para el procesamiento de las imágenes escaneadas, provenientes de las muestras de las películas radiocrómicas, se utilizó el programa Image J. Es un software libre que permite la lectura de imágenes de diversos formatos, y es capaz de realizar análisis estadísticos en base a pixeles, determinación de regiones de interés y desglose de la información de las imágenes por canales de</w:t>
      </w:r>
      <w:r>
        <w:rPr>
          <w:spacing w:val="-13"/>
        </w:rPr>
        <w:t> </w:t>
      </w:r>
      <w:r>
        <w:rPr/>
        <w:t>color.</w:t>
      </w:r>
    </w:p>
    <w:p>
      <w:pPr>
        <w:pStyle w:val="BodyText"/>
      </w:pPr>
    </w:p>
    <w:p>
      <w:pPr>
        <w:pStyle w:val="Heading6"/>
        <w:numPr>
          <w:ilvl w:val="1"/>
          <w:numId w:val="2"/>
        </w:numPr>
        <w:tabs>
          <w:tab w:pos="1516" w:val="left" w:leader="none"/>
          <w:tab w:pos="1517" w:val="left" w:leader="none"/>
        </w:tabs>
        <w:spacing w:line="240" w:lineRule="auto" w:before="127" w:after="0"/>
        <w:ind w:left="1517" w:right="0" w:hanging="1057"/>
        <w:jc w:val="left"/>
      </w:pPr>
      <w:bookmarkStart w:name="_bookmark52" w:id="87"/>
      <w:bookmarkEnd w:id="87"/>
      <w:r>
        <w:rPr>
          <w:b w:val="0"/>
        </w:rPr>
      </w:r>
      <w:bookmarkStart w:name="_bookmark52" w:id="88"/>
      <w:bookmarkEnd w:id="88"/>
      <w:r>
        <w:rPr/>
        <w:t>M</w:t>
      </w:r>
      <w:r>
        <w:rPr/>
        <w:t>ephysto</w:t>
      </w:r>
    </w:p>
    <w:p>
      <w:pPr>
        <w:pStyle w:val="BodyText"/>
        <w:rPr>
          <w:b/>
        </w:rPr>
      </w:pPr>
    </w:p>
    <w:p>
      <w:pPr>
        <w:pStyle w:val="BodyText"/>
        <w:spacing w:before="8"/>
        <w:rPr>
          <w:b/>
          <w:sz w:val="19"/>
        </w:rPr>
      </w:pPr>
    </w:p>
    <w:p>
      <w:pPr>
        <w:pStyle w:val="BodyText"/>
        <w:spacing w:line="360" w:lineRule="auto"/>
        <w:ind w:left="100" w:right="116"/>
        <w:jc w:val="both"/>
      </w:pPr>
      <w:r>
        <w:rPr/>
        <w:t>El nombre Mephysto es la forma abreviada de “Medical Physics Tool”. El software fue desarrollado por la compañía </w:t>
      </w:r>
      <w:r>
        <w:rPr>
          <w:i/>
        </w:rPr>
        <w:t>PTW Freiburg GmbH, </w:t>
      </w:r>
      <w:r>
        <w:rPr/>
        <w:t>como herramienta para la adquisición y análisis de datos en tareas de dosimetría, control de calidad y comisionamiento de equipos. Es una plataforma flexible que permite la integración de módulos específicos para el análisis de parámetros del haz, verificación de la posición de las hojas del colimador, dosimetría absoluta y con película. Entre estos módulos pueden mencionarse FilmCal, que permite la lectura de densidad óptica y la integración de esta información para la interpretación  de  películas,  al  expresar  su  oscurecimiento  como  valores  de  dosis.    El</w:t>
      </w:r>
    </w:p>
    <w:p>
      <w:pPr>
        <w:spacing w:after="0" w:line="360" w:lineRule="auto"/>
        <w:jc w:val="both"/>
        <w:sectPr>
          <w:pgSz w:w="12240" w:h="15840"/>
          <w:pgMar w:header="0" w:footer="1034" w:top="1420" w:bottom="1220" w:left="1600" w:right="1580"/>
        </w:sectPr>
      </w:pPr>
    </w:p>
    <w:p>
      <w:pPr>
        <w:pStyle w:val="BodyText"/>
        <w:spacing w:line="360" w:lineRule="auto" w:before="55"/>
        <w:ind w:left="100" w:right="129"/>
        <w:jc w:val="both"/>
      </w:pPr>
      <w:r>
        <w:rPr/>
        <w:t>programa se encuentra integrado con el escáner Vidar, de tal forma que el control, registro y análisis de las mediciones se lleva a cabo desde la computadora en la cual se encuentra instalado.</w:t>
      </w:r>
    </w:p>
    <w:p>
      <w:pPr>
        <w:pStyle w:val="BodyText"/>
        <w:spacing w:before="9"/>
        <w:rPr>
          <w:sz w:val="32"/>
        </w:rPr>
      </w:pPr>
    </w:p>
    <w:p>
      <w:pPr>
        <w:pStyle w:val="Heading6"/>
        <w:numPr>
          <w:ilvl w:val="1"/>
          <w:numId w:val="2"/>
        </w:numPr>
        <w:tabs>
          <w:tab w:pos="1516" w:val="left" w:leader="none"/>
          <w:tab w:pos="1517" w:val="left" w:leader="none"/>
        </w:tabs>
        <w:spacing w:line="240" w:lineRule="auto" w:before="0" w:after="0"/>
        <w:ind w:left="1517" w:right="0" w:hanging="1057"/>
        <w:jc w:val="left"/>
      </w:pPr>
      <w:bookmarkStart w:name="_bookmark53" w:id="89"/>
      <w:bookmarkEnd w:id="89"/>
      <w:r>
        <w:rPr>
          <w:b w:val="0"/>
        </w:rPr>
      </w:r>
      <w:bookmarkStart w:name="_bookmark53" w:id="90"/>
      <w:bookmarkEnd w:id="90"/>
      <w:r>
        <w:rPr/>
        <w:t>V</w:t>
      </w:r>
      <w:r>
        <w:rPr/>
        <w:t>erisoft</w:t>
      </w:r>
    </w:p>
    <w:p>
      <w:pPr>
        <w:pStyle w:val="BodyText"/>
        <w:rPr>
          <w:b/>
        </w:rPr>
      </w:pPr>
    </w:p>
    <w:p>
      <w:pPr>
        <w:pStyle w:val="BodyText"/>
        <w:spacing w:before="8"/>
        <w:rPr>
          <w:b/>
          <w:sz w:val="19"/>
        </w:rPr>
      </w:pPr>
    </w:p>
    <w:p>
      <w:pPr>
        <w:pStyle w:val="BodyText"/>
        <w:spacing w:line="360" w:lineRule="auto"/>
        <w:ind w:left="100" w:right="117"/>
        <w:jc w:val="both"/>
      </w:pPr>
      <w:r>
        <w:rPr/>
        <w:t>Para el análisis de la distribución de dosis de las películas radiocrómicas y radiográficas se utilizó el software Verisoft, desarrollado por PTW, al igual que Mephysto. Este software permite realizar comparaciones de dosis en control de calidad de IMRT con películas, fantomas de verificación o arreglos de cámaras de ionización, con las distribuciones calculadas por el sistema de planeación. Cuenta con diversas herramientas para el análisis de datos, (incluyendo el cálculo del índice gamma), así como para la visualización de los resultados (histogramas, superposición de perfiles de distribución de dosis, localización y cuantificación    de    desviaciones    en    la    dosis    medida    y    calculada,    entre   otros).</w:t>
      </w:r>
    </w:p>
    <w:p>
      <w:pPr>
        <w:spacing w:after="0" w:line="360" w:lineRule="auto"/>
        <w:jc w:val="both"/>
        <w:sectPr>
          <w:pgSz w:w="12240" w:h="15840"/>
          <w:pgMar w:header="0" w:footer="1034" w:top="1360" w:bottom="1220" w:left="1600" w:right="1580"/>
        </w:sectPr>
      </w:pPr>
    </w:p>
    <w:p>
      <w:pPr>
        <w:pStyle w:val="Heading1"/>
        <w:numPr>
          <w:ilvl w:val="0"/>
          <w:numId w:val="2"/>
        </w:numPr>
        <w:tabs>
          <w:tab w:pos="461" w:val="left" w:leader="none"/>
        </w:tabs>
        <w:spacing w:line="240" w:lineRule="auto" w:before="51" w:after="0"/>
        <w:ind w:left="460" w:right="0" w:hanging="360"/>
        <w:jc w:val="both"/>
      </w:pPr>
      <w:bookmarkStart w:name="_bookmark54" w:id="91"/>
      <w:bookmarkEnd w:id="91"/>
      <w:r>
        <w:rPr>
          <w:b w:val="0"/>
        </w:rPr>
      </w:r>
      <w:bookmarkStart w:name="_bookmark54" w:id="92"/>
      <w:bookmarkEnd w:id="92"/>
      <w:r>
        <w:rPr/>
        <w:t>Me</w:t>
      </w:r>
      <w:r>
        <w:rPr/>
        <w:t>todología</w:t>
      </w:r>
    </w:p>
    <w:p>
      <w:pPr>
        <w:pStyle w:val="BodyText"/>
        <w:spacing w:before="7"/>
        <w:rPr>
          <w:b/>
          <w:sz w:val="30"/>
        </w:rPr>
      </w:pPr>
    </w:p>
    <w:p>
      <w:pPr>
        <w:pStyle w:val="Heading6"/>
        <w:numPr>
          <w:ilvl w:val="1"/>
          <w:numId w:val="2"/>
        </w:numPr>
        <w:tabs>
          <w:tab w:pos="893" w:val="left" w:leader="none"/>
        </w:tabs>
        <w:spacing w:line="240" w:lineRule="auto" w:before="0" w:after="0"/>
        <w:ind w:left="893" w:right="0" w:hanging="433"/>
        <w:jc w:val="left"/>
      </w:pPr>
      <w:bookmarkStart w:name="_bookmark55" w:id="93"/>
      <w:bookmarkEnd w:id="93"/>
      <w:r>
        <w:rPr>
          <w:b w:val="0"/>
        </w:rPr>
      </w:r>
      <w:bookmarkStart w:name="_bookmark55" w:id="94"/>
      <w:bookmarkEnd w:id="94"/>
      <w:r>
        <w:rPr/>
        <w:t>C</w:t>
      </w:r>
      <w:r>
        <w:rPr/>
        <w:t>urva de calibración. Películas</w:t>
      </w:r>
      <w:r>
        <w:rPr>
          <w:spacing w:val="-18"/>
        </w:rPr>
        <w:t> </w:t>
      </w:r>
      <w:r>
        <w:rPr/>
        <w:t>radiocrómicas</w:t>
      </w:r>
    </w:p>
    <w:p>
      <w:pPr>
        <w:pStyle w:val="BodyText"/>
        <w:rPr>
          <w:b/>
        </w:rPr>
      </w:pPr>
    </w:p>
    <w:p>
      <w:pPr>
        <w:pStyle w:val="BodyText"/>
        <w:spacing w:line="360" w:lineRule="auto" w:before="128"/>
        <w:ind w:left="100" w:right="120"/>
        <w:jc w:val="both"/>
      </w:pPr>
      <w:r>
        <w:rPr/>
        <w:t>Para determinar la curva de calibración de las películas radiocrómicas se utilizó el maniquí de agua solida Wellhofer SP34, en el cual se posicionaron las películas y se procedió a su irradiación en las condiciones de referencia recomendadas en el protocolo TRS 398, las cuales son: SSD: 100 cm, tamaño de campo; 10 x 10 cm</w:t>
      </w:r>
      <w:r>
        <w:rPr>
          <w:position w:val="6"/>
          <w:sz w:val="14"/>
        </w:rPr>
        <w:t>2</w:t>
      </w:r>
      <w:r>
        <w:rPr/>
        <w:t>, ángulo de colimador: 0°; ángulo del gantry;0°. Estas condiciones son las mismas utilizadas en la calibración del acelerador lineal, con lo cual se garantiza una entrega de dosis de 1cG/UM.</w:t>
      </w:r>
    </w:p>
    <w:p>
      <w:pPr>
        <w:pStyle w:val="BodyText"/>
        <w:spacing w:before="9"/>
        <w:rPr>
          <w:sz w:val="32"/>
        </w:rPr>
      </w:pPr>
    </w:p>
    <w:p>
      <w:pPr>
        <w:pStyle w:val="BodyText"/>
        <w:spacing w:line="360" w:lineRule="auto" w:before="1"/>
        <w:ind w:left="100" w:right="114"/>
        <w:jc w:val="both"/>
      </w:pPr>
      <w:r>
        <w:rPr/>
        <w:t>Se colocaron 5 cm de agua sólida por encima, para permitir recombinación de electrones, y 10 cm por debajo, para lograr retrodispersión. Como paso previo, se determinó la dosis  real impartida por el acelerador lineal en el plano de localización de las películas. Para este propósito, se tomaron mediciones con la cámara de ionización Scanditronix FC65-P, y se calculó la dosis impartida a una SSD de 95 cm aplicando el protocolo TRS 398. Posteriormente, se ajustaron las UM del acelerador lineal para entregar la dosis planificada a la profundidad mencionada. Esta dosis fue validada durante todo el proceso de irradiación con mediciones tomadas con la cámara de ionización con las condiciones de referencia</w:t>
      </w:r>
      <w:r>
        <w:rPr>
          <w:spacing w:val="-8"/>
        </w:rPr>
        <w:t> </w:t>
      </w:r>
      <w:r>
        <w:rPr/>
        <w:t>descritas.</w:t>
      </w:r>
    </w:p>
    <w:p>
      <w:pPr>
        <w:pStyle w:val="BodyText"/>
        <w:spacing w:before="8"/>
        <w:rPr>
          <w:sz w:val="29"/>
        </w:rPr>
      </w:pPr>
      <w:r>
        <w:rPr/>
        <w:drawing>
          <wp:anchor distT="0" distB="0" distL="0" distR="0" allowOverlap="1" layoutInCell="1" locked="0" behindDoc="0" simplePos="0" relativeHeight="1792">
            <wp:simplePos x="0" y="0"/>
            <wp:positionH relativeFrom="page">
              <wp:posOffset>2808604</wp:posOffset>
            </wp:positionH>
            <wp:positionV relativeFrom="paragraph">
              <wp:posOffset>239256</wp:posOffset>
            </wp:positionV>
            <wp:extent cx="2132811" cy="2842450"/>
            <wp:effectExtent l="0" t="0" r="0" b="0"/>
            <wp:wrapTopAndBottom/>
            <wp:docPr id="39" name="image22.jpeg" descr=""/>
            <wp:cNvGraphicFramePr>
              <a:graphicFrameLocks noChangeAspect="1"/>
            </wp:cNvGraphicFramePr>
            <a:graphic>
              <a:graphicData uri="http://schemas.openxmlformats.org/drawingml/2006/picture">
                <pic:pic>
                  <pic:nvPicPr>
                    <pic:cNvPr id="40" name="image22.jpeg"/>
                    <pic:cNvPicPr/>
                  </pic:nvPicPr>
                  <pic:blipFill>
                    <a:blip r:embed="rId30" cstate="print"/>
                    <a:stretch>
                      <a:fillRect/>
                    </a:stretch>
                  </pic:blipFill>
                  <pic:spPr>
                    <a:xfrm>
                      <a:off x="0" y="0"/>
                      <a:ext cx="2132811" cy="2842450"/>
                    </a:xfrm>
                    <a:prstGeom prst="rect">
                      <a:avLst/>
                    </a:prstGeom>
                  </pic:spPr>
                </pic:pic>
              </a:graphicData>
            </a:graphic>
          </wp:anchor>
        </w:drawing>
      </w:r>
    </w:p>
    <w:p>
      <w:pPr>
        <w:spacing w:before="143"/>
        <w:ind w:left="3945" w:right="161" w:hanging="3797"/>
        <w:jc w:val="left"/>
        <w:rPr>
          <w:sz w:val="20"/>
        </w:rPr>
      </w:pPr>
      <w:bookmarkStart w:name="_bookmark56" w:id="95"/>
      <w:bookmarkEnd w:id="95"/>
      <w:r>
        <w:rPr/>
      </w:r>
      <w:r>
        <w:rPr>
          <w:sz w:val="20"/>
        </w:rPr>
        <w:t>Figura 16. Toma de mediciones con cámara de ionización para el ajuste de la dosis a la profundidad de referencia</w:t>
      </w:r>
    </w:p>
    <w:p>
      <w:pPr>
        <w:spacing w:after="0"/>
        <w:jc w:val="left"/>
        <w:rPr>
          <w:sz w:val="20"/>
        </w:rPr>
        <w:sectPr>
          <w:pgSz w:w="12240" w:h="15840"/>
          <w:pgMar w:header="0" w:footer="1034" w:top="1360" w:bottom="1220" w:left="1600" w:right="1580"/>
        </w:sectPr>
      </w:pPr>
    </w:p>
    <w:p>
      <w:pPr>
        <w:pStyle w:val="BodyText"/>
        <w:spacing w:line="360" w:lineRule="auto" w:before="55"/>
        <w:ind w:left="100" w:right="118"/>
        <w:jc w:val="both"/>
      </w:pPr>
      <w:r>
        <w:rPr/>
        <w:t>Se procedió según el método de corte individual, reportado en la literatura y ampliamente utilizado. Se siguieron las recomendaciones del TG 55, de la AAPM, así como las del fabricante, respecto a las precauciones que deben tenerse en el manejo de las películas.</w:t>
      </w:r>
    </w:p>
    <w:p>
      <w:pPr>
        <w:pStyle w:val="BodyText"/>
        <w:spacing w:line="360" w:lineRule="auto"/>
        <w:ind w:left="100" w:right="116"/>
        <w:jc w:val="both"/>
      </w:pPr>
      <w:r>
        <w:rPr/>
        <w:t>Se cortaron muestras en cuadros pequeños de 2x2 cm</w:t>
      </w:r>
      <w:r>
        <w:rPr>
          <w:position w:val="6"/>
          <w:sz w:val="14"/>
        </w:rPr>
        <w:t>2</w:t>
      </w:r>
      <w:r>
        <w:rPr/>
        <w:t>, las cuales fueron irradiadas en el Acelerador Lineal Varian 21EX, utilizando el maniquí de agua sólida. Se mantuvieron en todo momento las condiciones de referencia, con incidencia perpendicular del haz de irradiación, un campo de 10 x 10 cm</w:t>
      </w:r>
      <w:r>
        <w:rPr>
          <w:position w:val="6"/>
          <w:sz w:val="14"/>
        </w:rPr>
        <w:t>2 </w:t>
      </w:r>
      <w:r>
        <w:rPr/>
        <w:t>y una energía de fotones de 6 MV. Las muestras se colocaron a una profundidad de 5 cm en el maniquí de agua sólida, con una SSD de 95 cm.</w:t>
      </w:r>
    </w:p>
    <w:p>
      <w:pPr>
        <w:pStyle w:val="BodyText"/>
        <w:spacing w:before="9"/>
        <w:rPr>
          <w:sz w:val="29"/>
        </w:rPr>
      </w:pPr>
      <w:r>
        <w:rPr/>
        <w:drawing>
          <wp:anchor distT="0" distB="0" distL="0" distR="0" allowOverlap="1" layoutInCell="1" locked="0" behindDoc="0" simplePos="0" relativeHeight="1816">
            <wp:simplePos x="0" y="0"/>
            <wp:positionH relativeFrom="page">
              <wp:posOffset>2667000</wp:posOffset>
            </wp:positionH>
            <wp:positionV relativeFrom="paragraph">
              <wp:posOffset>239891</wp:posOffset>
            </wp:positionV>
            <wp:extent cx="2430314" cy="1822608"/>
            <wp:effectExtent l="0" t="0" r="0" b="0"/>
            <wp:wrapTopAndBottom/>
            <wp:docPr id="41" name="image23.jpeg" descr=""/>
            <wp:cNvGraphicFramePr>
              <a:graphicFrameLocks noChangeAspect="1"/>
            </wp:cNvGraphicFramePr>
            <a:graphic>
              <a:graphicData uri="http://schemas.openxmlformats.org/drawingml/2006/picture">
                <pic:pic>
                  <pic:nvPicPr>
                    <pic:cNvPr id="42" name="image23.jpeg"/>
                    <pic:cNvPicPr/>
                  </pic:nvPicPr>
                  <pic:blipFill>
                    <a:blip r:embed="rId31" cstate="print"/>
                    <a:stretch>
                      <a:fillRect/>
                    </a:stretch>
                  </pic:blipFill>
                  <pic:spPr>
                    <a:xfrm>
                      <a:off x="0" y="0"/>
                      <a:ext cx="2430314" cy="1822608"/>
                    </a:xfrm>
                    <a:prstGeom prst="rect">
                      <a:avLst/>
                    </a:prstGeom>
                  </pic:spPr>
                </pic:pic>
              </a:graphicData>
            </a:graphic>
          </wp:anchor>
        </w:drawing>
      </w:r>
    </w:p>
    <w:p>
      <w:pPr>
        <w:spacing w:before="99"/>
        <w:ind w:left="1808" w:right="155" w:firstLine="0"/>
        <w:jc w:val="left"/>
        <w:rPr>
          <w:sz w:val="20"/>
        </w:rPr>
      </w:pPr>
      <w:bookmarkStart w:name="_bookmark57" w:id="96"/>
      <w:bookmarkEnd w:id="96"/>
      <w:r>
        <w:rPr/>
      </w:r>
      <w:r>
        <w:rPr>
          <w:sz w:val="20"/>
        </w:rPr>
        <w:t>Figura 17. Irradiación de muestras de películas radiocrómicas</w:t>
      </w:r>
    </w:p>
    <w:p>
      <w:pPr>
        <w:pStyle w:val="BodyText"/>
        <w:rPr>
          <w:sz w:val="20"/>
        </w:rPr>
      </w:pPr>
    </w:p>
    <w:p>
      <w:pPr>
        <w:pStyle w:val="BodyText"/>
        <w:rPr>
          <w:sz w:val="20"/>
        </w:rPr>
      </w:pPr>
    </w:p>
    <w:p>
      <w:pPr>
        <w:pStyle w:val="BodyText"/>
        <w:spacing w:line="360" w:lineRule="auto" w:before="128"/>
        <w:ind w:left="100" w:right="117"/>
        <w:jc w:val="both"/>
      </w:pPr>
      <w:r>
        <w:rPr/>
        <w:t>Las películas fueron marcadas en cada esquina, para propósitos de identificación y para conservar la orientación durante todo el proceso. Se utilizó un rango de dosis de 0 a 5 Gy, con intervalos de 0.5 Gy. Este rango cubre las dosis típicas impartidas durante cada sesión de tratamiento de IMRT. En la tabla se aprecian las dosis irradiadas, las unidades monitor y las lecturas de la cámara de ionización. Se irradiaron dos películas por nivel de dosis, de tal forma que posteriormente, en el análisis de la imagen, se tomó un promedio pesado del valor pixel por cada par.</w:t>
      </w:r>
    </w:p>
    <w:p>
      <w:pPr>
        <w:spacing w:after="0" w:line="360" w:lineRule="auto"/>
        <w:jc w:val="both"/>
        <w:sectPr>
          <w:pgSz w:w="12240" w:h="15840"/>
          <w:pgMar w:header="0" w:footer="1034" w:top="1360" w:bottom="1220" w:left="1600" w:right="1580"/>
        </w:sectPr>
      </w:pPr>
    </w:p>
    <w:tbl>
      <w:tblPr>
        <w:tblW w:w="0" w:type="auto"/>
        <w:jc w:val="left"/>
        <w:tblInd w:w="148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09"/>
        <w:gridCol w:w="1988"/>
        <w:gridCol w:w="2269"/>
      </w:tblGrid>
      <w:tr>
        <w:trPr>
          <w:trHeight w:val="384" w:hRule="exact"/>
        </w:trPr>
        <w:tc>
          <w:tcPr>
            <w:tcW w:w="1809" w:type="dxa"/>
          </w:tcPr>
          <w:p>
            <w:pPr>
              <w:pStyle w:val="TableParagraph"/>
              <w:spacing w:line="249" w:lineRule="exact"/>
              <w:ind w:right="713"/>
              <w:jc w:val="right"/>
              <w:rPr>
                <w:sz w:val="22"/>
              </w:rPr>
            </w:pPr>
            <w:r>
              <w:rPr>
                <w:sz w:val="22"/>
              </w:rPr>
              <w:t>UM</w:t>
            </w:r>
          </w:p>
        </w:tc>
        <w:tc>
          <w:tcPr>
            <w:tcW w:w="1988" w:type="dxa"/>
          </w:tcPr>
          <w:p>
            <w:pPr>
              <w:pStyle w:val="TableParagraph"/>
              <w:spacing w:line="249" w:lineRule="exact"/>
              <w:ind w:left="409" w:right="407"/>
              <w:rPr>
                <w:sz w:val="22"/>
              </w:rPr>
            </w:pPr>
            <w:r>
              <w:rPr>
                <w:sz w:val="22"/>
              </w:rPr>
              <w:t>Dosis (cGy)</w:t>
            </w:r>
          </w:p>
        </w:tc>
        <w:tc>
          <w:tcPr>
            <w:tcW w:w="2269" w:type="dxa"/>
          </w:tcPr>
          <w:p>
            <w:pPr>
              <w:pStyle w:val="TableParagraph"/>
              <w:spacing w:line="249" w:lineRule="exact"/>
              <w:ind w:left="494" w:right="494"/>
              <w:rPr>
                <w:sz w:val="22"/>
              </w:rPr>
            </w:pPr>
            <w:r>
              <w:rPr>
                <w:sz w:val="22"/>
              </w:rPr>
              <w:t>Lectura (nC)</w:t>
            </w:r>
          </w:p>
        </w:tc>
      </w:tr>
      <w:tr>
        <w:trPr>
          <w:trHeight w:val="388" w:hRule="exact"/>
        </w:trPr>
        <w:tc>
          <w:tcPr>
            <w:tcW w:w="1809" w:type="dxa"/>
          </w:tcPr>
          <w:p>
            <w:pPr>
              <w:pStyle w:val="TableParagraph"/>
              <w:spacing w:line="248" w:lineRule="exact"/>
              <w:ind w:right="1"/>
              <w:rPr>
                <w:sz w:val="22"/>
              </w:rPr>
            </w:pPr>
            <w:r>
              <w:rPr>
                <w:sz w:val="22"/>
              </w:rPr>
              <w:t>0</w:t>
            </w:r>
          </w:p>
        </w:tc>
        <w:tc>
          <w:tcPr>
            <w:tcW w:w="1988" w:type="dxa"/>
          </w:tcPr>
          <w:p>
            <w:pPr>
              <w:pStyle w:val="TableParagraph"/>
              <w:spacing w:line="248" w:lineRule="exact"/>
              <w:ind w:left="3"/>
              <w:rPr>
                <w:sz w:val="22"/>
              </w:rPr>
            </w:pPr>
            <w:r>
              <w:rPr>
                <w:sz w:val="22"/>
              </w:rPr>
              <w:t>0</w:t>
            </w:r>
          </w:p>
        </w:tc>
        <w:tc>
          <w:tcPr>
            <w:tcW w:w="2269" w:type="dxa"/>
          </w:tcPr>
          <w:p>
            <w:pPr>
              <w:pStyle w:val="TableParagraph"/>
              <w:spacing w:line="248" w:lineRule="exact"/>
              <w:ind w:right="3"/>
              <w:rPr>
                <w:sz w:val="22"/>
              </w:rPr>
            </w:pPr>
            <w:r>
              <w:rPr>
                <w:sz w:val="22"/>
              </w:rPr>
              <w:t>0</w:t>
            </w:r>
          </w:p>
        </w:tc>
      </w:tr>
      <w:tr>
        <w:trPr>
          <w:trHeight w:val="384" w:hRule="exact"/>
        </w:trPr>
        <w:tc>
          <w:tcPr>
            <w:tcW w:w="1809" w:type="dxa"/>
          </w:tcPr>
          <w:p>
            <w:pPr>
              <w:pStyle w:val="TableParagraph"/>
              <w:spacing w:line="245" w:lineRule="exact"/>
              <w:ind w:left="752" w:right="755"/>
              <w:rPr>
                <w:sz w:val="22"/>
              </w:rPr>
            </w:pPr>
            <w:r>
              <w:rPr>
                <w:sz w:val="22"/>
              </w:rPr>
              <w:t>35</w:t>
            </w:r>
          </w:p>
        </w:tc>
        <w:tc>
          <w:tcPr>
            <w:tcW w:w="1988" w:type="dxa"/>
          </w:tcPr>
          <w:p>
            <w:pPr>
              <w:pStyle w:val="TableParagraph"/>
              <w:spacing w:line="245" w:lineRule="exact"/>
              <w:ind w:left="407" w:right="407"/>
              <w:rPr>
                <w:sz w:val="22"/>
              </w:rPr>
            </w:pPr>
            <w:r>
              <w:rPr>
                <w:sz w:val="22"/>
              </w:rPr>
              <w:t>30.3</w:t>
            </w:r>
          </w:p>
        </w:tc>
        <w:tc>
          <w:tcPr>
            <w:tcW w:w="2269" w:type="dxa"/>
          </w:tcPr>
          <w:p>
            <w:pPr>
              <w:pStyle w:val="TableParagraph"/>
              <w:spacing w:line="245" w:lineRule="exact"/>
              <w:ind w:left="492" w:right="494"/>
              <w:rPr>
                <w:sz w:val="22"/>
              </w:rPr>
            </w:pPr>
            <w:r>
              <w:rPr>
                <w:sz w:val="22"/>
              </w:rPr>
              <w:t>5.95</w:t>
            </w:r>
          </w:p>
        </w:tc>
      </w:tr>
      <w:tr>
        <w:trPr>
          <w:trHeight w:val="384" w:hRule="exact"/>
        </w:trPr>
        <w:tc>
          <w:tcPr>
            <w:tcW w:w="1809" w:type="dxa"/>
          </w:tcPr>
          <w:p>
            <w:pPr>
              <w:pStyle w:val="TableParagraph"/>
              <w:spacing w:line="245" w:lineRule="exact"/>
              <w:ind w:left="755" w:right="755"/>
              <w:rPr>
                <w:sz w:val="22"/>
              </w:rPr>
            </w:pPr>
            <w:r>
              <w:rPr>
                <w:sz w:val="22"/>
              </w:rPr>
              <w:t>69</w:t>
            </w:r>
          </w:p>
        </w:tc>
        <w:tc>
          <w:tcPr>
            <w:tcW w:w="1988" w:type="dxa"/>
          </w:tcPr>
          <w:p>
            <w:pPr>
              <w:pStyle w:val="TableParagraph"/>
              <w:spacing w:line="245" w:lineRule="exact"/>
              <w:ind w:left="409" w:right="405"/>
              <w:rPr>
                <w:sz w:val="22"/>
              </w:rPr>
            </w:pPr>
            <w:r>
              <w:rPr>
                <w:sz w:val="22"/>
              </w:rPr>
              <w:t>59.74</w:t>
            </w:r>
          </w:p>
        </w:tc>
        <w:tc>
          <w:tcPr>
            <w:tcW w:w="2269" w:type="dxa"/>
          </w:tcPr>
          <w:p>
            <w:pPr>
              <w:pStyle w:val="TableParagraph"/>
              <w:spacing w:line="245" w:lineRule="exact"/>
              <w:ind w:left="492" w:right="494"/>
              <w:rPr>
                <w:sz w:val="22"/>
              </w:rPr>
            </w:pPr>
            <w:r>
              <w:rPr>
                <w:sz w:val="22"/>
              </w:rPr>
              <w:t>9.58</w:t>
            </w:r>
          </w:p>
        </w:tc>
      </w:tr>
      <w:tr>
        <w:trPr>
          <w:trHeight w:val="384" w:hRule="exact"/>
        </w:trPr>
        <w:tc>
          <w:tcPr>
            <w:tcW w:w="1809" w:type="dxa"/>
          </w:tcPr>
          <w:p>
            <w:pPr>
              <w:pStyle w:val="TableParagraph"/>
              <w:spacing w:line="249" w:lineRule="exact"/>
              <w:ind w:right="740"/>
              <w:jc w:val="right"/>
              <w:rPr>
                <w:sz w:val="22"/>
              </w:rPr>
            </w:pPr>
            <w:r>
              <w:rPr>
                <w:sz w:val="22"/>
              </w:rPr>
              <w:t>115</w:t>
            </w:r>
          </w:p>
        </w:tc>
        <w:tc>
          <w:tcPr>
            <w:tcW w:w="1988" w:type="dxa"/>
          </w:tcPr>
          <w:p>
            <w:pPr>
              <w:pStyle w:val="TableParagraph"/>
              <w:spacing w:line="249" w:lineRule="exact"/>
              <w:ind w:left="407" w:right="407"/>
              <w:rPr>
                <w:sz w:val="22"/>
              </w:rPr>
            </w:pPr>
            <w:r>
              <w:rPr>
                <w:sz w:val="22"/>
              </w:rPr>
              <w:t>99.95</w:t>
            </w:r>
          </w:p>
        </w:tc>
        <w:tc>
          <w:tcPr>
            <w:tcW w:w="2269" w:type="dxa"/>
          </w:tcPr>
          <w:p>
            <w:pPr>
              <w:pStyle w:val="TableParagraph"/>
              <w:spacing w:line="249" w:lineRule="exact"/>
              <w:ind w:left="494" w:right="493"/>
              <w:rPr>
                <w:sz w:val="22"/>
              </w:rPr>
            </w:pPr>
            <w:r>
              <w:rPr>
                <w:sz w:val="22"/>
              </w:rPr>
              <w:t>15.93</w:t>
            </w:r>
          </w:p>
        </w:tc>
      </w:tr>
      <w:tr>
        <w:trPr>
          <w:trHeight w:val="388" w:hRule="exact"/>
        </w:trPr>
        <w:tc>
          <w:tcPr>
            <w:tcW w:w="1809" w:type="dxa"/>
          </w:tcPr>
          <w:p>
            <w:pPr>
              <w:pStyle w:val="TableParagraph"/>
              <w:spacing w:line="249" w:lineRule="exact"/>
              <w:ind w:right="723"/>
              <w:jc w:val="right"/>
              <w:rPr>
                <w:sz w:val="22"/>
              </w:rPr>
            </w:pPr>
            <w:r>
              <w:rPr>
                <w:sz w:val="22"/>
              </w:rPr>
              <w:t>150</w:t>
            </w:r>
          </w:p>
        </w:tc>
        <w:tc>
          <w:tcPr>
            <w:tcW w:w="1988" w:type="dxa"/>
          </w:tcPr>
          <w:p>
            <w:pPr>
              <w:pStyle w:val="TableParagraph"/>
              <w:spacing w:line="249" w:lineRule="exact"/>
              <w:ind w:left="409" w:right="403"/>
              <w:rPr>
                <w:sz w:val="22"/>
              </w:rPr>
            </w:pPr>
            <w:r>
              <w:rPr>
                <w:sz w:val="22"/>
              </w:rPr>
              <w:t>129.88</w:t>
            </w:r>
          </w:p>
        </w:tc>
        <w:tc>
          <w:tcPr>
            <w:tcW w:w="2269" w:type="dxa"/>
          </w:tcPr>
          <w:p>
            <w:pPr>
              <w:pStyle w:val="TableParagraph"/>
              <w:spacing w:line="249" w:lineRule="exact"/>
              <w:ind w:left="494" w:right="494"/>
              <w:rPr>
                <w:sz w:val="22"/>
              </w:rPr>
            </w:pPr>
            <w:r>
              <w:rPr>
                <w:sz w:val="22"/>
              </w:rPr>
              <w:t>20.76</w:t>
            </w:r>
          </w:p>
        </w:tc>
      </w:tr>
      <w:tr>
        <w:trPr>
          <w:trHeight w:val="384" w:hRule="exact"/>
        </w:trPr>
        <w:tc>
          <w:tcPr>
            <w:tcW w:w="1809" w:type="dxa"/>
          </w:tcPr>
          <w:p>
            <w:pPr>
              <w:pStyle w:val="TableParagraph"/>
              <w:spacing w:line="245" w:lineRule="exact"/>
              <w:ind w:right="726"/>
              <w:jc w:val="right"/>
              <w:rPr>
                <w:sz w:val="22"/>
              </w:rPr>
            </w:pPr>
            <w:r>
              <w:rPr>
                <w:sz w:val="22"/>
              </w:rPr>
              <w:t>185</w:t>
            </w:r>
          </w:p>
        </w:tc>
        <w:tc>
          <w:tcPr>
            <w:tcW w:w="1988" w:type="dxa"/>
          </w:tcPr>
          <w:p>
            <w:pPr>
              <w:pStyle w:val="TableParagraph"/>
              <w:spacing w:line="245" w:lineRule="exact"/>
              <w:ind w:left="409" w:right="402"/>
              <w:rPr>
                <w:sz w:val="22"/>
              </w:rPr>
            </w:pPr>
            <w:r>
              <w:rPr>
                <w:sz w:val="22"/>
              </w:rPr>
              <w:t>160.19</w:t>
            </w:r>
          </w:p>
        </w:tc>
        <w:tc>
          <w:tcPr>
            <w:tcW w:w="2269" w:type="dxa"/>
          </w:tcPr>
          <w:p>
            <w:pPr>
              <w:pStyle w:val="TableParagraph"/>
              <w:spacing w:line="245" w:lineRule="exact"/>
              <w:ind w:left="494" w:right="494"/>
              <w:rPr>
                <w:sz w:val="22"/>
              </w:rPr>
            </w:pPr>
            <w:r>
              <w:rPr>
                <w:sz w:val="22"/>
              </w:rPr>
              <w:t>25.59</w:t>
            </w:r>
          </w:p>
        </w:tc>
      </w:tr>
      <w:tr>
        <w:trPr>
          <w:trHeight w:val="384" w:hRule="exact"/>
        </w:trPr>
        <w:tc>
          <w:tcPr>
            <w:tcW w:w="1809" w:type="dxa"/>
          </w:tcPr>
          <w:p>
            <w:pPr>
              <w:pStyle w:val="TableParagraph"/>
              <w:spacing w:line="245" w:lineRule="exact"/>
              <w:ind w:right="732"/>
              <w:jc w:val="right"/>
              <w:rPr>
                <w:sz w:val="22"/>
              </w:rPr>
            </w:pPr>
            <w:r>
              <w:rPr>
                <w:sz w:val="22"/>
              </w:rPr>
              <w:t>231</w:t>
            </w:r>
          </w:p>
        </w:tc>
        <w:tc>
          <w:tcPr>
            <w:tcW w:w="1988" w:type="dxa"/>
          </w:tcPr>
          <w:p>
            <w:pPr>
              <w:pStyle w:val="TableParagraph"/>
              <w:spacing w:line="245" w:lineRule="exact"/>
              <w:ind w:left="409" w:right="401"/>
              <w:rPr>
                <w:sz w:val="22"/>
              </w:rPr>
            </w:pPr>
            <w:r>
              <w:rPr>
                <w:sz w:val="22"/>
              </w:rPr>
              <w:t>200</w:t>
            </w:r>
          </w:p>
        </w:tc>
        <w:tc>
          <w:tcPr>
            <w:tcW w:w="2269" w:type="dxa"/>
          </w:tcPr>
          <w:p>
            <w:pPr>
              <w:pStyle w:val="TableParagraph"/>
              <w:spacing w:line="245" w:lineRule="exact"/>
              <w:ind w:left="494" w:right="494"/>
              <w:rPr>
                <w:sz w:val="22"/>
              </w:rPr>
            </w:pPr>
            <w:r>
              <w:rPr>
                <w:sz w:val="22"/>
              </w:rPr>
              <w:t>31.94</w:t>
            </w:r>
          </w:p>
        </w:tc>
      </w:tr>
      <w:tr>
        <w:trPr>
          <w:trHeight w:val="384" w:hRule="exact"/>
        </w:trPr>
        <w:tc>
          <w:tcPr>
            <w:tcW w:w="1809" w:type="dxa"/>
          </w:tcPr>
          <w:p>
            <w:pPr>
              <w:pStyle w:val="TableParagraph"/>
              <w:spacing w:line="249" w:lineRule="exact"/>
              <w:ind w:right="713"/>
              <w:jc w:val="right"/>
              <w:rPr>
                <w:sz w:val="22"/>
              </w:rPr>
            </w:pPr>
            <w:r>
              <w:rPr>
                <w:sz w:val="22"/>
              </w:rPr>
              <w:t>266</w:t>
            </w:r>
          </w:p>
        </w:tc>
        <w:tc>
          <w:tcPr>
            <w:tcW w:w="1988" w:type="dxa"/>
          </w:tcPr>
          <w:p>
            <w:pPr>
              <w:pStyle w:val="TableParagraph"/>
              <w:spacing w:line="249" w:lineRule="exact"/>
              <w:ind w:left="407" w:right="407"/>
              <w:rPr>
                <w:sz w:val="22"/>
              </w:rPr>
            </w:pPr>
            <w:r>
              <w:rPr>
                <w:sz w:val="22"/>
              </w:rPr>
              <w:t>230.32</w:t>
            </w:r>
          </w:p>
        </w:tc>
        <w:tc>
          <w:tcPr>
            <w:tcW w:w="2269" w:type="dxa"/>
          </w:tcPr>
          <w:p>
            <w:pPr>
              <w:pStyle w:val="TableParagraph"/>
              <w:spacing w:line="249" w:lineRule="exact"/>
              <w:ind w:left="493" w:right="494"/>
              <w:rPr>
                <w:sz w:val="22"/>
              </w:rPr>
            </w:pPr>
            <w:r>
              <w:rPr>
                <w:sz w:val="22"/>
              </w:rPr>
              <w:t>36.78</w:t>
            </w:r>
          </w:p>
        </w:tc>
      </w:tr>
      <w:tr>
        <w:trPr>
          <w:trHeight w:val="388" w:hRule="exact"/>
        </w:trPr>
        <w:tc>
          <w:tcPr>
            <w:tcW w:w="1809" w:type="dxa"/>
          </w:tcPr>
          <w:p>
            <w:pPr>
              <w:pStyle w:val="TableParagraph"/>
              <w:spacing w:line="249" w:lineRule="exact"/>
              <w:ind w:right="703"/>
              <w:jc w:val="right"/>
              <w:rPr>
                <w:sz w:val="22"/>
              </w:rPr>
            </w:pPr>
            <w:r>
              <w:rPr>
                <w:sz w:val="22"/>
              </w:rPr>
              <w:t>300</w:t>
            </w:r>
          </w:p>
        </w:tc>
        <w:tc>
          <w:tcPr>
            <w:tcW w:w="1988" w:type="dxa"/>
          </w:tcPr>
          <w:p>
            <w:pPr>
              <w:pStyle w:val="TableParagraph"/>
              <w:spacing w:line="249" w:lineRule="exact"/>
              <w:ind w:left="408" w:right="407"/>
              <w:rPr>
                <w:sz w:val="22"/>
              </w:rPr>
            </w:pPr>
            <w:r>
              <w:rPr>
                <w:sz w:val="22"/>
              </w:rPr>
              <w:t>259.77</w:t>
            </w:r>
          </w:p>
        </w:tc>
        <w:tc>
          <w:tcPr>
            <w:tcW w:w="2269" w:type="dxa"/>
          </w:tcPr>
          <w:p>
            <w:pPr>
              <w:pStyle w:val="TableParagraph"/>
              <w:spacing w:line="249" w:lineRule="exact"/>
              <w:ind w:left="493" w:right="494"/>
              <w:rPr>
                <w:sz w:val="22"/>
              </w:rPr>
            </w:pPr>
            <w:r>
              <w:rPr>
                <w:sz w:val="22"/>
              </w:rPr>
              <w:t>41.45</w:t>
            </w:r>
          </w:p>
        </w:tc>
      </w:tr>
      <w:tr>
        <w:trPr>
          <w:trHeight w:val="384" w:hRule="exact"/>
        </w:trPr>
        <w:tc>
          <w:tcPr>
            <w:tcW w:w="1809" w:type="dxa"/>
          </w:tcPr>
          <w:p>
            <w:pPr>
              <w:pStyle w:val="TableParagraph"/>
              <w:spacing w:line="245" w:lineRule="exact"/>
              <w:ind w:right="717"/>
              <w:jc w:val="right"/>
              <w:rPr>
                <w:sz w:val="22"/>
              </w:rPr>
            </w:pPr>
            <w:r>
              <w:rPr>
                <w:sz w:val="22"/>
              </w:rPr>
              <w:t>346</w:t>
            </w:r>
          </w:p>
        </w:tc>
        <w:tc>
          <w:tcPr>
            <w:tcW w:w="1988" w:type="dxa"/>
          </w:tcPr>
          <w:p>
            <w:pPr>
              <w:pStyle w:val="TableParagraph"/>
              <w:spacing w:line="245" w:lineRule="exact"/>
              <w:ind w:left="407" w:right="407"/>
              <w:rPr>
                <w:sz w:val="22"/>
              </w:rPr>
            </w:pPr>
            <w:r>
              <w:rPr>
                <w:sz w:val="22"/>
              </w:rPr>
              <w:t>299.6</w:t>
            </w:r>
          </w:p>
        </w:tc>
        <w:tc>
          <w:tcPr>
            <w:tcW w:w="2269" w:type="dxa"/>
          </w:tcPr>
          <w:p>
            <w:pPr>
              <w:pStyle w:val="TableParagraph"/>
              <w:spacing w:line="245" w:lineRule="exact"/>
              <w:ind w:left="494" w:right="494"/>
              <w:rPr>
                <w:sz w:val="22"/>
              </w:rPr>
            </w:pPr>
            <w:r>
              <w:rPr>
                <w:sz w:val="22"/>
              </w:rPr>
              <w:t>47.83</w:t>
            </w:r>
          </w:p>
        </w:tc>
      </w:tr>
      <w:tr>
        <w:trPr>
          <w:trHeight w:val="384" w:hRule="exact"/>
        </w:trPr>
        <w:tc>
          <w:tcPr>
            <w:tcW w:w="1809" w:type="dxa"/>
          </w:tcPr>
          <w:p>
            <w:pPr>
              <w:pStyle w:val="TableParagraph"/>
              <w:spacing w:line="245" w:lineRule="exact"/>
              <w:ind w:right="706"/>
              <w:jc w:val="right"/>
              <w:rPr>
                <w:sz w:val="22"/>
              </w:rPr>
            </w:pPr>
            <w:r>
              <w:rPr>
                <w:sz w:val="22"/>
              </w:rPr>
              <w:t>404</w:t>
            </w:r>
          </w:p>
        </w:tc>
        <w:tc>
          <w:tcPr>
            <w:tcW w:w="1988" w:type="dxa"/>
          </w:tcPr>
          <w:p>
            <w:pPr>
              <w:pStyle w:val="TableParagraph"/>
              <w:spacing w:line="245" w:lineRule="exact"/>
              <w:ind w:left="406" w:right="407"/>
              <w:rPr>
                <w:sz w:val="22"/>
              </w:rPr>
            </w:pPr>
            <w:r>
              <w:rPr>
                <w:sz w:val="22"/>
              </w:rPr>
              <w:t>349.82</w:t>
            </w:r>
          </w:p>
        </w:tc>
        <w:tc>
          <w:tcPr>
            <w:tcW w:w="2269" w:type="dxa"/>
          </w:tcPr>
          <w:p>
            <w:pPr>
              <w:pStyle w:val="TableParagraph"/>
              <w:spacing w:line="245" w:lineRule="exact"/>
              <w:ind w:left="494" w:right="494"/>
              <w:rPr>
                <w:sz w:val="22"/>
              </w:rPr>
            </w:pPr>
            <w:r>
              <w:rPr>
                <w:sz w:val="22"/>
              </w:rPr>
              <w:t>55.84</w:t>
            </w:r>
          </w:p>
        </w:tc>
      </w:tr>
      <w:tr>
        <w:trPr>
          <w:trHeight w:val="384" w:hRule="exact"/>
        </w:trPr>
        <w:tc>
          <w:tcPr>
            <w:tcW w:w="1809" w:type="dxa"/>
          </w:tcPr>
          <w:p>
            <w:pPr>
              <w:pStyle w:val="TableParagraph"/>
              <w:spacing w:line="249" w:lineRule="exact"/>
              <w:ind w:right="715"/>
              <w:jc w:val="right"/>
              <w:rPr>
                <w:sz w:val="22"/>
              </w:rPr>
            </w:pPr>
            <w:r>
              <w:rPr>
                <w:sz w:val="22"/>
              </w:rPr>
              <w:t>462</w:t>
            </w:r>
          </w:p>
        </w:tc>
        <w:tc>
          <w:tcPr>
            <w:tcW w:w="1988" w:type="dxa"/>
          </w:tcPr>
          <w:p>
            <w:pPr>
              <w:pStyle w:val="TableParagraph"/>
              <w:spacing w:line="249" w:lineRule="exact"/>
              <w:ind w:left="406" w:right="407"/>
              <w:rPr>
                <w:sz w:val="22"/>
              </w:rPr>
            </w:pPr>
            <w:r>
              <w:rPr>
                <w:sz w:val="22"/>
              </w:rPr>
              <w:t>400</w:t>
            </w:r>
          </w:p>
        </w:tc>
        <w:tc>
          <w:tcPr>
            <w:tcW w:w="2269" w:type="dxa"/>
          </w:tcPr>
          <w:p>
            <w:pPr>
              <w:pStyle w:val="TableParagraph"/>
              <w:spacing w:line="249" w:lineRule="exact"/>
              <w:ind w:left="493" w:right="494"/>
              <w:rPr>
                <w:sz w:val="22"/>
              </w:rPr>
            </w:pPr>
            <w:r>
              <w:rPr>
                <w:sz w:val="22"/>
              </w:rPr>
              <w:t>63.86</w:t>
            </w:r>
          </w:p>
        </w:tc>
      </w:tr>
      <w:tr>
        <w:trPr>
          <w:trHeight w:val="388" w:hRule="exact"/>
        </w:trPr>
        <w:tc>
          <w:tcPr>
            <w:tcW w:w="1809" w:type="dxa"/>
          </w:tcPr>
          <w:p>
            <w:pPr>
              <w:pStyle w:val="TableParagraph"/>
              <w:spacing w:line="249" w:lineRule="exact"/>
              <w:ind w:right="711"/>
              <w:jc w:val="right"/>
              <w:rPr>
                <w:sz w:val="22"/>
              </w:rPr>
            </w:pPr>
            <w:r>
              <w:rPr>
                <w:sz w:val="22"/>
              </w:rPr>
              <w:t>520</w:t>
            </w:r>
          </w:p>
        </w:tc>
        <w:tc>
          <w:tcPr>
            <w:tcW w:w="1988" w:type="dxa"/>
          </w:tcPr>
          <w:p>
            <w:pPr>
              <w:pStyle w:val="TableParagraph"/>
              <w:spacing w:line="249" w:lineRule="exact"/>
              <w:ind w:left="407" w:right="407"/>
              <w:rPr>
                <w:sz w:val="22"/>
              </w:rPr>
            </w:pPr>
            <w:r>
              <w:rPr>
                <w:sz w:val="22"/>
              </w:rPr>
              <w:t>450.26</w:t>
            </w:r>
          </w:p>
        </w:tc>
        <w:tc>
          <w:tcPr>
            <w:tcW w:w="2269" w:type="dxa"/>
          </w:tcPr>
          <w:p>
            <w:pPr>
              <w:pStyle w:val="TableParagraph"/>
              <w:spacing w:line="249" w:lineRule="exact"/>
              <w:ind w:left="493" w:right="494"/>
              <w:rPr>
                <w:sz w:val="22"/>
              </w:rPr>
            </w:pPr>
            <w:r>
              <w:rPr>
                <w:sz w:val="22"/>
              </w:rPr>
              <w:t>71.82</w:t>
            </w:r>
          </w:p>
        </w:tc>
      </w:tr>
      <w:tr>
        <w:trPr>
          <w:trHeight w:val="380" w:hRule="exact"/>
        </w:trPr>
        <w:tc>
          <w:tcPr>
            <w:tcW w:w="1809" w:type="dxa"/>
          </w:tcPr>
          <w:p>
            <w:pPr>
              <w:pStyle w:val="TableParagraph"/>
              <w:spacing w:line="245" w:lineRule="exact"/>
              <w:ind w:right="728"/>
              <w:jc w:val="right"/>
              <w:rPr>
                <w:sz w:val="22"/>
              </w:rPr>
            </w:pPr>
            <w:r>
              <w:rPr>
                <w:sz w:val="22"/>
              </w:rPr>
              <w:t>577</w:t>
            </w:r>
          </w:p>
        </w:tc>
        <w:tc>
          <w:tcPr>
            <w:tcW w:w="1988" w:type="dxa"/>
          </w:tcPr>
          <w:p>
            <w:pPr>
              <w:pStyle w:val="TableParagraph"/>
              <w:spacing w:line="245" w:lineRule="exact"/>
              <w:ind w:left="409" w:right="407"/>
              <w:rPr>
                <w:sz w:val="22"/>
              </w:rPr>
            </w:pPr>
            <w:r>
              <w:rPr>
                <w:sz w:val="22"/>
              </w:rPr>
              <w:t>499.62</w:t>
            </w:r>
          </w:p>
        </w:tc>
        <w:tc>
          <w:tcPr>
            <w:tcW w:w="2269" w:type="dxa"/>
          </w:tcPr>
          <w:p>
            <w:pPr>
              <w:pStyle w:val="TableParagraph"/>
              <w:spacing w:line="245" w:lineRule="exact"/>
              <w:ind w:left="494" w:right="492"/>
              <w:rPr>
                <w:sz w:val="22"/>
              </w:rPr>
            </w:pPr>
            <w:r>
              <w:rPr>
                <w:sz w:val="22"/>
              </w:rPr>
              <w:t>79.77</w:t>
            </w:r>
          </w:p>
        </w:tc>
      </w:tr>
    </w:tbl>
    <w:p>
      <w:pPr>
        <w:pStyle w:val="BodyText"/>
        <w:rPr>
          <w:sz w:val="20"/>
        </w:rPr>
      </w:pPr>
    </w:p>
    <w:p>
      <w:pPr>
        <w:pStyle w:val="BodyText"/>
        <w:spacing w:before="1"/>
        <w:rPr>
          <w:sz w:val="17"/>
        </w:rPr>
      </w:pPr>
    </w:p>
    <w:p>
      <w:pPr>
        <w:spacing w:before="0"/>
        <w:ind w:left="1005" w:right="155" w:firstLine="0"/>
        <w:jc w:val="left"/>
        <w:rPr>
          <w:sz w:val="20"/>
        </w:rPr>
      </w:pPr>
      <w:bookmarkStart w:name="_bookmark58" w:id="97"/>
      <w:bookmarkEnd w:id="97"/>
      <w:r>
        <w:rPr/>
      </w:r>
      <w:r>
        <w:rPr>
          <w:sz w:val="20"/>
        </w:rPr>
        <w:t>Tabla 2. Niveles dosis utilizados en la curva de calibración de las películas EBT3</w:t>
      </w:r>
    </w:p>
    <w:p>
      <w:pPr>
        <w:pStyle w:val="BodyText"/>
        <w:rPr>
          <w:sz w:val="20"/>
        </w:rPr>
      </w:pPr>
    </w:p>
    <w:p>
      <w:pPr>
        <w:pStyle w:val="BodyText"/>
        <w:rPr>
          <w:sz w:val="20"/>
        </w:rPr>
      </w:pPr>
    </w:p>
    <w:p>
      <w:pPr>
        <w:pStyle w:val="Heading6"/>
        <w:numPr>
          <w:ilvl w:val="1"/>
          <w:numId w:val="2"/>
        </w:numPr>
        <w:tabs>
          <w:tab w:pos="893" w:val="left" w:leader="none"/>
        </w:tabs>
        <w:spacing w:line="240" w:lineRule="auto" w:before="128" w:after="0"/>
        <w:ind w:left="893" w:right="0" w:hanging="433"/>
        <w:jc w:val="left"/>
      </w:pPr>
      <w:bookmarkStart w:name="_bookmark59" w:id="98"/>
      <w:bookmarkEnd w:id="98"/>
      <w:r>
        <w:rPr>
          <w:b w:val="0"/>
        </w:rPr>
      </w:r>
      <w:bookmarkStart w:name="_bookmark59" w:id="99"/>
      <w:bookmarkEnd w:id="99"/>
      <w:r>
        <w:rPr/>
        <w:t>C</w:t>
      </w:r>
      <w:r>
        <w:rPr/>
        <w:t>alibración de películas</w:t>
      </w:r>
      <w:r>
        <w:rPr>
          <w:spacing w:val="-17"/>
        </w:rPr>
        <w:t> </w:t>
      </w:r>
      <w:r>
        <w:rPr/>
        <w:t>radiográficas</w:t>
      </w:r>
    </w:p>
    <w:p>
      <w:pPr>
        <w:pStyle w:val="BodyText"/>
        <w:rPr>
          <w:b/>
        </w:rPr>
      </w:pPr>
    </w:p>
    <w:p>
      <w:pPr>
        <w:pStyle w:val="BodyText"/>
        <w:spacing w:before="8"/>
        <w:rPr>
          <w:b/>
          <w:sz w:val="19"/>
        </w:rPr>
      </w:pPr>
    </w:p>
    <w:p>
      <w:pPr>
        <w:pStyle w:val="BodyText"/>
        <w:spacing w:line="360" w:lineRule="auto"/>
        <w:ind w:left="100" w:right="113"/>
        <w:jc w:val="both"/>
      </w:pPr>
      <w:r>
        <w:rPr/>
        <w:t>Para la calibración de las películas radiográficas, se utilizó el maniquí de acrílico descrito  en la sección 3.5. El método utilizado es el denominado de campos monoisocentricos. Se irradió una película con varios niveles de dosis, variando la intensidad del haz de radiación con el movimiento de las mandíbulas del colimador (</w:t>
      </w:r>
      <w:hyperlink w:history="true" w:anchor="_bookmark60">
        <w:r>
          <w:rPr>
            <w:b/>
            <w:sz w:val="20"/>
          </w:rPr>
          <w:t>Figura 18</w:t>
        </w:r>
      </w:hyperlink>
      <w:r>
        <w:rPr/>
        <w:t>). Los valores de dosis impartidos en cGy fueron; o, 23, 46, 64, 84, 104, 123, 142, 162, 184, 207, 229, 250 y 269, para un total de 13 puntos de medición. Previo a la irradiación de las películas, se tomaron mediciones con la cámara de ionización, para garantizar la entrega de la dosis, por cada nivel de intensidad. Las condiciones de referencia, al igual que en el caso de las películas radiográficas, son; SSD de 100 cm, profundidad en el maniquí de 5 cm, campo de 10 x 10 cm, colimador y gantry a 0°. Debido a que el maniquí utilizado no es agua equivalente, se calculó la relación de la dosis agua-acrílico y se tomó en cuenta el factor de corrección para establecer la curva de</w:t>
      </w:r>
      <w:r>
        <w:rPr>
          <w:spacing w:val="-22"/>
        </w:rPr>
        <w:t> </w:t>
      </w:r>
      <w:r>
        <w:rPr/>
        <w:t>calibración.</w:t>
      </w:r>
    </w:p>
    <w:p>
      <w:pPr>
        <w:spacing w:after="0" w:line="360" w:lineRule="auto"/>
        <w:jc w:val="both"/>
        <w:sectPr>
          <w:pgSz w:w="12240" w:h="15840"/>
          <w:pgMar w:header="0" w:footer="1034" w:top="1420" w:bottom="1220" w:left="1600" w:right="1580"/>
        </w:sectPr>
      </w:pPr>
    </w:p>
    <w:p>
      <w:pPr>
        <w:pStyle w:val="BodyText"/>
        <w:ind w:left="2660"/>
        <w:rPr>
          <w:sz w:val="20"/>
        </w:rPr>
      </w:pPr>
      <w:r>
        <w:rPr>
          <w:sz w:val="20"/>
        </w:rPr>
        <w:drawing>
          <wp:inline distT="0" distB="0" distL="0" distR="0">
            <wp:extent cx="2383030" cy="2854071"/>
            <wp:effectExtent l="0" t="0" r="0" b="0"/>
            <wp:docPr id="43" name="image24.jpeg" descr=""/>
            <wp:cNvGraphicFramePr>
              <a:graphicFrameLocks noChangeAspect="1"/>
            </wp:cNvGraphicFramePr>
            <a:graphic>
              <a:graphicData uri="http://schemas.openxmlformats.org/drawingml/2006/picture">
                <pic:pic>
                  <pic:nvPicPr>
                    <pic:cNvPr id="44" name="image24.jpeg"/>
                    <pic:cNvPicPr/>
                  </pic:nvPicPr>
                  <pic:blipFill>
                    <a:blip r:embed="rId32" cstate="print"/>
                    <a:stretch>
                      <a:fillRect/>
                    </a:stretch>
                  </pic:blipFill>
                  <pic:spPr>
                    <a:xfrm>
                      <a:off x="0" y="0"/>
                      <a:ext cx="2383030" cy="2854071"/>
                    </a:xfrm>
                    <a:prstGeom prst="rect">
                      <a:avLst/>
                    </a:prstGeom>
                  </pic:spPr>
                </pic:pic>
              </a:graphicData>
            </a:graphic>
          </wp:inline>
        </w:drawing>
      </w:r>
      <w:r>
        <w:rPr>
          <w:sz w:val="20"/>
        </w:rPr>
      </w:r>
    </w:p>
    <w:p>
      <w:pPr>
        <w:spacing w:before="71"/>
        <w:ind w:left="3941" w:right="0" w:hanging="3702"/>
        <w:jc w:val="left"/>
        <w:rPr>
          <w:sz w:val="20"/>
        </w:rPr>
      </w:pPr>
      <w:bookmarkStart w:name="_bookmark60" w:id="100"/>
      <w:bookmarkEnd w:id="100"/>
      <w:r>
        <w:rPr/>
      </w:r>
      <w:r>
        <w:rPr>
          <w:sz w:val="20"/>
        </w:rPr>
        <w:t>Figura 18. Película irradiada con varios niveles de dosis utilizada en la calibración de las películas radiográficas</w:t>
      </w:r>
    </w:p>
    <w:p>
      <w:pPr>
        <w:pStyle w:val="BodyText"/>
        <w:rPr>
          <w:sz w:val="20"/>
        </w:rPr>
      </w:pPr>
    </w:p>
    <w:p>
      <w:pPr>
        <w:pStyle w:val="BodyText"/>
        <w:spacing w:before="5"/>
      </w:pPr>
    </w:p>
    <w:p>
      <w:pPr>
        <w:pStyle w:val="Heading6"/>
        <w:numPr>
          <w:ilvl w:val="1"/>
          <w:numId w:val="2"/>
        </w:numPr>
        <w:tabs>
          <w:tab w:pos="893" w:val="left" w:leader="none"/>
        </w:tabs>
        <w:spacing w:line="240" w:lineRule="auto" w:before="0" w:after="0"/>
        <w:ind w:left="893" w:right="0" w:hanging="433"/>
        <w:jc w:val="left"/>
      </w:pPr>
      <w:bookmarkStart w:name="_bookmark61" w:id="101"/>
      <w:bookmarkEnd w:id="101"/>
      <w:r>
        <w:rPr>
          <w:b w:val="0"/>
        </w:rPr>
      </w:r>
      <w:bookmarkStart w:name="_bookmark61" w:id="102"/>
      <w:bookmarkEnd w:id="102"/>
      <w:r>
        <w:rPr/>
        <w:t>L</w:t>
      </w:r>
      <w:r>
        <w:rPr/>
        <w:t>ectura de las películas</w:t>
      </w:r>
      <w:r>
        <w:rPr>
          <w:spacing w:val="-16"/>
        </w:rPr>
        <w:t> </w:t>
      </w:r>
      <w:r>
        <w:rPr/>
        <w:t>radiocrómicas</w:t>
      </w:r>
    </w:p>
    <w:p>
      <w:pPr>
        <w:pStyle w:val="BodyText"/>
        <w:spacing w:before="10"/>
        <w:rPr>
          <w:b/>
          <w:sz w:val="32"/>
        </w:rPr>
      </w:pPr>
    </w:p>
    <w:p>
      <w:pPr>
        <w:pStyle w:val="BodyText"/>
        <w:spacing w:line="360" w:lineRule="auto" w:before="1"/>
        <w:ind w:left="100" w:right="103"/>
        <w:jc w:val="both"/>
      </w:pPr>
      <w:r>
        <w:rPr/>
        <w:t>Para realizar la curva de calibración, se digitalizaron las muestras de películas radiocrómicas en el escáner Epson Expression 10000XL. Para esto, se crearon mascaras oscuras para las muestras, procurando cubrir toda la cama del escáner. De esta forma, se evita que la dispersión de la luz en zonas periféricas contribuya a la lectura.</w:t>
      </w:r>
    </w:p>
    <w:p>
      <w:pPr>
        <w:pStyle w:val="BodyText"/>
        <w:spacing w:before="4"/>
        <w:rPr>
          <w:sz w:val="29"/>
        </w:rPr>
      </w:pPr>
      <w:r>
        <w:rPr/>
        <w:drawing>
          <wp:anchor distT="0" distB="0" distL="0" distR="0" allowOverlap="1" layoutInCell="1" locked="0" behindDoc="0" simplePos="0" relativeHeight="1840">
            <wp:simplePos x="0" y="0"/>
            <wp:positionH relativeFrom="page">
              <wp:posOffset>2663189</wp:posOffset>
            </wp:positionH>
            <wp:positionV relativeFrom="paragraph">
              <wp:posOffset>236843</wp:posOffset>
            </wp:positionV>
            <wp:extent cx="2419097" cy="1814417"/>
            <wp:effectExtent l="0" t="0" r="0" b="0"/>
            <wp:wrapTopAndBottom/>
            <wp:docPr id="45" name="image25.jpeg" descr=""/>
            <wp:cNvGraphicFramePr>
              <a:graphicFrameLocks noChangeAspect="1"/>
            </wp:cNvGraphicFramePr>
            <a:graphic>
              <a:graphicData uri="http://schemas.openxmlformats.org/drawingml/2006/picture">
                <pic:pic>
                  <pic:nvPicPr>
                    <pic:cNvPr id="46" name="image25.jpeg"/>
                    <pic:cNvPicPr/>
                  </pic:nvPicPr>
                  <pic:blipFill>
                    <a:blip r:embed="rId33" cstate="print"/>
                    <a:stretch>
                      <a:fillRect/>
                    </a:stretch>
                  </pic:blipFill>
                  <pic:spPr>
                    <a:xfrm>
                      <a:off x="0" y="0"/>
                      <a:ext cx="2419097" cy="1814417"/>
                    </a:xfrm>
                    <a:prstGeom prst="rect">
                      <a:avLst/>
                    </a:prstGeom>
                  </pic:spPr>
                </pic:pic>
              </a:graphicData>
            </a:graphic>
          </wp:anchor>
        </w:drawing>
      </w:r>
    </w:p>
    <w:p>
      <w:pPr>
        <w:spacing w:before="129"/>
        <w:ind w:left="648" w:right="0" w:firstLine="0"/>
        <w:jc w:val="left"/>
        <w:rPr>
          <w:sz w:val="20"/>
        </w:rPr>
      </w:pPr>
      <w:bookmarkStart w:name="_bookmark62" w:id="103"/>
      <w:bookmarkEnd w:id="103"/>
      <w:r>
        <w:rPr/>
      </w:r>
      <w:r>
        <w:rPr>
          <w:sz w:val="20"/>
        </w:rPr>
        <w:t>Figura 19. Muestras de películas radiocrómicas con sus máscaras en la cama del escáner</w:t>
      </w:r>
    </w:p>
    <w:p>
      <w:pPr>
        <w:pStyle w:val="BodyText"/>
        <w:rPr>
          <w:sz w:val="20"/>
        </w:rPr>
      </w:pPr>
    </w:p>
    <w:p>
      <w:pPr>
        <w:pStyle w:val="BodyText"/>
        <w:spacing w:before="9"/>
      </w:pPr>
    </w:p>
    <w:p>
      <w:pPr>
        <w:pStyle w:val="BodyText"/>
        <w:spacing w:line="362" w:lineRule="auto"/>
        <w:ind w:left="100" w:right="109"/>
        <w:jc w:val="both"/>
      </w:pPr>
      <w:r>
        <w:rPr/>
        <w:t>Previo a la digitalización, se tomaron en consideración ciertas precauciones, como se recomienda en la literatura y por el fabricante, tales como:</w:t>
      </w:r>
    </w:p>
    <w:p>
      <w:pPr>
        <w:pStyle w:val="ListParagraph"/>
        <w:numPr>
          <w:ilvl w:val="0"/>
          <w:numId w:val="7"/>
        </w:numPr>
        <w:tabs>
          <w:tab w:pos="348" w:val="left" w:leader="none"/>
        </w:tabs>
        <w:spacing w:line="248" w:lineRule="exact" w:before="0" w:after="0"/>
        <w:ind w:left="100" w:right="0" w:firstLine="0"/>
        <w:jc w:val="both"/>
        <w:rPr>
          <w:sz w:val="22"/>
        </w:rPr>
      </w:pPr>
      <w:r>
        <w:rPr>
          <w:sz w:val="22"/>
        </w:rPr>
        <w:t>que las muestras se encuentren en el centro de la cama del</w:t>
      </w:r>
      <w:r>
        <w:rPr>
          <w:spacing w:val="-36"/>
          <w:sz w:val="22"/>
        </w:rPr>
        <w:t> </w:t>
      </w:r>
      <w:r>
        <w:rPr>
          <w:sz w:val="22"/>
        </w:rPr>
        <w:t>escáner</w:t>
      </w:r>
    </w:p>
    <w:p>
      <w:pPr>
        <w:spacing w:after="0" w:line="248" w:lineRule="exact"/>
        <w:jc w:val="both"/>
        <w:rPr>
          <w:sz w:val="22"/>
        </w:rPr>
        <w:sectPr>
          <w:pgSz w:w="12240" w:h="15840"/>
          <w:pgMar w:header="0" w:footer="1034" w:top="1420" w:bottom="1220" w:left="1600" w:right="1600"/>
        </w:sectPr>
      </w:pPr>
    </w:p>
    <w:p>
      <w:pPr>
        <w:pStyle w:val="ListParagraph"/>
        <w:numPr>
          <w:ilvl w:val="0"/>
          <w:numId w:val="7"/>
        </w:numPr>
        <w:tabs>
          <w:tab w:pos="361" w:val="left" w:leader="none"/>
        </w:tabs>
        <w:spacing w:line="240" w:lineRule="auto" w:before="55" w:after="0"/>
        <w:ind w:left="360" w:right="0" w:hanging="260"/>
        <w:jc w:val="both"/>
        <w:rPr>
          <w:sz w:val="22"/>
        </w:rPr>
      </w:pPr>
      <w:r>
        <w:rPr>
          <w:sz w:val="22"/>
        </w:rPr>
        <w:t>Limpiar el área de escaneo de polvo y</w:t>
      </w:r>
      <w:r>
        <w:rPr>
          <w:spacing w:val="-18"/>
          <w:sz w:val="22"/>
        </w:rPr>
        <w:t> </w:t>
      </w:r>
      <w:r>
        <w:rPr>
          <w:sz w:val="22"/>
        </w:rPr>
        <w:t>suciedad</w:t>
      </w:r>
    </w:p>
    <w:p>
      <w:pPr>
        <w:pStyle w:val="ListParagraph"/>
        <w:numPr>
          <w:ilvl w:val="0"/>
          <w:numId w:val="7"/>
        </w:numPr>
        <w:tabs>
          <w:tab w:pos="360" w:val="left" w:leader="none"/>
        </w:tabs>
        <w:spacing w:line="360" w:lineRule="auto" w:before="126" w:after="0"/>
        <w:ind w:left="100" w:right="129" w:firstLine="0"/>
        <w:jc w:val="both"/>
        <w:rPr>
          <w:i/>
          <w:sz w:val="22"/>
        </w:rPr>
      </w:pPr>
      <w:r>
        <w:rPr>
          <w:sz w:val="22"/>
        </w:rPr>
        <w:t>mantener en todo momento la misma orientación de escaneo para todas las muestras.  La orientación elegida es</w:t>
      </w:r>
      <w:r>
        <w:rPr>
          <w:spacing w:val="-13"/>
          <w:sz w:val="22"/>
        </w:rPr>
        <w:t> </w:t>
      </w:r>
      <w:r>
        <w:rPr>
          <w:i/>
          <w:sz w:val="22"/>
        </w:rPr>
        <w:t>landscape.</w:t>
      </w:r>
    </w:p>
    <w:p>
      <w:pPr>
        <w:pStyle w:val="BodyText"/>
        <w:spacing w:before="9"/>
        <w:rPr>
          <w:i/>
          <w:sz w:val="32"/>
        </w:rPr>
      </w:pPr>
    </w:p>
    <w:p>
      <w:pPr>
        <w:pStyle w:val="BodyText"/>
        <w:spacing w:line="360" w:lineRule="auto"/>
        <w:ind w:left="100" w:right="116"/>
        <w:jc w:val="both"/>
      </w:pPr>
      <w:r>
        <w:rPr/>
        <w:t>Las películas fueron escaneadas en el modo transmisión, en formato .TIFF, con </w:t>
      </w:r>
      <w:r>
        <w:rPr>
          <w:spacing w:val="2"/>
        </w:rPr>
        <w:t>16 </w:t>
      </w:r>
      <w:r>
        <w:rPr/>
        <w:t>bit de profundidad de color y una resolución de 150 ppp. Se deshabilitaron todas las opciones de corrección de imagen. Posteriormente, las imágenes obtenidas del proceso de  digitalización fueron analizadas con el software Image J, extrayendo información </w:t>
      </w:r>
      <w:r>
        <w:rPr>
          <w:spacing w:val="7"/>
        </w:rPr>
        <w:t>de </w:t>
      </w:r>
      <w:r>
        <w:rPr/>
        <w:t>cada canal de color, rojo, verde y azul. Se delimito una región de interés (ROI), de 1 x 1 cm, y para cada canal y muestra se tomaron registros de los valores pixel y la desviación estándar. Por cada nivel de dosis hay dos muestras, por tanto, se tomaron los promedios pesados</w:t>
      </w:r>
      <w:r>
        <w:rPr>
          <w:spacing w:val="-5"/>
        </w:rPr>
        <w:t> </w:t>
      </w:r>
      <w:r>
        <w:rPr/>
        <w:t>de</w:t>
      </w:r>
      <w:r>
        <w:rPr>
          <w:spacing w:val="-4"/>
        </w:rPr>
        <w:t> </w:t>
      </w:r>
      <w:r>
        <w:rPr/>
        <w:t>estos</w:t>
      </w:r>
      <w:r>
        <w:rPr>
          <w:spacing w:val="-5"/>
        </w:rPr>
        <w:t> </w:t>
      </w:r>
      <w:r>
        <w:rPr/>
        <w:t>parámetros</w:t>
      </w:r>
      <w:r>
        <w:rPr>
          <w:spacing w:val="-5"/>
        </w:rPr>
        <w:t> </w:t>
      </w:r>
      <w:r>
        <w:rPr/>
        <w:t>para</w:t>
      </w:r>
      <w:r>
        <w:rPr>
          <w:spacing w:val="-5"/>
        </w:rPr>
        <w:t> </w:t>
      </w:r>
      <w:r>
        <w:rPr/>
        <w:t>determinar</w:t>
      </w:r>
      <w:r>
        <w:rPr>
          <w:spacing w:val="-4"/>
        </w:rPr>
        <w:t> </w:t>
      </w:r>
      <w:r>
        <w:rPr/>
        <w:t>la</w:t>
      </w:r>
      <w:r>
        <w:rPr>
          <w:spacing w:val="-5"/>
        </w:rPr>
        <w:t> </w:t>
      </w:r>
      <w:r>
        <w:rPr/>
        <w:t>curva</w:t>
      </w:r>
      <w:r>
        <w:rPr>
          <w:spacing w:val="-5"/>
        </w:rPr>
        <w:t> </w:t>
      </w:r>
      <w:r>
        <w:rPr/>
        <w:t>de</w:t>
      </w:r>
      <w:r>
        <w:rPr>
          <w:spacing w:val="-4"/>
        </w:rPr>
        <w:t> </w:t>
      </w:r>
      <w:r>
        <w:rPr/>
        <w:t>calibración.</w:t>
      </w:r>
    </w:p>
    <w:p>
      <w:pPr>
        <w:pStyle w:val="BodyText"/>
      </w:pPr>
    </w:p>
    <w:p>
      <w:pPr>
        <w:pStyle w:val="BodyText"/>
        <w:spacing w:line="360" w:lineRule="auto" w:before="127"/>
        <w:ind w:left="100" w:right="117"/>
        <w:jc w:val="both"/>
      </w:pPr>
      <w:r>
        <w:rPr/>
        <w:t>Se realizaron curvas de calibración para cada canal de color, utilizando la ecuación (4). Alternativamente, se probaron ajustes racionales con una menor cantidad de puntos, como sugiere la bibliografía (Lewis, et al., 2012), para encontrar la que mejor se ajuste a los datos.</w:t>
      </w:r>
    </w:p>
    <w:p>
      <w:pPr>
        <w:pStyle w:val="BodyText"/>
      </w:pPr>
    </w:p>
    <w:p>
      <w:pPr>
        <w:pStyle w:val="Heading6"/>
        <w:numPr>
          <w:ilvl w:val="1"/>
          <w:numId w:val="2"/>
        </w:numPr>
        <w:tabs>
          <w:tab w:pos="893" w:val="left" w:leader="none"/>
        </w:tabs>
        <w:spacing w:line="240" w:lineRule="auto" w:before="127" w:after="0"/>
        <w:ind w:left="893" w:right="0" w:hanging="433"/>
        <w:jc w:val="left"/>
      </w:pPr>
      <w:bookmarkStart w:name="_bookmark63" w:id="104"/>
      <w:bookmarkEnd w:id="104"/>
      <w:r>
        <w:rPr>
          <w:b w:val="0"/>
        </w:rPr>
      </w:r>
      <w:bookmarkStart w:name="_bookmark63" w:id="105"/>
      <w:bookmarkEnd w:id="105"/>
      <w:r>
        <w:rPr/>
        <w:t>L</w:t>
      </w:r>
      <w:r>
        <w:rPr/>
        <w:t>ectura de las películas</w:t>
      </w:r>
      <w:r>
        <w:rPr>
          <w:spacing w:val="-18"/>
        </w:rPr>
        <w:t> </w:t>
      </w:r>
      <w:r>
        <w:rPr/>
        <w:t>radiográficas</w:t>
      </w:r>
    </w:p>
    <w:p>
      <w:pPr>
        <w:pStyle w:val="BodyText"/>
        <w:rPr>
          <w:b/>
        </w:rPr>
      </w:pPr>
    </w:p>
    <w:p>
      <w:pPr>
        <w:pStyle w:val="BodyText"/>
        <w:spacing w:before="8"/>
        <w:rPr>
          <w:b/>
          <w:sz w:val="19"/>
        </w:rPr>
      </w:pPr>
    </w:p>
    <w:p>
      <w:pPr>
        <w:pStyle w:val="BodyText"/>
        <w:spacing w:line="360" w:lineRule="auto"/>
        <w:ind w:left="100" w:right="116"/>
        <w:jc w:val="both"/>
      </w:pPr>
      <w:r>
        <w:rPr/>
        <w:t>Las películas radiográficas se digitalizaron en el escáner Vidar Dosimetry Pro Advantage. Previo a su lectura, se llevó a cabo la calibración del escáner, la cual consiste en establecer una relación entre unidades A/D y valores de densidad óptica conocidas. Para la calibración se utilizó una tira de película con diferentes niveles en escala de grises, proporcionada por el fabricante, con una densidad óptica asociada a cada nivel. Esta película se digitaliza y se procesa con el módulo Film Cal del software Mephysto, que se encuentra sincronizado con el escáner. El modulo Film Cal permite crear una ROI en cada zona de la imagen escaneada y asociarle la densidad óptica</w:t>
      </w:r>
      <w:r>
        <w:rPr>
          <w:spacing w:val="-35"/>
        </w:rPr>
        <w:t> </w:t>
      </w:r>
      <w:r>
        <w:rPr/>
        <w:t>conocida.</w:t>
      </w:r>
    </w:p>
    <w:p>
      <w:pPr>
        <w:spacing w:after="0" w:line="360" w:lineRule="auto"/>
        <w:jc w:val="both"/>
        <w:sectPr>
          <w:pgSz w:w="12240" w:h="15840"/>
          <w:pgMar w:header="0" w:footer="1034" w:top="1360" w:bottom="1220" w:left="1600" w:right="1580"/>
        </w:sectPr>
      </w:pPr>
    </w:p>
    <w:p>
      <w:pPr>
        <w:pStyle w:val="BodyText"/>
        <w:ind w:left="1160"/>
        <w:rPr>
          <w:sz w:val="20"/>
        </w:rPr>
      </w:pPr>
      <w:r>
        <w:rPr>
          <w:sz w:val="20"/>
        </w:rPr>
        <w:drawing>
          <wp:inline distT="0" distB="0" distL="0" distR="0">
            <wp:extent cx="4305193" cy="1739264"/>
            <wp:effectExtent l="0" t="0" r="0" b="0"/>
            <wp:docPr id="47" name="image26.jpeg" descr=""/>
            <wp:cNvGraphicFramePr>
              <a:graphicFrameLocks noChangeAspect="1"/>
            </wp:cNvGraphicFramePr>
            <a:graphic>
              <a:graphicData uri="http://schemas.openxmlformats.org/drawingml/2006/picture">
                <pic:pic>
                  <pic:nvPicPr>
                    <pic:cNvPr id="48" name="image26.jpeg"/>
                    <pic:cNvPicPr/>
                  </pic:nvPicPr>
                  <pic:blipFill>
                    <a:blip r:embed="rId34" cstate="print"/>
                    <a:stretch>
                      <a:fillRect/>
                    </a:stretch>
                  </pic:blipFill>
                  <pic:spPr>
                    <a:xfrm>
                      <a:off x="0" y="0"/>
                      <a:ext cx="4305193" cy="1739264"/>
                    </a:xfrm>
                    <a:prstGeom prst="rect">
                      <a:avLst/>
                    </a:prstGeom>
                  </pic:spPr>
                </pic:pic>
              </a:graphicData>
            </a:graphic>
          </wp:inline>
        </w:drawing>
      </w:r>
      <w:r>
        <w:rPr>
          <w:sz w:val="20"/>
        </w:rPr>
      </w:r>
    </w:p>
    <w:p>
      <w:pPr>
        <w:spacing w:before="90"/>
        <w:ind w:left="1745" w:right="155" w:firstLine="0"/>
        <w:jc w:val="left"/>
        <w:rPr>
          <w:sz w:val="20"/>
        </w:rPr>
      </w:pPr>
      <w:bookmarkStart w:name="_bookmark64" w:id="106"/>
      <w:bookmarkEnd w:id="106"/>
      <w:r>
        <w:rPr/>
      </w:r>
      <w:r>
        <w:rPr>
          <w:sz w:val="20"/>
        </w:rPr>
        <w:t>Figura 20. Película utilizada en la calibración del escáner Vidar</w:t>
      </w:r>
    </w:p>
    <w:p>
      <w:pPr>
        <w:pStyle w:val="BodyText"/>
        <w:rPr>
          <w:sz w:val="20"/>
        </w:rPr>
      </w:pPr>
    </w:p>
    <w:p>
      <w:pPr>
        <w:pStyle w:val="BodyText"/>
        <w:spacing w:before="1"/>
        <w:rPr>
          <w:sz w:val="23"/>
        </w:rPr>
      </w:pPr>
    </w:p>
    <w:p>
      <w:pPr>
        <w:pStyle w:val="BodyText"/>
        <w:spacing w:line="360" w:lineRule="auto" w:before="1"/>
        <w:ind w:left="100" w:right="119"/>
        <w:jc w:val="both"/>
      </w:pPr>
      <w:r>
        <w:rPr/>
        <w:t>Esta información se utiliza para generar una curva característica que servirá para que el escáner proporcione valores correctos de densidad óptica en el procedimiento de elaboración de la curva sensitométrica de las películas radiográficas.</w:t>
      </w:r>
    </w:p>
    <w:p>
      <w:pPr>
        <w:pStyle w:val="BodyText"/>
        <w:spacing w:before="9"/>
        <w:rPr>
          <w:sz w:val="32"/>
        </w:rPr>
      </w:pPr>
    </w:p>
    <w:p>
      <w:pPr>
        <w:pStyle w:val="BodyText"/>
        <w:spacing w:line="360" w:lineRule="auto"/>
        <w:ind w:left="100" w:right="118"/>
        <w:jc w:val="both"/>
      </w:pPr>
      <w:r>
        <w:rPr/>
        <w:t>Posterior a la irradiación, las películas radiográficas fueron reveladas en el procesador Kodak X-Omat 35, procurando que el proceso se completara en el menor tiempo posible, para minimizar las variaciones asociadas al cambio de temperatura. Las películas con los planes de tratamiento se marcaron con propósitos de orientación, de acuerdo a su posicionamiento en el acelerador lineal.</w:t>
      </w:r>
    </w:p>
    <w:p>
      <w:pPr>
        <w:pStyle w:val="BodyText"/>
      </w:pPr>
    </w:p>
    <w:p>
      <w:pPr>
        <w:pStyle w:val="BodyText"/>
        <w:spacing w:line="360" w:lineRule="auto" w:before="127"/>
        <w:ind w:left="100" w:right="119"/>
        <w:jc w:val="both"/>
      </w:pPr>
      <w:r>
        <w:rPr/>
        <w:t>La digitalización se llevó a cabo en el escáner Vidar, y las lecturas de densidad óptica de la película de calibración se realizaron con asistencia de Film Cal. A cada lectura se le descontó el valor de fondo (0 Gy, sin irradiación), para obtener la densidad óptica neta, y con estos datos se generó la curva de calibración.</w:t>
      </w:r>
    </w:p>
    <w:p>
      <w:pPr>
        <w:pStyle w:val="BodyText"/>
      </w:pPr>
    </w:p>
    <w:p>
      <w:pPr>
        <w:pStyle w:val="Heading6"/>
        <w:numPr>
          <w:ilvl w:val="1"/>
          <w:numId w:val="2"/>
        </w:numPr>
        <w:tabs>
          <w:tab w:pos="893" w:val="left" w:leader="none"/>
        </w:tabs>
        <w:spacing w:line="240" w:lineRule="auto" w:before="127" w:after="0"/>
        <w:ind w:left="893" w:right="0" w:hanging="433"/>
        <w:jc w:val="left"/>
      </w:pPr>
      <w:bookmarkStart w:name="_bookmark65" w:id="107"/>
      <w:bookmarkEnd w:id="107"/>
      <w:r>
        <w:rPr>
          <w:b w:val="0"/>
        </w:rPr>
      </w:r>
      <w:bookmarkStart w:name="_bookmark65" w:id="108"/>
      <w:bookmarkEnd w:id="108"/>
      <w:r>
        <w:rPr/>
        <w:t>P</w:t>
      </w:r>
      <w:r>
        <w:rPr/>
        <w:t>laneación de los</w:t>
      </w:r>
      <w:r>
        <w:rPr>
          <w:spacing w:val="-14"/>
        </w:rPr>
        <w:t> </w:t>
      </w:r>
      <w:r>
        <w:rPr/>
        <w:t>tratamientos</w:t>
      </w:r>
    </w:p>
    <w:p>
      <w:pPr>
        <w:pStyle w:val="BodyText"/>
        <w:rPr>
          <w:b/>
        </w:rPr>
      </w:pPr>
    </w:p>
    <w:p>
      <w:pPr>
        <w:pStyle w:val="BodyText"/>
        <w:spacing w:before="8"/>
        <w:rPr>
          <w:b/>
          <w:sz w:val="19"/>
        </w:rPr>
      </w:pPr>
    </w:p>
    <w:p>
      <w:pPr>
        <w:pStyle w:val="BodyText"/>
        <w:spacing w:line="360" w:lineRule="auto"/>
        <w:ind w:left="100" w:right="117"/>
        <w:jc w:val="both"/>
      </w:pPr>
      <w:r>
        <w:rPr/>
        <w:t>Las planeaciones de los tratamientos se realizaron en el sistema Eclipse 1.0, propio de la casa comercial Varian. Dentro de las pruebas de control de calidad paciente especifico, se requiere que los planes sean exportados a un maniquí virtual, con el objetivo de poder llevar a cabo la comparación de las distribuciones de dosis al irradiar las películas en un maniquí físico. Por tanto, previamente se tomaron las imágenes tomográficas del maniquí de acrílico donde se realizaran las irradiaciones, para posteriormente incluirlas en el sistema de planeación.</w:t>
      </w:r>
    </w:p>
    <w:p>
      <w:pPr>
        <w:spacing w:after="0" w:line="360" w:lineRule="auto"/>
        <w:jc w:val="both"/>
        <w:sectPr>
          <w:pgSz w:w="12240" w:h="15840"/>
          <w:pgMar w:header="0" w:footer="1034" w:top="1420" w:bottom="1220" w:left="1600" w:right="1580"/>
        </w:sectPr>
      </w:pPr>
    </w:p>
    <w:p>
      <w:pPr>
        <w:pStyle w:val="BodyText"/>
        <w:ind w:left="163"/>
        <w:rPr>
          <w:sz w:val="20"/>
        </w:rPr>
      </w:pPr>
      <w:r>
        <w:rPr>
          <w:sz w:val="20"/>
        </w:rPr>
        <w:drawing>
          <wp:inline distT="0" distB="0" distL="0" distR="0">
            <wp:extent cx="5590464" cy="2204466"/>
            <wp:effectExtent l="0" t="0" r="0" b="0"/>
            <wp:docPr id="49" name="image27.png" descr=""/>
            <wp:cNvGraphicFramePr>
              <a:graphicFrameLocks noChangeAspect="1"/>
            </wp:cNvGraphicFramePr>
            <a:graphic>
              <a:graphicData uri="http://schemas.openxmlformats.org/drawingml/2006/picture">
                <pic:pic>
                  <pic:nvPicPr>
                    <pic:cNvPr id="50" name="image27.png"/>
                    <pic:cNvPicPr/>
                  </pic:nvPicPr>
                  <pic:blipFill>
                    <a:blip r:embed="rId35" cstate="print"/>
                    <a:stretch>
                      <a:fillRect/>
                    </a:stretch>
                  </pic:blipFill>
                  <pic:spPr>
                    <a:xfrm>
                      <a:off x="0" y="0"/>
                      <a:ext cx="5590464" cy="2204466"/>
                    </a:xfrm>
                    <a:prstGeom prst="rect">
                      <a:avLst/>
                    </a:prstGeom>
                  </pic:spPr>
                </pic:pic>
              </a:graphicData>
            </a:graphic>
          </wp:inline>
        </w:drawing>
      </w:r>
      <w:r>
        <w:rPr>
          <w:sz w:val="20"/>
        </w:rPr>
      </w:r>
    </w:p>
    <w:p>
      <w:pPr>
        <w:spacing w:before="93"/>
        <w:ind w:left="216" w:right="240" w:firstLine="0"/>
        <w:jc w:val="center"/>
        <w:rPr>
          <w:sz w:val="20"/>
        </w:rPr>
      </w:pPr>
      <w:bookmarkStart w:name="_bookmark66" w:id="109"/>
      <w:bookmarkEnd w:id="109"/>
      <w:r>
        <w:rPr/>
      </w:r>
      <w:r>
        <w:rPr>
          <w:sz w:val="20"/>
        </w:rPr>
        <w:t>Figura 21. Toma de imágenes tomográficas del maniquí de acrílico y vista del mismo en el sistema de planeación</w:t>
      </w:r>
    </w:p>
    <w:p>
      <w:pPr>
        <w:pStyle w:val="BodyText"/>
        <w:rPr>
          <w:sz w:val="20"/>
        </w:rPr>
      </w:pPr>
    </w:p>
    <w:p>
      <w:pPr>
        <w:pStyle w:val="BodyText"/>
        <w:rPr>
          <w:sz w:val="20"/>
        </w:rPr>
      </w:pPr>
    </w:p>
    <w:p>
      <w:pPr>
        <w:pStyle w:val="BodyText"/>
        <w:spacing w:line="360" w:lineRule="auto" w:before="124"/>
        <w:ind w:left="100" w:right="116"/>
        <w:jc w:val="both"/>
      </w:pPr>
      <w:r>
        <w:rPr/>
        <w:t>Para la comparación de las distribuciones de dosis y la dosis puntual se llevó a cabo la realización de 9 planes de tratamiento de pacientes con cáncer de cabeza y cuello. En este tipo de planes se alcanzan importantes gradientes de dosis, en zonas de alto riesgo, por lo que se juzgaron convenientes para la validar el uso de la dosimetría con película radiocrómica en el control de calidad de IMRT en el Hospital General de México. En la </w:t>
      </w:r>
      <w:hyperlink w:history="true" w:anchor="_bookmark67">
        <w:r>
          <w:rPr>
            <w:b/>
            <w:sz w:val="20"/>
          </w:rPr>
          <w:t>Figura 22</w:t>
        </w:r>
      </w:hyperlink>
      <w:r>
        <w:rPr>
          <w:b/>
          <w:sz w:val="20"/>
        </w:rPr>
        <w:t> </w:t>
      </w:r>
      <w:r>
        <w:rPr/>
        <w:t>se observa un ejemplo de los planes utilizados, en una ventana del sistema de planeación.</w:t>
      </w:r>
    </w:p>
    <w:p>
      <w:pPr>
        <w:pStyle w:val="BodyText"/>
        <w:spacing w:before="5"/>
        <w:rPr>
          <w:sz w:val="29"/>
        </w:rPr>
      </w:pPr>
      <w:r>
        <w:rPr/>
        <w:drawing>
          <wp:anchor distT="0" distB="0" distL="0" distR="0" allowOverlap="1" layoutInCell="1" locked="0" behindDoc="0" simplePos="0" relativeHeight="1864">
            <wp:simplePos x="0" y="0"/>
            <wp:positionH relativeFrom="page">
              <wp:posOffset>2419350</wp:posOffset>
            </wp:positionH>
            <wp:positionV relativeFrom="paragraph">
              <wp:posOffset>237351</wp:posOffset>
            </wp:positionV>
            <wp:extent cx="2963472" cy="2137410"/>
            <wp:effectExtent l="0" t="0" r="0" b="0"/>
            <wp:wrapTopAndBottom/>
            <wp:docPr id="51" name="image28.jpeg" descr=""/>
            <wp:cNvGraphicFramePr>
              <a:graphicFrameLocks noChangeAspect="1"/>
            </wp:cNvGraphicFramePr>
            <a:graphic>
              <a:graphicData uri="http://schemas.openxmlformats.org/drawingml/2006/picture">
                <pic:pic>
                  <pic:nvPicPr>
                    <pic:cNvPr id="52" name="image28.jpeg"/>
                    <pic:cNvPicPr/>
                  </pic:nvPicPr>
                  <pic:blipFill>
                    <a:blip r:embed="rId36" cstate="print"/>
                    <a:stretch>
                      <a:fillRect/>
                    </a:stretch>
                  </pic:blipFill>
                  <pic:spPr>
                    <a:xfrm>
                      <a:off x="0" y="0"/>
                      <a:ext cx="2963472" cy="2137410"/>
                    </a:xfrm>
                    <a:prstGeom prst="rect">
                      <a:avLst/>
                    </a:prstGeom>
                  </pic:spPr>
                </pic:pic>
              </a:graphicData>
            </a:graphic>
          </wp:anchor>
        </w:drawing>
      </w:r>
    </w:p>
    <w:p>
      <w:pPr>
        <w:spacing w:before="55"/>
        <w:ind w:left="211" w:right="240" w:firstLine="0"/>
        <w:jc w:val="center"/>
        <w:rPr>
          <w:sz w:val="20"/>
        </w:rPr>
      </w:pPr>
      <w:bookmarkStart w:name="_bookmark67" w:id="110"/>
      <w:bookmarkEnd w:id="110"/>
      <w:r>
        <w:rPr/>
      </w:r>
      <w:r>
        <w:rPr>
          <w:sz w:val="20"/>
        </w:rPr>
        <w:t>Figura 22. Vista de un plan de cabeza y cuello en la interfaz del sistema Eclipse 1.0</w:t>
      </w:r>
    </w:p>
    <w:p>
      <w:pPr>
        <w:spacing w:after="0"/>
        <w:jc w:val="center"/>
        <w:rPr>
          <w:sz w:val="20"/>
        </w:rPr>
        <w:sectPr>
          <w:pgSz w:w="12240" w:h="15840"/>
          <w:pgMar w:header="0" w:footer="1034" w:top="1420" w:bottom="1220" w:left="1600" w:right="1580"/>
        </w:sectPr>
      </w:pPr>
    </w:p>
    <w:p>
      <w:pPr>
        <w:pStyle w:val="Heading6"/>
        <w:numPr>
          <w:ilvl w:val="1"/>
          <w:numId w:val="2"/>
        </w:numPr>
        <w:tabs>
          <w:tab w:pos="893" w:val="left" w:leader="none"/>
        </w:tabs>
        <w:spacing w:line="240" w:lineRule="auto" w:before="55" w:after="0"/>
        <w:ind w:left="893" w:right="0" w:hanging="433"/>
        <w:jc w:val="left"/>
      </w:pPr>
      <w:bookmarkStart w:name="_bookmark68" w:id="111"/>
      <w:bookmarkEnd w:id="111"/>
      <w:r>
        <w:rPr>
          <w:b w:val="0"/>
        </w:rPr>
      </w:r>
      <w:bookmarkStart w:name="_bookmark68" w:id="112"/>
      <w:bookmarkEnd w:id="112"/>
      <w:r>
        <w:rPr/>
        <w:t>I</w:t>
      </w:r>
      <w:r>
        <w:rPr/>
        <w:t>rradiación de películas en maniquí de</w:t>
      </w:r>
      <w:r>
        <w:rPr>
          <w:spacing w:val="-19"/>
        </w:rPr>
        <w:t> </w:t>
      </w:r>
      <w:r>
        <w:rPr/>
        <w:t>acrílico</w:t>
      </w:r>
    </w:p>
    <w:p>
      <w:pPr>
        <w:pStyle w:val="BodyText"/>
        <w:rPr>
          <w:b/>
        </w:rPr>
      </w:pPr>
    </w:p>
    <w:p>
      <w:pPr>
        <w:pStyle w:val="BodyText"/>
        <w:spacing w:before="8"/>
        <w:rPr>
          <w:b/>
          <w:sz w:val="19"/>
        </w:rPr>
      </w:pPr>
    </w:p>
    <w:p>
      <w:pPr>
        <w:pStyle w:val="BodyText"/>
        <w:spacing w:line="360" w:lineRule="auto"/>
        <w:ind w:left="100" w:right="114"/>
        <w:jc w:val="both"/>
      </w:pPr>
      <w:r>
        <w:rPr/>
        <w:t>Las películas fueron irradiadas con los planes de tratamiento exportados al maniquí virtual. Para esto, se tomó en consideración el tratamiento completo, con todos los campos y subcampos asociados. Tanto las películas radiocrómicas como las radiográficas se acomodaron una sobre la otra, a una profundidad de 5 cm en el maniquí de acrílico, y fueron irradiadas al mismo tiempo. </w:t>
      </w:r>
      <w:r>
        <w:rPr>
          <w:spacing w:val="5"/>
        </w:rPr>
        <w:t>Se </w:t>
      </w:r>
      <w:r>
        <w:rPr/>
        <w:t>marcaron para su orientación, y se tomaron mediciones con la cámara de ionización durante cada tratamiento para determinar la dosis en un punto. Posteriormente, se llevó a cabo la comparación de las distribuciones de dosis de los tratamientos calculados en el sistema de planeación, con aquellas medidas con las películas radiocrómicas y radiográficas. </w:t>
      </w:r>
      <w:r>
        <w:rPr>
          <w:spacing w:val="-3"/>
        </w:rPr>
        <w:t>De </w:t>
      </w:r>
      <w:r>
        <w:rPr/>
        <w:t>igual manera, se compararon los resultados de las mediciones puntuales de dosis con cámara de</w:t>
      </w:r>
      <w:r>
        <w:rPr>
          <w:spacing w:val="-28"/>
        </w:rPr>
        <w:t> </w:t>
      </w:r>
      <w:r>
        <w:rPr/>
        <w:t>ionización.</w:t>
      </w:r>
    </w:p>
    <w:p>
      <w:pPr>
        <w:pStyle w:val="BodyText"/>
        <w:spacing w:before="8"/>
        <w:rPr>
          <w:sz w:val="29"/>
        </w:rPr>
      </w:pPr>
      <w:r>
        <w:rPr/>
        <w:drawing>
          <wp:anchor distT="0" distB="0" distL="0" distR="0" allowOverlap="1" layoutInCell="1" locked="0" behindDoc="0" simplePos="0" relativeHeight="1888">
            <wp:simplePos x="0" y="0"/>
            <wp:positionH relativeFrom="page">
              <wp:posOffset>2428875</wp:posOffset>
            </wp:positionH>
            <wp:positionV relativeFrom="paragraph">
              <wp:posOffset>239637</wp:posOffset>
            </wp:positionV>
            <wp:extent cx="2940443" cy="2204466"/>
            <wp:effectExtent l="0" t="0" r="0" b="0"/>
            <wp:wrapTopAndBottom/>
            <wp:docPr id="53" name="image29.jpeg" descr=""/>
            <wp:cNvGraphicFramePr>
              <a:graphicFrameLocks noChangeAspect="1"/>
            </wp:cNvGraphicFramePr>
            <a:graphic>
              <a:graphicData uri="http://schemas.openxmlformats.org/drawingml/2006/picture">
                <pic:pic>
                  <pic:nvPicPr>
                    <pic:cNvPr id="54" name="image29.jpeg"/>
                    <pic:cNvPicPr/>
                  </pic:nvPicPr>
                  <pic:blipFill>
                    <a:blip r:embed="rId37" cstate="print"/>
                    <a:stretch>
                      <a:fillRect/>
                    </a:stretch>
                  </pic:blipFill>
                  <pic:spPr>
                    <a:xfrm>
                      <a:off x="0" y="0"/>
                      <a:ext cx="2940443" cy="2204466"/>
                    </a:xfrm>
                    <a:prstGeom prst="rect">
                      <a:avLst/>
                    </a:prstGeom>
                  </pic:spPr>
                </pic:pic>
              </a:graphicData>
            </a:graphic>
          </wp:anchor>
        </w:drawing>
      </w:r>
    </w:p>
    <w:p>
      <w:pPr>
        <w:spacing w:before="66"/>
        <w:ind w:left="1505" w:right="155" w:firstLine="0"/>
        <w:jc w:val="left"/>
        <w:rPr>
          <w:sz w:val="20"/>
        </w:rPr>
      </w:pPr>
      <w:bookmarkStart w:name="_bookmark69" w:id="113"/>
      <w:bookmarkEnd w:id="113"/>
      <w:r>
        <w:rPr/>
      </w:r>
      <w:r>
        <w:rPr>
          <w:sz w:val="20"/>
        </w:rPr>
        <w:t>Figura 23. Irradiación de las películas radiocrómicas y radiográficas.</w:t>
      </w:r>
    </w:p>
    <w:p>
      <w:pPr>
        <w:pStyle w:val="BodyText"/>
        <w:rPr>
          <w:sz w:val="20"/>
        </w:rPr>
      </w:pPr>
    </w:p>
    <w:p>
      <w:pPr>
        <w:pStyle w:val="BodyText"/>
        <w:rPr>
          <w:sz w:val="20"/>
        </w:rPr>
      </w:pPr>
    </w:p>
    <w:p>
      <w:pPr>
        <w:pStyle w:val="BodyText"/>
        <w:spacing w:before="8"/>
        <w:rPr>
          <w:sz w:val="26"/>
        </w:rPr>
      </w:pPr>
    </w:p>
    <w:p>
      <w:pPr>
        <w:pStyle w:val="Heading6"/>
        <w:numPr>
          <w:ilvl w:val="1"/>
          <w:numId w:val="2"/>
        </w:numPr>
        <w:tabs>
          <w:tab w:pos="893" w:val="left" w:leader="none"/>
        </w:tabs>
        <w:spacing w:line="240" w:lineRule="auto" w:before="0" w:after="0"/>
        <w:ind w:left="893" w:right="0" w:hanging="433"/>
        <w:jc w:val="left"/>
      </w:pPr>
      <w:bookmarkStart w:name="_bookmark70" w:id="114"/>
      <w:bookmarkEnd w:id="114"/>
      <w:r>
        <w:rPr>
          <w:b w:val="0"/>
        </w:rPr>
      </w:r>
      <w:bookmarkStart w:name="_bookmark70" w:id="115"/>
      <w:bookmarkEnd w:id="115"/>
      <w:r>
        <w:rPr/>
        <w:t>A</w:t>
      </w:r>
      <w:r>
        <w:rPr/>
        <w:t>nálisis de distribución de</w:t>
      </w:r>
      <w:r>
        <w:rPr>
          <w:spacing w:val="-15"/>
        </w:rPr>
        <w:t> </w:t>
      </w:r>
      <w:r>
        <w:rPr/>
        <w:t>dosis</w:t>
      </w:r>
    </w:p>
    <w:p>
      <w:pPr>
        <w:pStyle w:val="BodyText"/>
        <w:spacing w:before="9"/>
        <w:rPr>
          <w:b/>
          <w:sz w:val="30"/>
        </w:rPr>
      </w:pPr>
    </w:p>
    <w:p>
      <w:pPr>
        <w:pStyle w:val="BodyText"/>
        <w:spacing w:line="360" w:lineRule="auto"/>
        <w:ind w:left="100" w:right="118"/>
        <w:jc w:val="both"/>
      </w:pPr>
      <w:r>
        <w:rPr/>
        <w:t>El análisis de la distribución de dosis medidas con las películas radiocrómicas y radiográficas se llevó a cabo en el software Verisoft. Como paso previo, el manejo de las imágenes escaneadas de las películas se hizo en el módulo Filmcal, de Mephysto. En este módulo, se integró la información de las curvas de calibración de cada tipo de película, de tal forma que se generaron nuevas imágenes con información de dosis, que posteriormente se exportaron a Verisoft.</w:t>
      </w:r>
    </w:p>
    <w:p>
      <w:pPr>
        <w:spacing w:after="0" w:line="360" w:lineRule="auto"/>
        <w:jc w:val="both"/>
        <w:sectPr>
          <w:pgSz w:w="12240" w:h="15840"/>
          <w:pgMar w:header="0" w:footer="1034" w:top="1360" w:bottom="1220" w:left="1600" w:right="1580"/>
        </w:sectPr>
      </w:pPr>
    </w:p>
    <w:p>
      <w:pPr>
        <w:pStyle w:val="BodyText"/>
        <w:spacing w:line="360" w:lineRule="auto" w:before="55"/>
        <w:ind w:left="100" w:right="116"/>
        <w:jc w:val="both"/>
      </w:pPr>
      <w:r>
        <w:rPr/>
        <w:t>Cada tipo de película se comparó con el plan calculado por el sistema de planeación, para  lo cual se superpusieron los perfiles de dosis de la distribución medida y calculada, con el fin de hacer una inspección cualitativa, y posteriormente se llevó a cabo el análisis del índice gamma, lo cual arroja datos cuantitativos del grado de coincidencia entre ambas. Adicionalmente, se utilizaron las herramientas de histograma del software, como información de apoyo en el análisis de</w:t>
      </w:r>
      <w:r>
        <w:rPr>
          <w:spacing w:val="-28"/>
        </w:rPr>
        <w:t> </w:t>
      </w:r>
      <w:r>
        <w:rPr/>
        <w:t>resultados.</w:t>
      </w:r>
    </w:p>
    <w:p>
      <w:pPr>
        <w:pStyle w:val="BodyText"/>
        <w:spacing w:before="9"/>
        <w:rPr>
          <w:sz w:val="32"/>
        </w:rPr>
      </w:pPr>
    </w:p>
    <w:p>
      <w:pPr>
        <w:pStyle w:val="BodyText"/>
        <w:spacing w:line="360" w:lineRule="auto"/>
        <w:ind w:left="100" w:right="116"/>
        <w:jc w:val="both"/>
      </w:pPr>
      <w:r>
        <w:rPr/>
        <w:t>El criterio establecido para considerar que el plan cumple con los requisitos de seguridad y precisión para ser impartido al paciente son: 3 mm de distancia en concordancia y 3 % de diferencia de dosis. El programa permite calcular el índice gamma expresando la  diferencia de dosis como porcentaje de la dosis local, o bien tomando como referencia el punto de dosis máxima. En este trabajo, se utilizó el método de dosis máxima, como recomienda el reporte de la AAPM TG119 ( (Ezzell, et al., 2009). Se estableció la región de interés en cada película analizada, procurando considerar únicamente el área de tratamiento, y se alinearon las distribuciones calculadas con el TPS con las medidas con las películas. Se consideró un umbral de dosis de 10% respecto de la dosis máxima, por lo cual los puntos cuya dosis se encuentren por debajo de este umbral no se consideran en el cálculo del índice</w:t>
      </w:r>
      <w:r>
        <w:rPr>
          <w:spacing w:val="-8"/>
        </w:rPr>
        <w:t> </w:t>
      </w:r>
      <w:r>
        <w:rPr/>
        <w:t>gamma.</w:t>
      </w:r>
    </w:p>
    <w:p>
      <w:pPr>
        <w:spacing w:after="0" w:line="360" w:lineRule="auto"/>
        <w:jc w:val="both"/>
        <w:sectPr>
          <w:pgSz w:w="12240" w:h="15840"/>
          <w:pgMar w:header="0" w:footer="1034" w:top="1360" w:bottom="1220" w:left="1600" w:right="1580"/>
        </w:sectPr>
      </w:pPr>
    </w:p>
    <w:p>
      <w:pPr>
        <w:pStyle w:val="BodyText"/>
        <w:ind w:left="485"/>
        <w:rPr>
          <w:sz w:val="20"/>
        </w:rPr>
      </w:pPr>
      <w:r>
        <w:rPr>
          <w:sz w:val="20"/>
        </w:rPr>
        <w:drawing>
          <wp:inline distT="0" distB="0" distL="0" distR="0">
            <wp:extent cx="5167524" cy="2904363"/>
            <wp:effectExtent l="0" t="0" r="0" b="0"/>
            <wp:docPr id="55" name="image30.jpeg" descr=""/>
            <wp:cNvGraphicFramePr>
              <a:graphicFrameLocks noChangeAspect="1"/>
            </wp:cNvGraphicFramePr>
            <a:graphic>
              <a:graphicData uri="http://schemas.openxmlformats.org/drawingml/2006/picture">
                <pic:pic>
                  <pic:nvPicPr>
                    <pic:cNvPr id="56" name="image30.jpeg"/>
                    <pic:cNvPicPr/>
                  </pic:nvPicPr>
                  <pic:blipFill>
                    <a:blip r:embed="rId38" cstate="print"/>
                    <a:stretch>
                      <a:fillRect/>
                    </a:stretch>
                  </pic:blipFill>
                  <pic:spPr>
                    <a:xfrm>
                      <a:off x="0" y="0"/>
                      <a:ext cx="5167524" cy="2904363"/>
                    </a:xfrm>
                    <a:prstGeom prst="rect">
                      <a:avLst/>
                    </a:prstGeom>
                  </pic:spPr>
                </pic:pic>
              </a:graphicData>
            </a:graphic>
          </wp:inline>
        </w:drawing>
      </w:r>
      <w:r>
        <w:rPr>
          <w:sz w:val="20"/>
        </w:rPr>
      </w:r>
    </w:p>
    <w:p>
      <w:pPr>
        <w:pStyle w:val="BodyText"/>
        <w:spacing w:before="81"/>
        <w:ind w:left="216" w:right="234"/>
        <w:jc w:val="center"/>
      </w:pPr>
      <w:r>
        <w:rPr/>
        <w:drawing>
          <wp:anchor distT="0" distB="0" distL="0" distR="0" allowOverlap="1" layoutInCell="1" locked="0" behindDoc="0" simplePos="0" relativeHeight="1912">
            <wp:simplePos x="0" y="0"/>
            <wp:positionH relativeFrom="page">
              <wp:posOffset>1323975</wp:posOffset>
            </wp:positionH>
            <wp:positionV relativeFrom="paragraph">
              <wp:posOffset>290409</wp:posOffset>
            </wp:positionV>
            <wp:extent cx="5132061" cy="2885217"/>
            <wp:effectExtent l="0" t="0" r="0" b="0"/>
            <wp:wrapTopAndBottom/>
            <wp:docPr id="57" name="image31.jpeg" descr=""/>
            <wp:cNvGraphicFramePr>
              <a:graphicFrameLocks noChangeAspect="1"/>
            </wp:cNvGraphicFramePr>
            <a:graphic>
              <a:graphicData uri="http://schemas.openxmlformats.org/drawingml/2006/picture">
                <pic:pic>
                  <pic:nvPicPr>
                    <pic:cNvPr id="58" name="image31.jpeg"/>
                    <pic:cNvPicPr/>
                  </pic:nvPicPr>
                  <pic:blipFill>
                    <a:blip r:embed="rId39" cstate="print"/>
                    <a:stretch>
                      <a:fillRect/>
                    </a:stretch>
                  </pic:blipFill>
                  <pic:spPr>
                    <a:xfrm>
                      <a:off x="0" y="0"/>
                      <a:ext cx="5132061" cy="2885217"/>
                    </a:xfrm>
                    <a:prstGeom prst="rect">
                      <a:avLst/>
                    </a:prstGeom>
                  </pic:spPr>
                </pic:pic>
              </a:graphicData>
            </a:graphic>
          </wp:anchor>
        </w:drawing>
      </w:r>
      <w:r>
        <w:rPr/>
        <w:t>a)</w:t>
      </w:r>
    </w:p>
    <w:p>
      <w:pPr>
        <w:pStyle w:val="BodyText"/>
        <w:spacing w:before="88"/>
        <w:ind w:left="216" w:right="230"/>
        <w:jc w:val="center"/>
      </w:pPr>
      <w:r>
        <w:rPr/>
        <w:t>b)</w:t>
      </w:r>
    </w:p>
    <w:p>
      <w:pPr>
        <w:spacing w:before="121"/>
        <w:ind w:left="41" w:right="65" w:firstLine="0"/>
        <w:jc w:val="center"/>
        <w:rPr>
          <w:sz w:val="20"/>
        </w:rPr>
      </w:pPr>
      <w:bookmarkStart w:name="_bookmark71" w:id="116"/>
      <w:bookmarkEnd w:id="116"/>
      <w:r>
        <w:rPr/>
      </w:r>
      <w:r>
        <w:rPr>
          <w:sz w:val="20"/>
        </w:rPr>
        <w:t>Figura 24. a) Determinación de la región de interés. b) Alineación y superposición de la distribución medida y calculada</w:t>
      </w:r>
    </w:p>
    <w:p>
      <w:pPr>
        <w:pStyle w:val="BodyText"/>
        <w:rPr>
          <w:sz w:val="20"/>
        </w:rPr>
      </w:pPr>
    </w:p>
    <w:p>
      <w:pPr>
        <w:pStyle w:val="BodyText"/>
        <w:rPr>
          <w:sz w:val="20"/>
        </w:rPr>
      </w:pPr>
    </w:p>
    <w:p>
      <w:pPr>
        <w:pStyle w:val="BodyText"/>
        <w:spacing w:line="360" w:lineRule="auto" w:before="124"/>
        <w:ind w:left="100" w:right="115"/>
        <w:jc w:val="both"/>
      </w:pPr>
      <w:r>
        <w:rPr/>
        <w:t>Adicionalmente, se calculó el índice gamma utilizando diferentes criterios de aceptación, variando la diferencia de dosis. Estos criterios fueron 3%/4 mm y 3%/5 mm, para cada  tipo de película</w:t>
      </w:r>
      <w:r>
        <w:rPr>
          <w:spacing w:val="-12"/>
        </w:rPr>
        <w:t> </w:t>
      </w:r>
      <w:r>
        <w:rPr/>
        <w:t>utilizada.</w:t>
      </w:r>
    </w:p>
    <w:p>
      <w:pPr>
        <w:spacing w:after="0" w:line="360" w:lineRule="auto"/>
        <w:jc w:val="both"/>
        <w:sectPr>
          <w:pgSz w:w="12240" w:h="15840"/>
          <w:pgMar w:header="0" w:footer="1034" w:top="1420" w:bottom="1220" w:left="1600" w:right="1580"/>
        </w:sectPr>
      </w:pPr>
    </w:p>
    <w:p>
      <w:pPr>
        <w:pStyle w:val="Heading6"/>
        <w:numPr>
          <w:ilvl w:val="1"/>
          <w:numId w:val="2"/>
        </w:numPr>
        <w:tabs>
          <w:tab w:pos="949" w:val="left" w:leader="none"/>
        </w:tabs>
        <w:spacing w:line="240" w:lineRule="auto" w:before="55" w:after="0"/>
        <w:ind w:left="949" w:right="0" w:hanging="489"/>
        <w:jc w:val="left"/>
      </w:pPr>
      <w:bookmarkStart w:name="_bookmark72" w:id="117"/>
      <w:bookmarkEnd w:id="117"/>
      <w:r>
        <w:rPr/>
        <w:t>M</w:t>
      </w:r>
      <w:r>
        <w:rPr/>
        <w:t>edición de dosis en un</w:t>
      </w:r>
      <w:r>
        <w:rPr>
          <w:spacing w:val="-11"/>
        </w:rPr>
        <w:t> </w:t>
      </w:r>
      <w:r>
        <w:rPr/>
        <w:t>punto</w:t>
      </w:r>
    </w:p>
    <w:p>
      <w:pPr>
        <w:pStyle w:val="BodyText"/>
        <w:rPr>
          <w:b/>
        </w:rPr>
      </w:pPr>
    </w:p>
    <w:p>
      <w:pPr>
        <w:pStyle w:val="BodyText"/>
        <w:spacing w:before="8"/>
        <w:rPr>
          <w:b/>
          <w:sz w:val="19"/>
        </w:rPr>
      </w:pPr>
    </w:p>
    <w:p>
      <w:pPr>
        <w:pStyle w:val="BodyText"/>
        <w:spacing w:line="360" w:lineRule="auto"/>
        <w:ind w:left="100" w:right="117"/>
        <w:jc w:val="both"/>
      </w:pPr>
      <w:r>
        <w:rPr/>
        <w:t>Las mediciones de la dosis absoluta del plan total en un punto se llevaron a cabo con la  cámara de ionización descrita en la sección </w:t>
      </w:r>
      <w:hyperlink w:history="true" w:anchor="_bookmark40">
        <w:r>
          <w:rPr/>
          <w:t>4.6</w:t>
        </w:r>
      </w:hyperlink>
      <w:r>
        <w:rPr/>
        <w:t>, irradiando las películas en el maniquí de acrílico con los planes híbridos generados en el TPS. La cámara de ionización se posiciono en la cavidad del maniquí diseñada para alojarla, y se calculó la dosis de acuerdo al protocolo TRS 398.</w:t>
      </w:r>
    </w:p>
    <w:p>
      <w:pPr>
        <w:pStyle w:val="BodyText"/>
        <w:rPr>
          <w:sz w:val="21"/>
        </w:rPr>
      </w:pPr>
      <w:r>
        <w:rPr/>
        <w:drawing>
          <wp:anchor distT="0" distB="0" distL="0" distR="0" allowOverlap="1" layoutInCell="1" locked="0" behindDoc="0" simplePos="0" relativeHeight="1936">
            <wp:simplePos x="0" y="0"/>
            <wp:positionH relativeFrom="page">
              <wp:posOffset>2081276</wp:posOffset>
            </wp:positionH>
            <wp:positionV relativeFrom="paragraph">
              <wp:posOffset>176772</wp:posOffset>
            </wp:positionV>
            <wp:extent cx="3649263" cy="2736723"/>
            <wp:effectExtent l="0" t="0" r="0" b="0"/>
            <wp:wrapTopAndBottom/>
            <wp:docPr id="59" name="image32.jpeg" descr=""/>
            <wp:cNvGraphicFramePr>
              <a:graphicFrameLocks noChangeAspect="1"/>
            </wp:cNvGraphicFramePr>
            <a:graphic>
              <a:graphicData uri="http://schemas.openxmlformats.org/drawingml/2006/picture">
                <pic:pic>
                  <pic:nvPicPr>
                    <pic:cNvPr id="60" name="image32.jpeg"/>
                    <pic:cNvPicPr/>
                  </pic:nvPicPr>
                  <pic:blipFill>
                    <a:blip r:embed="rId40" cstate="print"/>
                    <a:stretch>
                      <a:fillRect/>
                    </a:stretch>
                  </pic:blipFill>
                  <pic:spPr>
                    <a:xfrm>
                      <a:off x="0" y="0"/>
                      <a:ext cx="3649263" cy="2736723"/>
                    </a:xfrm>
                    <a:prstGeom prst="rect">
                      <a:avLst/>
                    </a:prstGeom>
                  </pic:spPr>
                </pic:pic>
              </a:graphicData>
            </a:graphic>
          </wp:anchor>
        </w:drawing>
      </w:r>
    </w:p>
    <w:p>
      <w:pPr>
        <w:spacing w:before="195"/>
        <w:ind w:left="1488" w:right="155" w:firstLine="0"/>
        <w:jc w:val="left"/>
        <w:rPr>
          <w:sz w:val="20"/>
        </w:rPr>
      </w:pPr>
      <w:bookmarkStart w:name="_bookmark73" w:id="118"/>
      <w:bookmarkEnd w:id="118"/>
      <w:r>
        <w:rPr/>
      </w:r>
      <w:r>
        <w:rPr>
          <w:sz w:val="20"/>
        </w:rPr>
        <w:t>Figura 25. Posicionamiento de la cámara de ionización en el maniquí</w:t>
      </w:r>
    </w:p>
    <w:p>
      <w:pPr>
        <w:spacing w:after="0"/>
        <w:jc w:val="left"/>
        <w:rPr>
          <w:sz w:val="20"/>
        </w:rPr>
        <w:sectPr>
          <w:pgSz w:w="12240" w:h="15840"/>
          <w:pgMar w:header="0" w:footer="1034" w:top="1360" w:bottom="1220" w:left="1600" w:right="1580"/>
        </w:sectPr>
      </w:pPr>
    </w:p>
    <w:p>
      <w:pPr>
        <w:pStyle w:val="Heading1"/>
        <w:numPr>
          <w:ilvl w:val="0"/>
          <w:numId w:val="2"/>
        </w:numPr>
        <w:tabs>
          <w:tab w:pos="457" w:val="left" w:leader="none"/>
        </w:tabs>
        <w:spacing w:line="240" w:lineRule="auto" w:before="51" w:after="0"/>
        <w:ind w:left="456" w:right="0" w:hanging="356"/>
        <w:jc w:val="both"/>
      </w:pPr>
      <w:bookmarkStart w:name="_bookmark74" w:id="119"/>
      <w:bookmarkEnd w:id="119"/>
      <w:r>
        <w:rPr>
          <w:b w:val="0"/>
        </w:rPr>
      </w:r>
      <w:bookmarkStart w:name="_bookmark74" w:id="120"/>
      <w:bookmarkEnd w:id="120"/>
      <w:r>
        <w:rPr/>
        <w:t>Resul</w:t>
      </w:r>
      <w:r>
        <w:rPr/>
        <w:t>tados y</w:t>
      </w:r>
      <w:r>
        <w:rPr>
          <w:spacing w:val="-6"/>
        </w:rPr>
        <w:t> </w:t>
      </w:r>
      <w:r>
        <w:rPr/>
        <w:t>discusión</w:t>
      </w:r>
    </w:p>
    <w:p>
      <w:pPr>
        <w:pStyle w:val="Heading6"/>
        <w:numPr>
          <w:ilvl w:val="1"/>
          <w:numId w:val="2"/>
        </w:numPr>
        <w:tabs>
          <w:tab w:pos="893" w:val="left" w:leader="none"/>
        </w:tabs>
        <w:spacing w:line="240" w:lineRule="auto" w:before="280" w:after="0"/>
        <w:ind w:left="893" w:right="0" w:hanging="433"/>
        <w:jc w:val="left"/>
      </w:pPr>
      <w:bookmarkStart w:name="_bookmark75" w:id="121"/>
      <w:bookmarkEnd w:id="121"/>
      <w:r>
        <w:rPr>
          <w:b w:val="0"/>
        </w:rPr>
      </w:r>
      <w:bookmarkStart w:name="_bookmark75" w:id="122"/>
      <w:bookmarkEnd w:id="122"/>
      <w:r>
        <w:rPr/>
        <w:t>C</w:t>
      </w:r>
      <w:r>
        <w:rPr/>
        <w:t>alibración de películas</w:t>
      </w:r>
      <w:r>
        <w:rPr>
          <w:spacing w:val="-18"/>
        </w:rPr>
        <w:t> </w:t>
      </w:r>
      <w:r>
        <w:rPr/>
        <w:t>radiocrómicas</w:t>
      </w:r>
    </w:p>
    <w:p>
      <w:pPr>
        <w:pStyle w:val="BodyText"/>
        <w:rPr>
          <w:b/>
        </w:rPr>
      </w:pPr>
    </w:p>
    <w:p>
      <w:pPr>
        <w:pStyle w:val="BodyText"/>
        <w:spacing w:line="360" w:lineRule="auto" w:before="128"/>
        <w:ind w:left="100" w:right="120"/>
        <w:jc w:val="both"/>
      </w:pPr>
      <w:r>
        <w:rPr/>
        <w:t>La curva de calibración se obtuvo a partir del análisis de los datos obtenidos con ImageJ, relacionando la dosis con la </w:t>
      </w:r>
      <w:r>
        <w:rPr>
          <w:spacing w:val="3"/>
        </w:rPr>
        <w:t>OD </w:t>
      </w:r>
      <w:r>
        <w:rPr/>
        <w:t>neta, calculada con la ecuación (3). El ajuste de los datos  se realizó con el software Curvexpert. Se analizaron los tres canales de color, y para cada uno de los canales se ajustaron funciones polinómicas de segundo y tercer grado. Adicionalmente, se  llevó a cabo un ajuste racional, de la</w:t>
      </w:r>
      <w:r>
        <w:rPr>
          <w:spacing w:val="-30"/>
        </w:rPr>
        <w:t> </w:t>
      </w:r>
      <w:r>
        <w:rPr/>
        <w:t>forma</w:t>
      </w:r>
    </w:p>
    <w:p>
      <w:pPr>
        <w:tabs>
          <w:tab w:pos="8650" w:val="left" w:leader="none"/>
        </w:tabs>
        <w:spacing w:line="263" w:lineRule="exact" w:before="0"/>
        <w:ind w:left="3541" w:right="56" w:firstLine="0"/>
        <w:jc w:val="left"/>
        <w:rPr>
          <w:sz w:val="22"/>
        </w:rPr>
      </w:pPr>
      <w:r>
        <w:rPr>
          <w:rFonts w:ascii="Times New Roman" w:hAnsi="Times New Roman"/>
          <w:i/>
          <w:w w:val="110"/>
          <w:sz w:val="23"/>
        </w:rPr>
        <w:t>X</w:t>
      </w:r>
      <w:r>
        <w:rPr>
          <w:rFonts w:ascii="Times New Roman" w:hAnsi="Times New Roman"/>
          <w:i/>
          <w:spacing w:val="-31"/>
          <w:w w:val="110"/>
          <w:sz w:val="23"/>
        </w:rPr>
        <w:t> </w:t>
      </w:r>
      <w:r>
        <w:rPr>
          <w:rFonts w:ascii="Times New Roman" w:hAnsi="Times New Roman"/>
          <w:spacing w:val="2"/>
          <w:w w:val="110"/>
          <w:sz w:val="23"/>
        </w:rPr>
        <w:t>(</w:t>
      </w:r>
      <w:r>
        <w:rPr>
          <w:rFonts w:ascii="Times New Roman" w:hAnsi="Times New Roman"/>
          <w:i/>
          <w:spacing w:val="2"/>
          <w:w w:val="110"/>
          <w:sz w:val="23"/>
        </w:rPr>
        <w:t>D</w:t>
      </w:r>
      <w:r>
        <w:rPr>
          <w:rFonts w:ascii="Times New Roman" w:hAnsi="Times New Roman"/>
          <w:spacing w:val="2"/>
          <w:w w:val="110"/>
          <w:sz w:val="23"/>
        </w:rPr>
        <w:t>)</w:t>
      </w:r>
      <w:r>
        <w:rPr>
          <w:rFonts w:ascii="Times New Roman" w:hAnsi="Times New Roman"/>
          <w:spacing w:val="-2"/>
          <w:w w:val="110"/>
          <w:sz w:val="23"/>
        </w:rPr>
        <w:t> </w:t>
      </w:r>
      <w:r>
        <w:rPr>
          <w:rFonts w:ascii="Symbol" w:hAnsi="Symbol"/>
          <w:w w:val="110"/>
          <w:sz w:val="23"/>
        </w:rPr>
        <w:t></w:t>
      </w:r>
      <w:r>
        <w:rPr>
          <w:rFonts w:ascii="Times New Roman" w:hAnsi="Times New Roman"/>
          <w:spacing w:val="-4"/>
          <w:w w:val="110"/>
          <w:sz w:val="23"/>
        </w:rPr>
        <w:t> </w:t>
      </w:r>
      <w:r>
        <w:rPr>
          <w:rFonts w:ascii="Times New Roman" w:hAnsi="Times New Roman"/>
          <w:i/>
          <w:w w:val="110"/>
          <w:sz w:val="23"/>
        </w:rPr>
        <w:t>a</w:t>
      </w:r>
      <w:r>
        <w:rPr>
          <w:rFonts w:ascii="Times New Roman" w:hAnsi="Times New Roman"/>
          <w:i/>
          <w:spacing w:val="-18"/>
          <w:w w:val="110"/>
          <w:sz w:val="23"/>
        </w:rPr>
        <w:t> </w:t>
      </w:r>
      <w:r>
        <w:rPr>
          <w:rFonts w:ascii="Symbol" w:hAnsi="Symbol"/>
          <w:w w:val="110"/>
          <w:sz w:val="23"/>
        </w:rPr>
        <w:t></w:t>
      </w:r>
      <w:r>
        <w:rPr>
          <w:rFonts w:ascii="Times New Roman" w:hAnsi="Times New Roman"/>
          <w:spacing w:val="-28"/>
          <w:w w:val="110"/>
          <w:sz w:val="23"/>
        </w:rPr>
        <w:t> </w:t>
      </w:r>
      <w:r>
        <w:rPr>
          <w:rFonts w:ascii="Times New Roman" w:hAnsi="Times New Roman"/>
          <w:i/>
          <w:w w:val="110"/>
          <w:sz w:val="23"/>
        </w:rPr>
        <w:t>b</w:t>
      </w:r>
      <w:r>
        <w:rPr>
          <w:rFonts w:ascii="Times New Roman" w:hAnsi="Times New Roman"/>
          <w:i/>
          <w:spacing w:val="-39"/>
          <w:w w:val="110"/>
          <w:sz w:val="23"/>
        </w:rPr>
        <w:t> </w:t>
      </w:r>
      <w:r>
        <w:rPr>
          <w:rFonts w:ascii="Times New Roman" w:hAnsi="Times New Roman"/>
          <w:w w:val="110"/>
          <w:sz w:val="23"/>
        </w:rPr>
        <w:t>/(</w:t>
      </w:r>
      <w:r>
        <w:rPr>
          <w:rFonts w:ascii="Times New Roman" w:hAnsi="Times New Roman"/>
          <w:i/>
          <w:w w:val="110"/>
          <w:sz w:val="23"/>
        </w:rPr>
        <w:t>D</w:t>
      </w:r>
      <w:r>
        <w:rPr>
          <w:rFonts w:ascii="Times New Roman" w:hAnsi="Times New Roman"/>
          <w:i/>
          <w:spacing w:val="-22"/>
          <w:w w:val="110"/>
          <w:sz w:val="23"/>
        </w:rPr>
        <w:t> </w:t>
      </w:r>
      <w:r>
        <w:rPr>
          <w:rFonts w:ascii="Symbol" w:hAnsi="Symbol"/>
          <w:w w:val="110"/>
          <w:sz w:val="23"/>
        </w:rPr>
        <w:t></w:t>
      </w:r>
      <w:r>
        <w:rPr>
          <w:rFonts w:ascii="Times New Roman" w:hAnsi="Times New Roman"/>
          <w:spacing w:val="-28"/>
          <w:w w:val="110"/>
          <w:sz w:val="23"/>
        </w:rPr>
        <w:t> </w:t>
      </w:r>
      <w:r>
        <w:rPr>
          <w:rFonts w:ascii="Times New Roman" w:hAnsi="Times New Roman"/>
          <w:i/>
          <w:w w:val="110"/>
          <w:sz w:val="23"/>
        </w:rPr>
        <w:t>c</w:t>
      </w:r>
      <w:r>
        <w:rPr>
          <w:rFonts w:ascii="Times New Roman" w:hAnsi="Times New Roman"/>
          <w:w w:val="110"/>
          <w:sz w:val="23"/>
        </w:rPr>
        <w:t>)</w:t>
        <w:tab/>
      </w:r>
      <w:r>
        <w:rPr>
          <w:w w:val="110"/>
          <w:sz w:val="22"/>
        </w:rPr>
        <w:t>(5)</w:t>
      </w:r>
    </w:p>
    <w:p>
      <w:pPr>
        <w:pStyle w:val="BodyText"/>
        <w:spacing w:line="362" w:lineRule="auto" w:before="173"/>
        <w:ind w:left="100" w:right="155"/>
      </w:pPr>
      <w:r>
        <w:rPr/>
        <w:t>En donde X(D) representa la dosis y D la densidad óptica neta. Las curvas de calibración para cada canal de color se muestran en la </w:t>
      </w:r>
      <w:hyperlink w:history="true" w:anchor="_bookmark76">
        <w:r>
          <w:rPr>
            <w:b/>
            <w:sz w:val="20"/>
          </w:rPr>
          <w:t>Figura 26</w:t>
        </w:r>
      </w:hyperlink>
      <w:r>
        <w:rPr/>
        <w:t>.</w:t>
      </w:r>
    </w:p>
    <w:p>
      <w:pPr>
        <w:pStyle w:val="BodyText"/>
        <w:ind w:left="101"/>
        <w:rPr>
          <w:sz w:val="20"/>
        </w:rPr>
      </w:pPr>
      <w:r>
        <w:rPr>
          <w:sz w:val="20"/>
        </w:rPr>
        <w:drawing>
          <wp:inline distT="0" distB="0" distL="0" distR="0">
            <wp:extent cx="5603381" cy="1626869"/>
            <wp:effectExtent l="0" t="0" r="0" b="0"/>
            <wp:docPr id="61" name="image33.png" descr=""/>
            <wp:cNvGraphicFramePr>
              <a:graphicFrameLocks noChangeAspect="1"/>
            </wp:cNvGraphicFramePr>
            <a:graphic>
              <a:graphicData uri="http://schemas.openxmlformats.org/drawingml/2006/picture">
                <pic:pic>
                  <pic:nvPicPr>
                    <pic:cNvPr id="62" name="image33.png"/>
                    <pic:cNvPicPr/>
                  </pic:nvPicPr>
                  <pic:blipFill>
                    <a:blip r:embed="rId41" cstate="print"/>
                    <a:stretch>
                      <a:fillRect/>
                    </a:stretch>
                  </pic:blipFill>
                  <pic:spPr>
                    <a:xfrm>
                      <a:off x="0" y="0"/>
                      <a:ext cx="5603381" cy="1626869"/>
                    </a:xfrm>
                    <a:prstGeom prst="rect">
                      <a:avLst/>
                    </a:prstGeom>
                  </pic:spPr>
                </pic:pic>
              </a:graphicData>
            </a:graphic>
          </wp:inline>
        </w:drawing>
      </w:r>
      <w:r>
        <w:rPr>
          <w:sz w:val="20"/>
        </w:rPr>
      </w:r>
    </w:p>
    <w:p>
      <w:pPr>
        <w:pStyle w:val="BodyText"/>
        <w:spacing w:before="11"/>
        <w:rPr>
          <w:sz w:val="8"/>
        </w:rPr>
      </w:pPr>
      <w:r>
        <w:rPr/>
        <w:drawing>
          <wp:anchor distT="0" distB="0" distL="0" distR="0" allowOverlap="1" layoutInCell="1" locked="0" behindDoc="0" simplePos="0" relativeHeight="1960">
            <wp:simplePos x="0" y="0"/>
            <wp:positionH relativeFrom="page">
              <wp:posOffset>1080135</wp:posOffset>
            </wp:positionH>
            <wp:positionV relativeFrom="paragraph">
              <wp:posOffset>89587</wp:posOffset>
            </wp:positionV>
            <wp:extent cx="5498259" cy="1626870"/>
            <wp:effectExtent l="0" t="0" r="0" b="0"/>
            <wp:wrapTopAndBottom/>
            <wp:docPr id="63" name="image34.png" descr=""/>
            <wp:cNvGraphicFramePr>
              <a:graphicFrameLocks noChangeAspect="1"/>
            </wp:cNvGraphicFramePr>
            <a:graphic>
              <a:graphicData uri="http://schemas.openxmlformats.org/drawingml/2006/picture">
                <pic:pic>
                  <pic:nvPicPr>
                    <pic:cNvPr id="64" name="image34.png"/>
                    <pic:cNvPicPr/>
                  </pic:nvPicPr>
                  <pic:blipFill>
                    <a:blip r:embed="rId42" cstate="print"/>
                    <a:stretch>
                      <a:fillRect/>
                    </a:stretch>
                  </pic:blipFill>
                  <pic:spPr>
                    <a:xfrm>
                      <a:off x="0" y="0"/>
                      <a:ext cx="5498259" cy="1626870"/>
                    </a:xfrm>
                    <a:prstGeom prst="rect">
                      <a:avLst/>
                    </a:prstGeom>
                  </pic:spPr>
                </pic:pic>
              </a:graphicData>
            </a:graphic>
          </wp:anchor>
        </w:drawing>
      </w:r>
    </w:p>
    <w:p>
      <w:pPr>
        <w:pStyle w:val="BodyText"/>
        <w:spacing w:before="5"/>
        <w:rPr>
          <w:sz w:val="8"/>
        </w:rPr>
      </w:pPr>
    </w:p>
    <w:p>
      <w:pPr>
        <w:pStyle w:val="BodyText"/>
        <w:ind w:left="101"/>
        <w:rPr>
          <w:sz w:val="20"/>
        </w:rPr>
      </w:pPr>
      <w:r>
        <w:rPr>
          <w:sz w:val="20"/>
        </w:rPr>
        <w:drawing>
          <wp:inline distT="0" distB="0" distL="0" distR="0">
            <wp:extent cx="5603381" cy="1626869"/>
            <wp:effectExtent l="0" t="0" r="0" b="0"/>
            <wp:docPr id="65" name="image35.png" descr=""/>
            <wp:cNvGraphicFramePr>
              <a:graphicFrameLocks noChangeAspect="1"/>
            </wp:cNvGraphicFramePr>
            <a:graphic>
              <a:graphicData uri="http://schemas.openxmlformats.org/drawingml/2006/picture">
                <pic:pic>
                  <pic:nvPicPr>
                    <pic:cNvPr id="66" name="image35.png"/>
                    <pic:cNvPicPr/>
                  </pic:nvPicPr>
                  <pic:blipFill>
                    <a:blip r:embed="rId43" cstate="print"/>
                    <a:stretch>
                      <a:fillRect/>
                    </a:stretch>
                  </pic:blipFill>
                  <pic:spPr>
                    <a:xfrm>
                      <a:off x="0" y="0"/>
                      <a:ext cx="5603381" cy="1626869"/>
                    </a:xfrm>
                    <a:prstGeom prst="rect">
                      <a:avLst/>
                    </a:prstGeom>
                  </pic:spPr>
                </pic:pic>
              </a:graphicData>
            </a:graphic>
          </wp:inline>
        </w:drawing>
      </w:r>
      <w:r>
        <w:rPr>
          <w:sz w:val="20"/>
        </w:rPr>
      </w:r>
    </w:p>
    <w:p>
      <w:pPr>
        <w:spacing w:before="139"/>
        <w:ind w:left="2849" w:right="155" w:hanging="2426"/>
        <w:jc w:val="left"/>
        <w:rPr>
          <w:sz w:val="20"/>
        </w:rPr>
      </w:pPr>
      <w:bookmarkStart w:name="_bookmark76" w:id="123"/>
      <w:bookmarkEnd w:id="123"/>
      <w:r>
        <w:rPr/>
      </w:r>
      <w:r>
        <w:rPr>
          <w:sz w:val="20"/>
        </w:rPr>
        <w:t>Figura 26. Curvas de calibración para los tres canales en color, polinómica de segundo grado, polinómica de tercer grado y racional.</w:t>
      </w:r>
    </w:p>
    <w:p>
      <w:pPr>
        <w:spacing w:after="0"/>
        <w:jc w:val="left"/>
        <w:rPr>
          <w:sz w:val="20"/>
        </w:rPr>
        <w:sectPr>
          <w:pgSz w:w="12240" w:h="15840"/>
          <w:pgMar w:header="0" w:footer="1034" w:top="1360" w:bottom="1220" w:left="1600" w:right="1580"/>
        </w:sectPr>
      </w:pPr>
    </w:p>
    <w:p>
      <w:pPr>
        <w:pStyle w:val="BodyText"/>
        <w:spacing w:line="360" w:lineRule="auto" w:before="55" w:after="3"/>
        <w:ind w:left="100" w:right="155"/>
      </w:pPr>
      <w:r>
        <w:rPr/>
        <w:t>En la </w:t>
      </w:r>
      <w:hyperlink w:history="true" w:anchor="_bookmark77">
        <w:r>
          <w:rPr>
            <w:b/>
            <w:sz w:val="20"/>
          </w:rPr>
          <w:t>Tabla 3</w:t>
        </w:r>
      </w:hyperlink>
      <w:r>
        <w:rPr>
          <w:b/>
          <w:sz w:val="20"/>
        </w:rPr>
        <w:t> </w:t>
      </w:r>
      <w:r>
        <w:rPr/>
        <w:t>se muestran los valores del coeficiente de determinación </w:t>
      </w:r>
      <w:r>
        <w:rPr>
          <w:spacing w:val="5"/>
        </w:rPr>
        <w:t>r</w:t>
      </w:r>
      <w:r>
        <w:rPr>
          <w:spacing w:val="5"/>
          <w:position w:val="6"/>
          <w:sz w:val="14"/>
        </w:rPr>
        <w:t>2 </w:t>
      </w:r>
      <w:r>
        <w:rPr/>
        <w:t>para cada canal  de color y</w:t>
      </w:r>
      <w:r>
        <w:rPr>
          <w:spacing w:val="-5"/>
        </w:rPr>
        <w:t> </w:t>
      </w:r>
      <w:r>
        <w:rPr/>
        <w:t>ajuste.</w:t>
      </w:r>
    </w:p>
    <w:tbl>
      <w:tblPr>
        <w:tblW w:w="0" w:type="auto"/>
        <w:jc w:val="left"/>
        <w:tblInd w:w="13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29"/>
        <w:gridCol w:w="1539"/>
        <w:gridCol w:w="1692"/>
        <w:gridCol w:w="1702"/>
      </w:tblGrid>
      <w:tr>
        <w:trPr>
          <w:trHeight w:val="372" w:hRule="exact"/>
        </w:trPr>
        <w:tc>
          <w:tcPr>
            <w:tcW w:w="1429" w:type="dxa"/>
            <w:tcBorders>
              <w:top w:val="single" w:sz="8" w:space="0" w:color="2CA1BE"/>
              <w:bottom w:val="single" w:sz="14" w:space="0" w:color="2CA1BE"/>
            </w:tcBorders>
          </w:tcPr>
          <w:p>
            <w:pPr/>
          </w:p>
        </w:tc>
        <w:tc>
          <w:tcPr>
            <w:tcW w:w="1539" w:type="dxa"/>
            <w:tcBorders>
              <w:top w:val="single" w:sz="8" w:space="0" w:color="2CA1BE"/>
              <w:bottom w:val="single" w:sz="14" w:space="0" w:color="2CA1BE"/>
            </w:tcBorders>
          </w:tcPr>
          <w:p>
            <w:pPr>
              <w:pStyle w:val="TableParagraph"/>
              <w:spacing w:before="8"/>
              <w:ind w:left="178"/>
              <w:jc w:val="left"/>
              <w:rPr>
                <w:rFonts w:ascii="Times New Roman"/>
                <w:b/>
                <w:sz w:val="24"/>
              </w:rPr>
            </w:pPr>
            <w:r>
              <w:rPr>
                <w:rFonts w:ascii="Times New Roman"/>
                <w:b/>
                <w:sz w:val="24"/>
              </w:rPr>
              <w:t>Canal rojo</w:t>
            </w:r>
          </w:p>
        </w:tc>
        <w:tc>
          <w:tcPr>
            <w:tcW w:w="1692" w:type="dxa"/>
            <w:tcBorders>
              <w:top w:val="single" w:sz="8" w:space="0" w:color="2CA1BE"/>
              <w:bottom w:val="single" w:sz="14" w:space="0" w:color="2CA1BE"/>
            </w:tcBorders>
          </w:tcPr>
          <w:p>
            <w:pPr>
              <w:pStyle w:val="TableParagraph"/>
              <w:spacing w:before="8"/>
              <w:ind w:left="260"/>
              <w:jc w:val="left"/>
              <w:rPr>
                <w:rFonts w:ascii="Times New Roman"/>
                <w:b/>
                <w:sz w:val="24"/>
              </w:rPr>
            </w:pPr>
            <w:r>
              <w:rPr>
                <w:rFonts w:ascii="Times New Roman"/>
                <w:b/>
                <w:sz w:val="24"/>
              </w:rPr>
              <w:t>Canal verde</w:t>
            </w:r>
          </w:p>
        </w:tc>
        <w:tc>
          <w:tcPr>
            <w:tcW w:w="1702" w:type="dxa"/>
            <w:tcBorders>
              <w:top w:val="single" w:sz="8" w:space="0" w:color="2CA1BE"/>
              <w:bottom w:val="single" w:sz="14" w:space="0" w:color="2CA1BE"/>
            </w:tcBorders>
          </w:tcPr>
          <w:p>
            <w:pPr>
              <w:pStyle w:val="TableParagraph"/>
              <w:spacing w:before="8"/>
              <w:ind w:left="189"/>
              <w:jc w:val="left"/>
              <w:rPr>
                <w:rFonts w:ascii="Times New Roman"/>
                <w:b/>
                <w:sz w:val="24"/>
              </w:rPr>
            </w:pPr>
            <w:r>
              <w:rPr>
                <w:rFonts w:ascii="Times New Roman"/>
                <w:b/>
                <w:sz w:val="24"/>
              </w:rPr>
              <w:t>Canal azul</w:t>
            </w:r>
          </w:p>
        </w:tc>
      </w:tr>
      <w:tr>
        <w:trPr>
          <w:trHeight w:val="706" w:hRule="exact"/>
        </w:trPr>
        <w:tc>
          <w:tcPr>
            <w:tcW w:w="1429" w:type="dxa"/>
            <w:tcBorders>
              <w:top w:val="single" w:sz="8" w:space="0" w:color="2CA1BE"/>
            </w:tcBorders>
            <w:shd w:val="clear" w:color="auto" w:fill="E8EFF4"/>
          </w:tcPr>
          <w:p>
            <w:pPr>
              <w:pStyle w:val="TableParagraph"/>
              <w:spacing w:before="12"/>
              <w:ind w:left="107"/>
              <w:jc w:val="left"/>
              <w:rPr>
                <w:rFonts w:ascii="Times New Roman" w:hAnsi="Times New Roman"/>
                <w:b/>
                <w:sz w:val="24"/>
              </w:rPr>
            </w:pPr>
            <w:r>
              <w:rPr>
                <w:rFonts w:ascii="Times New Roman" w:hAnsi="Times New Roman"/>
                <w:b/>
                <w:sz w:val="24"/>
              </w:rPr>
              <w:t>Polinómica 3er grado</w:t>
            </w:r>
          </w:p>
        </w:tc>
        <w:tc>
          <w:tcPr>
            <w:tcW w:w="1539" w:type="dxa"/>
            <w:tcBorders>
              <w:top w:val="single" w:sz="8" w:space="0" w:color="2CA1BE"/>
            </w:tcBorders>
            <w:shd w:val="clear" w:color="auto" w:fill="E8EFF4"/>
          </w:tcPr>
          <w:p>
            <w:pPr>
              <w:pStyle w:val="TableParagraph"/>
              <w:spacing w:before="7"/>
              <w:ind w:left="178"/>
              <w:jc w:val="left"/>
              <w:rPr>
                <w:rFonts w:ascii="Times New Roman"/>
                <w:sz w:val="24"/>
              </w:rPr>
            </w:pPr>
            <w:r>
              <w:rPr>
                <w:rFonts w:ascii="Times New Roman"/>
                <w:sz w:val="24"/>
              </w:rPr>
              <w:t>.99992</w:t>
            </w:r>
          </w:p>
        </w:tc>
        <w:tc>
          <w:tcPr>
            <w:tcW w:w="1692" w:type="dxa"/>
            <w:tcBorders>
              <w:top w:val="single" w:sz="8" w:space="0" w:color="2CA1BE"/>
            </w:tcBorders>
            <w:shd w:val="clear" w:color="auto" w:fill="E8EFF4"/>
          </w:tcPr>
          <w:p>
            <w:pPr>
              <w:pStyle w:val="TableParagraph"/>
              <w:spacing w:before="7"/>
              <w:ind w:left="260"/>
              <w:jc w:val="left"/>
              <w:rPr>
                <w:rFonts w:ascii="Times New Roman"/>
                <w:sz w:val="24"/>
              </w:rPr>
            </w:pPr>
            <w:r>
              <w:rPr>
                <w:rFonts w:ascii="Times New Roman"/>
                <w:sz w:val="24"/>
              </w:rPr>
              <w:t>.99902</w:t>
            </w:r>
          </w:p>
        </w:tc>
        <w:tc>
          <w:tcPr>
            <w:tcW w:w="1702" w:type="dxa"/>
            <w:tcBorders>
              <w:top w:val="single" w:sz="8" w:space="0" w:color="2CA1BE"/>
            </w:tcBorders>
            <w:shd w:val="clear" w:color="auto" w:fill="E8EFF4"/>
          </w:tcPr>
          <w:p>
            <w:pPr>
              <w:pStyle w:val="TableParagraph"/>
              <w:spacing w:before="7"/>
              <w:ind w:left="249"/>
              <w:jc w:val="left"/>
              <w:rPr>
                <w:rFonts w:ascii="Times New Roman"/>
                <w:sz w:val="24"/>
              </w:rPr>
            </w:pPr>
            <w:r>
              <w:rPr>
                <w:rFonts w:ascii="Times New Roman"/>
                <w:sz w:val="24"/>
              </w:rPr>
              <w:t>.99897</w:t>
            </w:r>
          </w:p>
        </w:tc>
      </w:tr>
      <w:tr>
        <w:trPr>
          <w:trHeight w:val="696" w:hRule="exact"/>
        </w:trPr>
        <w:tc>
          <w:tcPr>
            <w:tcW w:w="1429" w:type="dxa"/>
          </w:tcPr>
          <w:p>
            <w:pPr>
              <w:pStyle w:val="TableParagraph"/>
              <w:spacing w:before="12"/>
              <w:ind w:left="107"/>
              <w:jc w:val="left"/>
              <w:rPr>
                <w:rFonts w:ascii="Times New Roman" w:hAnsi="Times New Roman"/>
                <w:b/>
                <w:sz w:val="24"/>
              </w:rPr>
            </w:pPr>
            <w:r>
              <w:rPr>
                <w:rFonts w:ascii="Times New Roman" w:hAnsi="Times New Roman"/>
                <w:b/>
                <w:sz w:val="24"/>
              </w:rPr>
              <w:t>Polinómica 2do grado</w:t>
            </w:r>
          </w:p>
        </w:tc>
        <w:tc>
          <w:tcPr>
            <w:tcW w:w="1539" w:type="dxa"/>
          </w:tcPr>
          <w:p>
            <w:pPr>
              <w:pStyle w:val="TableParagraph"/>
              <w:spacing w:before="8"/>
              <w:ind w:left="178"/>
              <w:jc w:val="left"/>
              <w:rPr>
                <w:rFonts w:ascii="Times New Roman"/>
                <w:sz w:val="24"/>
              </w:rPr>
            </w:pPr>
            <w:r>
              <w:rPr>
                <w:rFonts w:ascii="Times New Roman"/>
                <w:sz w:val="24"/>
              </w:rPr>
              <w:t>.99990</w:t>
            </w:r>
          </w:p>
        </w:tc>
        <w:tc>
          <w:tcPr>
            <w:tcW w:w="1692" w:type="dxa"/>
          </w:tcPr>
          <w:p>
            <w:pPr>
              <w:pStyle w:val="TableParagraph"/>
              <w:spacing w:before="8"/>
              <w:ind w:left="260"/>
              <w:jc w:val="left"/>
              <w:rPr>
                <w:rFonts w:ascii="Times New Roman"/>
                <w:sz w:val="24"/>
              </w:rPr>
            </w:pPr>
            <w:r>
              <w:rPr>
                <w:rFonts w:ascii="Times New Roman"/>
                <w:sz w:val="24"/>
              </w:rPr>
              <w:t>.99773</w:t>
            </w:r>
          </w:p>
        </w:tc>
        <w:tc>
          <w:tcPr>
            <w:tcW w:w="1702" w:type="dxa"/>
          </w:tcPr>
          <w:p>
            <w:pPr>
              <w:pStyle w:val="TableParagraph"/>
              <w:spacing w:before="8"/>
              <w:ind w:left="189"/>
              <w:jc w:val="left"/>
              <w:rPr>
                <w:rFonts w:ascii="Times New Roman"/>
                <w:sz w:val="24"/>
              </w:rPr>
            </w:pPr>
            <w:r>
              <w:rPr>
                <w:rFonts w:ascii="Times New Roman"/>
                <w:sz w:val="24"/>
              </w:rPr>
              <w:t>.99689</w:t>
            </w:r>
          </w:p>
        </w:tc>
      </w:tr>
      <w:tr>
        <w:trPr>
          <w:trHeight w:val="337" w:hRule="exact"/>
        </w:trPr>
        <w:tc>
          <w:tcPr>
            <w:tcW w:w="1429" w:type="dxa"/>
            <w:shd w:val="clear" w:color="auto" w:fill="E8EFF4"/>
          </w:tcPr>
          <w:p>
            <w:pPr>
              <w:pStyle w:val="TableParagraph"/>
              <w:spacing w:before="12"/>
              <w:ind w:left="107"/>
              <w:jc w:val="left"/>
              <w:rPr>
                <w:rFonts w:ascii="Times New Roman"/>
                <w:b/>
                <w:sz w:val="24"/>
              </w:rPr>
            </w:pPr>
            <w:r>
              <w:rPr>
                <w:rFonts w:ascii="Times New Roman"/>
                <w:b/>
                <w:sz w:val="24"/>
              </w:rPr>
              <w:t>Racional</w:t>
            </w:r>
          </w:p>
        </w:tc>
        <w:tc>
          <w:tcPr>
            <w:tcW w:w="1539" w:type="dxa"/>
            <w:shd w:val="clear" w:color="auto" w:fill="E8EFF4"/>
          </w:tcPr>
          <w:p>
            <w:pPr>
              <w:pStyle w:val="TableParagraph"/>
              <w:spacing w:before="8"/>
              <w:ind w:left="178"/>
              <w:jc w:val="left"/>
              <w:rPr>
                <w:rFonts w:ascii="Times New Roman"/>
                <w:sz w:val="24"/>
              </w:rPr>
            </w:pPr>
            <w:r>
              <w:rPr>
                <w:rFonts w:ascii="Times New Roman"/>
                <w:sz w:val="24"/>
              </w:rPr>
              <w:t>.99968</w:t>
            </w:r>
          </w:p>
        </w:tc>
        <w:tc>
          <w:tcPr>
            <w:tcW w:w="1692" w:type="dxa"/>
            <w:shd w:val="clear" w:color="auto" w:fill="E8EFF4"/>
          </w:tcPr>
          <w:p>
            <w:pPr>
              <w:pStyle w:val="TableParagraph"/>
              <w:spacing w:before="8"/>
              <w:ind w:left="260"/>
              <w:jc w:val="left"/>
              <w:rPr>
                <w:rFonts w:ascii="Times New Roman"/>
                <w:sz w:val="24"/>
              </w:rPr>
            </w:pPr>
            <w:r>
              <w:rPr>
                <w:rFonts w:ascii="Times New Roman"/>
                <w:sz w:val="24"/>
              </w:rPr>
              <w:t>.99977</w:t>
            </w:r>
          </w:p>
        </w:tc>
        <w:tc>
          <w:tcPr>
            <w:tcW w:w="1702" w:type="dxa"/>
            <w:shd w:val="clear" w:color="auto" w:fill="E8EFF4"/>
          </w:tcPr>
          <w:p>
            <w:pPr>
              <w:pStyle w:val="TableParagraph"/>
              <w:spacing w:before="8"/>
              <w:ind w:left="189"/>
              <w:jc w:val="left"/>
              <w:rPr>
                <w:rFonts w:ascii="Times New Roman"/>
                <w:sz w:val="24"/>
              </w:rPr>
            </w:pPr>
            <w:r>
              <w:rPr>
                <w:rFonts w:ascii="Times New Roman"/>
                <w:sz w:val="24"/>
              </w:rPr>
              <w:t>.99871</w:t>
            </w:r>
          </w:p>
        </w:tc>
      </w:tr>
      <w:tr>
        <w:trPr>
          <w:trHeight w:val="593" w:hRule="exact"/>
        </w:trPr>
        <w:tc>
          <w:tcPr>
            <w:tcW w:w="1429" w:type="dxa"/>
            <w:tcBorders>
              <w:bottom w:val="single" w:sz="8" w:space="0" w:color="2CA1BE"/>
            </w:tcBorders>
            <w:shd w:val="clear" w:color="auto" w:fill="E8EFF4"/>
          </w:tcPr>
          <w:p>
            <w:pPr>
              <w:pStyle w:val="TableParagraph"/>
              <w:spacing w:before="27"/>
              <w:ind w:left="107"/>
              <w:jc w:val="left"/>
              <w:rPr>
                <w:rFonts w:ascii="Times New Roman"/>
                <w:b/>
                <w:sz w:val="24"/>
              </w:rPr>
            </w:pPr>
            <w:r>
              <w:rPr>
                <w:rFonts w:ascii="Times New Roman"/>
                <w:b/>
                <w:sz w:val="24"/>
              </w:rPr>
              <w:t>Racional 7 puntos</w:t>
            </w:r>
          </w:p>
        </w:tc>
        <w:tc>
          <w:tcPr>
            <w:tcW w:w="1539" w:type="dxa"/>
            <w:tcBorders>
              <w:bottom w:val="single" w:sz="8" w:space="0" w:color="2CA1BE"/>
            </w:tcBorders>
            <w:shd w:val="clear" w:color="auto" w:fill="E8EFF4"/>
          </w:tcPr>
          <w:p>
            <w:pPr>
              <w:pStyle w:val="TableParagraph"/>
              <w:spacing w:before="23"/>
              <w:ind w:left="178"/>
              <w:jc w:val="left"/>
              <w:rPr>
                <w:rFonts w:ascii="Times New Roman"/>
                <w:sz w:val="24"/>
              </w:rPr>
            </w:pPr>
            <w:r>
              <w:rPr>
                <w:rFonts w:ascii="Times New Roman"/>
                <w:sz w:val="24"/>
              </w:rPr>
              <w:t>.99980</w:t>
            </w:r>
          </w:p>
        </w:tc>
        <w:tc>
          <w:tcPr>
            <w:tcW w:w="1692" w:type="dxa"/>
            <w:tcBorders>
              <w:bottom w:val="single" w:sz="8" w:space="0" w:color="2CA1BE"/>
            </w:tcBorders>
            <w:shd w:val="clear" w:color="auto" w:fill="E8EFF4"/>
          </w:tcPr>
          <w:p>
            <w:pPr/>
          </w:p>
        </w:tc>
        <w:tc>
          <w:tcPr>
            <w:tcW w:w="1702" w:type="dxa"/>
            <w:tcBorders>
              <w:bottom w:val="single" w:sz="8" w:space="0" w:color="2CA1BE"/>
            </w:tcBorders>
            <w:shd w:val="clear" w:color="auto" w:fill="E8EFF4"/>
          </w:tcPr>
          <w:p>
            <w:pPr/>
          </w:p>
        </w:tc>
      </w:tr>
    </w:tbl>
    <w:p>
      <w:pPr>
        <w:spacing w:before="112"/>
        <w:ind w:left="1305" w:right="155" w:firstLine="0"/>
        <w:jc w:val="left"/>
        <w:rPr>
          <w:sz w:val="20"/>
        </w:rPr>
      </w:pPr>
      <w:bookmarkStart w:name="_bookmark77" w:id="124"/>
      <w:bookmarkEnd w:id="124"/>
      <w:r>
        <w:rPr/>
      </w:r>
      <w:r>
        <w:rPr>
          <w:sz w:val="20"/>
        </w:rPr>
        <w:t>Tabla 3. Coeficientes de determinación por canal de color y tipo de ajuste</w:t>
      </w:r>
    </w:p>
    <w:p>
      <w:pPr>
        <w:pStyle w:val="BodyText"/>
        <w:spacing w:before="10"/>
        <w:rPr>
          <w:sz w:val="24"/>
        </w:rPr>
      </w:pPr>
    </w:p>
    <w:p>
      <w:pPr>
        <w:pStyle w:val="BodyText"/>
        <w:spacing w:line="360" w:lineRule="auto"/>
        <w:ind w:left="100" w:right="114"/>
        <w:jc w:val="both"/>
        <w:rPr>
          <w:i/>
        </w:rPr>
      </w:pPr>
      <w:r>
        <w:rPr/>
        <w:t>Con base en los datos de la </w:t>
      </w:r>
      <w:hyperlink w:history="true" w:anchor="_bookmark77">
        <w:r>
          <w:rPr>
            <w:b/>
          </w:rPr>
          <w:t>Tabla 3</w:t>
        </w:r>
      </w:hyperlink>
      <w:r>
        <w:rPr/>
        <w:t>, el canal rojo arroja los mejores resultados para todas las funciones, lo que coincide con lo reportado en la literatura y por el fabricante.  La función polinómica de tercer grado es la que mejor se ajusta a los datos, seguida por el ajuste cuadrático, que muestra una r</w:t>
      </w:r>
      <w:r>
        <w:rPr>
          <w:position w:val="6"/>
          <w:sz w:val="14"/>
        </w:rPr>
        <w:t>2 </w:t>
      </w:r>
      <w:r>
        <w:rPr/>
        <w:t>similar. En general, se observa un buen ajuste para los todos canales en el rango de dosis analizado. Para determinar las curvas de calibración se utilizaron 14 puntos, siguiendo las recomendaciones de construir las curvas con  al menos 12 puntos, dadas por Bouchard </w:t>
      </w:r>
      <w:r>
        <w:rPr>
          <w:i/>
        </w:rPr>
        <w:t>et al.</w:t>
      </w:r>
    </w:p>
    <w:p>
      <w:pPr>
        <w:pStyle w:val="BodyText"/>
        <w:spacing w:before="9"/>
        <w:rPr>
          <w:i/>
          <w:sz w:val="32"/>
        </w:rPr>
      </w:pPr>
    </w:p>
    <w:p>
      <w:pPr>
        <w:pStyle w:val="BodyText"/>
        <w:spacing w:line="360" w:lineRule="auto"/>
        <w:ind w:left="100" w:right="116"/>
        <w:jc w:val="both"/>
      </w:pPr>
      <w:r>
        <w:rPr/>
        <w:t>Una de las ventajas de utilizar la función racional, es la posibilidad de utilizar una menor cantidad de puntos para la construcción de la curva, con lo que se ahorraría en tiempo y materiales. El número de puntos se recomienda entre 6 y 7 (Lewis, et al., 2012). Por tanto, se realizó un ajuste racional tomando 7 puntos, y su coeficiente de determinación  se reporta en la </w:t>
      </w:r>
      <w:hyperlink w:history="true" w:anchor="_bookmark77">
        <w:r>
          <w:rPr>
            <w:b/>
            <w:sz w:val="20"/>
          </w:rPr>
          <w:t>Tabla 3</w:t>
        </w:r>
      </w:hyperlink>
      <w:r>
        <w:rPr/>
        <w:t>. El resultado indica que el ajuste racional es bastante preciso, con  una diferencia muy pequeña en el coeficiente de determinación respecto al ajuste polinómico de segundo y tercer</w:t>
      </w:r>
      <w:r>
        <w:rPr>
          <w:spacing w:val="-12"/>
        </w:rPr>
        <w:t> </w:t>
      </w:r>
      <w:r>
        <w:rPr/>
        <w:t>grado.</w:t>
      </w:r>
    </w:p>
    <w:p>
      <w:pPr>
        <w:pStyle w:val="BodyText"/>
        <w:spacing w:before="9"/>
        <w:rPr>
          <w:sz w:val="32"/>
        </w:rPr>
      </w:pPr>
    </w:p>
    <w:p>
      <w:pPr>
        <w:pStyle w:val="BodyText"/>
        <w:spacing w:line="360" w:lineRule="auto" w:before="1"/>
        <w:ind w:left="100" w:right="128"/>
        <w:jc w:val="both"/>
      </w:pPr>
      <w:r>
        <w:rPr/>
        <w:t>En la </w:t>
      </w:r>
      <w:hyperlink w:history="true" w:anchor="_bookmark78">
        <w:r>
          <w:rPr>
            <w:b/>
            <w:sz w:val="20"/>
          </w:rPr>
          <w:t>Figura 27</w:t>
        </w:r>
      </w:hyperlink>
      <w:r>
        <w:rPr>
          <w:b/>
          <w:sz w:val="20"/>
        </w:rPr>
        <w:t> </w:t>
      </w:r>
      <w:r>
        <w:rPr/>
        <w:t>se observa la curva de calibración del polinomio de tercer grado que mejor se ajusta a los datos, en el canal rojo. La función de ajuste resultante es</w:t>
      </w:r>
    </w:p>
    <w:p>
      <w:pPr>
        <w:spacing w:line="268" w:lineRule="exact" w:before="0"/>
        <w:ind w:left="190" w:right="0" w:firstLine="0"/>
        <w:jc w:val="both"/>
        <w:rPr>
          <w:sz w:val="22"/>
        </w:rPr>
      </w:pPr>
      <w:r>
        <w:rPr>
          <w:rFonts w:ascii="Times New Roman" w:hAnsi="Times New Roman"/>
          <w:i/>
          <w:sz w:val="24"/>
        </w:rPr>
        <w:t>y </w:t>
      </w:r>
      <w:r>
        <w:rPr>
          <w:rFonts w:ascii="Symbol" w:hAnsi="Symbol"/>
          <w:sz w:val="24"/>
        </w:rPr>
        <w:t></w:t>
      </w:r>
      <w:r>
        <w:rPr>
          <w:rFonts w:ascii="Times New Roman" w:hAnsi="Times New Roman"/>
          <w:sz w:val="24"/>
        </w:rPr>
        <w:t> 2.4875</w:t>
      </w:r>
      <w:r>
        <w:rPr>
          <w:rFonts w:ascii="Times New Roman" w:hAnsi="Times New Roman"/>
          <w:i/>
          <w:sz w:val="24"/>
        </w:rPr>
        <w:t>x</w:t>
      </w:r>
      <w:r>
        <w:rPr>
          <w:rFonts w:ascii="Times New Roman" w:hAnsi="Times New Roman"/>
          <w:position w:val="11"/>
          <w:sz w:val="14"/>
        </w:rPr>
        <w:t>3  </w:t>
      </w:r>
      <w:r>
        <w:rPr>
          <w:rFonts w:ascii="Symbol" w:hAnsi="Symbol"/>
          <w:sz w:val="24"/>
        </w:rPr>
        <w:t></w:t>
      </w:r>
      <w:r>
        <w:rPr>
          <w:rFonts w:ascii="Times New Roman" w:hAnsi="Times New Roman"/>
          <w:sz w:val="24"/>
        </w:rPr>
        <w:t>12.082</w:t>
      </w:r>
      <w:r>
        <w:rPr>
          <w:rFonts w:ascii="Times New Roman" w:hAnsi="Times New Roman"/>
          <w:i/>
          <w:sz w:val="24"/>
        </w:rPr>
        <w:t>x</w:t>
      </w:r>
      <w:r>
        <w:rPr>
          <w:rFonts w:ascii="Times New Roman" w:hAnsi="Times New Roman"/>
          <w:position w:val="11"/>
          <w:sz w:val="14"/>
        </w:rPr>
        <w:t>2  </w:t>
      </w:r>
      <w:r>
        <w:rPr>
          <w:rFonts w:ascii="Symbol" w:hAnsi="Symbol"/>
          <w:sz w:val="24"/>
        </w:rPr>
        <w:t></w:t>
      </w:r>
      <w:r>
        <w:rPr>
          <w:rFonts w:ascii="Times New Roman" w:hAnsi="Times New Roman"/>
          <w:sz w:val="24"/>
        </w:rPr>
        <w:t> 6.2416</w:t>
      </w:r>
      <w:r>
        <w:rPr>
          <w:rFonts w:ascii="Times New Roman" w:hAnsi="Times New Roman"/>
          <w:i/>
          <w:sz w:val="24"/>
        </w:rPr>
        <w:t>x  </w:t>
      </w:r>
      <w:r>
        <w:rPr>
          <w:rFonts w:ascii="Times New Roman" w:hAnsi="Times New Roman"/>
          <w:position w:val="-1"/>
          <w:sz w:val="24"/>
        </w:rPr>
        <w:t>, </w:t>
      </w:r>
      <w:r>
        <w:rPr>
          <w:position w:val="-1"/>
          <w:sz w:val="22"/>
        </w:rPr>
        <w:t>con una r</w:t>
      </w:r>
      <w:r>
        <w:rPr>
          <w:position w:val="4"/>
          <w:sz w:val="14"/>
        </w:rPr>
        <w:t>2  </w:t>
      </w:r>
      <w:r>
        <w:rPr>
          <w:position w:val="-1"/>
          <w:sz w:val="22"/>
        </w:rPr>
        <w:t>de  0.99992.</w:t>
      </w:r>
    </w:p>
    <w:p>
      <w:pPr>
        <w:spacing w:after="0" w:line="268" w:lineRule="exact"/>
        <w:jc w:val="both"/>
        <w:rPr>
          <w:sz w:val="22"/>
        </w:rPr>
        <w:sectPr>
          <w:pgSz w:w="12240" w:h="15840"/>
          <w:pgMar w:header="0" w:footer="1034" w:top="1360" w:bottom="1220" w:left="1600" w:right="1580"/>
        </w:sectPr>
      </w:pPr>
    </w:p>
    <w:p>
      <w:pPr>
        <w:pStyle w:val="BodyText"/>
        <w:ind w:left="2173"/>
        <w:rPr>
          <w:sz w:val="20"/>
        </w:rPr>
      </w:pPr>
      <w:r>
        <w:rPr>
          <w:sz w:val="20"/>
        </w:rPr>
        <w:drawing>
          <wp:inline distT="0" distB="0" distL="0" distR="0">
            <wp:extent cx="2981733" cy="2481072"/>
            <wp:effectExtent l="0" t="0" r="0" b="0"/>
            <wp:docPr id="67" name="image36.png" descr=""/>
            <wp:cNvGraphicFramePr>
              <a:graphicFrameLocks noChangeAspect="1"/>
            </wp:cNvGraphicFramePr>
            <a:graphic>
              <a:graphicData uri="http://schemas.openxmlformats.org/drawingml/2006/picture">
                <pic:pic>
                  <pic:nvPicPr>
                    <pic:cNvPr id="68" name="image36.png"/>
                    <pic:cNvPicPr/>
                  </pic:nvPicPr>
                  <pic:blipFill>
                    <a:blip r:embed="rId44" cstate="print"/>
                    <a:stretch>
                      <a:fillRect/>
                    </a:stretch>
                  </pic:blipFill>
                  <pic:spPr>
                    <a:xfrm>
                      <a:off x="0" y="0"/>
                      <a:ext cx="2981733" cy="2481072"/>
                    </a:xfrm>
                    <a:prstGeom prst="rect">
                      <a:avLst/>
                    </a:prstGeom>
                  </pic:spPr>
                </pic:pic>
              </a:graphicData>
            </a:graphic>
          </wp:inline>
        </w:drawing>
      </w:r>
      <w:r>
        <w:rPr>
          <w:sz w:val="20"/>
        </w:rPr>
      </w:r>
    </w:p>
    <w:p>
      <w:pPr>
        <w:spacing w:line="217" w:lineRule="exact" w:before="0"/>
        <w:ind w:left="1528" w:right="155" w:firstLine="0"/>
        <w:jc w:val="left"/>
        <w:rPr>
          <w:sz w:val="20"/>
        </w:rPr>
      </w:pPr>
      <w:bookmarkStart w:name="_bookmark78" w:id="125"/>
      <w:bookmarkEnd w:id="125"/>
      <w:r>
        <w:rPr/>
      </w:r>
      <w:r>
        <w:rPr>
          <w:sz w:val="20"/>
        </w:rPr>
        <w:t>Figura 27. Curva de calibración de las películas radiocrómicas EBT3</w:t>
      </w:r>
    </w:p>
    <w:p>
      <w:pPr>
        <w:pStyle w:val="BodyText"/>
        <w:spacing w:before="9"/>
        <w:rPr>
          <w:sz w:val="17"/>
        </w:rPr>
      </w:pPr>
    </w:p>
    <w:p>
      <w:pPr>
        <w:pStyle w:val="BodyText"/>
        <w:ind w:left="100" w:right="155"/>
      </w:pPr>
      <w:r>
        <w:rPr/>
        <w:t>La función racional obtenida con siete puntos se presenta en la </w:t>
      </w:r>
      <w:hyperlink w:history="true" w:anchor="_bookmark79">
        <w:r>
          <w:rPr>
            <w:b/>
            <w:sz w:val="20"/>
          </w:rPr>
          <w:t>Figura 28</w:t>
        </w:r>
      </w:hyperlink>
      <w:r>
        <w:rPr/>
        <w:t>, tiene la forma</w:t>
      </w:r>
    </w:p>
    <w:p>
      <w:pPr>
        <w:spacing w:after="0"/>
        <w:sectPr>
          <w:pgSz w:w="12240" w:h="15840"/>
          <w:pgMar w:header="0" w:footer="1034" w:top="1420" w:bottom="1220" w:left="1600" w:right="1580"/>
        </w:sectPr>
      </w:pPr>
    </w:p>
    <w:p>
      <w:pPr>
        <w:spacing w:before="130"/>
        <w:ind w:left="157" w:right="-7" w:firstLine="0"/>
        <w:jc w:val="left"/>
        <w:rPr>
          <w:rFonts w:ascii="Symbol" w:hAnsi="Symbol"/>
          <w:sz w:val="21"/>
        </w:rPr>
      </w:pPr>
      <w:r>
        <w:rPr>
          <w:rFonts w:ascii="Times New Roman" w:hAnsi="Times New Roman"/>
          <w:i/>
          <w:w w:val="110"/>
          <w:sz w:val="21"/>
        </w:rPr>
        <w:t>y </w:t>
      </w:r>
      <w:r>
        <w:rPr>
          <w:rFonts w:ascii="Symbol" w:hAnsi="Symbol"/>
          <w:w w:val="110"/>
          <w:sz w:val="21"/>
        </w:rPr>
        <w:t></w:t>
      </w:r>
      <w:r>
        <w:rPr>
          <w:rFonts w:ascii="Times New Roman" w:hAnsi="Times New Roman"/>
          <w:w w:val="110"/>
          <w:sz w:val="21"/>
        </w:rPr>
        <w:t> </w:t>
      </w:r>
      <w:r>
        <w:rPr>
          <w:rFonts w:ascii="Symbol" w:hAnsi="Symbol"/>
          <w:w w:val="110"/>
          <w:sz w:val="21"/>
        </w:rPr>
        <w:t></w:t>
      </w:r>
      <w:r>
        <w:rPr>
          <w:rFonts w:ascii="Times New Roman" w:hAnsi="Times New Roman"/>
          <w:w w:val="110"/>
          <w:sz w:val="21"/>
        </w:rPr>
        <w:t>8.3071</w:t>
      </w:r>
      <w:r>
        <w:rPr>
          <w:rFonts w:ascii="Symbol" w:hAnsi="Symbol"/>
          <w:w w:val="110"/>
          <w:sz w:val="21"/>
        </w:rPr>
        <w:t></w:t>
      </w:r>
    </w:p>
    <w:p>
      <w:pPr>
        <w:spacing w:before="7"/>
        <w:ind w:left="8" w:right="0" w:firstLine="0"/>
        <w:jc w:val="center"/>
        <w:rPr>
          <w:rFonts w:ascii="Times New Roman"/>
          <w:sz w:val="21"/>
        </w:rPr>
      </w:pPr>
      <w:r>
        <w:rPr/>
        <w:br w:type="column"/>
      </w:r>
      <w:r>
        <w:rPr>
          <w:rFonts w:ascii="Times New Roman"/>
          <w:w w:val="110"/>
          <w:sz w:val="21"/>
        </w:rPr>
        <w:t>9.2</w:t>
      </w:r>
    </w:p>
    <w:p>
      <w:pPr>
        <w:spacing w:before="51"/>
        <w:ind w:left="30" w:right="0" w:firstLine="0"/>
        <w:jc w:val="center"/>
        <w:rPr>
          <w:rFonts w:ascii="Times New Roman" w:hAnsi="Times New Roman"/>
          <w:sz w:val="21"/>
        </w:rPr>
      </w:pPr>
      <w:r>
        <w:rPr/>
        <w:pict>
          <v:line style="position:absolute;mso-position-horizontal-relative:page;mso-position-vertical-relative:paragraph;z-index:1984" from="152.885208pt,2.331612pt" to="199.694063pt,2.331612pt" stroked="true" strokeweight=".121706pt" strokecolor="#000000">
            <w10:wrap type="none"/>
          </v:line>
        </w:pict>
      </w:r>
      <w:r>
        <w:rPr>
          <w:rFonts w:ascii="Times New Roman" w:hAnsi="Times New Roman"/>
          <w:i/>
          <w:w w:val="110"/>
          <w:sz w:val="21"/>
        </w:rPr>
        <w:t>x</w:t>
      </w:r>
      <w:r>
        <w:rPr>
          <w:rFonts w:ascii="Times New Roman" w:hAnsi="Times New Roman"/>
          <w:i/>
          <w:spacing w:val="-17"/>
          <w:w w:val="110"/>
          <w:sz w:val="21"/>
        </w:rPr>
        <w:t> </w:t>
      </w:r>
      <w:r>
        <w:rPr>
          <w:rFonts w:ascii="Symbol" w:hAnsi="Symbol"/>
          <w:w w:val="110"/>
          <w:sz w:val="21"/>
        </w:rPr>
        <w:t></w:t>
      </w:r>
      <w:r>
        <w:rPr>
          <w:rFonts w:ascii="Times New Roman" w:hAnsi="Times New Roman"/>
          <w:w w:val="110"/>
          <w:sz w:val="21"/>
        </w:rPr>
        <w:t>1.1133</w:t>
      </w:r>
    </w:p>
    <w:p>
      <w:pPr>
        <w:pStyle w:val="BodyText"/>
        <w:spacing w:before="114"/>
        <w:ind w:left="6"/>
      </w:pPr>
      <w:r>
        <w:rPr/>
        <w:br w:type="column"/>
      </w:r>
      <w:r>
        <w:rPr/>
        <w:t>, siendo </w:t>
      </w:r>
      <w:r>
        <w:rPr>
          <w:i/>
        </w:rPr>
        <w:t>x </w:t>
      </w:r>
      <w:r>
        <w:rPr/>
        <w:t>la OD neta y </w:t>
      </w:r>
      <w:r>
        <w:rPr>
          <w:i/>
        </w:rPr>
        <w:t>y </w:t>
      </w:r>
      <w:r>
        <w:rPr/>
        <w:t>la dosis, con una r</w:t>
      </w:r>
      <w:r>
        <w:rPr>
          <w:position w:val="6"/>
          <w:sz w:val="14"/>
        </w:rPr>
        <w:t>2  </w:t>
      </w:r>
      <w:r>
        <w:rPr/>
        <w:t>de 0.9998.</w:t>
      </w:r>
    </w:p>
    <w:p>
      <w:pPr>
        <w:spacing w:after="0"/>
        <w:sectPr>
          <w:type w:val="continuous"/>
          <w:pgSz w:w="12240" w:h="15840"/>
          <w:pgMar w:top="1380" w:bottom="280" w:left="1600" w:right="1580"/>
          <w:cols w:num="3" w:equalWidth="0">
            <w:col w:w="1404" w:space="40"/>
            <w:col w:w="939" w:space="40"/>
            <w:col w:w="6637"/>
          </w:cols>
        </w:sectPr>
      </w:pPr>
    </w:p>
    <w:p>
      <w:pPr>
        <w:pStyle w:val="BodyText"/>
        <w:spacing w:before="4"/>
        <w:rPr>
          <w:sz w:val="24"/>
        </w:rPr>
      </w:pPr>
    </w:p>
    <w:p>
      <w:pPr>
        <w:pStyle w:val="BodyText"/>
        <w:ind w:left="101"/>
        <w:rPr>
          <w:sz w:val="20"/>
        </w:rPr>
      </w:pPr>
      <w:r>
        <w:rPr>
          <w:sz w:val="20"/>
        </w:rPr>
        <w:drawing>
          <wp:inline distT="0" distB="0" distL="0" distR="0">
            <wp:extent cx="5605583" cy="1626870"/>
            <wp:effectExtent l="0" t="0" r="0" b="0"/>
            <wp:docPr id="69" name="image37.png" descr=""/>
            <wp:cNvGraphicFramePr>
              <a:graphicFrameLocks noChangeAspect="1"/>
            </wp:cNvGraphicFramePr>
            <a:graphic>
              <a:graphicData uri="http://schemas.openxmlformats.org/drawingml/2006/picture">
                <pic:pic>
                  <pic:nvPicPr>
                    <pic:cNvPr id="70" name="image37.png"/>
                    <pic:cNvPicPr/>
                  </pic:nvPicPr>
                  <pic:blipFill>
                    <a:blip r:embed="rId45" cstate="print"/>
                    <a:stretch>
                      <a:fillRect/>
                    </a:stretch>
                  </pic:blipFill>
                  <pic:spPr>
                    <a:xfrm>
                      <a:off x="0" y="0"/>
                      <a:ext cx="5605583" cy="1626870"/>
                    </a:xfrm>
                    <a:prstGeom prst="rect">
                      <a:avLst/>
                    </a:prstGeom>
                  </pic:spPr>
                </pic:pic>
              </a:graphicData>
            </a:graphic>
          </wp:inline>
        </w:drawing>
      </w:r>
      <w:r>
        <w:rPr>
          <w:sz w:val="20"/>
        </w:rPr>
      </w:r>
    </w:p>
    <w:p>
      <w:pPr>
        <w:spacing w:line="220" w:lineRule="exact" w:before="0"/>
        <w:ind w:left="1105" w:right="155" w:firstLine="0"/>
        <w:jc w:val="left"/>
        <w:rPr>
          <w:sz w:val="20"/>
        </w:rPr>
      </w:pPr>
      <w:bookmarkStart w:name="_bookmark79" w:id="126"/>
      <w:bookmarkEnd w:id="126"/>
      <w:r>
        <w:rPr/>
      </w:r>
      <w:r>
        <w:rPr>
          <w:sz w:val="20"/>
        </w:rPr>
        <w:t>Figura 28. Curva de calibración con ajuste racional de siete puntos, canal rojo</w:t>
      </w:r>
    </w:p>
    <w:p>
      <w:pPr>
        <w:pStyle w:val="BodyText"/>
        <w:rPr>
          <w:sz w:val="20"/>
        </w:rPr>
      </w:pPr>
    </w:p>
    <w:p>
      <w:pPr>
        <w:pStyle w:val="BodyText"/>
        <w:spacing w:before="5"/>
      </w:pPr>
    </w:p>
    <w:p>
      <w:pPr>
        <w:pStyle w:val="Heading6"/>
        <w:numPr>
          <w:ilvl w:val="1"/>
          <w:numId w:val="8"/>
        </w:numPr>
        <w:tabs>
          <w:tab w:pos="893" w:val="left" w:leader="none"/>
        </w:tabs>
        <w:spacing w:line="240" w:lineRule="auto" w:before="0" w:after="0"/>
        <w:ind w:left="893" w:right="0" w:hanging="433"/>
        <w:jc w:val="left"/>
      </w:pPr>
      <w:bookmarkStart w:name="_bookmark80" w:id="127"/>
      <w:bookmarkEnd w:id="127"/>
      <w:r>
        <w:rPr>
          <w:b w:val="0"/>
        </w:rPr>
      </w:r>
      <w:bookmarkStart w:name="_bookmark80" w:id="128"/>
      <w:bookmarkEnd w:id="128"/>
      <w:r>
        <w:rPr/>
        <w:t>A</w:t>
      </w:r>
      <w:r>
        <w:rPr/>
        <w:t>nálisis de</w:t>
      </w:r>
      <w:r>
        <w:rPr>
          <w:spacing w:val="-12"/>
        </w:rPr>
        <w:t> </w:t>
      </w:r>
      <w:r>
        <w:rPr/>
        <w:t>incerteza</w:t>
      </w:r>
    </w:p>
    <w:p>
      <w:pPr>
        <w:pStyle w:val="BodyText"/>
        <w:spacing w:before="10"/>
        <w:rPr>
          <w:b/>
          <w:sz w:val="32"/>
        </w:rPr>
      </w:pPr>
    </w:p>
    <w:p>
      <w:pPr>
        <w:pStyle w:val="BodyText"/>
        <w:spacing w:line="360" w:lineRule="auto"/>
        <w:ind w:left="100" w:right="155"/>
      </w:pPr>
      <w:r>
        <w:rPr/>
        <w:t>La función de ajuste fue calculada de acuerdo a la ecuación (4), y como se mencionó, el ajuste óptimo se obtuvo para un polinomio grado 3 de la forma</w:t>
      </w:r>
    </w:p>
    <w:p>
      <w:pPr>
        <w:spacing w:after="0" w:line="360" w:lineRule="auto"/>
        <w:sectPr>
          <w:type w:val="continuous"/>
          <w:pgSz w:w="12240" w:h="15840"/>
          <w:pgMar w:top="1380" w:bottom="280" w:left="1600" w:right="1580"/>
        </w:sectPr>
      </w:pPr>
    </w:p>
    <w:p>
      <w:pPr>
        <w:spacing w:before="23"/>
        <w:ind w:left="2136" w:right="0" w:firstLine="0"/>
        <w:jc w:val="left"/>
        <w:rPr>
          <w:rFonts w:ascii="Times New Roman" w:hAnsi="Times New Roman"/>
          <w:i/>
          <w:sz w:val="16"/>
        </w:rPr>
      </w:pPr>
      <w:r>
        <w:rPr/>
        <w:pict>
          <v:shape style="position:absolute;margin-left:337.911957pt;margin-top:2.134854pt;width:68.05pt;height:7.95pt;mso-position-horizontal-relative:page;mso-position-vertical-relative:paragraph;z-index:-105040" type="#_x0000_t202" filled="false" stroked="false">
            <v:textbox inset="0,0,0,0">
              <w:txbxContent>
                <w:p>
                  <w:pPr>
                    <w:tabs>
                      <w:tab w:pos="1275" w:val="left" w:leader="none"/>
                    </w:tabs>
                    <w:spacing w:line="158" w:lineRule="exact" w:before="0"/>
                    <w:ind w:left="0" w:right="0" w:firstLine="0"/>
                    <w:jc w:val="left"/>
                    <w:rPr>
                      <w:rFonts w:ascii="Times New Roman"/>
                      <w:sz w:val="16"/>
                    </w:rPr>
                  </w:pPr>
                  <w:r>
                    <w:rPr>
                      <w:rFonts w:ascii="Times New Roman"/>
                      <w:w w:val="105"/>
                      <w:sz w:val="16"/>
                    </w:rPr>
                    <w:t>2</w:t>
                    <w:tab/>
                    <w:t>3</w:t>
                  </w:r>
                </w:p>
              </w:txbxContent>
            </v:textbox>
            <w10:wrap type="none"/>
          </v:shape>
        </w:pict>
      </w:r>
      <w:r>
        <w:rPr>
          <w:rFonts w:ascii="Times New Roman" w:hAnsi="Times New Roman"/>
          <w:i/>
          <w:w w:val="105"/>
          <w:position w:val="1"/>
          <w:sz w:val="27"/>
        </w:rPr>
        <w:t>D</w:t>
      </w:r>
      <w:r>
        <w:rPr>
          <w:rFonts w:ascii="Times New Roman" w:hAnsi="Times New Roman"/>
          <w:i/>
          <w:w w:val="105"/>
          <w:position w:val="-5"/>
          <w:sz w:val="16"/>
        </w:rPr>
        <w:t>ajuste  </w:t>
      </w:r>
      <w:r>
        <w:rPr>
          <w:rFonts w:ascii="Symbol" w:hAnsi="Symbol"/>
          <w:w w:val="105"/>
          <w:position w:val="1"/>
          <w:sz w:val="27"/>
        </w:rPr>
        <w:t></w:t>
      </w:r>
      <w:r>
        <w:rPr>
          <w:rFonts w:ascii="Times New Roman" w:hAnsi="Times New Roman"/>
          <w:w w:val="105"/>
          <w:position w:val="1"/>
          <w:sz w:val="27"/>
        </w:rPr>
        <w:t> </w:t>
      </w:r>
      <w:r>
        <w:rPr>
          <w:rFonts w:ascii="Times New Roman" w:hAnsi="Times New Roman"/>
          <w:i/>
          <w:w w:val="105"/>
          <w:position w:val="1"/>
          <w:sz w:val="27"/>
        </w:rPr>
        <w:t>a </w:t>
      </w:r>
      <w:r>
        <w:rPr>
          <w:rFonts w:ascii="Symbol" w:hAnsi="Symbol"/>
          <w:w w:val="105"/>
          <w:position w:val="1"/>
          <w:sz w:val="27"/>
        </w:rPr>
        <w:t></w:t>
      </w:r>
      <w:r>
        <w:rPr>
          <w:rFonts w:ascii="Times New Roman" w:hAnsi="Times New Roman"/>
          <w:w w:val="105"/>
          <w:position w:val="1"/>
          <w:sz w:val="27"/>
        </w:rPr>
        <w:t> </w:t>
      </w:r>
      <w:r>
        <w:rPr>
          <w:rFonts w:ascii="Times New Roman" w:hAnsi="Times New Roman"/>
          <w:i/>
          <w:spacing w:val="-4"/>
          <w:w w:val="105"/>
          <w:position w:val="1"/>
          <w:sz w:val="27"/>
        </w:rPr>
        <w:t>bDO</w:t>
      </w:r>
      <w:r>
        <w:rPr>
          <w:rFonts w:ascii="Times New Roman" w:hAnsi="Times New Roman"/>
          <w:i/>
          <w:spacing w:val="-4"/>
          <w:w w:val="105"/>
          <w:position w:val="-5"/>
          <w:sz w:val="16"/>
        </w:rPr>
        <w:t>neta   </w:t>
      </w:r>
      <w:r>
        <w:rPr>
          <w:rFonts w:ascii="Symbol" w:hAnsi="Symbol"/>
          <w:w w:val="105"/>
          <w:position w:val="1"/>
          <w:sz w:val="27"/>
        </w:rPr>
        <w:t></w:t>
      </w:r>
      <w:r>
        <w:rPr>
          <w:rFonts w:ascii="Times New Roman" w:hAnsi="Times New Roman"/>
          <w:w w:val="105"/>
          <w:position w:val="1"/>
          <w:sz w:val="27"/>
        </w:rPr>
        <w:t> </w:t>
      </w:r>
      <w:r>
        <w:rPr>
          <w:rFonts w:ascii="Times New Roman" w:hAnsi="Times New Roman"/>
          <w:i/>
          <w:spacing w:val="-6"/>
          <w:w w:val="105"/>
          <w:position w:val="1"/>
          <w:sz w:val="27"/>
        </w:rPr>
        <w:t>cDO  </w:t>
      </w:r>
      <w:r>
        <w:rPr>
          <w:rFonts w:ascii="Times New Roman" w:hAnsi="Times New Roman"/>
          <w:i/>
          <w:w w:val="105"/>
          <w:sz w:val="16"/>
        </w:rPr>
        <w:t>neta  </w:t>
      </w:r>
      <w:r>
        <w:rPr>
          <w:rFonts w:ascii="Symbol" w:hAnsi="Symbol"/>
          <w:w w:val="105"/>
          <w:position w:val="1"/>
          <w:sz w:val="27"/>
        </w:rPr>
        <w:t></w:t>
      </w:r>
      <w:r>
        <w:rPr>
          <w:rFonts w:ascii="Times New Roman" w:hAnsi="Times New Roman"/>
          <w:w w:val="105"/>
          <w:position w:val="1"/>
          <w:sz w:val="27"/>
        </w:rPr>
        <w:t> </w:t>
      </w:r>
      <w:r>
        <w:rPr>
          <w:rFonts w:ascii="Times New Roman" w:hAnsi="Times New Roman"/>
          <w:i/>
          <w:spacing w:val="-3"/>
          <w:w w:val="105"/>
          <w:position w:val="1"/>
          <w:sz w:val="27"/>
        </w:rPr>
        <w:t>dDO </w:t>
      </w:r>
      <w:r>
        <w:rPr>
          <w:rFonts w:ascii="Times New Roman" w:hAnsi="Times New Roman"/>
          <w:i/>
          <w:w w:val="105"/>
          <w:sz w:val="16"/>
        </w:rPr>
        <w:t>neta</w:t>
      </w:r>
    </w:p>
    <w:p>
      <w:pPr>
        <w:spacing w:before="87"/>
        <w:ind w:left="0" w:right="118" w:firstLine="0"/>
        <w:jc w:val="right"/>
        <w:rPr>
          <w:rFonts w:ascii="Times New Roman"/>
          <w:sz w:val="24"/>
        </w:rPr>
      </w:pPr>
      <w:r>
        <w:rPr/>
        <w:br w:type="column"/>
      </w:r>
      <w:r>
        <w:rPr>
          <w:rFonts w:ascii="Times New Roman"/>
          <w:sz w:val="24"/>
        </w:rPr>
        <w:t>(6)</w:t>
      </w:r>
    </w:p>
    <w:p>
      <w:pPr>
        <w:spacing w:after="0"/>
        <w:jc w:val="right"/>
        <w:rPr>
          <w:rFonts w:ascii="Times New Roman"/>
          <w:sz w:val="24"/>
        </w:rPr>
        <w:sectPr>
          <w:type w:val="continuous"/>
          <w:pgSz w:w="12240" w:h="15840"/>
          <w:pgMar w:top="1380" w:bottom="280" w:left="1600" w:right="1580"/>
          <w:cols w:num="2" w:equalWidth="0">
            <w:col w:w="6831" w:space="40"/>
            <w:col w:w="2189"/>
          </w:cols>
        </w:sectPr>
      </w:pPr>
    </w:p>
    <w:p>
      <w:pPr>
        <w:pStyle w:val="BodyText"/>
        <w:spacing w:before="8"/>
        <w:rPr>
          <w:rFonts w:ascii="Times New Roman"/>
          <w:sz w:val="21"/>
        </w:rPr>
      </w:pPr>
    </w:p>
    <w:p>
      <w:pPr>
        <w:pStyle w:val="BodyText"/>
        <w:spacing w:line="360" w:lineRule="auto" w:before="76"/>
        <w:ind w:left="100" w:right="117"/>
        <w:jc w:val="both"/>
      </w:pPr>
      <w:r>
        <w:rPr/>
        <w:t>La incerteza de un resultado se refiere a la medida en que éste se encuentre dentro de ciertos límites aceptables. Es una herramienta adecuada para la validación de datos en contextos en los cuales es difícil medir la magnitud del error, en función de la dificultad inherente a determinar un valor absoluto considerado como verdadero. Para calcular las incertidumbres asociadas al proceso de expresar la dosis en función de la densidad óptica neta (OD</w:t>
      </w:r>
      <w:r>
        <w:rPr>
          <w:position w:val="-1"/>
          <w:sz w:val="14"/>
        </w:rPr>
        <w:t>neta</w:t>
      </w:r>
      <w:r>
        <w:rPr/>
        <w:t>), se siguió el método propuesto por (Devic, et al., 2005), el cual considera  que</w:t>
      </w:r>
    </w:p>
    <w:p>
      <w:pPr>
        <w:spacing w:after="0" w:line="360" w:lineRule="auto"/>
        <w:jc w:val="both"/>
        <w:sectPr>
          <w:type w:val="continuous"/>
          <w:pgSz w:w="12240" w:h="15840"/>
          <w:pgMar w:top="1380" w:bottom="280" w:left="1600" w:right="1580"/>
        </w:sectPr>
      </w:pPr>
    </w:p>
    <w:p>
      <w:pPr>
        <w:pStyle w:val="BodyText"/>
        <w:spacing w:line="355" w:lineRule="auto" w:before="55"/>
        <w:ind w:left="100" w:right="155"/>
      </w:pPr>
      <w:r>
        <w:rPr/>
        <w:t>la incertidumbre total de la dosis tiene dos componentes; la incertidumbre experimental inherente </w:t>
      </w:r>
      <w:r>
        <w:rPr>
          <w:rFonts w:ascii="Symbol" w:hAnsi="Symbol"/>
          <w:i/>
          <w:position w:val="3"/>
          <w:sz w:val="31"/>
        </w:rPr>
        <w:t></w:t>
      </w:r>
      <w:r>
        <w:rPr>
          <w:rFonts w:ascii="Times New Roman" w:hAnsi="Times New Roman"/>
          <w:i/>
          <w:position w:val="3"/>
          <w:sz w:val="31"/>
        </w:rPr>
        <w:t> </w:t>
      </w:r>
      <w:r>
        <w:rPr>
          <w:rFonts w:ascii="Times New Roman" w:hAnsi="Times New Roman"/>
          <w:position w:val="-3"/>
          <w:sz w:val="17"/>
        </w:rPr>
        <w:t>exp </w:t>
      </w:r>
      <w:r>
        <w:rPr/>
        <w:t>y la incertidumbre debida a la función de ajuste y sus parámetros </w:t>
      </w:r>
      <w:r>
        <w:rPr>
          <w:rFonts w:ascii="Symbol" w:hAnsi="Symbol"/>
          <w:i/>
          <w:position w:val="3"/>
          <w:sz w:val="31"/>
        </w:rPr>
        <w:t></w:t>
      </w:r>
      <w:r>
        <w:rPr>
          <w:rFonts w:ascii="Times New Roman" w:hAnsi="Times New Roman"/>
          <w:i/>
          <w:position w:val="3"/>
          <w:sz w:val="31"/>
        </w:rPr>
        <w:t> </w:t>
      </w:r>
      <w:r>
        <w:rPr>
          <w:rFonts w:ascii="Times New Roman" w:hAnsi="Times New Roman"/>
          <w:i/>
          <w:position w:val="-3"/>
          <w:sz w:val="17"/>
        </w:rPr>
        <w:t>ajuste </w:t>
      </w:r>
      <w:r>
        <w:rPr/>
        <w:t>. La incertidumbre total de la dosis se calcula a partir de la propagación de errores como</w:t>
      </w:r>
    </w:p>
    <w:p>
      <w:pPr>
        <w:pStyle w:val="BodyText"/>
        <w:rPr>
          <w:sz w:val="20"/>
        </w:rPr>
      </w:pPr>
    </w:p>
    <w:p>
      <w:pPr>
        <w:tabs>
          <w:tab w:pos="1224" w:val="left" w:leader="none"/>
        </w:tabs>
        <w:spacing w:line="56" w:lineRule="exact" w:before="162"/>
        <w:ind w:left="249" w:right="0" w:firstLine="0"/>
        <w:jc w:val="center"/>
        <w:rPr>
          <w:rFonts w:ascii="Symbol" w:hAnsi="Symbol"/>
          <w:sz w:val="28"/>
        </w:rPr>
      </w:pPr>
      <w:r>
        <w:rPr>
          <w:rFonts w:ascii="Symbol" w:hAnsi="Symbol"/>
          <w:sz w:val="28"/>
        </w:rPr>
        <w:t></w:t>
      </w:r>
      <w:r>
        <w:rPr>
          <w:rFonts w:ascii="Times New Roman" w:hAnsi="Times New Roman"/>
          <w:spacing w:val="-21"/>
          <w:sz w:val="28"/>
        </w:rPr>
        <w:t> </w:t>
      </w:r>
      <w:r>
        <w:rPr>
          <w:rFonts w:ascii="Symbol" w:hAnsi="Symbol"/>
          <w:position w:val="2"/>
          <w:sz w:val="28"/>
        </w:rPr>
        <w:t></w:t>
      </w:r>
      <w:r>
        <w:rPr>
          <w:rFonts w:ascii="Times New Roman" w:hAnsi="Times New Roman"/>
          <w:position w:val="2"/>
          <w:sz w:val="28"/>
        </w:rPr>
        <w:tab/>
      </w:r>
      <w:r>
        <w:rPr>
          <w:rFonts w:ascii="Symbol" w:hAnsi="Symbol"/>
          <w:sz w:val="28"/>
        </w:rPr>
        <w:t></w:t>
      </w:r>
    </w:p>
    <w:p>
      <w:pPr>
        <w:spacing w:after="0" w:line="56" w:lineRule="exact"/>
        <w:jc w:val="center"/>
        <w:rPr>
          <w:rFonts w:ascii="Symbol" w:hAnsi="Symbol"/>
          <w:sz w:val="28"/>
        </w:rPr>
        <w:sectPr>
          <w:pgSz w:w="12240" w:h="15840"/>
          <w:pgMar w:header="0" w:footer="1034" w:top="1360" w:bottom="1220" w:left="1600" w:right="1580"/>
        </w:sectPr>
      </w:pPr>
    </w:p>
    <w:p>
      <w:pPr>
        <w:spacing w:line="353" w:lineRule="exact" w:before="88"/>
        <w:ind w:left="2698" w:right="0" w:firstLine="0"/>
        <w:jc w:val="left"/>
        <w:rPr>
          <w:rFonts w:ascii="Symbol" w:hAnsi="Symbol"/>
          <w:sz w:val="28"/>
        </w:rPr>
      </w:pPr>
      <w:r>
        <w:rPr/>
        <w:pict>
          <v:shape style="position:absolute;margin-left:285.662567pt;margin-top:16.845863pt;width:5.45pt;height:14pt;mso-position-horizontal-relative:page;mso-position-vertical-relative:paragraph;z-index:-104464" type="#_x0000_t202" filled="false" stroked="false">
            <v:textbox inset="0,0,0,0">
              <w:txbxContent>
                <w:p>
                  <w:pPr>
                    <w:spacing w:line="280" w:lineRule="exact" w:before="0"/>
                    <w:ind w:left="0" w:right="0" w:firstLine="0"/>
                    <w:jc w:val="left"/>
                    <w:rPr>
                      <w:rFonts w:ascii="Symbol" w:hAnsi="Symbol"/>
                      <w:sz w:val="28"/>
                    </w:rPr>
                  </w:pPr>
                  <w:r>
                    <w:rPr>
                      <w:rFonts w:ascii="Symbol" w:hAnsi="Symbol"/>
                      <w:w w:val="100"/>
                      <w:sz w:val="28"/>
                    </w:rPr>
                    <w:t></w:t>
                  </w:r>
                </w:p>
              </w:txbxContent>
            </v:textbox>
            <w10:wrap type="none"/>
          </v:shape>
        </w:pict>
      </w:r>
      <w:r>
        <w:rPr/>
        <w:pict>
          <v:shape style="position:absolute;margin-left:352.868866pt;margin-top:9.552412pt;width:4.150pt;height:8.15pt;mso-position-horizontal-relative:page;mso-position-vertical-relative:paragraph;z-index:-104392" type="#_x0000_t202" filled="false" stroked="false">
            <v:textbox inset="0,0,0,0">
              <w:txbxContent>
                <w:p>
                  <w:pPr>
                    <w:spacing w:line="163" w:lineRule="exact" w:before="0"/>
                    <w:ind w:left="0" w:right="0" w:firstLine="0"/>
                    <w:jc w:val="left"/>
                    <w:rPr>
                      <w:rFonts w:ascii="Times New Roman"/>
                      <w:sz w:val="16"/>
                    </w:rPr>
                  </w:pPr>
                  <w:r>
                    <w:rPr>
                      <w:rFonts w:ascii="Times New Roman"/>
                      <w:w w:val="102"/>
                      <w:sz w:val="16"/>
                    </w:rPr>
                    <w:t>2</w:t>
                  </w:r>
                </w:p>
              </w:txbxContent>
            </v:textbox>
            <w10:wrap type="none"/>
          </v:shape>
        </w:pict>
      </w:r>
      <w:r>
        <w:rPr>
          <w:rFonts w:ascii="Symbol" w:hAnsi="Symbol"/>
          <w:i/>
          <w:position w:val="1"/>
          <w:sz w:val="29"/>
        </w:rPr>
        <w:t></w:t>
      </w:r>
      <w:r>
        <w:rPr>
          <w:rFonts w:ascii="Times New Roman" w:hAnsi="Times New Roman"/>
          <w:i/>
          <w:position w:val="1"/>
          <w:sz w:val="29"/>
        </w:rPr>
        <w:t> </w:t>
      </w:r>
      <w:r>
        <w:rPr>
          <w:rFonts w:ascii="Times New Roman" w:hAnsi="Times New Roman"/>
          <w:position w:val="14"/>
          <w:sz w:val="16"/>
        </w:rPr>
        <w:t>2 </w:t>
      </w:r>
      <w:r>
        <w:rPr>
          <w:rFonts w:ascii="Times New Roman" w:hAnsi="Times New Roman"/>
          <w:i/>
          <w:sz w:val="16"/>
        </w:rPr>
        <w:t>Dtotal  </w:t>
      </w:r>
      <w:r>
        <w:rPr>
          <w:rFonts w:ascii="Symbol" w:hAnsi="Symbol"/>
          <w:position w:val="1"/>
          <w:sz w:val="28"/>
        </w:rPr>
        <w:t></w:t>
      </w:r>
      <w:r>
        <w:rPr>
          <w:rFonts w:ascii="Times New Roman" w:hAnsi="Times New Roman"/>
          <w:position w:val="1"/>
          <w:sz w:val="28"/>
        </w:rPr>
        <w:t> </w:t>
      </w:r>
      <w:r>
        <w:rPr>
          <w:rFonts w:ascii="Symbol" w:hAnsi="Symbol"/>
          <w:position w:val="-4"/>
          <w:sz w:val="42"/>
        </w:rPr>
        <w:t></w:t>
      </w:r>
      <w:r>
        <w:rPr>
          <w:rFonts w:ascii="Symbol" w:hAnsi="Symbol"/>
          <w:position w:val="4"/>
          <w:sz w:val="28"/>
        </w:rPr>
        <w:t></w:t>
      </w:r>
    </w:p>
    <w:p>
      <w:pPr>
        <w:spacing w:line="441" w:lineRule="exact" w:before="0"/>
        <w:ind w:left="142" w:right="0" w:firstLine="0"/>
        <w:jc w:val="left"/>
        <w:rPr>
          <w:rFonts w:ascii="Times New Roman" w:hAnsi="Times New Roman"/>
          <w:i/>
          <w:sz w:val="28"/>
        </w:rPr>
      </w:pPr>
      <w:r>
        <w:rPr/>
        <w:br w:type="column"/>
      </w:r>
      <w:r>
        <w:rPr>
          <w:rFonts w:ascii="Times New Roman" w:hAnsi="Times New Roman"/>
          <w:i/>
          <w:position w:val="7"/>
          <w:sz w:val="28"/>
        </w:rPr>
        <w:t>D</w:t>
      </w:r>
      <w:r>
        <w:rPr>
          <w:rFonts w:ascii="Times New Roman" w:hAnsi="Times New Roman"/>
          <w:i/>
          <w:sz w:val="16"/>
        </w:rPr>
        <w:t>ajuste </w:t>
      </w:r>
      <w:r>
        <w:rPr>
          <w:rFonts w:ascii="Symbol" w:hAnsi="Symbol"/>
          <w:position w:val="-12"/>
          <w:sz w:val="28"/>
        </w:rPr>
        <w:t></w:t>
      </w:r>
      <w:r>
        <w:rPr>
          <w:rFonts w:ascii="Times New Roman" w:hAnsi="Times New Roman"/>
          <w:position w:val="-14"/>
          <w:sz w:val="28"/>
        </w:rPr>
        <w:t>.</w:t>
      </w:r>
      <w:r>
        <w:rPr>
          <w:rFonts w:ascii="Symbol" w:hAnsi="Symbol"/>
          <w:i/>
          <w:position w:val="-14"/>
          <w:sz w:val="29"/>
        </w:rPr>
        <w:t></w:t>
      </w:r>
      <w:r>
        <w:rPr>
          <w:rFonts w:ascii="Times New Roman" w:hAnsi="Times New Roman"/>
          <w:i/>
          <w:position w:val="-14"/>
          <w:sz w:val="29"/>
        </w:rPr>
        <w:t>   </w:t>
      </w:r>
      <w:r>
        <w:rPr>
          <w:rFonts w:ascii="Times New Roman" w:hAnsi="Times New Roman"/>
          <w:i/>
          <w:position w:val="-14"/>
          <w:sz w:val="28"/>
        </w:rPr>
        <w:t>x</w:t>
      </w:r>
    </w:p>
    <w:p>
      <w:pPr>
        <w:pStyle w:val="BodyText"/>
        <w:spacing w:before="9"/>
        <w:rPr>
          <w:rFonts w:ascii="Times New Roman"/>
          <w:i/>
          <w:sz w:val="25"/>
        </w:rPr>
      </w:pPr>
      <w:r>
        <w:rPr/>
        <w:br w:type="column"/>
      </w:r>
      <w:r>
        <w:rPr>
          <w:rFonts w:ascii="Times New Roman"/>
          <w:i/>
          <w:sz w:val="25"/>
        </w:rPr>
      </w:r>
    </w:p>
    <w:p>
      <w:pPr>
        <w:pStyle w:val="BodyText"/>
        <w:spacing w:line="144" w:lineRule="exact"/>
        <w:ind w:right="118"/>
        <w:jc w:val="right"/>
      </w:pPr>
      <w:r>
        <w:rPr/>
        <w:t>(7)</w:t>
      </w:r>
    </w:p>
    <w:p>
      <w:pPr>
        <w:spacing w:after="0" w:line="144" w:lineRule="exact"/>
        <w:jc w:val="right"/>
        <w:sectPr>
          <w:type w:val="continuous"/>
          <w:pgSz w:w="12240" w:h="15840"/>
          <w:pgMar w:top="1380" w:bottom="280" w:left="1600" w:right="1580"/>
          <w:cols w:num="3" w:equalWidth="0">
            <w:col w:w="4222" w:space="40"/>
            <w:col w:w="1492" w:space="207"/>
            <w:col w:w="3099"/>
          </w:cols>
        </w:sectPr>
      </w:pPr>
    </w:p>
    <w:p>
      <w:pPr>
        <w:tabs>
          <w:tab w:pos="574" w:val="left" w:leader="none"/>
          <w:tab w:pos="1224" w:val="left" w:leader="none"/>
        </w:tabs>
        <w:spacing w:line="366" w:lineRule="exact" w:before="0"/>
        <w:ind w:left="41" w:right="0" w:firstLine="0"/>
        <w:jc w:val="center"/>
        <w:rPr>
          <w:rFonts w:ascii="Symbol" w:hAnsi="Symbol"/>
          <w:sz w:val="28"/>
        </w:rPr>
      </w:pPr>
      <w:r>
        <w:rPr/>
        <w:pict>
          <v:line style="position:absolute;mso-position-horizontal-relative:page;mso-position-vertical-relative:paragraph;z-index:-105016" from="293.397705pt,-2.611014pt" to="333.181513pt,-2.611014pt" stroked="true" strokeweight=".158774pt" strokecolor="#000000">
            <w10:wrap type="none"/>
          </v:line>
        </w:pict>
      </w:r>
      <w:r>
        <w:rPr/>
        <w:pict>
          <v:shape style="position:absolute;margin-left:334.39621pt;margin-top:-5.198737pt;width:5.45pt;height:14pt;mso-position-horizontal-relative:page;mso-position-vertical-relative:paragraph;z-index:-104440" type="#_x0000_t202" filled="false" stroked="false">
            <v:textbox inset="0,0,0,0">
              <w:txbxContent>
                <w:p>
                  <w:pPr>
                    <w:spacing w:line="280" w:lineRule="exact" w:before="0"/>
                    <w:ind w:left="0" w:right="0" w:firstLine="0"/>
                    <w:jc w:val="left"/>
                    <w:rPr>
                      <w:rFonts w:ascii="Symbol" w:hAnsi="Symbol"/>
                      <w:sz w:val="28"/>
                    </w:rPr>
                  </w:pPr>
                  <w:r>
                    <w:rPr>
                      <w:rFonts w:ascii="Symbol" w:hAnsi="Symbol"/>
                      <w:w w:val="100"/>
                      <w:sz w:val="28"/>
                    </w:rPr>
                    <w:t></w:t>
                  </w:r>
                </w:p>
              </w:txbxContent>
            </v:textbox>
            <w10:wrap type="none"/>
          </v:shape>
        </w:pict>
      </w:r>
      <w:r>
        <w:rPr/>
        <w:pict>
          <v:shape style="position:absolute;margin-left:365.394073pt;margin-top:-2.73439pt;width:2.3pt;height:8.15pt;mso-position-horizontal-relative:page;mso-position-vertical-relative:paragraph;z-index:2680" type="#_x0000_t202" filled="false" stroked="false">
            <v:textbox inset="0,0,0,0">
              <w:txbxContent>
                <w:p>
                  <w:pPr>
                    <w:spacing w:line="163" w:lineRule="exact" w:before="0"/>
                    <w:ind w:left="0" w:right="0" w:firstLine="0"/>
                    <w:jc w:val="left"/>
                    <w:rPr>
                      <w:rFonts w:ascii="Times New Roman"/>
                      <w:i/>
                      <w:sz w:val="16"/>
                    </w:rPr>
                  </w:pPr>
                  <w:r>
                    <w:rPr>
                      <w:rFonts w:ascii="Times New Roman"/>
                      <w:i/>
                      <w:w w:val="102"/>
                      <w:sz w:val="16"/>
                    </w:rPr>
                    <w:t>i</w:t>
                  </w:r>
                </w:p>
              </w:txbxContent>
            </v:textbox>
            <w10:wrap type="none"/>
          </v:shape>
        </w:pict>
      </w:r>
      <w:r>
        <w:rPr>
          <w:rFonts w:ascii="Times New Roman" w:hAnsi="Times New Roman"/>
          <w:i/>
          <w:position w:val="3"/>
          <w:sz w:val="16"/>
        </w:rPr>
        <w:t>i   </w:t>
      </w:r>
      <w:r>
        <w:rPr>
          <w:rFonts w:ascii="Times New Roman" w:hAnsi="Times New Roman"/>
          <w:i/>
          <w:spacing w:val="3"/>
          <w:position w:val="3"/>
          <w:sz w:val="16"/>
        </w:rPr>
        <w:t> </w:t>
      </w:r>
      <w:r>
        <w:rPr>
          <w:rFonts w:ascii="Symbol" w:hAnsi="Symbol"/>
          <w:sz w:val="28"/>
        </w:rPr>
        <w:t></w:t>
      </w:r>
      <w:r>
        <w:rPr>
          <w:rFonts w:ascii="Times New Roman" w:hAnsi="Times New Roman"/>
          <w:sz w:val="28"/>
        </w:rPr>
        <w:tab/>
      </w:r>
      <w:r>
        <w:rPr>
          <w:rFonts w:ascii="Times New Roman" w:hAnsi="Times New Roman"/>
          <w:i/>
          <w:position w:val="8"/>
          <w:sz w:val="28"/>
        </w:rPr>
        <w:t>dX</w:t>
      </w:r>
      <w:r>
        <w:rPr>
          <w:rFonts w:ascii="Times New Roman" w:hAnsi="Times New Roman"/>
          <w:i/>
          <w:spacing w:val="-33"/>
          <w:position w:val="8"/>
          <w:sz w:val="28"/>
        </w:rPr>
        <w:t> </w:t>
      </w:r>
      <w:r>
        <w:rPr>
          <w:rFonts w:ascii="Times New Roman" w:hAnsi="Times New Roman"/>
          <w:i/>
          <w:position w:val="1"/>
          <w:sz w:val="16"/>
        </w:rPr>
        <w:t>i</w:t>
        <w:tab/>
      </w:r>
      <w:r>
        <w:rPr>
          <w:rFonts w:ascii="Symbol" w:hAnsi="Symbol"/>
          <w:sz w:val="28"/>
        </w:rPr>
        <w:t></w:t>
      </w:r>
    </w:p>
    <w:p>
      <w:pPr>
        <w:pStyle w:val="BodyText"/>
        <w:rPr>
          <w:rFonts w:ascii="Symbol" w:hAnsi="Symbol"/>
          <w:sz w:val="20"/>
        </w:rPr>
      </w:pPr>
    </w:p>
    <w:p>
      <w:pPr>
        <w:pStyle w:val="BodyText"/>
        <w:spacing w:before="5"/>
        <w:rPr>
          <w:rFonts w:ascii="Symbol" w:hAnsi="Symbol"/>
          <w:sz w:val="15"/>
        </w:rPr>
      </w:pPr>
    </w:p>
    <w:p>
      <w:pPr>
        <w:pStyle w:val="BodyText"/>
        <w:spacing w:line="360" w:lineRule="auto" w:before="76"/>
        <w:ind w:left="100" w:right="117"/>
        <w:jc w:val="both"/>
      </w:pPr>
      <w:r>
        <w:rPr/>
        <w:pict>
          <v:group style="position:absolute;margin-left:203.869751pt;margin-top:66.423233pt;width:231.35pt;height:21.45pt;mso-position-horizontal-relative:page;mso-position-vertical-relative:paragraph;z-index:2152" coordorigin="4077,1328" coordsize="4627,429">
            <v:line style="position:absolute" from="4103,1581" to="4145,1561" stroked="true" strokeweight=".157372pt" strokecolor="#000000"/>
            <v:line style="position:absolute" from="4134,1551" to="4198,1700" stroked="true" strokeweight=".164332pt" strokecolor="#000000"/>
            <v:shape style="position:absolute;left:1071;top:10640;width:3899;height:383" coordorigin="1071,10640" coordsize="3899,383" path="m4210,1711l4275,1331m4275,1330l8543,1330m4079,1755l8702,1755e" filled="false" stroked="true" strokeweight=".160692pt" strokecolor="#000000">
              <v:path arrowok="t"/>
            </v:shape>
            <v:shape style="position:absolute;left:4276;top:1384;width:1279;height:277" type="#_x0000_t202" filled="false" stroked="false">
              <v:textbox inset="0,0,0,0">
                <w:txbxContent>
                  <w:p>
                    <w:pPr>
                      <w:spacing w:line="277" w:lineRule="exact" w:before="0"/>
                      <w:ind w:left="0" w:right="-15" w:firstLine="0"/>
                      <w:jc w:val="left"/>
                      <w:rPr>
                        <w:rFonts w:ascii="Times New Roman" w:hAnsi="Times New Roman"/>
                        <w:i/>
                        <w:sz w:val="27"/>
                      </w:rPr>
                    </w:pPr>
                    <w:r>
                      <w:rPr>
                        <w:rFonts w:ascii="Times New Roman" w:hAnsi="Times New Roman"/>
                        <w:w w:val="110"/>
                        <w:sz w:val="27"/>
                      </w:rPr>
                      <w:t>(</w:t>
                    </w:r>
                    <w:r>
                      <w:rPr>
                        <w:rFonts w:ascii="Times New Roman" w:hAnsi="Times New Roman"/>
                        <w:i/>
                        <w:w w:val="110"/>
                        <w:sz w:val="27"/>
                      </w:rPr>
                      <w:t>b</w:t>
                    </w:r>
                    <w:r>
                      <w:rPr>
                        <w:rFonts w:ascii="Times New Roman" w:hAnsi="Times New Roman"/>
                        <w:i/>
                        <w:spacing w:val="-35"/>
                        <w:w w:val="110"/>
                        <w:sz w:val="27"/>
                      </w:rPr>
                      <w:t> </w:t>
                    </w:r>
                    <w:r>
                      <w:rPr>
                        <w:rFonts w:ascii="Symbol" w:hAnsi="Symbol"/>
                        <w:w w:val="110"/>
                        <w:sz w:val="27"/>
                      </w:rPr>
                      <w:t></w:t>
                    </w:r>
                    <w:r>
                      <w:rPr>
                        <w:rFonts w:ascii="Times New Roman" w:hAnsi="Times New Roman"/>
                        <w:spacing w:val="-34"/>
                        <w:w w:val="110"/>
                        <w:sz w:val="27"/>
                      </w:rPr>
                      <w:t> </w:t>
                    </w:r>
                    <w:r>
                      <w:rPr>
                        <w:rFonts w:ascii="Times New Roman" w:hAnsi="Times New Roman"/>
                        <w:w w:val="110"/>
                        <w:sz w:val="27"/>
                      </w:rPr>
                      <w:t>2</w:t>
                    </w:r>
                    <w:r>
                      <w:rPr>
                        <w:rFonts w:ascii="Times New Roman" w:hAnsi="Times New Roman"/>
                        <w:i/>
                        <w:w w:val="110"/>
                        <w:sz w:val="27"/>
                      </w:rPr>
                      <w:t>c</w:t>
                    </w:r>
                    <w:r>
                      <w:rPr>
                        <w:rFonts w:ascii="Times New Roman" w:hAnsi="Times New Roman"/>
                        <w:w w:val="110"/>
                        <w:sz w:val="27"/>
                      </w:rPr>
                      <w:t>.</w:t>
                    </w:r>
                    <w:r>
                      <w:rPr>
                        <w:rFonts w:ascii="Times New Roman" w:hAnsi="Times New Roman"/>
                        <w:i/>
                        <w:w w:val="110"/>
                        <w:sz w:val="27"/>
                      </w:rPr>
                      <w:t>DO</w:t>
                    </w:r>
                  </w:p>
                </w:txbxContent>
              </v:textbox>
              <w10:wrap type="none"/>
            </v:shape>
            <v:shape style="position:absolute;left:5540;top:1548;width:300;height:160" type="#_x0000_t202" filled="false" stroked="false">
              <v:textbox inset="0,0,0,0">
                <w:txbxContent>
                  <w:p>
                    <w:pPr>
                      <w:spacing w:line="159" w:lineRule="exact" w:before="0"/>
                      <w:ind w:left="0" w:right="-10" w:firstLine="0"/>
                      <w:jc w:val="left"/>
                      <w:rPr>
                        <w:rFonts w:ascii="Times New Roman"/>
                        <w:i/>
                        <w:sz w:val="16"/>
                      </w:rPr>
                    </w:pPr>
                    <w:r>
                      <w:rPr>
                        <w:rFonts w:ascii="Times New Roman"/>
                        <w:i/>
                        <w:w w:val="105"/>
                        <w:sz w:val="16"/>
                      </w:rPr>
                      <w:t>neta</w:t>
                    </w:r>
                  </w:p>
                </w:txbxContent>
              </v:textbox>
              <w10:wrap type="none"/>
            </v:shape>
            <v:shape style="position:absolute;left:5927;top:1358;width:2324;height:304" type="#_x0000_t202" filled="false" stroked="false">
              <v:textbox inset="0,0,0,0">
                <w:txbxContent>
                  <w:p>
                    <w:pPr>
                      <w:numPr>
                        <w:ilvl w:val="0"/>
                        <w:numId w:val="9"/>
                      </w:numPr>
                      <w:tabs>
                        <w:tab w:pos="210" w:val="left" w:leader="none"/>
                      </w:tabs>
                      <w:spacing w:line="303" w:lineRule="exact" w:before="0"/>
                      <w:ind w:left="209" w:right="0" w:hanging="209"/>
                      <w:jc w:val="left"/>
                      <w:rPr>
                        <w:rFonts w:ascii="Times New Roman" w:hAnsi="Times New Roman"/>
                        <w:i/>
                        <w:sz w:val="16"/>
                      </w:rPr>
                    </w:pPr>
                    <w:r>
                      <w:rPr>
                        <w:rFonts w:ascii="Times New Roman" w:hAnsi="Times New Roman"/>
                        <w:spacing w:val="4"/>
                        <w:w w:val="105"/>
                        <w:position w:val="1"/>
                        <w:sz w:val="27"/>
                      </w:rPr>
                      <w:t>3</w:t>
                    </w:r>
                    <w:r>
                      <w:rPr>
                        <w:rFonts w:ascii="Times New Roman" w:hAnsi="Times New Roman"/>
                        <w:i/>
                        <w:spacing w:val="4"/>
                        <w:w w:val="105"/>
                        <w:position w:val="1"/>
                        <w:sz w:val="27"/>
                      </w:rPr>
                      <w:t>d</w:t>
                    </w:r>
                    <w:r>
                      <w:rPr>
                        <w:rFonts w:ascii="Times New Roman" w:hAnsi="Times New Roman"/>
                        <w:spacing w:val="4"/>
                        <w:w w:val="105"/>
                        <w:position w:val="1"/>
                        <w:sz w:val="27"/>
                      </w:rPr>
                      <w:t>.</w:t>
                    </w:r>
                    <w:r>
                      <w:rPr>
                        <w:rFonts w:ascii="Times New Roman" w:hAnsi="Times New Roman"/>
                        <w:i/>
                        <w:spacing w:val="4"/>
                        <w:w w:val="105"/>
                        <w:position w:val="1"/>
                        <w:sz w:val="27"/>
                      </w:rPr>
                      <w:t>DO</w:t>
                    </w:r>
                    <w:r>
                      <w:rPr>
                        <w:rFonts w:ascii="Times New Roman" w:hAnsi="Times New Roman"/>
                        <w:spacing w:val="4"/>
                        <w:w w:val="105"/>
                        <w:position w:val="13"/>
                        <w:sz w:val="16"/>
                      </w:rPr>
                      <w:t>2 </w:t>
                    </w:r>
                    <w:r>
                      <w:rPr>
                        <w:rFonts w:ascii="Times New Roman" w:hAnsi="Times New Roman"/>
                        <w:i/>
                        <w:w w:val="105"/>
                        <w:sz w:val="16"/>
                      </w:rPr>
                      <w:t>neta </w:t>
                    </w:r>
                    <w:r>
                      <w:rPr>
                        <w:rFonts w:ascii="Times New Roman" w:hAnsi="Times New Roman"/>
                        <w:spacing w:val="10"/>
                        <w:w w:val="105"/>
                        <w:position w:val="1"/>
                        <w:sz w:val="27"/>
                      </w:rPr>
                      <w:t>)</w:t>
                    </w:r>
                    <w:r>
                      <w:rPr>
                        <w:rFonts w:ascii="Times New Roman" w:hAnsi="Times New Roman"/>
                        <w:spacing w:val="10"/>
                        <w:w w:val="105"/>
                        <w:position w:val="13"/>
                        <w:sz w:val="16"/>
                      </w:rPr>
                      <w:t>2 </w:t>
                    </w:r>
                    <w:r>
                      <w:rPr>
                        <w:rFonts w:ascii="Times New Roman" w:hAnsi="Times New Roman"/>
                        <w:spacing w:val="-17"/>
                        <w:w w:val="105"/>
                        <w:position w:val="1"/>
                        <w:sz w:val="27"/>
                      </w:rPr>
                      <w:t>.</w:t>
                    </w:r>
                    <w:r>
                      <w:rPr>
                        <w:rFonts w:ascii="Symbol" w:hAnsi="Symbol"/>
                        <w:i/>
                        <w:spacing w:val="-17"/>
                        <w:w w:val="105"/>
                        <w:position w:val="1"/>
                        <w:sz w:val="29"/>
                      </w:rPr>
                      <w:t></w:t>
                    </w:r>
                    <w:r>
                      <w:rPr>
                        <w:rFonts w:ascii="Times New Roman" w:hAnsi="Times New Roman"/>
                        <w:i/>
                        <w:spacing w:val="-51"/>
                        <w:w w:val="105"/>
                        <w:position w:val="1"/>
                        <w:sz w:val="29"/>
                      </w:rPr>
                      <w:t> </w:t>
                    </w:r>
                    <w:r>
                      <w:rPr>
                        <w:rFonts w:ascii="Times New Roman" w:hAnsi="Times New Roman"/>
                        <w:w w:val="105"/>
                        <w:position w:val="13"/>
                        <w:sz w:val="16"/>
                      </w:rPr>
                      <w:t>2 </w:t>
                    </w:r>
                    <w:r>
                      <w:rPr>
                        <w:rFonts w:ascii="Times New Roman" w:hAnsi="Times New Roman"/>
                        <w:i/>
                        <w:spacing w:val="-4"/>
                        <w:w w:val="105"/>
                        <w:sz w:val="16"/>
                      </w:rPr>
                      <w:t>DO</w:t>
                    </w:r>
                  </w:p>
                </w:txbxContent>
              </v:textbox>
              <w10:wrap type="none"/>
            </v:shape>
            <v:shape style="position:absolute;left:8252;top:1569;width:204;height:114" type="#_x0000_t202" filled="false" stroked="false">
              <v:textbox inset="0,0,0,0">
                <w:txbxContent>
                  <w:p>
                    <w:pPr>
                      <w:spacing w:line="114" w:lineRule="exact" w:before="0"/>
                      <w:ind w:left="0" w:right="-17" w:firstLine="0"/>
                      <w:jc w:val="left"/>
                      <w:rPr>
                        <w:rFonts w:ascii="Times New Roman"/>
                        <w:i/>
                        <w:sz w:val="11"/>
                      </w:rPr>
                    </w:pPr>
                    <w:r>
                      <w:rPr>
                        <w:rFonts w:ascii="Times New Roman"/>
                        <w:i/>
                        <w:spacing w:val="-2"/>
                        <w:w w:val="110"/>
                        <w:sz w:val="11"/>
                      </w:rPr>
                      <w:t>neta</w:t>
                    </w:r>
                  </w:p>
                </w:txbxContent>
              </v:textbox>
              <w10:wrap type="none"/>
            </v:shape>
            <w10:wrap type="none"/>
          </v:group>
        </w:pict>
      </w:r>
      <w:r>
        <w:rPr/>
        <w:t>Donde X</w:t>
      </w:r>
      <w:r>
        <w:rPr>
          <w:position w:val="-1"/>
          <w:sz w:val="14"/>
        </w:rPr>
        <w:t>i </w:t>
      </w:r>
      <w:r>
        <w:rPr/>
        <w:t>son los parámetros </w:t>
      </w:r>
      <w:r>
        <w:rPr>
          <w:i/>
        </w:rPr>
        <w:t>DO</w:t>
      </w:r>
      <w:r>
        <w:rPr>
          <w:i/>
          <w:position w:val="-1"/>
          <w:sz w:val="14"/>
        </w:rPr>
        <w:t>neta</w:t>
      </w:r>
      <w:r>
        <w:rPr>
          <w:i/>
        </w:rPr>
        <w:t>, a, b y c</w:t>
      </w:r>
      <w:r>
        <w:rPr/>
        <w:t>, y </w:t>
      </w:r>
      <w:r>
        <w:rPr>
          <w:i/>
        </w:rPr>
        <w:t>σx</w:t>
      </w:r>
      <w:r>
        <w:rPr>
          <w:i/>
          <w:position w:val="6"/>
          <w:sz w:val="14"/>
        </w:rPr>
        <w:t>i </w:t>
      </w:r>
      <w:r>
        <w:rPr/>
        <w:t>las desviaciones estándar de los parámetros mencionados. Para un polinomio de grado 3, las incertidumbres experimental y del ajuste se calculan</w:t>
      </w:r>
      <w:r>
        <w:rPr>
          <w:spacing w:val="-11"/>
        </w:rPr>
        <w:t> </w:t>
      </w:r>
      <w:r>
        <w:rPr/>
        <w:t>como</w:t>
      </w:r>
    </w:p>
    <w:p>
      <w:pPr>
        <w:pStyle w:val="BodyText"/>
        <w:spacing w:before="9"/>
        <w:rPr>
          <w:sz w:val="23"/>
        </w:rPr>
      </w:pPr>
    </w:p>
    <w:p>
      <w:pPr>
        <w:spacing w:after="0"/>
        <w:rPr>
          <w:sz w:val="23"/>
        </w:rPr>
        <w:sectPr>
          <w:type w:val="continuous"/>
          <w:pgSz w:w="12240" w:h="15840"/>
          <w:pgMar w:top="1380" w:bottom="280" w:left="1600" w:right="1580"/>
        </w:sectPr>
      </w:pPr>
    </w:p>
    <w:p>
      <w:pPr>
        <w:spacing w:before="46"/>
        <w:ind w:left="1230" w:right="-15" w:firstLine="0"/>
        <w:jc w:val="left"/>
        <w:rPr>
          <w:rFonts w:ascii="Symbol" w:hAnsi="Symbol"/>
          <w:sz w:val="27"/>
        </w:rPr>
      </w:pPr>
      <w:r>
        <w:rPr>
          <w:rFonts w:ascii="Symbol" w:hAnsi="Symbol"/>
          <w:i/>
          <w:w w:val="105"/>
          <w:sz w:val="29"/>
        </w:rPr>
        <w:t></w:t>
      </w:r>
      <w:r>
        <w:rPr>
          <w:rFonts w:ascii="Times New Roman" w:hAnsi="Times New Roman"/>
          <w:i/>
          <w:w w:val="105"/>
          <w:sz w:val="29"/>
        </w:rPr>
        <w:t> </w:t>
      </w:r>
      <w:r>
        <w:rPr>
          <w:rFonts w:ascii="Times New Roman" w:hAnsi="Times New Roman"/>
          <w:w w:val="105"/>
          <w:position w:val="-6"/>
          <w:sz w:val="16"/>
        </w:rPr>
        <w:t>exp </w:t>
      </w:r>
      <w:r>
        <w:rPr>
          <w:rFonts w:ascii="Times New Roman" w:hAnsi="Times New Roman"/>
          <w:spacing w:val="-3"/>
          <w:w w:val="105"/>
          <w:sz w:val="27"/>
        </w:rPr>
        <w:t>(%)</w:t>
      </w:r>
      <w:r>
        <w:rPr>
          <w:rFonts w:ascii="Times New Roman" w:hAnsi="Times New Roman"/>
          <w:spacing w:val="-31"/>
          <w:w w:val="105"/>
          <w:sz w:val="27"/>
        </w:rPr>
        <w:t> </w:t>
      </w:r>
      <w:r>
        <w:rPr>
          <w:rFonts w:ascii="Symbol" w:hAnsi="Symbol"/>
          <w:w w:val="105"/>
          <w:sz w:val="27"/>
        </w:rPr>
        <w:t></w:t>
      </w:r>
    </w:p>
    <w:p>
      <w:pPr>
        <w:pStyle w:val="BodyText"/>
        <w:spacing w:before="2"/>
        <w:rPr>
          <w:rFonts w:ascii="Symbol" w:hAnsi="Symbol"/>
          <w:sz w:val="24"/>
        </w:rPr>
      </w:pPr>
      <w:r>
        <w:rPr/>
        <w:br w:type="column"/>
      </w:r>
      <w:r>
        <w:rPr>
          <w:rFonts w:ascii="Symbol" w:hAnsi="Symbol"/>
          <w:sz w:val="24"/>
        </w:rPr>
      </w:r>
    </w:p>
    <w:p>
      <w:pPr>
        <w:spacing w:before="0"/>
        <w:ind w:left="1230" w:right="0" w:firstLine="0"/>
        <w:jc w:val="left"/>
        <w:rPr>
          <w:rFonts w:ascii="Times New Roman"/>
          <w:i/>
          <w:sz w:val="16"/>
        </w:rPr>
      </w:pPr>
      <w:r>
        <w:rPr>
          <w:rFonts w:ascii="Times New Roman"/>
          <w:i/>
          <w:w w:val="105"/>
          <w:position w:val="7"/>
          <w:sz w:val="27"/>
        </w:rPr>
        <w:t>D</w:t>
      </w:r>
      <w:r>
        <w:rPr>
          <w:rFonts w:ascii="Times New Roman"/>
          <w:i/>
          <w:w w:val="105"/>
          <w:sz w:val="16"/>
        </w:rPr>
        <w:t>ajuste</w:t>
      </w:r>
    </w:p>
    <w:p>
      <w:pPr>
        <w:spacing w:before="86"/>
        <w:ind w:left="0" w:right="0" w:firstLine="0"/>
        <w:jc w:val="right"/>
        <w:rPr>
          <w:rFonts w:ascii="Times New Roman"/>
          <w:sz w:val="27"/>
        </w:rPr>
      </w:pPr>
      <w:r>
        <w:rPr/>
        <w:br w:type="column"/>
      </w:r>
      <w:r>
        <w:rPr>
          <w:rFonts w:ascii="Times New Roman"/>
          <w:i/>
          <w:w w:val="105"/>
          <w:sz w:val="27"/>
        </w:rPr>
        <w:t>x</w:t>
      </w:r>
      <w:r>
        <w:rPr>
          <w:rFonts w:ascii="Times New Roman"/>
          <w:w w:val="105"/>
          <w:sz w:val="27"/>
        </w:rPr>
        <w:t>100</w:t>
      </w:r>
    </w:p>
    <w:p>
      <w:pPr>
        <w:spacing w:before="179"/>
        <w:ind w:left="0" w:right="120" w:firstLine="0"/>
        <w:jc w:val="right"/>
        <w:rPr>
          <w:sz w:val="22"/>
        </w:rPr>
      </w:pPr>
      <w:r>
        <w:rPr/>
        <w:br w:type="column"/>
      </w:r>
      <w:r>
        <w:rPr>
          <w:sz w:val="22"/>
        </w:rPr>
        <w:t>(8)</w:t>
      </w:r>
    </w:p>
    <w:p>
      <w:pPr>
        <w:spacing w:after="0"/>
        <w:jc w:val="right"/>
        <w:rPr>
          <w:sz w:val="22"/>
        </w:rPr>
        <w:sectPr>
          <w:type w:val="continuous"/>
          <w:pgSz w:w="12240" w:h="15840"/>
          <w:pgMar w:top="1380" w:bottom="280" w:left="1600" w:right="1580"/>
          <w:cols w:num="4" w:equalWidth="0">
            <w:col w:w="2391" w:space="840"/>
            <w:col w:w="1874" w:space="817"/>
            <w:col w:w="1768" w:space="40"/>
            <w:col w:w="1330"/>
          </w:cols>
        </w:sectPr>
      </w:pPr>
    </w:p>
    <w:p>
      <w:pPr>
        <w:pStyle w:val="BodyText"/>
        <w:rPr>
          <w:sz w:val="20"/>
        </w:rPr>
      </w:pPr>
    </w:p>
    <w:p>
      <w:pPr>
        <w:pStyle w:val="BodyText"/>
        <w:spacing w:before="4"/>
        <w:rPr>
          <w:sz w:val="18"/>
        </w:rPr>
      </w:pPr>
    </w:p>
    <w:p>
      <w:pPr>
        <w:spacing w:after="0"/>
        <w:rPr>
          <w:sz w:val="18"/>
        </w:rPr>
        <w:sectPr>
          <w:type w:val="continuous"/>
          <w:pgSz w:w="12240" w:h="15840"/>
          <w:pgMar w:top="1380" w:bottom="280" w:left="1600" w:right="1580"/>
        </w:sectPr>
      </w:pPr>
    </w:p>
    <w:p>
      <w:pPr>
        <w:spacing w:before="52"/>
        <w:ind w:left="663" w:right="-19" w:firstLine="0"/>
        <w:jc w:val="left"/>
        <w:rPr>
          <w:rFonts w:ascii="Symbol" w:hAnsi="Symbol"/>
          <w:sz w:val="28"/>
        </w:rPr>
      </w:pPr>
      <w:r>
        <w:rPr>
          <w:rFonts w:ascii="Symbol" w:hAnsi="Symbol"/>
          <w:i/>
          <w:w w:val="105"/>
          <w:position w:val="7"/>
          <w:sz w:val="29"/>
        </w:rPr>
        <w:t></w:t>
      </w:r>
      <w:r>
        <w:rPr>
          <w:rFonts w:ascii="Times New Roman" w:hAnsi="Times New Roman"/>
          <w:i/>
          <w:w w:val="105"/>
          <w:position w:val="7"/>
          <w:sz w:val="29"/>
        </w:rPr>
        <w:t> </w:t>
      </w:r>
      <w:r>
        <w:rPr>
          <w:rFonts w:ascii="Times New Roman" w:hAnsi="Times New Roman"/>
          <w:i/>
          <w:w w:val="105"/>
          <w:sz w:val="16"/>
        </w:rPr>
        <w:t>ajuste</w:t>
      </w:r>
      <w:r>
        <w:rPr>
          <w:rFonts w:ascii="Times New Roman" w:hAnsi="Times New Roman"/>
          <w:w w:val="105"/>
          <w:position w:val="7"/>
          <w:sz w:val="28"/>
        </w:rPr>
        <w:t>(%) </w:t>
      </w:r>
      <w:r>
        <w:rPr>
          <w:rFonts w:ascii="Symbol" w:hAnsi="Symbol"/>
          <w:w w:val="105"/>
          <w:position w:val="7"/>
          <w:sz w:val="28"/>
        </w:rPr>
        <w:t></w:t>
      </w:r>
    </w:p>
    <w:p>
      <w:pPr>
        <w:pStyle w:val="BodyText"/>
        <w:spacing w:before="6"/>
        <w:rPr>
          <w:rFonts w:ascii="Symbol" w:hAnsi="Symbol"/>
          <w:sz w:val="24"/>
        </w:rPr>
      </w:pPr>
      <w:r>
        <w:rPr/>
        <w:br w:type="column"/>
      </w:r>
      <w:r>
        <w:rPr>
          <w:rFonts w:ascii="Symbol" w:hAnsi="Symbol"/>
          <w:sz w:val="24"/>
        </w:rPr>
      </w:r>
    </w:p>
    <w:p>
      <w:pPr>
        <w:spacing w:before="1"/>
        <w:ind w:left="663" w:right="0" w:firstLine="0"/>
        <w:jc w:val="left"/>
        <w:rPr>
          <w:rFonts w:ascii="Times New Roman"/>
          <w:i/>
          <w:sz w:val="16"/>
        </w:rPr>
      </w:pPr>
      <w:r>
        <w:rPr/>
        <w:pict>
          <v:group style="position:absolute;margin-left:184.569565pt;margin-top:-22.302736pt;width:264.5pt;height:21.7pt;mso-position-horizontal-relative:page;mso-position-vertical-relative:paragraph;z-index:2200" coordorigin="3691,-446" coordsize="5290,434">
            <v:line style="position:absolute" from="3717,-190" to="3759,-211" stroked="true" strokeweight=".160590pt" strokecolor="#000000"/>
            <v:line style="position:absolute" from="3748,-222" to="3813,-71" stroked="true" strokeweight=".165998pt" strokecolor="#000000"/>
            <v:shape style="position:absolute;left:1215;top:7781;width:4423;height:379" coordorigin="1215,7781" coordsize="4423,379" path="m3825,-60l3890,-443m3890,-444l8816,-444m3693,-14l8978,-14e" filled="false" stroked="true" strokeweight=".163145pt" strokecolor="#000000">
              <v:path arrowok="t"/>
            </v:shape>
            <v:shape style="position:absolute;left:3692;top:-446;width:5289;height:433" type="#_x0000_t202" filled="false" stroked="false">
              <v:textbox inset="0,0,0,0">
                <w:txbxContent>
                  <w:p>
                    <w:pPr>
                      <w:tabs>
                        <w:tab w:pos="1770" w:val="left" w:leader="none"/>
                      </w:tabs>
                      <w:spacing w:line="352" w:lineRule="exact" w:before="0"/>
                      <w:ind w:left="213" w:right="0" w:firstLine="0"/>
                      <w:jc w:val="left"/>
                      <w:rPr>
                        <w:rFonts w:ascii="Times New Roman" w:hAnsi="Times New Roman"/>
                        <w:i/>
                        <w:sz w:val="16"/>
                      </w:rPr>
                    </w:pPr>
                    <w:r>
                      <w:rPr>
                        <w:rFonts w:ascii="Times New Roman" w:hAnsi="Times New Roman"/>
                        <w:i/>
                        <w:spacing w:val="6"/>
                        <w:w w:val="105"/>
                        <w:position w:val="1"/>
                        <w:sz w:val="28"/>
                      </w:rPr>
                      <w:t>DO</w:t>
                    </w:r>
                    <w:r>
                      <w:rPr>
                        <w:rFonts w:ascii="Times New Roman" w:hAnsi="Times New Roman"/>
                        <w:spacing w:val="6"/>
                        <w:w w:val="105"/>
                        <w:position w:val="14"/>
                        <w:sz w:val="16"/>
                      </w:rPr>
                      <w:t>2 </w:t>
                    </w:r>
                    <w:r>
                      <w:rPr>
                        <w:rFonts w:ascii="Times New Roman" w:hAnsi="Times New Roman"/>
                        <w:i/>
                        <w:w w:val="105"/>
                        <w:sz w:val="16"/>
                      </w:rPr>
                      <w:t>neta </w:t>
                    </w:r>
                    <w:r>
                      <w:rPr>
                        <w:rFonts w:ascii="Times New Roman" w:hAnsi="Times New Roman"/>
                        <w:spacing w:val="-17"/>
                        <w:w w:val="105"/>
                        <w:position w:val="1"/>
                        <w:sz w:val="28"/>
                      </w:rPr>
                      <w:t>.</w:t>
                    </w:r>
                    <w:r>
                      <w:rPr>
                        <w:rFonts w:ascii="Symbol" w:hAnsi="Symbol"/>
                        <w:i/>
                        <w:spacing w:val="-17"/>
                        <w:w w:val="105"/>
                        <w:position w:val="1"/>
                        <w:sz w:val="29"/>
                      </w:rPr>
                      <w:t></w:t>
                    </w:r>
                    <w:r>
                      <w:rPr>
                        <w:rFonts w:ascii="Times New Roman" w:hAnsi="Times New Roman"/>
                        <w:i/>
                        <w:spacing w:val="-51"/>
                        <w:w w:val="105"/>
                        <w:position w:val="1"/>
                        <w:sz w:val="29"/>
                      </w:rPr>
                      <w:t> </w:t>
                    </w:r>
                    <w:r>
                      <w:rPr>
                        <w:rFonts w:ascii="Times New Roman" w:hAnsi="Times New Roman"/>
                        <w:w w:val="105"/>
                        <w:position w:val="14"/>
                        <w:sz w:val="16"/>
                      </w:rPr>
                      <w:t>2</w:t>
                    </w:r>
                    <w:r>
                      <w:rPr>
                        <w:rFonts w:ascii="Times New Roman" w:hAnsi="Times New Roman"/>
                        <w:spacing w:val="-22"/>
                        <w:w w:val="105"/>
                        <w:position w:val="14"/>
                        <w:sz w:val="16"/>
                      </w:rPr>
                      <w:t> </w:t>
                    </w:r>
                    <w:r>
                      <w:rPr>
                        <w:rFonts w:ascii="Times New Roman" w:hAnsi="Times New Roman"/>
                        <w:i/>
                        <w:w w:val="105"/>
                        <w:sz w:val="16"/>
                      </w:rPr>
                      <w:t>b</w:t>
                      <w:tab/>
                    </w:r>
                    <w:r>
                      <w:rPr>
                        <w:rFonts w:ascii="Symbol" w:hAnsi="Symbol"/>
                        <w:w w:val="105"/>
                        <w:position w:val="1"/>
                        <w:sz w:val="28"/>
                      </w:rPr>
                      <w:t></w:t>
                    </w:r>
                    <w:r>
                      <w:rPr>
                        <w:rFonts w:ascii="Times New Roman" w:hAnsi="Times New Roman"/>
                        <w:spacing w:val="1"/>
                        <w:w w:val="105"/>
                        <w:position w:val="1"/>
                        <w:sz w:val="28"/>
                      </w:rPr>
                      <w:t> </w:t>
                    </w:r>
                    <w:r>
                      <w:rPr>
                        <w:rFonts w:ascii="Times New Roman" w:hAnsi="Times New Roman"/>
                        <w:i/>
                        <w:spacing w:val="6"/>
                        <w:w w:val="105"/>
                        <w:position w:val="1"/>
                        <w:sz w:val="28"/>
                      </w:rPr>
                      <w:t>DO</w:t>
                    </w:r>
                    <w:r>
                      <w:rPr>
                        <w:rFonts w:ascii="Times New Roman" w:hAnsi="Times New Roman"/>
                        <w:spacing w:val="6"/>
                        <w:w w:val="105"/>
                        <w:position w:val="14"/>
                        <w:sz w:val="16"/>
                      </w:rPr>
                      <w:t>4</w:t>
                    </w:r>
                    <w:r>
                      <w:rPr>
                        <w:rFonts w:ascii="Times New Roman" w:hAnsi="Times New Roman"/>
                        <w:spacing w:val="-16"/>
                        <w:w w:val="105"/>
                        <w:position w:val="14"/>
                        <w:sz w:val="16"/>
                      </w:rPr>
                      <w:t> </w:t>
                    </w:r>
                    <w:r>
                      <w:rPr>
                        <w:rFonts w:ascii="Times New Roman" w:hAnsi="Times New Roman"/>
                        <w:i/>
                        <w:w w:val="105"/>
                        <w:sz w:val="16"/>
                      </w:rPr>
                      <w:t>neta</w:t>
                    </w:r>
                    <w:r>
                      <w:rPr>
                        <w:rFonts w:ascii="Times New Roman" w:hAnsi="Times New Roman"/>
                        <w:i/>
                        <w:spacing w:val="-20"/>
                        <w:w w:val="105"/>
                        <w:sz w:val="16"/>
                      </w:rPr>
                      <w:t> </w:t>
                    </w:r>
                    <w:r>
                      <w:rPr>
                        <w:rFonts w:ascii="Times New Roman" w:hAnsi="Times New Roman"/>
                        <w:spacing w:val="-17"/>
                        <w:w w:val="105"/>
                        <w:position w:val="1"/>
                        <w:sz w:val="28"/>
                      </w:rPr>
                      <w:t>.</w:t>
                    </w:r>
                    <w:r>
                      <w:rPr>
                        <w:rFonts w:ascii="Symbol" w:hAnsi="Symbol"/>
                        <w:i/>
                        <w:spacing w:val="-17"/>
                        <w:w w:val="105"/>
                        <w:position w:val="1"/>
                        <w:sz w:val="29"/>
                      </w:rPr>
                      <w:t></w:t>
                    </w:r>
                    <w:r>
                      <w:rPr>
                        <w:rFonts w:ascii="Times New Roman" w:hAnsi="Times New Roman"/>
                        <w:i/>
                        <w:spacing w:val="-8"/>
                        <w:w w:val="105"/>
                        <w:position w:val="1"/>
                        <w:sz w:val="29"/>
                      </w:rPr>
                      <w:t> </w:t>
                    </w:r>
                    <w:r>
                      <w:rPr>
                        <w:rFonts w:ascii="Times New Roman" w:hAnsi="Times New Roman"/>
                        <w:w w:val="105"/>
                        <w:position w:val="14"/>
                        <w:sz w:val="16"/>
                      </w:rPr>
                      <w:t>2</w:t>
                    </w:r>
                    <w:r>
                      <w:rPr>
                        <w:rFonts w:ascii="Times New Roman" w:hAnsi="Times New Roman"/>
                        <w:spacing w:val="-19"/>
                        <w:w w:val="105"/>
                        <w:position w:val="14"/>
                        <w:sz w:val="16"/>
                      </w:rPr>
                      <w:t> </w:t>
                    </w:r>
                    <w:r>
                      <w:rPr>
                        <w:rFonts w:ascii="Times New Roman" w:hAnsi="Times New Roman"/>
                        <w:i/>
                        <w:w w:val="105"/>
                        <w:sz w:val="16"/>
                      </w:rPr>
                      <w:t>c </w:t>
                    </w:r>
                    <w:r>
                      <w:rPr>
                        <w:rFonts w:ascii="Times New Roman" w:hAnsi="Times New Roman"/>
                        <w:i/>
                        <w:spacing w:val="23"/>
                        <w:w w:val="105"/>
                        <w:sz w:val="16"/>
                      </w:rPr>
                      <w:t> </w:t>
                    </w:r>
                    <w:r>
                      <w:rPr>
                        <w:rFonts w:ascii="Symbol" w:hAnsi="Symbol"/>
                        <w:w w:val="105"/>
                        <w:position w:val="1"/>
                        <w:sz w:val="28"/>
                      </w:rPr>
                      <w:t></w:t>
                    </w:r>
                    <w:r>
                      <w:rPr>
                        <w:rFonts w:ascii="Times New Roman" w:hAnsi="Times New Roman"/>
                        <w:spacing w:val="1"/>
                        <w:w w:val="105"/>
                        <w:position w:val="1"/>
                        <w:sz w:val="28"/>
                      </w:rPr>
                      <w:t> </w:t>
                    </w:r>
                    <w:r>
                      <w:rPr>
                        <w:rFonts w:ascii="Times New Roman" w:hAnsi="Times New Roman"/>
                        <w:i/>
                        <w:spacing w:val="5"/>
                        <w:w w:val="105"/>
                        <w:position w:val="1"/>
                        <w:sz w:val="28"/>
                      </w:rPr>
                      <w:t>DO</w:t>
                    </w:r>
                    <w:r>
                      <w:rPr>
                        <w:rFonts w:ascii="Times New Roman" w:hAnsi="Times New Roman"/>
                        <w:spacing w:val="5"/>
                        <w:w w:val="105"/>
                        <w:position w:val="14"/>
                        <w:sz w:val="16"/>
                      </w:rPr>
                      <w:t>6</w:t>
                    </w:r>
                    <w:r>
                      <w:rPr>
                        <w:rFonts w:ascii="Times New Roman" w:hAnsi="Times New Roman"/>
                        <w:spacing w:val="-17"/>
                        <w:w w:val="105"/>
                        <w:position w:val="14"/>
                        <w:sz w:val="16"/>
                      </w:rPr>
                      <w:t> </w:t>
                    </w:r>
                    <w:r>
                      <w:rPr>
                        <w:rFonts w:ascii="Times New Roman" w:hAnsi="Times New Roman"/>
                        <w:i/>
                        <w:w w:val="105"/>
                        <w:sz w:val="16"/>
                      </w:rPr>
                      <w:t>neta</w:t>
                    </w:r>
                    <w:r>
                      <w:rPr>
                        <w:rFonts w:ascii="Times New Roman" w:hAnsi="Times New Roman"/>
                        <w:i/>
                        <w:spacing w:val="-20"/>
                        <w:w w:val="105"/>
                        <w:sz w:val="16"/>
                      </w:rPr>
                      <w:t> </w:t>
                    </w:r>
                    <w:r>
                      <w:rPr>
                        <w:rFonts w:ascii="Times New Roman" w:hAnsi="Times New Roman"/>
                        <w:spacing w:val="-17"/>
                        <w:w w:val="105"/>
                        <w:position w:val="1"/>
                        <w:sz w:val="28"/>
                      </w:rPr>
                      <w:t>.</w:t>
                    </w:r>
                    <w:r>
                      <w:rPr>
                        <w:rFonts w:ascii="Symbol" w:hAnsi="Symbol"/>
                        <w:i/>
                        <w:spacing w:val="-17"/>
                        <w:w w:val="105"/>
                        <w:position w:val="1"/>
                        <w:sz w:val="29"/>
                      </w:rPr>
                      <w:t></w:t>
                    </w:r>
                    <w:r>
                      <w:rPr>
                        <w:rFonts w:ascii="Times New Roman" w:hAnsi="Times New Roman"/>
                        <w:i/>
                        <w:spacing w:val="-9"/>
                        <w:w w:val="105"/>
                        <w:position w:val="1"/>
                        <w:sz w:val="29"/>
                      </w:rPr>
                      <w:t> </w:t>
                    </w:r>
                    <w:r>
                      <w:rPr>
                        <w:rFonts w:ascii="Times New Roman" w:hAnsi="Times New Roman"/>
                        <w:w w:val="105"/>
                        <w:position w:val="14"/>
                        <w:sz w:val="16"/>
                      </w:rPr>
                      <w:t>2</w:t>
                    </w:r>
                    <w:r>
                      <w:rPr>
                        <w:rFonts w:ascii="Times New Roman" w:hAnsi="Times New Roman"/>
                        <w:spacing w:val="-16"/>
                        <w:w w:val="105"/>
                        <w:position w:val="14"/>
                        <w:sz w:val="16"/>
                      </w:rPr>
                      <w:t> </w:t>
                    </w:r>
                    <w:r>
                      <w:rPr>
                        <w:rFonts w:ascii="Times New Roman" w:hAnsi="Times New Roman"/>
                        <w:i/>
                        <w:w w:val="105"/>
                        <w:sz w:val="16"/>
                      </w:rPr>
                      <w:t>d</w:t>
                    </w:r>
                  </w:p>
                </w:txbxContent>
              </v:textbox>
              <w10:wrap type="none"/>
            </v:shape>
            <w10:wrap type="none"/>
          </v:group>
        </w:pict>
      </w:r>
      <w:r>
        <w:rPr>
          <w:rFonts w:ascii="Times New Roman"/>
          <w:i/>
          <w:w w:val="105"/>
          <w:position w:val="7"/>
          <w:sz w:val="28"/>
        </w:rPr>
        <w:t>D</w:t>
      </w:r>
      <w:r>
        <w:rPr>
          <w:rFonts w:ascii="Times New Roman"/>
          <w:i/>
          <w:w w:val="105"/>
          <w:sz w:val="16"/>
        </w:rPr>
        <w:t>ajuste</w:t>
      </w:r>
    </w:p>
    <w:p>
      <w:pPr>
        <w:spacing w:before="82"/>
        <w:ind w:left="663" w:right="-19" w:firstLine="0"/>
        <w:jc w:val="left"/>
        <w:rPr>
          <w:rFonts w:ascii="Times New Roman"/>
          <w:sz w:val="28"/>
        </w:rPr>
      </w:pPr>
      <w:r>
        <w:rPr/>
        <w:br w:type="column"/>
      </w:r>
      <w:r>
        <w:rPr>
          <w:rFonts w:ascii="Times New Roman"/>
          <w:i/>
          <w:spacing w:val="-8"/>
          <w:w w:val="105"/>
          <w:sz w:val="28"/>
        </w:rPr>
        <w:t>x</w:t>
      </w:r>
      <w:r>
        <w:rPr>
          <w:rFonts w:ascii="Times New Roman"/>
          <w:spacing w:val="-8"/>
          <w:w w:val="105"/>
          <w:sz w:val="28"/>
        </w:rPr>
        <w:t>100</w:t>
      </w:r>
    </w:p>
    <w:p>
      <w:pPr>
        <w:spacing w:before="194"/>
        <w:ind w:left="629" w:right="0" w:firstLine="0"/>
        <w:jc w:val="left"/>
        <w:rPr>
          <w:sz w:val="22"/>
        </w:rPr>
      </w:pPr>
      <w:r>
        <w:rPr/>
        <w:br w:type="column"/>
      </w:r>
      <w:r>
        <w:rPr>
          <w:sz w:val="22"/>
        </w:rPr>
        <w:t>(9)</w:t>
      </w:r>
    </w:p>
    <w:p>
      <w:pPr>
        <w:spacing w:after="0"/>
        <w:jc w:val="left"/>
        <w:rPr>
          <w:sz w:val="22"/>
        </w:rPr>
        <w:sectPr>
          <w:type w:val="continuous"/>
          <w:pgSz w:w="12240" w:h="15840"/>
          <w:pgMar w:top="1380" w:bottom="280" w:left="1600" w:right="1580"/>
          <w:cols w:num="4" w:equalWidth="0">
            <w:col w:w="2001" w:space="1739"/>
            <w:col w:w="1313" w:space="1717"/>
            <w:col w:w="1204" w:space="40"/>
            <w:col w:w="1046"/>
          </w:cols>
        </w:sectPr>
      </w:pPr>
    </w:p>
    <w:p>
      <w:pPr>
        <w:pStyle w:val="BodyText"/>
        <w:spacing w:before="3"/>
        <w:rPr>
          <w:sz w:val="9"/>
        </w:rPr>
      </w:pPr>
    </w:p>
    <w:p>
      <w:pPr>
        <w:spacing w:after="0"/>
        <w:rPr>
          <w:sz w:val="9"/>
        </w:rPr>
        <w:sectPr>
          <w:type w:val="continuous"/>
          <w:pgSz w:w="12240" w:h="15840"/>
          <w:pgMar w:top="1380" w:bottom="280" w:left="1600" w:right="1580"/>
        </w:sectPr>
      </w:pPr>
    </w:p>
    <w:p>
      <w:pPr>
        <w:pStyle w:val="BodyText"/>
        <w:spacing w:before="178"/>
        <w:ind w:left="100" w:right="-2"/>
      </w:pPr>
      <w:r>
        <w:rPr/>
        <w:t>En  donde</w:t>
      </w:r>
    </w:p>
    <w:p>
      <w:pPr>
        <w:pStyle w:val="ListParagraph"/>
        <w:numPr>
          <w:ilvl w:val="0"/>
          <w:numId w:val="10"/>
        </w:numPr>
        <w:tabs>
          <w:tab w:pos="320" w:val="left" w:leader="none"/>
        </w:tabs>
        <w:spacing w:line="240" w:lineRule="auto" w:before="53" w:after="0"/>
        <w:ind w:left="319" w:right="0" w:hanging="219"/>
        <w:jc w:val="left"/>
        <w:rPr>
          <w:rFonts w:ascii="Symbol"/>
          <w:sz w:val="30"/>
        </w:rPr>
      </w:pPr>
      <w:r>
        <w:rPr>
          <w:rFonts w:ascii="Times New Roman"/>
          <w:i/>
          <w:w w:val="100"/>
          <w:position w:val="-6"/>
          <w:sz w:val="17"/>
        </w:rPr>
        <w:br w:type="column"/>
      </w:r>
      <w:r>
        <w:rPr>
          <w:rFonts w:ascii="Times New Roman"/>
          <w:i/>
          <w:position w:val="-6"/>
          <w:sz w:val="17"/>
        </w:rPr>
        <w:t>b</w:t>
      </w:r>
      <w:r>
        <w:rPr>
          <w:rFonts w:ascii="Times New Roman"/>
          <w:i/>
          <w:spacing w:val="22"/>
          <w:position w:val="-6"/>
          <w:sz w:val="17"/>
        </w:rPr>
        <w:t> </w:t>
      </w:r>
      <w:r>
        <w:rPr>
          <w:position w:val="-1"/>
          <w:sz w:val="22"/>
        </w:rPr>
        <w:t>,</w:t>
      </w:r>
    </w:p>
    <w:p>
      <w:pPr>
        <w:pStyle w:val="ListParagraph"/>
        <w:numPr>
          <w:ilvl w:val="0"/>
          <w:numId w:val="10"/>
        </w:numPr>
        <w:tabs>
          <w:tab w:pos="336" w:val="left" w:leader="none"/>
        </w:tabs>
        <w:spacing w:line="240" w:lineRule="auto" w:before="42" w:after="0"/>
        <w:ind w:left="335" w:right="0" w:hanging="235"/>
        <w:jc w:val="left"/>
        <w:rPr>
          <w:rFonts w:ascii="Symbol"/>
          <w:sz w:val="31"/>
        </w:rPr>
      </w:pPr>
      <w:r>
        <w:rPr>
          <w:rFonts w:ascii="Times New Roman"/>
          <w:i/>
          <w:w w:val="106"/>
          <w:position w:val="-6"/>
          <w:sz w:val="17"/>
        </w:rPr>
        <w:br w:type="column"/>
      </w:r>
      <w:r>
        <w:rPr>
          <w:rFonts w:ascii="Times New Roman"/>
          <w:i/>
          <w:w w:val="105"/>
          <w:position w:val="-6"/>
          <w:sz w:val="17"/>
        </w:rPr>
        <w:t>c</w:t>
      </w:r>
      <w:r>
        <w:rPr>
          <w:rFonts w:ascii="Times New Roman"/>
          <w:i/>
          <w:spacing w:val="3"/>
          <w:w w:val="105"/>
          <w:position w:val="-6"/>
          <w:sz w:val="17"/>
        </w:rPr>
        <w:t> </w:t>
      </w:r>
      <w:r>
        <w:rPr>
          <w:w w:val="105"/>
          <w:position w:val="-2"/>
          <w:sz w:val="22"/>
        </w:rPr>
        <w:t>y</w:t>
      </w:r>
    </w:p>
    <w:p>
      <w:pPr>
        <w:pStyle w:val="ListParagraph"/>
        <w:numPr>
          <w:ilvl w:val="0"/>
          <w:numId w:val="10"/>
        </w:numPr>
        <w:tabs>
          <w:tab w:pos="325" w:val="left" w:leader="none"/>
        </w:tabs>
        <w:spacing w:line="240" w:lineRule="auto" w:before="58" w:after="0"/>
        <w:ind w:left="324" w:right="0" w:hanging="224"/>
        <w:jc w:val="left"/>
        <w:rPr>
          <w:rFonts w:ascii="Symbol" w:hAnsi="Symbol"/>
          <w:sz w:val="30"/>
        </w:rPr>
      </w:pPr>
      <w:r>
        <w:rPr>
          <w:rFonts w:ascii="Times New Roman" w:hAnsi="Times New Roman"/>
          <w:i/>
          <w:w w:val="100"/>
          <w:position w:val="-4"/>
          <w:sz w:val="17"/>
        </w:rPr>
        <w:br w:type="column"/>
      </w:r>
      <w:r>
        <w:rPr>
          <w:rFonts w:ascii="Times New Roman" w:hAnsi="Times New Roman"/>
          <w:i/>
          <w:position w:val="-4"/>
          <w:sz w:val="17"/>
        </w:rPr>
        <w:t>d </w:t>
      </w:r>
      <w:r>
        <w:rPr>
          <w:sz w:val="22"/>
        </w:rPr>
        <w:t>son  las  desviaciones  estándar  de  los  parámetros  b,  c  y   </w:t>
      </w:r>
      <w:r>
        <w:rPr>
          <w:spacing w:val="50"/>
          <w:sz w:val="22"/>
        </w:rPr>
        <w:t> </w:t>
      </w:r>
      <w:r>
        <w:rPr>
          <w:sz w:val="22"/>
        </w:rPr>
        <w:t>d,</w:t>
      </w:r>
    </w:p>
    <w:p>
      <w:pPr>
        <w:spacing w:after="0" w:line="240" w:lineRule="auto"/>
        <w:jc w:val="left"/>
        <w:rPr>
          <w:rFonts w:ascii="Symbol" w:hAnsi="Symbol"/>
          <w:sz w:val="30"/>
        </w:rPr>
        <w:sectPr>
          <w:type w:val="continuous"/>
          <w:pgSz w:w="12240" w:h="15840"/>
          <w:pgMar w:top="1380" w:bottom="280" w:left="1600" w:right="1580"/>
          <w:cols w:num="4" w:equalWidth="0">
            <w:col w:w="1106" w:space="44"/>
            <w:col w:w="530" w:space="47"/>
            <w:col w:w="578" w:space="45"/>
            <w:col w:w="6710"/>
          </w:cols>
        </w:sectPr>
      </w:pPr>
    </w:p>
    <w:p>
      <w:pPr>
        <w:pStyle w:val="BodyText"/>
        <w:tabs>
          <w:tab w:pos="2917" w:val="left" w:leader="none"/>
        </w:tabs>
        <w:spacing w:line="353" w:lineRule="exact" w:before="19"/>
        <w:ind w:left="100" w:right="155"/>
      </w:pPr>
      <w:r>
        <w:rPr/>
        <w:pict>
          <v:shape style="position:absolute;margin-left:197.573166pt;margin-top:13.280219pt;width:12.75pt;height:8.6pt;mso-position-horizontal-relative:page;mso-position-vertical-relative:paragraph;z-index:-104416" type="#_x0000_t202" filled="false" stroked="false">
            <v:textbox inset="0,0,0,0">
              <w:txbxContent>
                <w:p>
                  <w:pPr>
                    <w:spacing w:line="171" w:lineRule="exact" w:before="0"/>
                    <w:ind w:left="0" w:right="-15" w:firstLine="0"/>
                    <w:jc w:val="left"/>
                    <w:rPr>
                      <w:rFonts w:ascii="Times New Roman"/>
                      <w:i/>
                      <w:sz w:val="17"/>
                    </w:rPr>
                  </w:pPr>
                  <w:r>
                    <w:rPr>
                      <w:rFonts w:ascii="Times New Roman"/>
                      <w:i/>
                      <w:spacing w:val="-4"/>
                      <w:w w:val="105"/>
                      <w:sz w:val="17"/>
                    </w:rPr>
                    <w:t>DO</w:t>
                  </w:r>
                </w:p>
              </w:txbxContent>
            </v:textbox>
            <w10:wrap type="none"/>
          </v:shape>
        </w:pict>
      </w:r>
      <w:r>
        <w:rPr/>
        <w:t>respectivamente.</w:t>
      </w:r>
      <w:r>
        <w:rPr>
          <w:spacing w:val="-2"/>
        </w:rPr>
        <w:t> </w:t>
      </w:r>
      <w:r>
        <w:rPr/>
        <w:t>La</w:t>
      </w:r>
      <w:r>
        <w:rPr>
          <w:spacing w:val="19"/>
        </w:rPr>
        <w:t> </w:t>
      </w:r>
      <w:r>
        <w:rPr>
          <w:rFonts w:ascii="Symbol" w:hAnsi="Symbol"/>
          <w:i/>
          <w:position w:val="3"/>
          <w:sz w:val="31"/>
        </w:rPr>
        <w:t></w:t>
      </w:r>
      <w:r>
        <w:rPr>
          <w:rFonts w:ascii="Times New Roman" w:hAnsi="Times New Roman"/>
          <w:position w:val="3"/>
          <w:sz w:val="31"/>
        </w:rPr>
        <w:tab/>
      </w:r>
      <w:r>
        <w:rPr/>
        <w:t>se calcula</w:t>
      </w:r>
      <w:r>
        <w:rPr>
          <w:spacing w:val="-6"/>
        </w:rPr>
        <w:t> </w:t>
      </w:r>
      <w:r>
        <w:rPr/>
        <w:t>como</w:t>
      </w:r>
    </w:p>
    <w:p>
      <w:pPr>
        <w:spacing w:line="101" w:lineRule="exact" w:before="0"/>
        <w:ind w:left="2611" w:right="155" w:firstLine="0"/>
        <w:jc w:val="left"/>
        <w:rPr>
          <w:rFonts w:ascii="Times New Roman"/>
          <w:i/>
          <w:sz w:val="12"/>
        </w:rPr>
      </w:pPr>
      <w:r>
        <w:rPr/>
        <w:pict>
          <v:line style="position:absolute;mso-position-horizontal-relative:page;mso-position-vertical-relative:paragraph;z-index:2440" from="333.942902pt,44.740608pt" to="371.357746pt,44.740608pt" stroked="true" strokeweight=".15639pt" strokecolor="#000000">
            <w10:wrap type="none"/>
          </v:line>
        </w:pict>
      </w:r>
      <w:r>
        <w:rPr>
          <w:rFonts w:ascii="Times New Roman"/>
          <w:i/>
          <w:w w:val="110"/>
          <w:sz w:val="12"/>
        </w:rPr>
        <w:t>neta</w:t>
      </w:r>
    </w:p>
    <w:p>
      <w:pPr>
        <w:pStyle w:val="BodyText"/>
        <w:rPr>
          <w:rFonts w:ascii="Times New Roman"/>
          <w:i/>
          <w:sz w:val="20"/>
        </w:rPr>
      </w:pPr>
    </w:p>
    <w:p>
      <w:pPr>
        <w:spacing w:after="0"/>
        <w:rPr>
          <w:rFonts w:ascii="Times New Roman"/>
          <w:sz w:val="20"/>
        </w:rPr>
        <w:sectPr>
          <w:type w:val="continuous"/>
          <w:pgSz w:w="12240" w:h="15840"/>
          <w:pgMar w:top="1380" w:bottom="280" w:left="1600" w:right="1580"/>
        </w:sectPr>
      </w:pPr>
    </w:p>
    <w:p>
      <w:pPr>
        <w:pStyle w:val="BodyText"/>
        <w:spacing w:before="6"/>
        <w:rPr>
          <w:rFonts w:ascii="Times New Roman"/>
          <w:i/>
          <w:sz w:val="28"/>
        </w:rPr>
      </w:pPr>
    </w:p>
    <w:p>
      <w:pPr>
        <w:spacing w:before="1"/>
        <w:ind w:left="0" w:right="0" w:firstLine="0"/>
        <w:jc w:val="right"/>
        <w:rPr>
          <w:rFonts w:ascii="Times New Roman" w:hAnsi="Times New Roman"/>
          <w:i/>
          <w:sz w:val="11"/>
        </w:rPr>
      </w:pPr>
      <w:r>
        <w:rPr>
          <w:rFonts w:ascii="Symbol" w:hAnsi="Symbol"/>
          <w:i/>
          <w:w w:val="105"/>
          <w:position w:val="11"/>
          <w:sz w:val="29"/>
        </w:rPr>
        <w:t></w:t>
      </w:r>
      <w:r>
        <w:rPr>
          <w:rFonts w:ascii="Times New Roman" w:hAnsi="Times New Roman"/>
          <w:i/>
          <w:w w:val="105"/>
          <w:position w:val="11"/>
          <w:sz w:val="29"/>
        </w:rPr>
        <w:t> </w:t>
      </w:r>
      <w:r>
        <w:rPr>
          <w:rFonts w:ascii="Times New Roman" w:hAnsi="Times New Roman"/>
          <w:i/>
          <w:w w:val="105"/>
          <w:position w:val="4"/>
          <w:sz w:val="16"/>
        </w:rPr>
        <w:t>DO</w:t>
      </w:r>
      <w:r>
        <w:rPr>
          <w:rFonts w:ascii="Times New Roman" w:hAnsi="Times New Roman"/>
          <w:i/>
          <w:w w:val="105"/>
          <w:sz w:val="11"/>
        </w:rPr>
        <w:t>neta</w:t>
      </w:r>
    </w:p>
    <w:p>
      <w:pPr>
        <w:tabs>
          <w:tab w:pos="522" w:val="left" w:leader="none"/>
        </w:tabs>
        <w:spacing w:line="434" w:lineRule="exact" w:before="197"/>
        <w:ind w:left="94" w:right="0" w:firstLine="0"/>
        <w:jc w:val="left"/>
        <w:rPr>
          <w:rFonts w:ascii="Times New Roman" w:hAnsi="Times New Roman"/>
          <w:sz w:val="27"/>
        </w:rPr>
      </w:pPr>
      <w:r>
        <w:rPr/>
        <w:br w:type="column"/>
      </w:r>
      <w:r>
        <w:rPr>
          <w:rFonts w:ascii="Symbol" w:hAnsi="Symbol"/>
          <w:w w:val="105"/>
          <w:position w:val="-16"/>
          <w:sz w:val="27"/>
        </w:rPr>
        <w:t></w:t>
      </w:r>
      <w:r>
        <w:rPr>
          <w:rFonts w:ascii="Times New Roman" w:hAnsi="Times New Roman"/>
          <w:w w:val="105"/>
          <w:position w:val="-16"/>
          <w:sz w:val="27"/>
        </w:rPr>
        <w:tab/>
      </w:r>
      <w:r>
        <w:rPr>
          <w:rFonts w:ascii="Times New Roman" w:hAnsi="Times New Roman"/>
          <w:w w:val="105"/>
          <w:sz w:val="27"/>
        </w:rPr>
        <w:t>1</w:t>
      </w:r>
    </w:p>
    <w:p>
      <w:pPr>
        <w:spacing w:line="263" w:lineRule="exact" w:before="0"/>
        <w:ind w:left="339" w:right="-12" w:firstLine="0"/>
        <w:jc w:val="left"/>
        <w:rPr>
          <w:rFonts w:ascii="Times New Roman"/>
          <w:sz w:val="27"/>
        </w:rPr>
      </w:pPr>
      <w:r>
        <w:rPr/>
        <w:pict>
          <v:line style="position:absolute;mso-position-horizontal-relative:page;mso-position-vertical-relative:paragraph;z-index:-104824" from="233.97583pt,-3.351981pt" to="260.670237pt,-3.351981pt" stroked="true" strokeweight=".15639pt" strokecolor="#000000">
            <w10:wrap type="none"/>
          </v:line>
        </w:pict>
      </w:r>
      <w:r>
        <w:rPr/>
        <w:pict>
          <v:group style="position:absolute;margin-left:263.244873pt;margin-top:-25.288511pt;width:109.4pt;height:42.5pt;mso-position-horizontal-relative:page;mso-position-vertical-relative:paragraph;z-index:2416" coordorigin="5265,-506" coordsize="2188,850">
            <v:shape style="position:absolute;left:1416;top:5866;width:978;height:86" coordorigin="1416,5866" coordsize="978,86" path="m5456,-67l6394,-67m5267,28l5307,8e" filled="false" stroked="true" strokeweight=".158930pt" strokecolor="#000000">
              <v:path arrowok="t"/>
            </v:shape>
            <v:line style="position:absolute" from="5296,-3" to="5359,330" stroked="true" strokeweight=".161297pt" strokecolor="#000000"/>
            <v:shape style="position:absolute;left:1506;top:5475;width:1804;height:757" coordorigin="1506,5475" coordsize="1804,757" path="m5371,341l5434,-503m5434,-504l7450,-504e" filled="false" stroked="true" strokeweight=".158930pt" strokecolor="#000000">
              <v:path arrowok="t"/>
            </v:shape>
            <v:shape style="position:absolute;left:5441;top:-476;width:441;height:306" type="#_x0000_t202" filled="false" stroked="false">
              <v:textbox inset="0,0,0,0">
                <w:txbxContent>
                  <w:p>
                    <w:pPr>
                      <w:spacing w:line="305" w:lineRule="exact" w:before="0"/>
                      <w:ind w:left="0" w:right="-18" w:firstLine="0"/>
                      <w:jc w:val="left"/>
                      <w:rPr>
                        <w:rFonts w:ascii="Times New Roman" w:hAnsi="Times New Roman"/>
                        <w:i/>
                        <w:sz w:val="27"/>
                      </w:rPr>
                    </w:pPr>
                    <w:r>
                      <w:rPr>
                        <w:rFonts w:ascii="Symbol" w:hAnsi="Symbol"/>
                        <w:i/>
                        <w:sz w:val="29"/>
                      </w:rPr>
                      <w:t></w:t>
                    </w:r>
                    <w:r>
                      <w:rPr>
                        <w:rFonts w:ascii="Times New Roman" w:hAnsi="Times New Roman"/>
                        <w:i/>
                        <w:sz w:val="29"/>
                      </w:rPr>
                      <w:t> </w:t>
                    </w:r>
                    <w:r>
                      <w:rPr>
                        <w:rFonts w:ascii="Times New Roman" w:hAnsi="Times New Roman"/>
                        <w:position w:val="12"/>
                        <w:sz w:val="16"/>
                      </w:rPr>
                      <w:t>2</w:t>
                    </w:r>
                    <w:r>
                      <w:rPr>
                        <w:rFonts w:ascii="Times New Roman" w:hAnsi="Times New Roman"/>
                        <w:spacing w:val="-19"/>
                        <w:position w:val="12"/>
                        <w:sz w:val="16"/>
                      </w:rPr>
                      <w:t> </w:t>
                    </w:r>
                    <w:r>
                      <w:rPr>
                        <w:rFonts w:ascii="Times New Roman" w:hAnsi="Times New Roman"/>
                        <w:i/>
                        <w:sz w:val="27"/>
                      </w:rPr>
                      <w:t>I</w:t>
                    </w:r>
                  </w:p>
                </w:txbxContent>
              </v:textbox>
              <w10:wrap type="none"/>
            </v:shape>
            <v:shape style="position:absolute;left:5909;top:-285;width:433;height:161" type="#_x0000_t202" filled="false" stroked="false">
              <v:textbox inset="0,0,0,0">
                <w:txbxContent>
                  <w:p>
                    <w:pPr>
                      <w:spacing w:line="160" w:lineRule="exact" w:before="0"/>
                      <w:ind w:left="0" w:right="0" w:firstLine="0"/>
                      <w:jc w:val="left"/>
                      <w:rPr>
                        <w:rFonts w:ascii="Times New Roman"/>
                        <w:sz w:val="16"/>
                      </w:rPr>
                    </w:pPr>
                    <w:r>
                      <w:rPr>
                        <w:rFonts w:ascii="Times New Roman"/>
                        <w:i/>
                        <w:sz w:val="16"/>
                      </w:rPr>
                      <w:t>no</w:t>
                    </w:r>
                    <w:r>
                      <w:rPr>
                        <w:rFonts w:ascii="Times New Roman"/>
                        <w:sz w:val="16"/>
                      </w:rPr>
                      <w:t>exp</w:t>
                    </w:r>
                  </w:p>
                </w:txbxContent>
              </v:textbox>
              <w10:wrap type="none"/>
            </v:shape>
            <v:shape style="position:absolute;left:6664;top:-476;width:441;height:306" type="#_x0000_t202" filled="false" stroked="false">
              <v:textbox inset="0,0,0,0">
                <w:txbxContent>
                  <w:p>
                    <w:pPr>
                      <w:spacing w:line="305" w:lineRule="exact" w:before="0"/>
                      <w:ind w:left="0" w:right="-19" w:firstLine="0"/>
                      <w:jc w:val="left"/>
                      <w:rPr>
                        <w:rFonts w:ascii="Times New Roman" w:hAnsi="Times New Roman"/>
                        <w:i/>
                        <w:sz w:val="27"/>
                      </w:rPr>
                    </w:pPr>
                    <w:r>
                      <w:rPr>
                        <w:rFonts w:ascii="Symbol" w:hAnsi="Symbol"/>
                        <w:i/>
                        <w:sz w:val="29"/>
                      </w:rPr>
                      <w:t></w:t>
                    </w:r>
                    <w:r>
                      <w:rPr>
                        <w:rFonts w:ascii="Times New Roman" w:hAnsi="Times New Roman"/>
                        <w:i/>
                        <w:sz w:val="29"/>
                      </w:rPr>
                      <w:t> </w:t>
                    </w:r>
                    <w:r>
                      <w:rPr>
                        <w:rFonts w:ascii="Times New Roman" w:hAnsi="Times New Roman"/>
                        <w:position w:val="12"/>
                        <w:sz w:val="16"/>
                      </w:rPr>
                      <w:t>2</w:t>
                    </w:r>
                    <w:r>
                      <w:rPr>
                        <w:rFonts w:ascii="Times New Roman" w:hAnsi="Times New Roman"/>
                        <w:spacing w:val="-18"/>
                        <w:position w:val="12"/>
                        <w:sz w:val="16"/>
                      </w:rPr>
                      <w:t> </w:t>
                    </w:r>
                    <w:r>
                      <w:rPr>
                        <w:rFonts w:ascii="Times New Roman" w:hAnsi="Times New Roman"/>
                        <w:i/>
                        <w:sz w:val="27"/>
                      </w:rPr>
                      <w:t>I</w:t>
                    </w:r>
                  </w:p>
                </w:txbxContent>
              </v:textbox>
              <w10:wrap type="none"/>
            </v:shape>
            <v:shape style="position:absolute;left:7129;top:-285;width:246;height:161" type="#_x0000_t202" filled="false" stroked="false">
              <v:textbox inset="0,0,0,0">
                <w:txbxContent>
                  <w:p>
                    <w:pPr>
                      <w:spacing w:line="160" w:lineRule="exact" w:before="0"/>
                      <w:ind w:left="0" w:right="-17" w:firstLine="0"/>
                      <w:jc w:val="left"/>
                      <w:rPr>
                        <w:rFonts w:ascii="Times New Roman"/>
                        <w:sz w:val="16"/>
                      </w:rPr>
                    </w:pPr>
                    <w:r>
                      <w:rPr>
                        <w:rFonts w:ascii="Times New Roman"/>
                        <w:w w:val="105"/>
                        <w:sz w:val="16"/>
                      </w:rPr>
                      <w:t>exp</w:t>
                    </w:r>
                  </w:p>
                </w:txbxContent>
              </v:textbox>
              <w10:wrap type="none"/>
            </v:shape>
            <v:shape style="position:absolute;left:5629;top:-16;width:556;height:322" type="#_x0000_t202" filled="false" stroked="false">
              <v:textbox inset="0,0,0,0">
                <w:txbxContent>
                  <w:p>
                    <w:pPr>
                      <w:spacing w:line="321" w:lineRule="exact" w:before="0"/>
                      <w:ind w:left="0" w:right="0" w:firstLine="0"/>
                      <w:jc w:val="left"/>
                      <w:rPr>
                        <w:rFonts w:ascii="Times New Roman"/>
                        <w:sz w:val="16"/>
                      </w:rPr>
                    </w:pPr>
                    <w:r>
                      <w:rPr>
                        <w:rFonts w:ascii="Times New Roman"/>
                        <w:i/>
                        <w:w w:val="105"/>
                        <w:position w:val="7"/>
                        <w:sz w:val="27"/>
                      </w:rPr>
                      <w:t>I</w:t>
                    </w:r>
                    <w:r>
                      <w:rPr>
                        <w:rFonts w:ascii="Times New Roman"/>
                        <w:i/>
                        <w:w w:val="105"/>
                        <w:sz w:val="16"/>
                      </w:rPr>
                      <w:t>no</w:t>
                    </w:r>
                    <w:r>
                      <w:rPr>
                        <w:rFonts w:ascii="Times New Roman"/>
                        <w:w w:val="105"/>
                        <w:sz w:val="16"/>
                      </w:rPr>
                      <w:t>exp</w:t>
                    </w:r>
                  </w:p>
                </w:txbxContent>
              </v:textbox>
              <w10:wrap type="none"/>
            </v:shape>
            <v:shape style="position:absolute;left:6449;top:-235;width:156;height:275" type="#_x0000_t202" filled="false" stroked="false">
              <v:textbox inset="0,0,0,0">
                <w:txbxContent>
                  <w:p>
                    <w:pPr>
                      <w:spacing w:line="275" w:lineRule="exact" w:before="0"/>
                      <w:ind w:left="0" w:right="0" w:firstLine="0"/>
                      <w:jc w:val="left"/>
                      <w:rPr>
                        <w:rFonts w:ascii="Symbol" w:hAnsi="Symbol"/>
                        <w:sz w:val="27"/>
                      </w:rPr>
                    </w:pPr>
                    <w:r>
                      <w:rPr>
                        <w:rFonts w:ascii="Symbol" w:hAnsi="Symbol"/>
                        <w:w w:val="105"/>
                        <w:sz w:val="27"/>
                      </w:rPr>
                      <w:t></w:t>
                    </w:r>
                  </w:p>
                </w:txbxContent>
              </v:textbox>
              <w10:wrap type="none"/>
            </v:shape>
            <v:shape style="position:absolute;left:6853;top:-16;width:365;height:322" type="#_x0000_t202" filled="false" stroked="false">
              <v:textbox inset="0,0,0,0">
                <w:txbxContent>
                  <w:p>
                    <w:pPr>
                      <w:spacing w:line="321" w:lineRule="exact" w:before="0"/>
                      <w:ind w:left="0" w:right="-17" w:firstLine="0"/>
                      <w:jc w:val="left"/>
                      <w:rPr>
                        <w:rFonts w:ascii="Times New Roman"/>
                        <w:sz w:val="16"/>
                      </w:rPr>
                    </w:pPr>
                    <w:r>
                      <w:rPr>
                        <w:rFonts w:ascii="Times New Roman"/>
                        <w:i/>
                        <w:w w:val="105"/>
                        <w:position w:val="7"/>
                        <w:sz w:val="27"/>
                      </w:rPr>
                      <w:t>I</w:t>
                    </w:r>
                    <w:r>
                      <w:rPr>
                        <w:rFonts w:ascii="Times New Roman"/>
                        <w:i/>
                        <w:spacing w:val="-46"/>
                        <w:w w:val="105"/>
                        <w:position w:val="7"/>
                        <w:sz w:val="27"/>
                      </w:rPr>
                      <w:t> </w:t>
                    </w:r>
                    <w:r>
                      <w:rPr>
                        <w:rFonts w:ascii="Times New Roman"/>
                        <w:w w:val="105"/>
                        <w:sz w:val="16"/>
                      </w:rPr>
                      <w:t>exp</w:t>
                    </w:r>
                  </w:p>
                </w:txbxContent>
              </v:textbox>
              <w10:wrap type="none"/>
            </v:shape>
            <w10:wrap type="none"/>
          </v:group>
        </w:pict>
      </w:r>
      <w:r>
        <w:rPr>
          <w:rFonts w:ascii="Times New Roman"/>
          <w:w w:val="105"/>
          <w:sz w:val="27"/>
        </w:rPr>
        <w:t>ln10</w:t>
      </w:r>
    </w:p>
    <w:p>
      <w:pPr>
        <w:pStyle w:val="BodyText"/>
        <w:rPr>
          <w:rFonts w:ascii="Times New Roman"/>
        </w:rPr>
      </w:pPr>
      <w:r>
        <w:rPr/>
        <w:br w:type="column"/>
      </w:r>
      <w:r>
        <w:rPr>
          <w:rFonts w:ascii="Times New Roman"/>
        </w:rPr>
      </w:r>
    </w:p>
    <w:p>
      <w:pPr>
        <w:pStyle w:val="BodyText"/>
        <w:spacing w:before="9"/>
        <w:rPr>
          <w:rFonts w:ascii="Times New Roman"/>
          <w:sz w:val="18"/>
        </w:rPr>
      </w:pPr>
    </w:p>
    <w:p>
      <w:pPr>
        <w:pStyle w:val="BodyText"/>
        <w:ind w:right="121"/>
        <w:jc w:val="right"/>
      </w:pPr>
      <w:r>
        <w:rPr/>
        <w:t>(10)</w:t>
      </w:r>
    </w:p>
    <w:p>
      <w:pPr>
        <w:spacing w:after="0"/>
        <w:jc w:val="right"/>
        <w:sectPr>
          <w:type w:val="continuous"/>
          <w:pgSz w:w="12240" w:h="15840"/>
          <w:pgMar w:top="1380" w:bottom="280" w:left="1600" w:right="1580"/>
          <w:cols w:num="3" w:equalWidth="0">
            <w:col w:w="2703" w:space="40"/>
            <w:col w:w="851" w:space="2891"/>
            <w:col w:w="2575"/>
          </w:cols>
        </w:sectPr>
      </w:pPr>
    </w:p>
    <w:p>
      <w:pPr>
        <w:pStyle w:val="BodyText"/>
        <w:rPr>
          <w:sz w:val="20"/>
        </w:rPr>
      </w:pPr>
    </w:p>
    <w:p>
      <w:pPr>
        <w:pStyle w:val="BodyText"/>
        <w:spacing w:before="4"/>
        <w:rPr>
          <w:sz w:val="27"/>
        </w:rPr>
      </w:pPr>
    </w:p>
    <w:p>
      <w:pPr>
        <w:pStyle w:val="BodyText"/>
        <w:spacing w:line="360" w:lineRule="auto" w:before="76"/>
        <w:ind w:left="100" w:right="116"/>
        <w:jc w:val="both"/>
      </w:pPr>
      <w:r>
        <w:rPr/>
        <w:t>Donde </w:t>
      </w:r>
      <w:r>
        <w:rPr>
          <w:i/>
        </w:rPr>
        <w:t>I</w:t>
      </w:r>
      <w:r>
        <w:rPr>
          <w:i/>
          <w:position w:val="-1"/>
          <w:sz w:val="14"/>
        </w:rPr>
        <w:t>exp </w:t>
      </w:r>
      <w:r>
        <w:rPr/>
        <w:t>es la intensidad de la película expuesta a la radiación, y </w:t>
      </w:r>
      <w:r>
        <w:rPr>
          <w:i/>
        </w:rPr>
        <w:t>I</w:t>
      </w:r>
      <w:r>
        <w:rPr>
          <w:i/>
          <w:position w:val="-1"/>
          <w:sz w:val="14"/>
        </w:rPr>
        <w:t>noexp </w:t>
      </w:r>
      <w:r>
        <w:rPr/>
        <w:t>la intensidad de la película sin exponer.</w:t>
      </w:r>
      <w:r>
        <w:rPr>
          <w:rFonts w:ascii="Symbol" w:hAnsi="Symbol"/>
          <w:i/>
          <w:sz w:val="26"/>
        </w:rPr>
        <w:t></w:t>
      </w:r>
      <w:r>
        <w:rPr>
          <w:rFonts w:ascii="Times New Roman" w:hAnsi="Times New Roman"/>
          <w:i/>
          <w:sz w:val="24"/>
        </w:rPr>
        <w:t>I</w:t>
      </w:r>
      <w:r>
        <w:rPr>
          <w:rFonts w:ascii="Times New Roman" w:hAnsi="Times New Roman"/>
          <w:position w:val="-5"/>
          <w:sz w:val="14"/>
        </w:rPr>
        <w:t>exp </w:t>
      </w:r>
      <w:r>
        <w:rPr/>
        <w:t>y </w:t>
      </w:r>
      <w:r>
        <w:rPr>
          <w:rFonts w:ascii="Symbol" w:hAnsi="Symbol"/>
          <w:i/>
          <w:sz w:val="26"/>
        </w:rPr>
        <w:t></w:t>
      </w:r>
      <w:r>
        <w:rPr>
          <w:rFonts w:ascii="Times New Roman" w:hAnsi="Times New Roman"/>
          <w:i/>
          <w:sz w:val="24"/>
        </w:rPr>
        <w:t>I</w:t>
      </w:r>
      <w:r>
        <w:rPr>
          <w:rFonts w:ascii="Times New Roman" w:hAnsi="Times New Roman"/>
          <w:i/>
          <w:position w:val="-5"/>
          <w:sz w:val="14"/>
        </w:rPr>
        <w:t>no </w:t>
      </w:r>
      <w:r>
        <w:rPr>
          <w:rFonts w:ascii="Times New Roman" w:hAnsi="Times New Roman"/>
          <w:position w:val="-5"/>
          <w:sz w:val="14"/>
        </w:rPr>
        <w:t>exp </w:t>
      </w:r>
      <w:r>
        <w:rPr/>
        <w:t>son las desviaciones estándar asociadas a cada una. La incerteza total de la dosis se calcula finalmente con la relación</w:t>
      </w:r>
    </w:p>
    <w:p>
      <w:pPr>
        <w:pStyle w:val="BodyText"/>
        <w:rPr>
          <w:sz w:val="20"/>
        </w:rPr>
      </w:pPr>
    </w:p>
    <w:p>
      <w:pPr>
        <w:pStyle w:val="BodyText"/>
        <w:spacing w:before="9"/>
        <w:rPr>
          <w:sz w:val="19"/>
        </w:rPr>
      </w:pPr>
    </w:p>
    <w:p>
      <w:pPr>
        <w:spacing w:after="0"/>
        <w:rPr>
          <w:sz w:val="19"/>
        </w:rPr>
        <w:sectPr>
          <w:type w:val="continuous"/>
          <w:pgSz w:w="12240" w:h="15840"/>
          <w:pgMar w:top="1380" w:bottom="280" w:left="1600" w:right="1580"/>
        </w:sectPr>
      </w:pPr>
    </w:p>
    <w:p>
      <w:pPr>
        <w:spacing w:before="49"/>
        <w:ind w:left="0" w:right="0" w:firstLine="0"/>
        <w:jc w:val="right"/>
        <w:rPr>
          <w:rFonts w:ascii="Symbol" w:hAnsi="Symbol"/>
          <w:sz w:val="27"/>
        </w:rPr>
      </w:pPr>
      <w:r>
        <w:rPr/>
        <w:pict>
          <v:group style="position:absolute;margin-left:258.526184pt;margin-top:2.852992pt;width:104.05pt;height:21.25pt;mso-position-horizontal-relative:page;mso-position-vertical-relative:paragraph;z-index:2560" coordorigin="5171,57" coordsize="2081,425">
            <v:line style="position:absolute" from="5173,334" to="5212,314" stroked="true" strokeweight=".156305pt" strokecolor="#000000"/>
            <v:line style="position:absolute" from="5202,304" to="5264,468" stroked="true" strokeweight=".158451pt" strokecolor="#000000"/>
            <v:shape style="position:absolute;left:956;top:3252;width:1741;height:378" coordorigin="956,3252" coordsize="1741,378" path="m5275,479l5337,60m5337,59l7250,59e" filled="false" stroked="true" strokeweight=".157252pt" strokecolor="#000000">
              <v:path arrowok="t"/>
            </v:shape>
            <v:shape style="position:absolute;left:5338;top:101;width:782;height:342" type="#_x0000_t202" filled="false" stroked="false">
              <v:textbox inset="0,0,0,0">
                <w:txbxContent>
                  <w:p>
                    <w:pPr>
                      <w:spacing w:line="341" w:lineRule="exact" w:before="0"/>
                      <w:ind w:left="0" w:right="-17" w:firstLine="0"/>
                      <w:jc w:val="left"/>
                      <w:rPr>
                        <w:rFonts w:ascii="Times New Roman" w:hAnsi="Times New Roman"/>
                        <w:sz w:val="27"/>
                      </w:rPr>
                    </w:pPr>
                    <w:r>
                      <w:rPr>
                        <w:rFonts w:ascii="Times New Roman" w:hAnsi="Times New Roman"/>
                        <w:spacing w:val="-9"/>
                        <w:position w:val="7"/>
                        <w:sz w:val="27"/>
                      </w:rPr>
                      <w:t>(</w:t>
                    </w:r>
                    <w:r>
                      <w:rPr>
                        <w:rFonts w:ascii="Symbol" w:hAnsi="Symbol"/>
                        <w:i/>
                        <w:spacing w:val="-9"/>
                        <w:position w:val="7"/>
                        <w:sz w:val="29"/>
                      </w:rPr>
                      <w:t></w:t>
                    </w:r>
                    <w:r>
                      <w:rPr>
                        <w:rFonts w:ascii="Times New Roman" w:hAnsi="Times New Roman"/>
                        <w:i/>
                        <w:spacing w:val="-27"/>
                        <w:position w:val="7"/>
                        <w:sz w:val="29"/>
                      </w:rPr>
                      <w:t> </w:t>
                    </w:r>
                    <w:r>
                      <w:rPr>
                        <w:rFonts w:ascii="Times New Roman" w:hAnsi="Times New Roman"/>
                        <w:i/>
                        <w:spacing w:val="2"/>
                        <w:sz w:val="16"/>
                      </w:rPr>
                      <w:t>ajuste</w:t>
                    </w:r>
                    <w:r>
                      <w:rPr>
                        <w:rFonts w:ascii="Times New Roman" w:hAnsi="Times New Roman"/>
                        <w:spacing w:val="2"/>
                        <w:position w:val="7"/>
                        <w:sz w:val="27"/>
                      </w:rPr>
                      <w:t>)</w:t>
                    </w:r>
                  </w:p>
                </w:txbxContent>
              </v:textbox>
              <w10:wrap type="none"/>
            </v:shape>
            <v:shape style="position:absolute;left:6127;top:87;width:83;height:162" type="#_x0000_t202" filled="false" stroked="false">
              <v:textbox inset="0,0,0,0">
                <w:txbxContent>
                  <w:p>
                    <w:pPr>
                      <w:spacing w:line="162" w:lineRule="exact" w:before="0"/>
                      <w:ind w:left="0" w:right="0" w:firstLine="0"/>
                      <w:jc w:val="left"/>
                      <w:rPr>
                        <w:rFonts w:ascii="Times New Roman"/>
                        <w:sz w:val="16"/>
                      </w:rPr>
                    </w:pPr>
                    <w:r>
                      <w:rPr>
                        <w:rFonts w:ascii="Times New Roman"/>
                        <w:w w:val="103"/>
                        <w:sz w:val="16"/>
                      </w:rPr>
                      <w:t>2</w:t>
                    </w:r>
                  </w:p>
                </w:txbxContent>
              </v:textbox>
              <w10:wrap type="none"/>
            </v:shape>
            <v:shape style="position:absolute;left:6284;top:101;width:718;height:342" type="#_x0000_t202" filled="false" stroked="false">
              <v:textbox inset="0,0,0,0">
                <w:txbxContent>
                  <w:p>
                    <w:pPr>
                      <w:numPr>
                        <w:ilvl w:val="0"/>
                        <w:numId w:val="11"/>
                      </w:numPr>
                      <w:tabs>
                        <w:tab w:pos="204" w:val="left" w:leader="none"/>
                      </w:tabs>
                      <w:spacing w:line="341" w:lineRule="exact" w:before="0"/>
                      <w:ind w:left="203" w:right="0" w:hanging="203"/>
                      <w:jc w:val="left"/>
                      <w:rPr>
                        <w:rFonts w:ascii="Times New Roman" w:hAnsi="Times New Roman"/>
                        <w:sz w:val="16"/>
                      </w:rPr>
                    </w:pPr>
                    <w:r>
                      <w:rPr>
                        <w:rFonts w:ascii="Times New Roman" w:hAnsi="Times New Roman"/>
                        <w:sz w:val="27"/>
                      </w:rPr>
                      <w:t>(</w:t>
                    </w:r>
                    <w:r>
                      <w:rPr>
                        <w:rFonts w:ascii="Symbol" w:hAnsi="Symbol"/>
                        <w:i/>
                        <w:sz w:val="29"/>
                      </w:rPr>
                      <w:t></w:t>
                    </w:r>
                    <w:r>
                      <w:rPr>
                        <w:rFonts w:ascii="Times New Roman" w:hAnsi="Times New Roman"/>
                        <w:position w:val="-6"/>
                        <w:sz w:val="16"/>
                      </w:rPr>
                      <w:t>exp</w:t>
                    </w:r>
                  </w:p>
                </w:txbxContent>
              </v:textbox>
              <w10:wrap type="none"/>
            </v:shape>
            <v:shape style="position:absolute;left:7020;top:87;width:185;height:309" type="#_x0000_t202" filled="false" stroked="false">
              <v:textbox inset="0,0,0,0">
                <w:txbxContent>
                  <w:p>
                    <w:pPr>
                      <w:spacing w:line="308" w:lineRule="exact" w:before="0"/>
                      <w:ind w:left="0" w:right="-14" w:firstLine="0"/>
                      <w:jc w:val="left"/>
                      <w:rPr>
                        <w:rFonts w:ascii="Times New Roman"/>
                        <w:sz w:val="16"/>
                      </w:rPr>
                    </w:pPr>
                    <w:r>
                      <w:rPr>
                        <w:rFonts w:ascii="Times New Roman"/>
                        <w:w w:val="105"/>
                        <w:position w:val="-11"/>
                        <w:sz w:val="27"/>
                      </w:rPr>
                      <w:t>)</w:t>
                    </w:r>
                    <w:r>
                      <w:rPr>
                        <w:rFonts w:ascii="Times New Roman"/>
                        <w:w w:val="105"/>
                        <w:sz w:val="16"/>
                      </w:rPr>
                      <w:t>2</w:t>
                    </w:r>
                  </w:p>
                </w:txbxContent>
              </v:textbox>
              <w10:wrap type="none"/>
            </v:shape>
            <w10:wrap type="none"/>
          </v:group>
        </w:pict>
      </w:r>
      <w:r>
        <w:rPr>
          <w:rFonts w:ascii="Symbol" w:hAnsi="Symbol"/>
          <w:i/>
          <w:position w:val="7"/>
          <w:sz w:val="29"/>
        </w:rPr>
        <w:t></w:t>
      </w:r>
      <w:r>
        <w:rPr>
          <w:rFonts w:ascii="Times New Roman" w:hAnsi="Times New Roman"/>
          <w:i/>
          <w:position w:val="7"/>
          <w:sz w:val="29"/>
        </w:rPr>
        <w:t> </w:t>
      </w:r>
      <w:r>
        <w:rPr>
          <w:rFonts w:ascii="Times New Roman" w:hAnsi="Times New Roman"/>
          <w:i/>
          <w:sz w:val="16"/>
        </w:rPr>
        <w:t>Dtotal </w:t>
      </w:r>
      <w:r>
        <w:rPr>
          <w:rFonts w:ascii="Symbol" w:hAnsi="Symbol"/>
          <w:position w:val="7"/>
          <w:sz w:val="27"/>
        </w:rPr>
        <w:t></w:t>
      </w:r>
    </w:p>
    <w:p>
      <w:pPr>
        <w:pStyle w:val="BodyText"/>
        <w:spacing w:before="165"/>
        <w:ind w:right="118"/>
        <w:jc w:val="right"/>
      </w:pPr>
      <w:r>
        <w:rPr/>
        <w:br w:type="column"/>
      </w:r>
      <w:r>
        <w:rPr/>
        <w:t>(11)</w:t>
      </w:r>
    </w:p>
    <w:p>
      <w:pPr>
        <w:spacing w:after="0"/>
        <w:jc w:val="right"/>
        <w:sectPr>
          <w:type w:val="continuous"/>
          <w:pgSz w:w="12240" w:h="15840"/>
          <w:pgMar w:top="1380" w:bottom="280" w:left="1600" w:right="1580"/>
          <w:cols w:num="2" w:equalWidth="0">
            <w:col w:w="3487" w:space="2482"/>
            <w:col w:w="3091"/>
          </w:cols>
        </w:sectPr>
      </w:pPr>
    </w:p>
    <w:p>
      <w:pPr>
        <w:pStyle w:val="BodyText"/>
        <w:rPr>
          <w:sz w:val="20"/>
        </w:rPr>
      </w:pPr>
    </w:p>
    <w:p>
      <w:pPr>
        <w:pStyle w:val="BodyText"/>
        <w:spacing w:before="4"/>
        <w:rPr>
          <w:sz w:val="24"/>
        </w:rPr>
      </w:pPr>
    </w:p>
    <w:p>
      <w:pPr>
        <w:pStyle w:val="BodyText"/>
        <w:spacing w:before="76"/>
        <w:ind w:left="100" w:right="155"/>
      </w:pPr>
      <w:r>
        <w:rPr/>
        <w:t>En la </w:t>
      </w:r>
      <w:hyperlink w:history="true" w:anchor="_bookmark81">
        <w:r>
          <w:rPr>
            <w:b/>
            <w:sz w:val="20"/>
          </w:rPr>
          <w:t>Tabla 4</w:t>
        </w:r>
      </w:hyperlink>
      <w:r>
        <w:rPr>
          <w:b/>
          <w:sz w:val="20"/>
        </w:rPr>
        <w:t> </w:t>
      </w:r>
      <w:r>
        <w:rPr/>
        <w:t>se muestran los detalles del análisis de incerteza para la función de ajuste</w:t>
      </w:r>
    </w:p>
    <w:p>
      <w:pPr>
        <w:spacing w:after="0"/>
        <w:sectPr>
          <w:type w:val="continuous"/>
          <w:pgSz w:w="12240" w:h="15840"/>
          <w:pgMar w:top="1380" w:bottom="280" w:left="1600" w:right="1580"/>
        </w:sectPr>
      </w:pPr>
    </w:p>
    <w:p>
      <w:pPr>
        <w:pStyle w:val="BodyText"/>
        <w:spacing w:before="9"/>
        <w:rPr>
          <w:sz w:val="17"/>
        </w:rPr>
      </w:pPr>
    </w:p>
    <w:p>
      <w:pPr>
        <w:pStyle w:val="BodyText"/>
        <w:ind w:left="100" w:right="-2"/>
      </w:pPr>
      <w:r>
        <w:rPr/>
        <w:t>polinómica   de   grado  3</w:t>
      </w:r>
    </w:p>
    <w:p>
      <w:pPr>
        <w:spacing w:before="143"/>
        <w:ind w:left="100" w:right="0" w:firstLine="0"/>
        <w:jc w:val="left"/>
        <w:rPr>
          <w:sz w:val="22"/>
        </w:rPr>
      </w:pPr>
      <w:r>
        <w:rPr/>
        <w:br w:type="column"/>
      </w:r>
      <w:r>
        <w:rPr>
          <w:rFonts w:ascii="Times New Roman" w:hAnsi="Times New Roman"/>
          <w:i/>
          <w:position w:val="1"/>
          <w:sz w:val="25"/>
        </w:rPr>
        <w:t>y </w:t>
      </w:r>
      <w:r>
        <w:rPr>
          <w:rFonts w:ascii="Symbol" w:hAnsi="Symbol"/>
          <w:position w:val="1"/>
          <w:sz w:val="25"/>
        </w:rPr>
        <w:t></w:t>
      </w:r>
      <w:r>
        <w:rPr>
          <w:rFonts w:ascii="Times New Roman" w:hAnsi="Times New Roman"/>
          <w:position w:val="1"/>
          <w:sz w:val="25"/>
        </w:rPr>
        <w:t> 2.4875</w:t>
      </w:r>
      <w:r>
        <w:rPr>
          <w:rFonts w:ascii="Times New Roman" w:hAnsi="Times New Roman"/>
          <w:i/>
          <w:position w:val="1"/>
          <w:sz w:val="25"/>
        </w:rPr>
        <w:t>x</w:t>
      </w:r>
      <w:r>
        <w:rPr>
          <w:rFonts w:ascii="Times New Roman" w:hAnsi="Times New Roman"/>
          <w:position w:val="12"/>
          <w:sz w:val="14"/>
        </w:rPr>
        <w:t>3  </w:t>
      </w:r>
      <w:r>
        <w:rPr>
          <w:rFonts w:ascii="Symbol" w:hAnsi="Symbol"/>
          <w:position w:val="1"/>
          <w:sz w:val="25"/>
        </w:rPr>
        <w:t></w:t>
      </w:r>
      <w:r>
        <w:rPr>
          <w:rFonts w:ascii="Times New Roman" w:hAnsi="Times New Roman"/>
          <w:position w:val="1"/>
          <w:sz w:val="25"/>
        </w:rPr>
        <w:t>12.082</w:t>
      </w:r>
      <w:r>
        <w:rPr>
          <w:rFonts w:ascii="Times New Roman" w:hAnsi="Times New Roman"/>
          <w:i/>
          <w:position w:val="1"/>
          <w:sz w:val="25"/>
        </w:rPr>
        <w:t>x</w:t>
      </w:r>
      <w:r>
        <w:rPr>
          <w:rFonts w:ascii="Times New Roman" w:hAnsi="Times New Roman"/>
          <w:position w:val="12"/>
          <w:sz w:val="14"/>
        </w:rPr>
        <w:t>2  </w:t>
      </w:r>
      <w:r>
        <w:rPr>
          <w:rFonts w:ascii="Symbol" w:hAnsi="Symbol"/>
          <w:position w:val="1"/>
          <w:sz w:val="25"/>
        </w:rPr>
        <w:t></w:t>
      </w:r>
      <w:r>
        <w:rPr>
          <w:rFonts w:ascii="Times New Roman" w:hAnsi="Times New Roman"/>
          <w:position w:val="1"/>
          <w:sz w:val="25"/>
        </w:rPr>
        <w:t> 6.241</w:t>
      </w:r>
      <w:r>
        <w:rPr>
          <w:rFonts w:ascii="Times New Roman" w:hAnsi="Times New Roman"/>
          <w:i/>
          <w:position w:val="1"/>
          <w:sz w:val="25"/>
        </w:rPr>
        <w:t>x </w:t>
      </w:r>
      <w:r>
        <w:rPr>
          <w:sz w:val="22"/>
        </w:rPr>
        <w:t>.   Puede  observarse  la  dosis</w:t>
      </w:r>
    </w:p>
    <w:p>
      <w:pPr>
        <w:spacing w:after="0"/>
        <w:jc w:val="left"/>
        <w:rPr>
          <w:sz w:val="22"/>
        </w:rPr>
        <w:sectPr>
          <w:type w:val="continuous"/>
          <w:pgSz w:w="12240" w:h="15840"/>
          <w:pgMar w:top="1380" w:bottom="280" w:left="1600" w:right="1580"/>
          <w:cols w:num="2" w:equalWidth="0">
            <w:col w:w="2544" w:space="104"/>
            <w:col w:w="6412"/>
          </w:cols>
        </w:sectPr>
      </w:pPr>
    </w:p>
    <w:p>
      <w:pPr>
        <w:pStyle w:val="BodyText"/>
        <w:spacing w:before="174"/>
        <w:ind w:left="100" w:right="56"/>
      </w:pPr>
      <w:r>
        <w:rPr/>
        <w:t>impartida,  la  dosis calculada  con  la función  de  ajuste  y el porcentaje de  diferencia,   así</w:t>
      </w:r>
    </w:p>
    <w:p>
      <w:pPr>
        <w:spacing w:after="0"/>
        <w:sectPr>
          <w:type w:val="continuous"/>
          <w:pgSz w:w="12240" w:h="15840"/>
          <w:pgMar w:top="1380" w:bottom="280" w:left="1600" w:right="1580"/>
        </w:sectPr>
      </w:pPr>
    </w:p>
    <w:p>
      <w:pPr>
        <w:pStyle w:val="BodyText"/>
        <w:spacing w:line="360" w:lineRule="auto" w:before="55"/>
        <w:ind w:left="100" w:right="117"/>
        <w:jc w:val="both"/>
      </w:pPr>
      <w:r>
        <w:rPr/>
        <w:t>como los parámetros de incertidumbre experimental, incertidumbre del ajuste e incertidumbre total de la dosis. En general, la incertidumbre total aumenta con la dosis, siendo que la incertidumbre del ajuste polinómico tiene una mayor influencia que el ajuste experimental. En promedio, por debajo de 2 Gy se obtuvo una incerteza total de 4.14 %, lo cual coincide con lo reportado por </w:t>
      </w:r>
      <w:r>
        <w:rPr>
          <w:i/>
        </w:rPr>
        <w:t>Devic et al, </w:t>
      </w:r>
      <w:r>
        <w:rPr/>
        <w:t>en donde la inceteza total se encontró entre 3 y 5 % para peliculas radiocromicas EBT, utilizando diferentes muestras escaneadas varias veces, en el mismo rango de dosis (Devic, et al.,</w:t>
      </w:r>
      <w:r>
        <w:rPr>
          <w:spacing w:val="-17"/>
        </w:rPr>
        <w:t> </w:t>
      </w:r>
      <w:r>
        <w:rPr/>
        <w:t>2005).</w:t>
      </w:r>
    </w:p>
    <w:p>
      <w:pPr>
        <w:pStyle w:val="BodyText"/>
        <w:spacing w:line="247" w:lineRule="exact"/>
        <w:ind w:right="2115"/>
        <w:jc w:val="center"/>
      </w:pPr>
      <w:r>
        <w:rPr/>
        <w:t>.</w:t>
      </w:r>
    </w:p>
    <w:p>
      <w:pPr>
        <w:pStyle w:val="BodyText"/>
        <w:spacing w:before="2"/>
        <w:rPr>
          <w:sz w:val="11"/>
        </w:rPr>
      </w:pPr>
    </w:p>
    <w:tbl>
      <w:tblPr>
        <w:tblW w:w="0" w:type="auto"/>
        <w:jc w:val="left"/>
        <w:tblInd w:w="4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6"/>
        <w:gridCol w:w="1342"/>
        <w:gridCol w:w="1398"/>
        <w:gridCol w:w="1329"/>
        <w:gridCol w:w="1314"/>
        <w:gridCol w:w="1403"/>
      </w:tblGrid>
      <w:tr>
        <w:trPr>
          <w:trHeight w:val="840" w:hRule="exact"/>
        </w:trPr>
        <w:tc>
          <w:tcPr>
            <w:tcW w:w="1376" w:type="dxa"/>
            <w:tcBorders>
              <w:top w:val="single" w:sz="8" w:space="0" w:color="4F81BC"/>
              <w:bottom w:val="single" w:sz="8" w:space="0" w:color="4F81BC"/>
            </w:tcBorders>
          </w:tcPr>
          <w:p>
            <w:pPr>
              <w:pStyle w:val="TableParagraph"/>
              <w:spacing w:line="357" w:lineRule="auto" w:before="34"/>
              <w:ind w:left="108" w:right="114" w:firstLine="256"/>
              <w:jc w:val="left"/>
              <w:rPr>
                <w:b/>
                <w:sz w:val="22"/>
              </w:rPr>
            </w:pPr>
            <w:r>
              <w:rPr>
                <w:b/>
                <w:sz w:val="22"/>
              </w:rPr>
              <w:t>Dosis impartida</w:t>
            </w:r>
          </w:p>
        </w:tc>
        <w:tc>
          <w:tcPr>
            <w:tcW w:w="1342" w:type="dxa"/>
            <w:tcBorders>
              <w:top w:val="single" w:sz="8" w:space="0" w:color="4F81BC"/>
              <w:bottom w:val="single" w:sz="8" w:space="0" w:color="4F81BC"/>
            </w:tcBorders>
          </w:tcPr>
          <w:p>
            <w:pPr>
              <w:pStyle w:val="TableParagraph"/>
              <w:spacing w:line="357" w:lineRule="auto" w:before="34"/>
              <w:ind w:left="136" w:right="113" w:firstLine="224"/>
              <w:jc w:val="left"/>
              <w:rPr>
                <w:b/>
                <w:sz w:val="22"/>
              </w:rPr>
            </w:pPr>
            <w:r>
              <w:rPr>
                <w:b/>
                <w:sz w:val="22"/>
              </w:rPr>
              <w:t>Dosis calculada</w:t>
            </w:r>
          </w:p>
        </w:tc>
        <w:tc>
          <w:tcPr>
            <w:tcW w:w="1398" w:type="dxa"/>
            <w:tcBorders>
              <w:top w:val="single" w:sz="8" w:space="0" w:color="4F81BC"/>
              <w:bottom w:val="single" w:sz="8" w:space="0" w:color="4F81BC"/>
            </w:tcBorders>
          </w:tcPr>
          <w:p>
            <w:pPr>
              <w:pStyle w:val="TableParagraph"/>
              <w:spacing w:before="34"/>
              <w:ind w:left="24"/>
              <w:rPr>
                <w:b/>
                <w:sz w:val="22"/>
              </w:rPr>
            </w:pPr>
            <w:r>
              <w:rPr>
                <w:b/>
                <w:sz w:val="22"/>
              </w:rPr>
              <w:t>%</w:t>
            </w:r>
          </w:p>
          <w:p>
            <w:pPr>
              <w:pStyle w:val="TableParagraph"/>
              <w:spacing w:before="122"/>
              <w:ind w:left="113" w:right="91"/>
              <w:rPr>
                <w:b/>
                <w:sz w:val="22"/>
              </w:rPr>
            </w:pPr>
            <w:r>
              <w:rPr>
                <w:b/>
                <w:sz w:val="22"/>
              </w:rPr>
              <w:t>diferencia</w:t>
            </w:r>
          </w:p>
        </w:tc>
        <w:tc>
          <w:tcPr>
            <w:tcW w:w="1329" w:type="dxa"/>
            <w:tcBorders>
              <w:top w:val="single" w:sz="8" w:space="0" w:color="4F81BC"/>
              <w:bottom w:val="single" w:sz="8" w:space="0" w:color="4F81BC"/>
            </w:tcBorders>
          </w:tcPr>
          <w:p>
            <w:pPr>
              <w:pStyle w:val="TableParagraph"/>
              <w:spacing w:before="206"/>
              <w:ind w:left="93" w:right="95"/>
              <w:rPr>
                <w:b/>
                <w:sz w:val="24"/>
              </w:rPr>
            </w:pPr>
            <w:r>
              <w:rPr>
                <w:b/>
                <w:position w:val="1"/>
                <w:sz w:val="24"/>
              </w:rPr>
              <w:t>σ</w:t>
            </w:r>
            <w:r>
              <w:rPr>
                <w:b/>
                <w:sz w:val="16"/>
              </w:rPr>
              <w:t>exp </w:t>
            </w:r>
            <w:r>
              <w:rPr>
                <w:b/>
                <w:position w:val="1"/>
                <w:sz w:val="24"/>
              </w:rPr>
              <w:t>(%)</w:t>
            </w:r>
          </w:p>
        </w:tc>
        <w:tc>
          <w:tcPr>
            <w:tcW w:w="1314" w:type="dxa"/>
            <w:tcBorders>
              <w:top w:val="single" w:sz="8" w:space="0" w:color="4F81BC"/>
              <w:bottom w:val="single" w:sz="8" w:space="0" w:color="4F81BC"/>
            </w:tcBorders>
          </w:tcPr>
          <w:p>
            <w:pPr>
              <w:pStyle w:val="TableParagraph"/>
              <w:spacing w:before="2"/>
              <w:ind w:left="308" w:right="308"/>
              <w:rPr>
                <w:b/>
                <w:sz w:val="16"/>
              </w:rPr>
            </w:pPr>
            <w:r>
              <w:rPr>
                <w:b/>
                <w:position w:val="1"/>
                <w:sz w:val="24"/>
              </w:rPr>
              <w:t>σ</w:t>
            </w:r>
            <w:r>
              <w:rPr>
                <w:b/>
                <w:sz w:val="16"/>
              </w:rPr>
              <w:t>ajuste</w:t>
            </w:r>
          </w:p>
          <w:p>
            <w:pPr>
              <w:pStyle w:val="TableParagraph"/>
              <w:spacing w:before="133"/>
              <w:ind w:left="308" w:right="299"/>
              <w:rPr>
                <w:b/>
                <w:sz w:val="24"/>
              </w:rPr>
            </w:pPr>
            <w:r>
              <w:rPr>
                <w:b/>
                <w:sz w:val="24"/>
              </w:rPr>
              <w:t>(%)</w:t>
            </w:r>
          </w:p>
        </w:tc>
        <w:tc>
          <w:tcPr>
            <w:tcW w:w="1403" w:type="dxa"/>
            <w:tcBorders>
              <w:top w:val="single" w:sz="8" w:space="0" w:color="4F81BC"/>
              <w:bottom w:val="single" w:sz="8" w:space="0" w:color="4F81BC"/>
            </w:tcBorders>
          </w:tcPr>
          <w:p>
            <w:pPr>
              <w:pStyle w:val="TableParagraph"/>
              <w:spacing w:before="206"/>
              <w:ind w:right="147"/>
              <w:jc w:val="right"/>
              <w:rPr>
                <w:b/>
                <w:sz w:val="24"/>
              </w:rPr>
            </w:pPr>
            <w:r>
              <w:rPr>
                <w:b/>
                <w:position w:val="1"/>
                <w:sz w:val="24"/>
              </w:rPr>
              <w:t>σ</w:t>
            </w:r>
            <w:r>
              <w:rPr>
                <w:b/>
                <w:sz w:val="16"/>
              </w:rPr>
              <w:t>Dtotal</w:t>
            </w:r>
            <w:r>
              <w:rPr>
                <w:b/>
                <w:position w:val="1"/>
                <w:sz w:val="24"/>
              </w:rPr>
              <w:t>(%)</w:t>
            </w:r>
          </w:p>
        </w:tc>
      </w:tr>
      <w:tr>
        <w:trPr>
          <w:trHeight w:val="630" w:hRule="exact"/>
        </w:trPr>
        <w:tc>
          <w:tcPr>
            <w:tcW w:w="1376" w:type="dxa"/>
            <w:tcBorders>
              <w:top w:val="single" w:sz="8" w:space="0" w:color="4F81BC"/>
            </w:tcBorders>
            <w:shd w:val="clear" w:color="auto" w:fill="D2DFED"/>
          </w:tcPr>
          <w:p>
            <w:pPr>
              <w:pStyle w:val="TableParagraph"/>
              <w:spacing w:before="136"/>
              <w:ind w:left="192" w:right="114"/>
              <w:jc w:val="left"/>
              <w:rPr>
                <w:b/>
                <w:sz w:val="20"/>
              </w:rPr>
            </w:pPr>
            <w:r>
              <w:rPr>
                <w:b/>
                <w:sz w:val="20"/>
              </w:rPr>
              <w:t>4.996243</w:t>
            </w:r>
          </w:p>
        </w:tc>
        <w:tc>
          <w:tcPr>
            <w:tcW w:w="1342" w:type="dxa"/>
            <w:tcBorders>
              <w:top w:val="single" w:sz="8" w:space="0" w:color="4F81BC"/>
            </w:tcBorders>
            <w:shd w:val="clear" w:color="auto" w:fill="D2DFED"/>
          </w:tcPr>
          <w:p>
            <w:pPr>
              <w:pStyle w:val="TableParagraph"/>
              <w:spacing w:before="136"/>
              <w:ind w:right="138"/>
              <w:jc w:val="right"/>
              <w:rPr>
                <w:sz w:val="20"/>
              </w:rPr>
            </w:pPr>
            <w:r>
              <w:rPr>
                <w:sz w:val="20"/>
              </w:rPr>
              <w:t>5.00660815</w:t>
            </w:r>
          </w:p>
        </w:tc>
        <w:tc>
          <w:tcPr>
            <w:tcW w:w="1398" w:type="dxa"/>
            <w:tcBorders>
              <w:top w:val="single" w:sz="8" w:space="0" w:color="4F81BC"/>
            </w:tcBorders>
            <w:shd w:val="clear" w:color="auto" w:fill="D2DFED"/>
          </w:tcPr>
          <w:p>
            <w:pPr>
              <w:pStyle w:val="TableParagraph"/>
              <w:spacing w:before="136"/>
              <w:ind w:left="113" w:right="90"/>
              <w:rPr>
                <w:sz w:val="20"/>
              </w:rPr>
            </w:pPr>
            <w:r>
              <w:rPr>
                <w:sz w:val="20"/>
              </w:rPr>
              <w:t>0.20745884</w:t>
            </w:r>
          </w:p>
        </w:tc>
        <w:tc>
          <w:tcPr>
            <w:tcW w:w="1329" w:type="dxa"/>
            <w:tcBorders>
              <w:top w:val="single" w:sz="8" w:space="0" w:color="4F81BC"/>
            </w:tcBorders>
            <w:shd w:val="clear" w:color="auto" w:fill="D2DFED"/>
          </w:tcPr>
          <w:p>
            <w:pPr>
              <w:pStyle w:val="TableParagraph"/>
              <w:spacing w:before="136"/>
              <w:ind w:left="90" w:right="95"/>
              <w:rPr>
                <w:sz w:val="20"/>
              </w:rPr>
            </w:pPr>
            <w:r>
              <w:rPr>
                <w:sz w:val="20"/>
              </w:rPr>
              <w:t>1.0411217</w:t>
            </w:r>
          </w:p>
        </w:tc>
        <w:tc>
          <w:tcPr>
            <w:tcW w:w="1314" w:type="dxa"/>
            <w:tcBorders>
              <w:top w:val="single" w:sz="8" w:space="0" w:color="4F81BC"/>
            </w:tcBorders>
            <w:shd w:val="clear" w:color="auto" w:fill="D2DFED"/>
          </w:tcPr>
          <w:p>
            <w:pPr>
              <w:pStyle w:val="TableParagraph"/>
              <w:spacing w:before="136"/>
              <w:ind w:right="139"/>
              <w:jc w:val="right"/>
              <w:rPr>
                <w:sz w:val="20"/>
              </w:rPr>
            </w:pPr>
            <w:r>
              <w:rPr>
                <w:sz w:val="20"/>
              </w:rPr>
              <w:t>5.55875694</w:t>
            </w:r>
          </w:p>
        </w:tc>
        <w:tc>
          <w:tcPr>
            <w:tcW w:w="1403" w:type="dxa"/>
            <w:tcBorders>
              <w:top w:val="single" w:sz="8" w:space="0" w:color="4F81BC"/>
            </w:tcBorders>
            <w:shd w:val="clear" w:color="auto" w:fill="D2DFED"/>
          </w:tcPr>
          <w:p>
            <w:pPr>
              <w:pStyle w:val="TableParagraph"/>
              <w:spacing w:before="136"/>
              <w:ind w:right="132"/>
              <w:jc w:val="right"/>
              <w:rPr>
                <w:sz w:val="20"/>
              </w:rPr>
            </w:pPr>
            <w:r>
              <w:rPr>
                <w:sz w:val="20"/>
              </w:rPr>
              <w:t>5.655414492</w:t>
            </w:r>
          </w:p>
        </w:tc>
      </w:tr>
      <w:tr>
        <w:trPr>
          <w:trHeight w:val="620" w:hRule="exact"/>
        </w:trPr>
        <w:tc>
          <w:tcPr>
            <w:tcW w:w="1376" w:type="dxa"/>
          </w:tcPr>
          <w:p>
            <w:pPr>
              <w:pStyle w:val="TableParagraph"/>
              <w:spacing w:before="136"/>
              <w:ind w:left="252" w:right="114"/>
              <w:jc w:val="left"/>
              <w:rPr>
                <w:b/>
                <w:sz w:val="20"/>
              </w:rPr>
            </w:pPr>
            <w:r>
              <w:rPr>
                <w:b/>
                <w:sz w:val="20"/>
              </w:rPr>
              <w:t>4.50268</w:t>
            </w:r>
          </w:p>
        </w:tc>
        <w:tc>
          <w:tcPr>
            <w:tcW w:w="1342" w:type="dxa"/>
          </w:tcPr>
          <w:p>
            <w:pPr>
              <w:pStyle w:val="TableParagraph"/>
              <w:spacing w:before="136"/>
              <w:ind w:right="154"/>
              <w:jc w:val="right"/>
              <w:rPr>
                <w:sz w:val="20"/>
              </w:rPr>
            </w:pPr>
            <w:r>
              <w:rPr>
                <w:sz w:val="20"/>
              </w:rPr>
              <w:t>4.50034011</w:t>
            </w:r>
          </w:p>
        </w:tc>
        <w:tc>
          <w:tcPr>
            <w:tcW w:w="1398" w:type="dxa"/>
          </w:tcPr>
          <w:p>
            <w:pPr>
              <w:pStyle w:val="TableParagraph"/>
              <w:spacing w:before="136"/>
              <w:ind w:left="109" w:right="91"/>
              <w:rPr>
                <w:sz w:val="20"/>
              </w:rPr>
            </w:pPr>
            <w:r>
              <w:rPr>
                <w:sz w:val="20"/>
              </w:rPr>
              <w:t>0.05196662</w:t>
            </w:r>
          </w:p>
        </w:tc>
        <w:tc>
          <w:tcPr>
            <w:tcW w:w="1329" w:type="dxa"/>
          </w:tcPr>
          <w:p>
            <w:pPr>
              <w:pStyle w:val="TableParagraph"/>
              <w:spacing w:before="136"/>
              <w:ind w:left="86" w:right="95"/>
              <w:rPr>
                <w:sz w:val="20"/>
              </w:rPr>
            </w:pPr>
            <w:r>
              <w:rPr>
                <w:sz w:val="20"/>
              </w:rPr>
              <w:t>1.0398577</w:t>
            </w:r>
          </w:p>
        </w:tc>
        <w:tc>
          <w:tcPr>
            <w:tcW w:w="1314" w:type="dxa"/>
          </w:tcPr>
          <w:p>
            <w:pPr>
              <w:pStyle w:val="TableParagraph"/>
              <w:spacing w:before="136"/>
              <w:ind w:right="116"/>
              <w:jc w:val="right"/>
              <w:rPr>
                <w:sz w:val="20"/>
              </w:rPr>
            </w:pPr>
            <w:r>
              <w:rPr>
                <w:sz w:val="20"/>
              </w:rPr>
              <w:t>5.28220668</w:t>
            </w:r>
          </w:p>
        </w:tc>
        <w:tc>
          <w:tcPr>
            <w:tcW w:w="1403" w:type="dxa"/>
          </w:tcPr>
          <w:p>
            <w:pPr>
              <w:pStyle w:val="TableParagraph"/>
              <w:spacing w:before="136"/>
              <w:ind w:right="118"/>
              <w:jc w:val="right"/>
              <w:rPr>
                <w:sz w:val="20"/>
              </w:rPr>
            </w:pPr>
            <w:r>
              <w:rPr>
                <w:sz w:val="20"/>
              </w:rPr>
              <w:t>5.383587224</w:t>
            </w:r>
          </w:p>
        </w:tc>
      </w:tr>
      <w:tr>
        <w:trPr>
          <w:trHeight w:val="620" w:hRule="exact"/>
        </w:trPr>
        <w:tc>
          <w:tcPr>
            <w:tcW w:w="1376" w:type="dxa"/>
            <w:shd w:val="clear" w:color="auto" w:fill="D2DFED"/>
          </w:tcPr>
          <w:p>
            <w:pPr>
              <w:pStyle w:val="TableParagraph"/>
              <w:spacing w:before="136"/>
              <w:ind w:left="175" w:right="114"/>
              <w:jc w:val="left"/>
              <w:rPr>
                <w:b/>
                <w:sz w:val="20"/>
              </w:rPr>
            </w:pPr>
            <w:r>
              <w:rPr>
                <w:b/>
                <w:sz w:val="20"/>
              </w:rPr>
              <w:t>4.000458</w:t>
            </w:r>
          </w:p>
        </w:tc>
        <w:tc>
          <w:tcPr>
            <w:tcW w:w="1342" w:type="dxa"/>
            <w:shd w:val="clear" w:color="auto" w:fill="D2DFED"/>
          </w:tcPr>
          <w:p>
            <w:pPr>
              <w:pStyle w:val="TableParagraph"/>
              <w:spacing w:before="136"/>
              <w:ind w:right="174"/>
              <w:jc w:val="right"/>
              <w:rPr>
                <w:sz w:val="20"/>
              </w:rPr>
            </w:pPr>
            <w:r>
              <w:rPr>
                <w:sz w:val="20"/>
              </w:rPr>
              <w:t>3.96513145</w:t>
            </w:r>
          </w:p>
        </w:tc>
        <w:tc>
          <w:tcPr>
            <w:tcW w:w="1398" w:type="dxa"/>
            <w:shd w:val="clear" w:color="auto" w:fill="D2DFED"/>
          </w:tcPr>
          <w:p>
            <w:pPr>
              <w:pStyle w:val="TableParagraph"/>
              <w:spacing w:before="136"/>
              <w:ind w:left="110" w:right="91"/>
              <w:rPr>
                <w:sz w:val="20"/>
              </w:rPr>
            </w:pPr>
            <w:r>
              <w:rPr>
                <w:sz w:val="20"/>
              </w:rPr>
              <w:t>0.88306269</w:t>
            </w:r>
          </w:p>
        </w:tc>
        <w:tc>
          <w:tcPr>
            <w:tcW w:w="1329" w:type="dxa"/>
            <w:shd w:val="clear" w:color="auto" w:fill="D2DFED"/>
          </w:tcPr>
          <w:p>
            <w:pPr>
              <w:pStyle w:val="TableParagraph"/>
              <w:spacing w:before="136"/>
              <w:ind w:left="87" w:right="95"/>
              <w:rPr>
                <w:sz w:val="20"/>
              </w:rPr>
            </w:pPr>
            <w:r>
              <w:rPr>
                <w:sz w:val="20"/>
              </w:rPr>
              <w:t>1.05404554</w:t>
            </w:r>
          </w:p>
        </w:tc>
        <w:tc>
          <w:tcPr>
            <w:tcW w:w="1314" w:type="dxa"/>
            <w:shd w:val="clear" w:color="auto" w:fill="D2DFED"/>
          </w:tcPr>
          <w:p>
            <w:pPr>
              <w:pStyle w:val="TableParagraph"/>
              <w:spacing w:before="136"/>
              <w:ind w:right="134"/>
              <w:jc w:val="right"/>
              <w:rPr>
                <w:sz w:val="20"/>
              </w:rPr>
            </w:pPr>
            <w:r>
              <w:rPr>
                <w:sz w:val="20"/>
              </w:rPr>
              <w:t>4.97756664</w:t>
            </w:r>
          </w:p>
        </w:tc>
        <w:tc>
          <w:tcPr>
            <w:tcW w:w="1403" w:type="dxa"/>
            <w:shd w:val="clear" w:color="auto" w:fill="D2DFED"/>
          </w:tcPr>
          <w:p>
            <w:pPr>
              <w:pStyle w:val="TableParagraph"/>
              <w:spacing w:before="136"/>
              <w:ind w:right="128"/>
              <w:jc w:val="right"/>
              <w:rPr>
                <w:sz w:val="20"/>
              </w:rPr>
            </w:pPr>
            <w:r>
              <w:rPr>
                <w:sz w:val="20"/>
              </w:rPr>
              <w:t>5.087944741</w:t>
            </w:r>
          </w:p>
        </w:tc>
      </w:tr>
      <w:tr>
        <w:trPr>
          <w:trHeight w:val="621" w:hRule="exact"/>
        </w:trPr>
        <w:tc>
          <w:tcPr>
            <w:tcW w:w="1376" w:type="dxa"/>
          </w:tcPr>
          <w:p>
            <w:pPr>
              <w:pStyle w:val="TableParagraph"/>
              <w:spacing w:before="137"/>
              <w:ind w:left="192" w:right="114"/>
              <w:jc w:val="left"/>
              <w:rPr>
                <w:b/>
                <w:sz w:val="20"/>
              </w:rPr>
            </w:pPr>
            <w:r>
              <w:rPr>
                <w:b/>
                <w:sz w:val="20"/>
              </w:rPr>
              <w:t>3.498236</w:t>
            </w:r>
          </w:p>
        </w:tc>
        <w:tc>
          <w:tcPr>
            <w:tcW w:w="1342" w:type="dxa"/>
          </w:tcPr>
          <w:p>
            <w:pPr>
              <w:pStyle w:val="TableParagraph"/>
              <w:spacing w:before="137"/>
              <w:ind w:right="163"/>
              <w:jc w:val="right"/>
              <w:rPr>
                <w:sz w:val="20"/>
              </w:rPr>
            </w:pPr>
            <w:r>
              <w:rPr>
                <w:sz w:val="20"/>
              </w:rPr>
              <w:t>3.51433529</w:t>
            </w:r>
          </w:p>
        </w:tc>
        <w:tc>
          <w:tcPr>
            <w:tcW w:w="1398" w:type="dxa"/>
          </w:tcPr>
          <w:p>
            <w:pPr>
              <w:pStyle w:val="TableParagraph"/>
              <w:spacing w:before="137"/>
              <w:ind w:left="106" w:right="91"/>
              <w:rPr>
                <w:sz w:val="20"/>
              </w:rPr>
            </w:pPr>
            <w:r>
              <w:rPr>
                <w:sz w:val="20"/>
              </w:rPr>
              <w:t>0.46021159</w:t>
            </w:r>
          </w:p>
        </w:tc>
        <w:tc>
          <w:tcPr>
            <w:tcW w:w="1329" w:type="dxa"/>
          </w:tcPr>
          <w:p>
            <w:pPr>
              <w:pStyle w:val="TableParagraph"/>
              <w:spacing w:before="137"/>
              <w:ind w:left="84" w:right="95"/>
              <w:rPr>
                <w:sz w:val="20"/>
              </w:rPr>
            </w:pPr>
            <w:r>
              <w:rPr>
                <w:sz w:val="20"/>
              </w:rPr>
              <w:t>1.08932593</w:t>
            </w:r>
          </w:p>
        </w:tc>
        <w:tc>
          <w:tcPr>
            <w:tcW w:w="1314" w:type="dxa"/>
          </w:tcPr>
          <w:p>
            <w:pPr>
              <w:pStyle w:val="TableParagraph"/>
              <w:spacing w:before="137"/>
              <w:ind w:right="190"/>
              <w:jc w:val="right"/>
              <w:rPr>
                <w:sz w:val="20"/>
              </w:rPr>
            </w:pPr>
            <w:r>
              <w:rPr>
                <w:sz w:val="20"/>
              </w:rPr>
              <w:t>4.7100365</w:t>
            </w:r>
          </w:p>
        </w:tc>
        <w:tc>
          <w:tcPr>
            <w:tcW w:w="1403" w:type="dxa"/>
          </w:tcPr>
          <w:p>
            <w:pPr>
              <w:pStyle w:val="TableParagraph"/>
              <w:spacing w:before="137"/>
              <w:ind w:right="124"/>
              <w:jc w:val="right"/>
              <w:rPr>
                <w:sz w:val="20"/>
              </w:rPr>
            </w:pPr>
            <w:r>
              <w:rPr>
                <w:sz w:val="20"/>
              </w:rPr>
              <w:t>4.834363951</w:t>
            </w:r>
          </w:p>
        </w:tc>
      </w:tr>
      <w:tr>
        <w:trPr>
          <w:trHeight w:val="620" w:hRule="exact"/>
        </w:trPr>
        <w:tc>
          <w:tcPr>
            <w:tcW w:w="1376" w:type="dxa"/>
            <w:shd w:val="clear" w:color="auto" w:fill="D2DFED"/>
          </w:tcPr>
          <w:p>
            <w:pPr>
              <w:pStyle w:val="TableParagraph"/>
              <w:spacing w:before="136"/>
              <w:ind w:left="200" w:right="114"/>
              <w:jc w:val="left"/>
              <w:rPr>
                <w:b/>
                <w:sz w:val="20"/>
              </w:rPr>
            </w:pPr>
            <w:r>
              <w:rPr>
                <w:b/>
                <w:sz w:val="20"/>
              </w:rPr>
              <w:t>2.996014</w:t>
            </w:r>
          </w:p>
        </w:tc>
        <w:tc>
          <w:tcPr>
            <w:tcW w:w="1342" w:type="dxa"/>
            <w:shd w:val="clear" w:color="auto" w:fill="D2DFED"/>
          </w:tcPr>
          <w:p>
            <w:pPr>
              <w:pStyle w:val="TableParagraph"/>
              <w:spacing w:before="136"/>
              <w:ind w:right="151"/>
              <w:jc w:val="right"/>
              <w:rPr>
                <w:sz w:val="20"/>
              </w:rPr>
            </w:pPr>
            <w:r>
              <w:rPr>
                <w:sz w:val="20"/>
              </w:rPr>
              <w:t>3.01821824</w:t>
            </w:r>
          </w:p>
        </w:tc>
        <w:tc>
          <w:tcPr>
            <w:tcW w:w="1398" w:type="dxa"/>
            <w:shd w:val="clear" w:color="auto" w:fill="D2DFED"/>
          </w:tcPr>
          <w:p>
            <w:pPr>
              <w:pStyle w:val="TableParagraph"/>
              <w:spacing w:before="136"/>
              <w:ind w:left="111" w:right="91"/>
              <w:rPr>
                <w:sz w:val="20"/>
              </w:rPr>
            </w:pPr>
            <w:r>
              <w:rPr>
                <w:sz w:val="20"/>
              </w:rPr>
              <w:t>0.74112609</w:t>
            </w:r>
          </w:p>
        </w:tc>
        <w:tc>
          <w:tcPr>
            <w:tcW w:w="1329" w:type="dxa"/>
            <w:shd w:val="clear" w:color="auto" w:fill="D2DFED"/>
          </w:tcPr>
          <w:p>
            <w:pPr>
              <w:pStyle w:val="TableParagraph"/>
              <w:spacing w:before="136"/>
              <w:ind w:left="89" w:right="95"/>
              <w:rPr>
                <w:sz w:val="20"/>
              </w:rPr>
            </w:pPr>
            <w:r>
              <w:rPr>
                <w:sz w:val="20"/>
              </w:rPr>
              <w:t>1.15423982</w:t>
            </w:r>
          </w:p>
        </w:tc>
        <w:tc>
          <w:tcPr>
            <w:tcW w:w="1314" w:type="dxa"/>
            <w:shd w:val="clear" w:color="auto" w:fill="D2DFED"/>
          </w:tcPr>
          <w:p>
            <w:pPr>
              <w:pStyle w:val="TableParagraph"/>
              <w:spacing w:before="136"/>
              <w:ind w:right="134"/>
              <w:jc w:val="right"/>
              <w:rPr>
                <w:sz w:val="20"/>
              </w:rPr>
            </w:pPr>
            <w:r>
              <w:rPr>
                <w:sz w:val="20"/>
              </w:rPr>
              <w:t>4.40271605</w:t>
            </w:r>
          </w:p>
        </w:tc>
        <w:tc>
          <w:tcPr>
            <w:tcW w:w="1403" w:type="dxa"/>
            <w:shd w:val="clear" w:color="auto" w:fill="D2DFED"/>
          </w:tcPr>
          <w:p>
            <w:pPr>
              <w:pStyle w:val="TableParagraph"/>
              <w:spacing w:before="136"/>
              <w:ind w:right="125"/>
              <w:jc w:val="right"/>
              <w:rPr>
                <w:sz w:val="20"/>
              </w:rPr>
            </w:pPr>
            <w:r>
              <w:rPr>
                <w:sz w:val="20"/>
              </w:rPr>
              <w:t>4.551502846</w:t>
            </w:r>
          </w:p>
        </w:tc>
      </w:tr>
      <w:tr>
        <w:trPr>
          <w:trHeight w:val="620" w:hRule="exact"/>
        </w:trPr>
        <w:tc>
          <w:tcPr>
            <w:tcW w:w="1376" w:type="dxa"/>
          </w:tcPr>
          <w:p>
            <w:pPr>
              <w:pStyle w:val="TableParagraph"/>
              <w:spacing w:before="136"/>
              <w:ind w:left="344" w:right="114"/>
              <w:jc w:val="left"/>
              <w:rPr>
                <w:b/>
                <w:sz w:val="20"/>
              </w:rPr>
            </w:pPr>
            <w:r>
              <w:rPr>
                <w:b/>
                <w:sz w:val="20"/>
              </w:rPr>
              <w:t>2.5977</w:t>
            </w:r>
          </w:p>
        </w:tc>
        <w:tc>
          <w:tcPr>
            <w:tcW w:w="1342" w:type="dxa"/>
          </w:tcPr>
          <w:p>
            <w:pPr>
              <w:pStyle w:val="TableParagraph"/>
              <w:spacing w:before="136"/>
              <w:ind w:right="158"/>
              <w:jc w:val="right"/>
              <w:rPr>
                <w:sz w:val="20"/>
              </w:rPr>
            </w:pPr>
            <w:r>
              <w:rPr>
                <w:sz w:val="20"/>
              </w:rPr>
              <w:t>2.59010136</w:t>
            </w:r>
          </w:p>
        </w:tc>
        <w:tc>
          <w:tcPr>
            <w:tcW w:w="1398" w:type="dxa"/>
          </w:tcPr>
          <w:p>
            <w:pPr>
              <w:pStyle w:val="TableParagraph"/>
              <w:spacing w:before="136"/>
              <w:ind w:left="107" w:right="91"/>
              <w:rPr>
                <w:sz w:val="20"/>
              </w:rPr>
            </w:pPr>
            <w:r>
              <w:rPr>
                <w:sz w:val="20"/>
              </w:rPr>
              <w:t>0.29251406</w:t>
            </w:r>
          </w:p>
        </w:tc>
        <w:tc>
          <w:tcPr>
            <w:tcW w:w="1329" w:type="dxa"/>
          </w:tcPr>
          <w:p>
            <w:pPr>
              <w:pStyle w:val="TableParagraph"/>
              <w:spacing w:before="136"/>
              <w:ind w:left="90" w:right="95"/>
              <w:rPr>
                <w:sz w:val="20"/>
              </w:rPr>
            </w:pPr>
            <w:r>
              <w:rPr>
                <w:sz w:val="20"/>
              </w:rPr>
              <w:t>1.18195462</w:t>
            </w:r>
          </w:p>
        </w:tc>
        <w:tc>
          <w:tcPr>
            <w:tcW w:w="1314" w:type="dxa"/>
          </w:tcPr>
          <w:p>
            <w:pPr>
              <w:pStyle w:val="TableParagraph"/>
              <w:spacing w:before="136"/>
              <w:ind w:right="147"/>
              <w:jc w:val="right"/>
              <w:rPr>
                <w:sz w:val="20"/>
              </w:rPr>
            </w:pPr>
            <w:r>
              <w:rPr>
                <w:sz w:val="20"/>
              </w:rPr>
              <w:t>4.12565784</w:t>
            </w:r>
          </w:p>
        </w:tc>
        <w:tc>
          <w:tcPr>
            <w:tcW w:w="1403" w:type="dxa"/>
          </w:tcPr>
          <w:p>
            <w:pPr>
              <w:pStyle w:val="TableParagraph"/>
              <w:spacing w:before="136"/>
              <w:ind w:right="144"/>
              <w:jc w:val="right"/>
              <w:rPr>
                <w:sz w:val="20"/>
              </w:rPr>
            </w:pPr>
            <w:r>
              <w:rPr>
                <w:sz w:val="20"/>
              </w:rPr>
              <w:t>4.291627815</w:t>
            </w:r>
          </w:p>
        </w:tc>
      </w:tr>
      <w:tr>
        <w:trPr>
          <w:trHeight w:val="620" w:hRule="exact"/>
        </w:trPr>
        <w:tc>
          <w:tcPr>
            <w:tcW w:w="1376" w:type="dxa"/>
            <w:shd w:val="clear" w:color="auto" w:fill="D2DFED"/>
          </w:tcPr>
          <w:p>
            <w:pPr>
              <w:pStyle w:val="TableParagraph"/>
              <w:spacing w:before="136"/>
              <w:ind w:left="192" w:right="114"/>
              <w:jc w:val="left"/>
              <w:rPr>
                <w:b/>
                <w:sz w:val="20"/>
              </w:rPr>
            </w:pPr>
            <w:r>
              <w:rPr>
                <w:b/>
                <w:sz w:val="20"/>
              </w:rPr>
              <w:t>2.303294</w:t>
            </w:r>
          </w:p>
        </w:tc>
        <w:tc>
          <w:tcPr>
            <w:tcW w:w="1342" w:type="dxa"/>
            <w:shd w:val="clear" w:color="auto" w:fill="D2DFED"/>
          </w:tcPr>
          <w:p>
            <w:pPr>
              <w:pStyle w:val="TableParagraph"/>
              <w:spacing w:before="136"/>
              <w:ind w:right="154"/>
              <w:jc w:val="right"/>
              <w:rPr>
                <w:sz w:val="20"/>
              </w:rPr>
            </w:pPr>
            <w:r>
              <w:rPr>
                <w:sz w:val="20"/>
              </w:rPr>
              <w:t>2.31063255</w:t>
            </w:r>
          </w:p>
        </w:tc>
        <w:tc>
          <w:tcPr>
            <w:tcW w:w="1398" w:type="dxa"/>
            <w:shd w:val="clear" w:color="auto" w:fill="D2DFED"/>
          </w:tcPr>
          <w:p>
            <w:pPr>
              <w:pStyle w:val="TableParagraph"/>
              <w:spacing w:before="136"/>
              <w:ind w:left="111" w:right="91"/>
              <w:rPr>
                <w:sz w:val="20"/>
              </w:rPr>
            </w:pPr>
            <w:r>
              <w:rPr>
                <w:sz w:val="20"/>
              </w:rPr>
              <w:t>0.3186111</w:t>
            </w:r>
          </w:p>
        </w:tc>
        <w:tc>
          <w:tcPr>
            <w:tcW w:w="1329" w:type="dxa"/>
            <w:shd w:val="clear" w:color="auto" w:fill="D2DFED"/>
          </w:tcPr>
          <w:p>
            <w:pPr>
              <w:pStyle w:val="TableParagraph"/>
              <w:spacing w:before="136"/>
              <w:ind w:left="90" w:right="95"/>
              <w:rPr>
                <w:sz w:val="20"/>
              </w:rPr>
            </w:pPr>
            <w:r>
              <w:rPr>
                <w:sz w:val="20"/>
              </w:rPr>
              <w:t>1.2391245</w:t>
            </w:r>
          </w:p>
        </w:tc>
        <w:tc>
          <w:tcPr>
            <w:tcW w:w="1314" w:type="dxa"/>
            <w:shd w:val="clear" w:color="auto" w:fill="D2DFED"/>
          </w:tcPr>
          <w:p>
            <w:pPr>
              <w:pStyle w:val="TableParagraph"/>
              <w:spacing w:before="136"/>
              <w:ind w:right="115"/>
              <w:jc w:val="right"/>
              <w:rPr>
                <w:sz w:val="20"/>
              </w:rPr>
            </w:pPr>
            <w:r>
              <w:rPr>
                <w:sz w:val="20"/>
              </w:rPr>
              <w:t>3.93859805</w:t>
            </w:r>
          </w:p>
        </w:tc>
        <w:tc>
          <w:tcPr>
            <w:tcW w:w="1403" w:type="dxa"/>
            <w:shd w:val="clear" w:color="auto" w:fill="D2DFED"/>
          </w:tcPr>
          <w:p>
            <w:pPr>
              <w:pStyle w:val="TableParagraph"/>
              <w:spacing w:before="136"/>
              <w:ind w:right="126"/>
              <w:jc w:val="right"/>
              <w:rPr>
                <w:sz w:val="20"/>
              </w:rPr>
            </w:pPr>
            <w:r>
              <w:rPr>
                <w:sz w:val="20"/>
              </w:rPr>
              <w:t>4.128920457</w:t>
            </w:r>
          </w:p>
        </w:tc>
      </w:tr>
      <w:tr>
        <w:trPr>
          <w:trHeight w:val="620" w:hRule="exact"/>
        </w:trPr>
        <w:tc>
          <w:tcPr>
            <w:tcW w:w="1376" w:type="dxa"/>
          </w:tcPr>
          <w:p>
            <w:pPr>
              <w:pStyle w:val="TableParagraph"/>
              <w:spacing w:before="136"/>
              <w:ind w:left="180" w:right="114"/>
              <w:jc w:val="left"/>
              <w:rPr>
                <w:b/>
                <w:sz w:val="20"/>
              </w:rPr>
            </w:pPr>
            <w:r>
              <w:rPr>
                <w:b/>
                <w:sz w:val="20"/>
              </w:rPr>
              <w:t>2.000229</w:t>
            </w:r>
          </w:p>
        </w:tc>
        <w:tc>
          <w:tcPr>
            <w:tcW w:w="1342" w:type="dxa"/>
          </w:tcPr>
          <w:p>
            <w:pPr>
              <w:pStyle w:val="TableParagraph"/>
              <w:spacing w:before="136"/>
              <w:ind w:right="230"/>
              <w:jc w:val="right"/>
              <w:rPr>
                <w:sz w:val="20"/>
              </w:rPr>
            </w:pPr>
            <w:r>
              <w:rPr>
                <w:sz w:val="20"/>
              </w:rPr>
              <w:t>1.9927915</w:t>
            </w:r>
          </w:p>
        </w:tc>
        <w:tc>
          <w:tcPr>
            <w:tcW w:w="1398" w:type="dxa"/>
          </w:tcPr>
          <w:p>
            <w:pPr>
              <w:pStyle w:val="TableParagraph"/>
              <w:spacing w:before="136"/>
              <w:ind w:left="111" w:right="91"/>
              <w:rPr>
                <w:sz w:val="20"/>
              </w:rPr>
            </w:pPr>
            <w:r>
              <w:rPr>
                <w:sz w:val="20"/>
              </w:rPr>
              <w:t>0.37183223</w:t>
            </w:r>
          </w:p>
        </w:tc>
        <w:tc>
          <w:tcPr>
            <w:tcW w:w="1329" w:type="dxa"/>
          </w:tcPr>
          <w:p>
            <w:pPr>
              <w:pStyle w:val="TableParagraph"/>
              <w:spacing w:before="136"/>
              <w:ind w:left="88" w:right="95"/>
              <w:rPr>
                <w:sz w:val="20"/>
              </w:rPr>
            </w:pPr>
            <w:r>
              <w:rPr>
                <w:sz w:val="20"/>
              </w:rPr>
              <w:t>1.31169961</w:t>
            </w:r>
          </w:p>
        </w:tc>
        <w:tc>
          <w:tcPr>
            <w:tcW w:w="1314" w:type="dxa"/>
          </w:tcPr>
          <w:p>
            <w:pPr>
              <w:pStyle w:val="TableParagraph"/>
              <w:spacing w:before="136"/>
              <w:ind w:right="114"/>
              <w:jc w:val="right"/>
              <w:rPr>
                <w:sz w:val="20"/>
              </w:rPr>
            </w:pPr>
            <w:r>
              <w:rPr>
                <w:sz w:val="20"/>
              </w:rPr>
              <w:t>3.72007083</w:t>
            </w:r>
          </w:p>
        </w:tc>
        <w:tc>
          <w:tcPr>
            <w:tcW w:w="1403" w:type="dxa"/>
          </w:tcPr>
          <w:p>
            <w:pPr>
              <w:pStyle w:val="TableParagraph"/>
              <w:spacing w:before="136"/>
              <w:ind w:right="125"/>
              <w:jc w:val="right"/>
              <w:rPr>
                <w:sz w:val="20"/>
              </w:rPr>
            </w:pPr>
            <w:r>
              <w:rPr>
                <w:sz w:val="20"/>
              </w:rPr>
              <w:t>3.944551029</w:t>
            </w:r>
          </w:p>
        </w:tc>
      </w:tr>
      <w:tr>
        <w:trPr>
          <w:trHeight w:val="620" w:hRule="exact"/>
        </w:trPr>
        <w:tc>
          <w:tcPr>
            <w:tcW w:w="1376" w:type="dxa"/>
            <w:shd w:val="clear" w:color="auto" w:fill="D2DFED"/>
          </w:tcPr>
          <w:p>
            <w:pPr>
              <w:pStyle w:val="TableParagraph"/>
              <w:spacing w:before="136"/>
              <w:ind w:left="236" w:right="114"/>
              <w:jc w:val="left"/>
              <w:rPr>
                <w:b/>
                <w:sz w:val="20"/>
              </w:rPr>
            </w:pPr>
            <w:r>
              <w:rPr>
                <w:b/>
                <w:sz w:val="20"/>
              </w:rPr>
              <w:t>1.601915</w:t>
            </w:r>
          </w:p>
        </w:tc>
        <w:tc>
          <w:tcPr>
            <w:tcW w:w="1342" w:type="dxa"/>
            <w:shd w:val="clear" w:color="auto" w:fill="D2DFED"/>
          </w:tcPr>
          <w:p>
            <w:pPr>
              <w:pStyle w:val="TableParagraph"/>
              <w:spacing w:before="136"/>
              <w:ind w:right="168"/>
              <w:jc w:val="right"/>
              <w:rPr>
                <w:sz w:val="20"/>
              </w:rPr>
            </w:pPr>
            <w:r>
              <w:rPr>
                <w:sz w:val="20"/>
              </w:rPr>
              <w:t>1.59031522</w:t>
            </w:r>
          </w:p>
        </w:tc>
        <w:tc>
          <w:tcPr>
            <w:tcW w:w="1398" w:type="dxa"/>
            <w:shd w:val="clear" w:color="auto" w:fill="D2DFED"/>
          </w:tcPr>
          <w:p>
            <w:pPr>
              <w:pStyle w:val="TableParagraph"/>
              <w:spacing w:before="136"/>
              <w:ind w:left="107" w:right="91"/>
              <w:rPr>
                <w:sz w:val="20"/>
              </w:rPr>
            </w:pPr>
            <w:r>
              <w:rPr>
                <w:sz w:val="20"/>
              </w:rPr>
              <w:t>0.72411949</w:t>
            </w:r>
          </w:p>
        </w:tc>
        <w:tc>
          <w:tcPr>
            <w:tcW w:w="1329" w:type="dxa"/>
            <w:shd w:val="clear" w:color="auto" w:fill="D2DFED"/>
          </w:tcPr>
          <w:p>
            <w:pPr>
              <w:pStyle w:val="TableParagraph"/>
              <w:spacing w:before="136"/>
              <w:ind w:left="92" w:right="95"/>
              <w:rPr>
                <w:sz w:val="20"/>
              </w:rPr>
            </w:pPr>
            <w:r>
              <w:rPr>
                <w:sz w:val="20"/>
              </w:rPr>
              <w:t>1.54640101</w:t>
            </w:r>
          </w:p>
        </w:tc>
        <w:tc>
          <w:tcPr>
            <w:tcW w:w="1314" w:type="dxa"/>
            <w:shd w:val="clear" w:color="auto" w:fill="D2DFED"/>
          </w:tcPr>
          <w:p>
            <w:pPr>
              <w:pStyle w:val="TableParagraph"/>
              <w:spacing w:before="136"/>
              <w:ind w:right="139"/>
              <w:jc w:val="right"/>
              <w:rPr>
                <w:sz w:val="20"/>
              </w:rPr>
            </w:pPr>
            <w:r>
              <w:rPr>
                <w:sz w:val="20"/>
              </w:rPr>
              <w:t>3.43626154</w:t>
            </w:r>
          </w:p>
        </w:tc>
        <w:tc>
          <w:tcPr>
            <w:tcW w:w="1403" w:type="dxa"/>
            <w:shd w:val="clear" w:color="auto" w:fill="D2DFED"/>
          </w:tcPr>
          <w:p>
            <w:pPr>
              <w:pStyle w:val="TableParagraph"/>
              <w:spacing w:before="136"/>
              <w:ind w:left="198"/>
              <w:jc w:val="left"/>
              <w:rPr>
                <w:sz w:val="20"/>
              </w:rPr>
            </w:pPr>
            <w:r>
              <w:rPr>
                <w:sz w:val="20"/>
              </w:rPr>
              <w:t>3.76818915</w:t>
            </w:r>
          </w:p>
        </w:tc>
      </w:tr>
      <w:tr>
        <w:trPr>
          <w:trHeight w:val="620" w:hRule="exact"/>
        </w:trPr>
        <w:tc>
          <w:tcPr>
            <w:tcW w:w="1376" w:type="dxa"/>
          </w:tcPr>
          <w:p>
            <w:pPr>
              <w:pStyle w:val="TableParagraph"/>
              <w:spacing w:before="136"/>
              <w:ind w:left="272" w:right="114"/>
              <w:jc w:val="left"/>
              <w:rPr>
                <w:b/>
                <w:sz w:val="20"/>
              </w:rPr>
            </w:pPr>
            <w:r>
              <w:rPr>
                <w:b/>
                <w:sz w:val="20"/>
              </w:rPr>
              <w:t>1.29885</w:t>
            </w:r>
          </w:p>
        </w:tc>
        <w:tc>
          <w:tcPr>
            <w:tcW w:w="1342" w:type="dxa"/>
          </w:tcPr>
          <w:p>
            <w:pPr>
              <w:pStyle w:val="TableParagraph"/>
              <w:spacing w:before="136"/>
              <w:ind w:right="136"/>
              <w:jc w:val="right"/>
              <w:rPr>
                <w:sz w:val="20"/>
              </w:rPr>
            </w:pPr>
            <w:r>
              <w:rPr>
                <w:sz w:val="20"/>
              </w:rPr>
              <w:t>1.30220248</w:t>
            </w:r>
          </w:p>
        </w:tc>
        <w:tc>
          <w:tcPr>
            <w:tcW w:w="1398" w:type="dxa"/>
          </w:tcPr>
          <w:p>
            <w:pPr>
              <w:pStyle w:val="TableParagraph"/>
              <w:spacing w:before="136"/>
              <w:ind w:left="104" w:right="91"/>
              <w:rPr>
                <w:sz w:val="20"/>
              </w:rPr>
            </w:pPr>
            <w:r>
              <w:rPr>
                <w:sz w:val="20"/>
              </w:rPr>
              <w:t>0.25811153</w:t>
            </w:r>
          </w:p>
        </w:tc>
        <w:tc>
          <w:tcPr>
            <w:tcW w:w="1329" w:type="dxa"/>
          </w:tcPr>
          <w:p>
            <w:pPr>
              <w:pStyle w:val="TableParagraph"/>
              <w:spacing w:before="136"/>
              <w:ind w:left="85" w:right="95"/>
              <w:rPr>
                <w:sz w:val="20"/>
              </w:rPr>
            </w:pPr>
            <w:r>
              <w:rPr>
                <w:sz w:val="20"/>
              </w:rPr>
              <w:t>1.58167638</w:t>
            </w:r>
          </w:p>
        </w:tc>
        <w:tc>
          <w:tcPr>
            <w:tcW w:w="1314" w:type="dxa"/>
          </w:tcPr>
          <w:p>
            <w:pPr>
              <w:pStyle w:val="TableParagraph"/>
              <w:spacing w:before="136"/>
              <w:ind w:right="143"/>
              <w:jc w:val="right"/>
              <w:rPr>
                <w:sz w:val="20"/>
              </w:rPr>
            </w:pPr>
            <w:r>
              <w:rPr>
                <w:sz w:val="20"/>
              </w:rPr>
              <w:t>3.23165434</w:t>
            </w:r>
          </w:p>
        </w:tc>
        <w:tc>
          <w:tcPr>
            <w:tcW w:w="1403" w:type="dxa"/>
          </w:tcPr>
          <w:p>
            <w:pPr>
              <w:pStyle w:val="TableParagraph"/>
              <w:spacing w:before="136"/>
              <w:ind w:left="182"/>
              <w:jc w:val="left"/>
              <w:rPr>
                <w:sz w:val="20"/>
              </w:rPr>
            </w:pPr>
            <w:r>
              <w:rPr>
                <w:sz w:val="20"/>
              </w:rPr>
              <w:t>3.59795636</w:t>
            </w:r>
          </w:p>
        </w:tc>
      </w:tr>
      <w:tr>
        <w:trPr>
          <w:trHeight w:val="620" w:hRule="exact"/>
        </w:trPr>
        <w:tc>
          <w:tcPr>
            <w:tcW w:w="1376" w:type="dxa"/>
            <w:shd w:val="clear" w:color="auto" w:fill="D2DFED"/>
          </w:tcPr>
          <w:p>
            <w:pPr>
              <w:pStyle w:val="TableParagraph"/>
              <w:spacing w:before="137"/>
              <w:ind w:left="200" w:right="114"/>
              <w:jc w:val="left"/>
              <w:rPr>
                <w:b/>
                <w:sz w:val="20"/>
              </w:rPr>
            </w:pPr>
            <w:r>
              <w:rPr>
                <w:b/>
                <w:sz w:val="20"/>
              </w:rPr>
              <w:t>0.995785</w:t>
            </w:r>
          </w:p>
        </w:tc>
        <w:tc>
          <w:tcPr>
            <w:tcW w:w="1342" w:type="dxa"/>
            <w:shd w:val="clear" w:color="auto" w:fill="D2DFED"/>
          </w:tcPr>
          <w:p>
            <w:pPr>
              <w:pStyle w:val="TableParagraph"/>
              <w:spacing w:before="137"/>
              <w:ind w:right="146"/>
              <w:jc w:val="right"/>
              <w:rPr>
                <w:sz w:val="20"/>
              </w:rPr>
            </w:pPr>
            <w:r>
              <w:rPr>
                <w:sz w:val="20"/>
              </w:rPr>
              <w:t>1.00569456</w:t>
            </w:r>
          </w:p>
        </w:tc>
        <w:tc>
          <w:tcPr>
            <w:tcW w:w="1398" w:type="dxa"/>
            <w:shd w:val="clear" w:color="auto" w:fill="D2DFED"/>
          </w:tcPr>
          <w:p>
            <w:pPr>
              <w:pStyle w:val="TableParagraph"/>
              <w:spacing w:before="137"/>
              <w:ind w:left="110" w:right="91"/>
              <w:rPr>
                <w:sz w:val="20"/>
              </w:rPr>
            </w:pPr>
            <w:r>
              <w:rPr>
                <w:sz w:val="20"/>
              </w:rPr>
              <w:t>0.99515017</w:t>
            </w:r>
          </w:p>
        </w:tc>
        <w:tc>
          <w:tcPr>
            <w:tcW w:w="1329" w:type="dxa"/>
            <w:shd w:val="clear" w:color="auto" w:fill="D2DFED"/>
          </w:tcPr>
          <w:p>
            <w:pPr>
              <w:pStyle w:val="TableParagraph"/>
              <w:spacing w:before="137"/>
              <w:ind w:left="88" w:right="95"/>
              <w:rPr>
                <w:sz w:val="20"/>
              </w:rPr>
            </w:pPr>
            <w:r>
              <w:rPr>
                <w:sz w:val="20"/>
              </w:rPr>
              <w:t>2.6961371</w:t>
            </w:r>
          </w:p>
        </w:tc>
        <w:tc>
          <w:tcPr>
            <w:tcW w:w="1314" w:type="dxa"/>
            <w:shd w:val="clear" w:color="auto" w:fill="D2DFED"/>
          </w:tcPr>
          <w:p>
            <w:pPr>
              <w:pStyle w:val="TableParagraph"/>
              <w:spacing w:before="137"/>
              <w:ind w:right="131"/>
              <w:jc w:val="right"/>
              <w:rPr>
                <w:sz w:val="20"/>
              </w:rPr>
            </w:pPr>
            <w:r>
              <w:rPr>
                <w:sz w:val="20"/>
              </w:rPr>
              <w:t>3.02712386</w:t>
            </w:r>
          </w:p>
        </w:tc>
        <w:tc>
          <w:tcPr>
            <w:tcW w:w="1403" w:type="dxa"/>
            <w:shd w:val="clear" w:color="auto" w:fill="D2DFED"/>
          </w:tcPr>
          <w:p>
            <w:pPr>
              <w:pStyle w:val="TableParagraph"/>
              <w:spacing w:before="137"/>
              <w:ind w:right="137"/>
              <w:jc w:val="right"/>
              <w:rPr>
                <w:sz w:val="20"/>
              </w:rPr>
            </w:pPr>
            <w:r>
              <w:rPr>
                <w:sz w:val="20"/>
              </w:rPr>
              <w:t>4.053718555</w:t>
            </w:r>
          </w:p>
        </w:tc>
      </w:tr>
      <w:tr>
        <w:trPr>
          <w:trHeight w:val="620" w:hRule="exact"/>
        </w:trPr>
        <w:tc>
          <w:tcPr>
            <w:tcW w:w="1376" w:type="dxa"/>
          </w:tcPr>
          <w:p>
            <w:pPr>
              <w:pStyle w:val="TableParagraph"/>
              <w:spacing w:before="136"/>
              <w:ind w:left="224" w:right="114"/>
              <w:jc w:val="left"/>
              <w:rPr>
                <w:b/>
                <w:sz w:val="20"/>
              </w:rPr>
            </w:pPr>
            <w:r>
              <w:rPr>
                <w:b/>
                <w:sz w:val="20"/>
              </w:rPr>
              <w:t>0.597471</w:t>
            </w:r>
          </w:p>
        </w:tc>
        <w:tc>
          <w:tcPr>
            <w:tcW w:w="1342" w:type="dxa"/>
          </w:tcPr>
          <w:p>
            <w:pPr>
              <w:pStyle w:val="TableParagraph"/>
              <w:spacing w:before="136"/>
              <w:ind w:right="145"/>
              <w:jc w:val="right"/>
              <w:rPr>
                <w:sz w:val="20"/>
              </w:rPr>
            </w:pPr>
            <w:r>
              <w:rPr>
                <w:sz w:val="20"/>
              </w:rPr>
              <w:t>0.59580913</w:t>
            </w:r>
          </w:p>
        </w:tc>
        <w:tc>
          <w:tcPr>
            <w:tcW w:w="1398" w:type="dxa"/>
          </w:tcPr>
          <w:p>
            <w:pPr>
              <w:pStyle w:val="TableParagraph"/>
              <w:spacing w:before="136"/>
              <w:ind w:left="111" w:right="91"/>
              <w:rPr>
                <w:sz w:val="20"/>
              </w:rPr>
            </w:pPr>
            <w:r>
              <w:rPr>
                <w:sz w:val="20"/>
              </w:rPr>
              <w:t>0.27815046</w:t>
            </w:r>
          </w:p>
        </w:tc>
        <w:tc>
          <w:tcPr>
            <w:tcW w:w="1329" w:type="dxa"/>
          </w:tcPr>
          <w:p>
            <w:pPr>
              <w:pStyle w:val="TableParagraph"/>
              <w:spacing w:before="136"/>
              <w:ind w:left="94" w:right="95"/>
              <w:rPr>
                <w:sz w:val="20"/>
              </w:rPr>
            </w:pPr>
            <w:r>
              <w:rPr>
                <w:sz w:val="20"/>
              </w:rPr>
              <w:t>2.68608304</w:t>
            </w:r>
          </w:p>
        </w:tc>
        <w:tc>
          <w:tcPr>
            <w:tcW w:w="1314" w:type="dxa"/>
          </w:tcPr>
          <w:p>
            <w:pPr>
              <w:pStyle w:val="TableParagraph"/>
              <w:spacing w:before="136"/>
              <w:ind w:right="137"/>
              <w:jc w:val="right"/>
              <w:rPr>
                <w:sz w:val="20"/>
              </w:rPr>
            </w:pPr>
            <w:r>
              <w:rPr>
                <w:sz w:val="20"/>
              </w:rPr>
              <w:t>2.78666431</w:t>
            </w:r>
          </w:p>
        </w:tc>
        <w:tc>
          <w:tcPr>
            <w:tcW w:w="1403" w:type="dxa"/>
          </w:tcPr>
          <w:p>
            <w:pPr>
              <w:pStyle w:val="TableParagraph"/>
              <w:spacing w:before="136"/>
              <w:ind w:right="105"/>
              <w:jc w:val="right"/>
              <w:rPr>
                <w:sz w:val="20"/>
              </w:rPr>
            </w:pPr>
            <w:r>
              <w:rPr>
                <w:sz w:val="20"/>
              </w:rPr>
              <w:t>3.870470264</w:t>
            </w:r>
          </w:p>
        </w:tc>
      </w:tr>
      <w:tr>
        <w:trPr>
          <w:trHeight w:val="620" w:hRule="exact"/>
        </w:trPr>
        <w:tc>
          <w:tcPr>
            <w:tcW w:w="1376" w:type="dxa"/>
            <w:shd w:val="clear" w:color="auto" w:fill="D2DFED"/>
          </w:tcPr>
          <w:p>
            <w:pPr>
              <w:pStyle w:val="TableParagraph"/>
              <w:spacing w:before="136"/>
              <w:ind w:left="184" w:right="114"/>
              <w:jc w:val="left"/>
              <w:rPr>
                <w:b/>
                <w:sz w:val="20"/>
              </w:rPr>
            </w:pPr>
            <w:r>
              <w:rPr>
                <w:b/>
                <w:sz w:val="20"/>
              </w:rPr>
              <w:t>0.303065</w:t>
            </w:r>
          </w:p>
        </w:tc>
        <w:tc>
          <w:tcPr>
            <w:tcW w:w="1342" w:type="dxa"/>
            <w:shd w:val="clear" w:color="auto" w:fill="D2DFED"/>
          </w:tcPr>
          <w:p>
            <w:pPr>
              <w:pStyle w:val="TableParagraph"/>
              <w:spacing w:before="136"/>
              <w:ind w:right="141"/>
              <w:jc w:val="right"/>
              <w:rPr>
                <w:sz w:val="20"/>
              </w:rPr>
            </w:pPr>
            <w:r>
              <w:rPr>
                <w:sz w:val="20"/>
              </w:rPr>
              <w:t>0.29549253</w:t>
            </w:r>
          </w:p>
        </w:tc>
        <w:tc>
          <w:tcPr>
            <w:tcW w:w="1398" w:type="dxa"/>
            <w:shd w:val="clear" w:color="auto" w:fill="D2DFED"/>
          </w:tcPr>
          <w:p>
            <w:pPr>
              <w:pStyle w:val="TableParagraph"/>
              <w:spacing w:before="136"/>
              <w:ind w:left="112" w:right="91"/>
              <w:rPr>
                <w:sz w:val="20"/>
              </w:rPr>
            </w:pPr>
            <w:r>
              <w:rPr>
                <w:sz w:val="20"/>
              </w:rPr>
              <w:t>2.49862943</w:t>
            </w:r>
          </w:p>
        </w:tc>
        <w:tc>
          <w:tcPr>
            <w:tcW w:w="1329" w:type="dxa"/>
            <w:shd w:val="clear" w:color="auto" w:fill="D2DFED"/>
          </w:tcPr>
          <w:p>
            <w:pPr>
              <w:pStyle w:val="TableParagraph"/>
              <w:spacing w:before="136"/>
              <w:ind w:left="88" w:right="95"/>
              <w:rPr>
                <w:sz w:val="20"/>
              </w:rPr>
            </w:pPr>
            <w:r>
              <w:rPr>
                <w:sz w:val="20"/>
              </w:rPr>
              <w:t>4.99336201</w:t>
            </w:r>
          </w:p>
        </w:tc>
        <w:tc>
          <w:tcPr>
            <w:tcW w:w="1314" w:type="dxa"/>
            <w:shd w:val="clear" w:color="auto" w:fill="D2DFED"/>
          </w:tcPr>
          <w:p>
            <w:pPr>
              <w:pStyle w:val="TableParagraph"/>
              <w:spacing w:before="136"/>
              <w:ind w:right="112"/>
              <w:jc w:val="right"/>
              <w:rPr>
                <w:sz w:val="20"/>
              </w:rPr>
            </w:pPr>
            <w:r>
              <w:rPr>
                <w:sz w:val="20"/>
              </w:rPr>
              <w:t>2.70002798</w:t>
            </w:r>
          </w:p>
        </w:tc>
        <w:tc>
          <w:tcPr>
            <w:tcW w:w="1403" w:type="dxa"/>
            <w:shd w:val="clear" w:color="auto" w:fill="D2DFED"/>
          </w:tcPr>
          <w:p>
            <w:pPr>
              <w:pStyle w:val="TableParagraph"/>
              <w:spacing w:before="136"/>
              <w:ind w:right="114"/>
              <w:jc w:val="right"/>
              <w:rPr>
                <w:sz w:val="20"/>
              </w:rPr>
            </w:pPr>
            <w:r>
              <w:rPr>
                <w:sz w:val="20"/>
              </w:rPr>
              <w:t>5.676602442</w:t>
            </w:r>
          </w:p>
        </w:tc>
      </w:tr>
      <w:tr>
        <w:trPr>
          <w:trHeight w:val="351" w:hRule="exact"/>
        </w:trPr>
        <w:tc>
          <w:tcPr>
            <w:tcW w:w="1376" w:type="dxa"/>
            <w:tcBorders>
              <w:bottom w:val="single" w:sz="8" w:space="0" w:color="4F81BC"/>
            </w:tcBorders>
          </w:tcPr>
          <w:p>
            <w:pPr>
              <w:pStyle w:val="TableParagraph"/>
              <w:spacing w:line="224" w:lineRule="exact"/>
              <w:ind w:right="24"/>
              <w:rPr>
                <w:b/>
                <w:sz w:val="20"/>
              </w:rPr>
            </w:pPr>
            <w:r>
              <w:rPr>
                <w:b/>
                <w:sz w:val="20"/>
              </w:rPr>
              <w:t>0</w:t>
            </w:r>
          </w:p>
        </w:tc>
        <w:tc>
          <w:tcPr>
            <w:tcW w:w="1342" w:type="dxa"/>
            <w:tcBorders>
              <w:bottom w:val="single" w:sz="8" w:space="0" w:color="4F81BC"/>
            </w:tcBorders>
          </w:tcPr>
          <w:p>
            <w:pPr>
              <w:pStyle w:val="TableParagraph"/>
              <w:spacing w:line="224" w:lineRule="exact"/>
              <w:rPr>
                <w:sz w:val="20"/>
              </w:rPr>
            </w:pPr>
            <w:r>
              <w:rPr>
                <w:sz w:val="20"/>
              </w:rPr>
              <w:t>0</w:t>
            </w:r>
          </w:p>
        </w:tc>
        <w:tc>
          <w:tcPr>
            <w:tcW w:w="1398" w:type="dxa"/>
            <w:tcBorders>
              <w:bottom w:val="single" w:sz="8" w:space="0" w:color="4F81BC"/>
            </w:tcBorders>
          </w:tcPr>
          <w:p>
            <w:pPr>
              <w:pStyle w:val="TableParagraph"/>
              <w:spacing w:line="224" w:lineRule="exact"/>
              <w:ind w:left="18"/>
              <w:rPr>
                <w:sz w:val="20"/>
              </w:rPr>
            </w:pPr>
            <w:r>
              <w:rPr>
                <w:sz w:val="20"/>
              </w:rPr>
              <w:t>0</w:t>
            </w:r>
          </w:p>
        </w:tc>
        <w:tc>
          <w:tcPr>
            <w:tcW w:w="1329" w:type="dxa"/>
            <w:tcBorders>
              <w:bottom w:val="single" w:sz="8" w:space="0" w:color="4F81BC"/>
            </w:tcBorders>
          </w:tcPr>
          <w:p>
            <w:pPr>
              <w:pStyle w:val="TableParagraph"/>
              <w:spacing w:line="224" w:lineRule="exact"/>
              <w:ind w:right="2"/>
              <w:rPr>
                <w:sz w:val="20"/>
              </w:rPr>
            </w:pPr>
            <w:r>
              <w:rPr>
                <w:sz w:val="20"/>
              </w:rPr>
              <w:t>0</w:t>
            </w:r>
          </w:p>
        </w:tc>
        <w:tc>
          <w:tcPr>
            <w:tcW w:w="1314" w:type="dxa"/>
            <w:tcBorders>
              <w:bottom w:val="single" w:sz="8" w:space="0" w:color="4F81BC"/>
            </w:tcBorders>
          </w:tcPr>
          <w:p>
            <w:pPr>
              <w:pStyle w:val="TableParagraph"/>
              <w:spacing w:line="224" w:lineRule="exact"/>
              <w:ind w:left="1"/>
              <w:rPr>
                <w:sz w:val="20"/>
              </w:rPr>
            </w:pPr>
            <w:r>
              <w:rPr>
                <w:sz w:val="20"/>
              </w:rPr>
              <w:t>0</w:t>
            </w:r>
          </w:p>
        </w:tc>
        <w:tc>
          <w:tcPr>
            <w:tcW w:w="1403" w:type="dxa"/>
            <w:tcBorders>
              <w:bottom w:val="single" w:sz="8" w:space="0" w:color="4F81BC"/>
            </w:tcBorders>
          </w:tcPr>
          <w:p>
            <w:pPr>
              <w:pStyle w:val="TableParagraph"/>
              <w:spacing w:line="224" w:lineRule="exact"/>
              <w:ind w:left="5"/>
              <w:rPr>
                <w:sz w:val="20"/>
              </w:rPr>
            </w:pPr>
            <w:r>
              <w:rPr>
                <w:sz w:val="20"/>
              </w:rPr>
              <w:t>0</w:t>
            </w:r>
          </w:p>
        </w:tc>
      </w:tr>
    </w:tbl>
    <w:p>
      <w:pPr>
        <w:spacing w:line="220" w:lineRule="exact" w:before="0"/>
        <w:ind w:left="1508" w:right="155" w:firstLine="0"/>
        <w:jc w:val="left"/>
        <w:rPr>
          <w:sz w:val="20"/>
        </w:rPr>
      </w:pPr>
      <w:bookmarkStart w:name="_bookmark81" w:id="129"/>
      <w:bookmarkEnd w:id="129"/>
      <w:r>
        <w:rPr/>
      </w:r>
      <w:r>
        <w:rPr>
          <w:sz w:val="20"/>
        </w:rPr>
        <w:t>Tabla 4. Parámetros de incerteza para la función polinómica grado 3</w:t>
      </w:r>
    </w:p>
    <w:p>
      <w:pPr>
        <w:spacing w:after="0" w:line="220" w:lineRule="exact"/>
        <w:jc w:val="left"/>
        <w:rPr>
          <w:sz w:val="20"/>
        </w:rPr>
        <w:sectPr>
          <w:pgSz w:w="12240" w:h="15840"/>
          <w:pgMar w:header="0" w:footer="1034" w:top="1360" w:bottom="1220" w:left="1600" w:right="1580"/>
        </w:sectPr>
      </w:pPr>
    </w:p>
    <w:p>
      <w:pPr>
        <w:pStyle w:val="Heading6"/>
        <w:numPr>
          <w:ilvl w:val="1"/>
          <w:numId w:val="8"/>
        </w:numPr>
        <w:tabs>
          <w:tab w:pos="893" w:val="left" w:leader="none"/>
        </w:tabs>
        <w:spacing w:line="240" w:lineRule="auto" w:before="55" w:after="0"/>
        <w:ind w:left="893" w:right="0" w:hanging="433"/>
        <w:jc w:val="left"/>
      </w:pPr>
      <w:bookmarkStart w:name="_bookmark82" w:id="130"/>
      <w:bookmarkEnd w:id="130"/>
      <w:r>
        <w:rPr>
          <w:b w:val="0"/>
        </w:rPr>
      </w:r>
      <w:bookmarkStart w:name="_bookmark82" w:id="131"/>
      <w:bookmarkEnd w:id="131"/>
      <w:r>
        <w:rPr/>
        <w:t>C</w:t>
      </w:r>
      <w:r>
        <w:rPr/>
        <w:t>alibración de las películas</w:t>
      </w:r>
      <w:r>
        <w:rPr>
          <w:spacing w:val="-21"/>
        </w:rPr>
        <w:t> </w:t>
      </w:r>
      <w:r>
        <w:rPr/>
        <w:t>radiográficas</w:t>
      </w:r>
    </w:p>
    <w:p>
      <w:pPr>
        <w:pStyle w:val="BodyText"/>
        <w:rPr>
          <w:b/>
        </w:rPr>
      </w:pPr>
    </w:p>
    <w:p>
      <w:pPr>
        <w:pStyle w:val="BodyText"/>
        <w:spacing w:line="360" w:lineRule="auto" w:before="128"/>
        <w:ind w:left="100" w:right="117"/>
        <w:jc w:val="both"/>
      </w:pPr>
      <w:r>
        <w:rPr/>
        <w:t>En la </w:t>
      </w:r>
      <w:hyperlink w:history="true" w:anchor="_bookmark83">
        <w:r>
          <w:rPr>
            <w:b/>
            <w:sz w:val="20"/>
          </w:rPr>
          <w:t>Figura 29</w:t>
        </w:r>
      </w:hyperlink>
      <w:r>
        <w:rPr>
          <w:b/>
          <w:sz w:val="20"/>
        </w:rPr>
        <w:t> </w:t>
      </w:r>
      <w:r>
        <w:rPr/>
        <w:t>se muestra la curva de calibración de las películas radiográficas, la cual se realizó con asistencia del módulo FilmCal del software Mephysto. El software ajusta una curva con los datos de entrada y guarda la información de esta curva, para posteriormente convertir los valores de densidad óptica de las películas radiográficas en valores de dosis, que pueden ser entonces analizados en Verisoft. De forma independiente, se llevó a cabo</w:t>
      </w:r>
    </w:p>
    <w:p>
      <w:pPr>
        <w:spacing w:line="263" w:lineRule="exact" w:before="0"/>
        <w:ind w:left="100" w:right="56" w:firstLine="0"/>
        <w:jc w:val="left"/>
        <w:rPr>
          <w:i/>
          <w:sz w:val="22"/>
        </w:rPr>
      </w:pPr>
      <w:r>
        <w:rPr>
          <w:sz w:val="22"/>
        </w:rPr>
        <w:t>un ajuste lineal, dando como resultado una curva de la forma   </w:t>
      </w:r>
      <w:r>
        <w:rPr>
          <w:rFonts w:ascii="Times New Roman" w:hAnsi="Times New Roman"/>
          <w:i/>
          <w:sz w:val="23"/>
        </w:rPr>
        <w:t>y </w:t>
      </w:r>
      <w:r>
        <w:rPr>
          <w:rFonts w:ascii="Symbol" w:hAnsi="Symbol"/>
          <w:sz w:val="23"/>
        </w:rPr>
        <w:t></w:t>
      </w:r>
      <w:r>
        <w:rPr>
          <w:rFonts w:ascii="Times New Roman" w:hAnsi="Times New Roman"/>
          <w:sz w:val="23"/>
        </w:rPr>
        <w:t> 2.876</w:t>
      </w:r>
      <w:r>
        <w:rPr>
          <w:rFonts w:ascii="Times New Roman" w:hAnsi="Times New Roman"/>
          <w:i/>
          <w:sz w:val="23"/>
        </w:rPr>
        <w:t>x </w:t>
      </w:r>
      <w:r>
        <w:rPr>
          <w:rFonts w:ascii="Symbol" w:hAnsi="Symbol"/>
          <w:sz w:val="23"/>
        </w:rPr>
        <w:t></w:t>
      </w:r>
      <w:r>
        <w:rPr>
          <w:rFonts w:ascii="Times New Roman" w:hAnsi="Times New Roman"/>
          <w:sz w:val="23"/>
        </w:rPr>
        <w:t> 0.046 </w:t>
      </w:r>
      <w:r>
        <w:rPr>
          <w:sz w:val="22"/>
        </w:rPr>
        <w:t>, donde   </w:t>
      </w:r>
      <w:r>
        <w:rPr>
          <w:i/>
          <w:sz w:val="22"/>
        </w:rPr>
        <w:t>x</w:t>
      </w:r>
    </w:p>
    <w:p>
      <w:pPr>
        <w:pStyle w:val="BodyText"/>
        <w:spacing w:line="360" w:lineRule="auto" w:before="173"/>
        <w:ind w:left="100" w:right="116"/>
        <w:jc w:val="both"/>
      </w:pPr>
      <w:r>
        <w:rPr/>
        <w:t>es la densidad óptica neta y </w:t>
      </w:r>
      <w:r>
        <w:rPr>
          <w:i/>
        </w:rPr>
        <w:t>y </w:t>
      </w:r>
      <w:r>
        <w:rPr/>
        <w:t>la dosis, con un coeficiente de determinación r</w:t>
      </w:r>
      <w:r>
        <w:rPr>
          <w:position w:val="6"/>
          <w:sz w:val="14"/>
        </w:rPr>
        <w:t>2 </w:t>
      </w:r>
      <w:r>
        <w:rPr/>
        <w:t>de 0.9993. Este comportamiento entre la dosis y la densidad óptica neta, en el rango de dosis analizado, coincide con los datos reportados por el fabricante y en la literatura (Dogan, et al., 2002).</w:t>
      </w:r>
    </w:p>
    <w:p>
      <w:pPr>
        <w:pStyle w:val="BodyText"/>
        <w:ind w:left="350"/>
        <w:rPr>
          <w:sz w:val="20"/>
        </w:rPr>
      </w:pPr>
      <w:r>
        <w:rPr>
          <w:sz w:val="20"/>
        </w:rPr>
        <w:drawing>
          <wp:inline distT="0" distB="0" distL="0" distR="0">
            <wp:extent cx="5264730" cy="2633186"/>
            <wp:effectExtent l="0" t="0" r="0" b="0"/>
            <wp:docPr id="71" name="image38.png" descr=""/>
            <wp:cNvGraphicFramePr>
              <a:graphicFrameLocks noChangeAspect="1"/>
            </wp:cNvGraphicFramePr>
            <a:graphic>
              <a:graphicData uri="http://schemas.openxmlformats.org/drawingml/2006/picture">
                <pic:pic>
                  <pic:nvPicPr>
                    <pic:cNvPr id="72" name="image38.png"/>
                    <pic:cNvPicPr/>
                  </pic:nvPicPr>
                  <pic:blipFill>
                    <a:blip r:embed="rId46" cstate="print"/>
                    <a:stretch>
                      <a:fillRect/>
                    </a:stretch>
                  </pic:blipFill>
                  <pic:spPr>
                    <a:xfrm>
                      <a:off x="0" y="0"/>
                      <a:ext cx="5264730" cy="2633186"/>
                    </a:xfrm>
                    <a:prstGeom prst="rect">
                      <a:avLst/>
                    </a:prstGeom>
                  </pic:spPr>
                </pic:pic>
              </a:graphicData>
            </a:graphic>
          </wp:inline>
        </w:drawing>
      </w:r>
      <w:r>
        <w:rPr>
          <w:sz w:val="20"/>
        </w:rPr>
      </w:r>
    </w:p>
    <w:p>
      <w:pPr>
        <w:spacing w:before="141"/>
        <w:ind w:left="1848" w:right="155" w:firstLine="0"/>
        <w:jc w:val="left"/>
        <w:rPr>
          <w:sz w:val="20"/>
        </w:rPr>
      </w:pPr>
      <w:bookmarkStart w:name="_bookmark83" w:id="132"/>
      <w:bookmarkEnd w:id="132"/>
      <w:r>
        <w:rPr/>
      </w:r>
      <w:r>
        <w:rPr>
          <w:sz w:val="20"/>
        </w:rPr>
        <w:t>Figura 29. Curva de calibración de las películas radiográficas</w:t>
      </w:r>
    </w:p>
    <w:p>
      <w:pPr>
        <w:pStyle w:val="BodyText"/>
        <w:rPr>
          <w:sz w:val="20"/>
        </w:rPr>
      </w:pPr>
    </w:p>
    <w:p>
      <w:pPr>
        <w:pStyle w:val="BodyText"/>
        <w:rPr>
          <w:sz w:val="20"/>
        </w:rPr>
      </w:pPr>
    </w:p>
    <w:p>
      <w:pPr>
        <w:pStyle w:val="BodyText"/>
        <w:spacing w:before="8"/>
        <w:rPr>
          <w:sz w:val="26"/>
        </w:rPr>
      </w:pPr>
    </w:p>
    <w:p>
      <w:pPr>
        <w:pStyle w:val="Heading6"/>
        <w:numPr>
          <w:ilvl w:val="1"/>
          <w:numId w:val="8"/>
        </w:numPr>
        <w:tabs>
          <w:tab w:pos="894" w:val="left" w:leader="none"/>
        </w:tabs>
        <w:spacing w:line="240" w:lineRule="auto" w:before="0" w:after="0"/>
        <w:ind w:left="893" w:right="0" w:hanging="433"/>
        <w:jc w:val="left"/>
      </w:pPr>
      <w:bookmarkStart w:name="_bookmark84" w:id="133"/>
      <w:bookmarkEnd w:id="133"/>
      <w:r>
        <w:rPr>
          <w:b w:val="0"/>
        </w:rPr>
      </w:r>
      <w:bookmarkStart w:name="_bookmark84" w:id="134"/>
      <w:bookmarkEnd w:id="134"/>
      <w:r>
        <w:rPr/>
        <w:t>V</w:t>
      </w:r>
      <w:r>
        <w:rPr/>
        <w:t>erificación de dosis en un</w:t>
      </w:r>
      <w:r>
        <w:rPr>
          <w:spacing w:val="-11"/>
        </w:rPr>
        <w:t> </w:t>
      </w:r>
      <w:r>
        <w:rPr/>
        <w:t>punto</w:t>
      </w:r>
    </w:p>
    <w:p>
      <w:pPr>
        <w:pStyle w:val="BodyText"/>
        <w:spacing w:before="11"/>
        <w:rPr>
          <w:b/>
          <w:sz w:val="32"/>
        </w:rPr>
      </w:pPr>
    </w:p>
    <w:p>
      <w:pPr>
        <w:pStyle w:val="BodyText"/>
        <w:spacing w:line="360" w:lineRule="auto"/>
        <w:ind w:left="100" w:right="264"/>
        <w:jc w:val="both"/>
      </w:pPr>
      <w:r>
        <w:rPr/>
        <w:t>En</w:t>
      </w:r>
      <w:r>
        <w:rPr>
          <w:spacing w:val="-5"/>
        </w:rPr>
        <w:t> </w:t>
      </w:r>
      <w:r>
        <w:rPr/>
        <w:t>la</w:t>
      </w:r>
      <w:r>
        <w:rPr>
          <w:spacing w:val="-2"/>
        </w:rPr>
        <w:t> </w:t>
      </w:r>
      <w:hyperlink w:history="true" w:anchor="_bookmark85">
        <w:r>
          <w:rPr>
            <w:b/>
            <w:sz w:val="20"/>
          </w:rPr>
          <w:t>Tabla 5</w:t>
        </w:r>
      </w:hyperlink>
      <w:r>
        <w:rPr>
          <w:b/>
          <w:spacing w:val="-1"/>
          <w:sz w:val="20"/>
        </w:rPr>
        <w:t> </w:t>
      </w:r>
      <w:r>
        <w:rPr/>
        <w:t>se</w:t>
      </w:r>
      <w:r>
        <w:rPr>
          <w:spacing w:val="-2"/>
        </w:rPr>
        <w:t> </w:t>
      </w:r>
      <w:r>
        <w:rPr/>
        <w:t>muestran</w:t>
      </w:r>
      <w:r>
        <w:rPr>
          <w:spacing w:val="-6"/>
        </w:rPr>
        <w:t> </w:t>
      </w:r>
      <w:r>
        <w:rPr/>
        <w:t>los</w:t>
      </w:r>
      <w:r>
        <w:rPr>
          <w:spacing w:val="-3"/>
        </w:rPr>
        <w:t> </w:t>
      </w:r>
      <w:r>
        <w:rPr/>
        <w:t>resultados</w:t>
      </w:r>
      <w:r>
        <w:rPr>
          <w:spacing w:val="-7"/>
        </w:rPr>
        <w:t> </w:t>
      </w:r>
      <w:r>
        <w:rPr/>
        <w:t>de</w:t>
      </w:r>
      <w:r>
        <w:rPr>
          <w:spacing w:val="-2"/>
        </w:rPr>
        <w:t> </w:t>
      </w:r>
      <w:r>
        <w:rPr/>
        <w:t>las</w:t>
      </w:r>
      <w:r>
        <w:rPr>
          <w:spacing w:val="-3"/>
        </w:rPr>
        <w:t> </w:t>
      </w:r>
      <w:r>
        <w:rPr/>
        <w:t>mediciones</w:t>
      </w:r>
      <w:r>
        <w:rPr>
          <w:spacing w:val="-3"/>
        </w:rPr>
        <w:t> </w:t>
      </w:r>
      <w:r>
        <w:rPr/>
        <w:t>del</w:t>
      </w:r>
      <w:r>
        <w:rPr>
          <w:spacing w:val="-3"/>
        </w:rPr>
        <w:t> </w:t>
      </w:r>
      <w:r>
        <w:rPr/>
        <w:t>plan</w:t>
      </w:r>
      <w:r>
        <w:rPr>
          <w:spacing w:val="-6"/>
        </w:rPr>
        <w:t> </w:t>
      </w:r>
      <w:r>
        <w:rPr/>
        <w:t>total</w:t>
      </w:r>
      <w:r>
        <w:rPr>
          <w:spacing w:val="-3"/>
        </w:rPr>
        <w:t> </w:t>
      </w:r>
      <w:r>
        <w:rPr/>
        <w:t>con</w:t>
      </w:r>
      <w:r>
        <w:rPr>
          <w:spacing w:val="-6"/>
        </w:rPr>
        <w:t> </w:t>
      </w:r>
      <w:r>
        <w:rPr/>
        <w:t>la</w:t>
      </w:r>
      <w:r>
        <w:rPr>
          <w:spacing w:val="-3"/>
        </w:rPr>
        <w:t> </w:t>
      </w:r>
      <w:r>
        <w:rPr/>
        <w:t>cámara</w:t>
      </w:r>
      <w:r>
        <w:rPr>
          <w:spacing w:val="-3"/>
        </w:rPr>
        <w:t> </w:t>
      </w:r>
      <w:r>
        <w:rPr/>
        <w:t>de ionización y la dosis calculada con el sistema de planeación. Los registros de la cámara se convirtieron en valores de dosis siguiendo el protocolo</w:t>
      </w:r>
      <w:r>
        <w:rPr>
          <w:spacing w:val="-26"/>
        </w:rPr>
        <w:t> </w:t>
      </w:r>
      <w:r>
        <w:rPr/>
        <w:t>TRS-398.</w:t>
      </w:r>
    </w:p>
    <w:p>
      <w:pPr>
        <w:pStyle w:val="BodyText"/>
        <w:spacing w:before="9"/>
        <w:rPr>
          <w:sz w:val="32"/>
        </w:rPr>
      </w:pPr>
    </w:p>
    <w:p>
      <w:pPr>
        <w:pStyle w:val="BodyText"/>
        <w:spacing w:line="360" w:lineRule="auto"/>
        <w:ind w:left="100" w:right="118"/>
        <w:jc w:val="both"/>
      </w:pPr>
      <w:r>
        <w:rPr/>
        <w:t>En la </w:t>
      </w:r>
      <w:hyperlink w:history="true" w:anchor="_bookmark86">
        <w:r>
          <w:rPr>
            <w:b/>
          </w:rPr>
          <w:t>Figura 30</w:t>
        </w:r>
      </w:hyperlink>
      <w:r>
        <w:rPr>
          <w:b/>
        </w:rPr>
        <w:t> </w:t>
      </w:r>
      <w:r>
        <w:rPr/>
        <w:t>se muestra la diferencia porcentual entre los valores de dosis en un punto calculados con el sistema de planeación y los medidos con la cámara de ionización. La diferencia  promedio  fue  de  -0.1  %,  con  una  desviación  estándar  de  </w:t>
      </w:r>
      <w:r>
        <w:rPr>
          <w:rFonts w:ascii="Calibri" w:hAnsi="Calibri"/>
        </w:rPr>
        <w:t>±</w:t>
      </w:r>
      <w:r>
        <w:rPr/>
        <w:t>3.09  %.   </w:t>
      </w:r>
      <w:r>
        <w:rPr>
          <w:spacing w:val="50"/>
        </w:rPr>
        <w:t> </w:t>
      </w:r>
      <w:r>
        <w:rPr/>
        <w:t>Puede</w:t>
      </w:r>
    </w:p>
    <w:p>
      <w:pPr>
        <w:spacing w:after="0" w:line="360" w:lineRule="auto"/>
        <w:jc w:val="both"/>
        <w:sectPr>
          <w:pgSz w:w="12240" w:h="15840"/>
          <w:pgMar w:header="0" w:footer="1034" w:top="1360" w:bottom="1220" w:left="1600" w:right="1580"/>
        </w:sectPr>
      </w:pPr>
    </w:p>
    <w:p>
      <w:pPr>
        <w:pStyle w:val="BodyText"/>
        <w:spacing w:line="360" w:lineRule="auto" w:before="55"/>
        <w:ind w:left="220" w:right="528"/>
      </w:pPr>
      <w:r>
        <w:rPr/>
        <w:t>observarse que las variaciones estuvieron por debajo del 3% en 8 pacientes, a excepción  del paciente 4, que tuvo una variación del 6.5</w:t>
      </w:r>
      <w:r>
        <w:rPr>
          <w:spacing w:val="-28"/>
        </w:rPr>
        <w:t> </w:t>
      </w:r>
      <w:r>
        <w:rPr/>
        <w:t>%.</w:t>
      </w:r>
    </w:p>
    <w:p>
      <w:pPr>
        <w:pStyle w:val="BodyText"/>
        <w:spacing w:before="6"/>
        <w:rPr>
          <w:sz w:val="24"/>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82"/>
        <w:gridCol w:w="2242"/>
        <w:gridCol w:w="2946"/>
        <w:gridCol w:w="2089"/>
      </w:tblGrid>
      <w:tr>
        <w:trPr>
          <w:trHeight w:val="572" w:hRule="exact"/>
        </w:trPr>
        <w:tc>
          <w:tcPr>
            <w:tcW w:w="4024" w:type="dxa"/>
            <w:gridSpan w:val="2"/>
            <w:tcBorders>
              <w:top w:val="single" w:sz="8" w:space="0" w:color="4F81BC"/>
              <w:bottom w:val="single" w:sz="8" w:space="0" w:color="4F81BC"/>
            </w:tcBorders>
          </w:tcPr>
          <w:p>
            <w:pPr>
              <w:pStyle w:val="TableParagraph"/>
              <w:ind w:left="2408" w:right="267" w:hanging="752"/>
              <w:jc w:val="left"/>
              <w:rPr>
                <w:rFonts w:ascii="Times New Roman"/>
                <w:b/>
                <w:sz w:val="24"/>
              </w:rPr>
            </w:pPr>
            <w:r>
              <w:rPr>
                <w:rFonts w:ascii="Times New Roman"/>
                <w:b/>
                <w:color w:val="365F91"/>
                <w:sz w:val="24"/>
              </w:rPr>
              <w:t>Dosis calculada TPS (cGy)</w:t>
            </w:r>
          </w:p>
        </w:tc>
        <w:tc>
          <w:tcPr>
            <w:tcW w:w="2946" w:type="dxa"/>
            <w:tcBorders>
              <w:top w:val="single" w:sz="8" w:space="0" w:color="4F81BC"/>
              <w:bottom w:val="single" w:sz="8" w:space="0" w:color="4F81BC"/>
            </w:tcBorders>
          </w:tcPr>
          <w:p>
            <w:pPr>
              <w:pStyle w:val="TableParagraph"/>
              <w:ind w:left="1213" w:right="324" w:hanging="924"/>
              <w:jc w:val="left"/>
              <w:rPr>
                <w:rFonts w:ascii="Times New Roman" w:hAnsi="Times New Roman"/>
                <w:b/>
                <w:sz w:val="24"/>
              </w:rPr>
            </w:pPr>
            <w:r>
              <w:rPr>
                <w:rFonts w:ascii="Times New Roman" w:hAnsi="Times New Roman"/>
                <w:b/>
                <w:color w:val="365F91"/>
                <w:sz w:val="24"/>
              </w:rPr>
              <w:t>medición de la cámara (nC)</w:t>
            </w:r>
          </w:p>
        </w:tc>
        <w:tc>
          <w:tcPr>
            <w:tcW w:w="2089" w:type="dxa"/>
            <w:tcBorders>
              <w:top w:val="single" w:sz="8" w:space="0" w:color="4F81BC"/>
              <w:bottom w:val="single" w:sz="8" w:space="0" w:color="4F81BC"/>
            </w:tcBorders>
          </w:tcPr>
          <w:p>
            <w:pPr>
              <w:pStyle w:val="TableParagraph"/>
              <w:ind w:left="740" w:right="358" w:hanging="396"/>
              <w:jc w:val="left"/>
              <w:rPr>
                <w:rFonts w:ascii="Times New Roman"/>
                <w:b/>
                <w:sz w:val="24"/>
              </w:rPr>
            </w:pPr>
            <w:r>
              <w:rPr>
                <w:rFonts w:ascii="Times New Roman"/>
                <w:b/>
                <w:color w:val="365F91"/>
                <w:sz w:val="24"/>
              </w:rPr>
              <w:t>Dosis medida (cGy)</w:t>
            </w:r>
          </w:p>
        </w:tc>
      </w:tr>
      <w:tr>
        <w:trPr>
          <w:trHeight w:val="310" w:hRule="exact"/>
        </w:trPr>
        <w:tc>
          <w:tcPr>
            <w:tcW w:w="1782" w:type="dxa"/>
            <w:tcBorders>
              <w:top w:val="single" w:sz="8" w:space="0" w:color="4F81BC"/>
            </w:tcBorders>
            <w:shd w:val="clear" w:color="auto" w:fill="D2DFED"/>
          </w:tcPr>
          <w:p>
            <w:pPr>
              <w:pStyle w:val="TableParagraph"/>
              <w:spacing w:line="272" w:lineRule="exact"/>
              <w:ind w:left="108"/>
              <w:jc w:val="left"/>
              <w:rPr>
                <w:rFonts w:ascii="Times New Roman"/>
                <w:b/>
                <w:sz w:val="24"/>
              </w:rPr>
            </w:pPr>
            <w:r>
              <w:rPr>
                <w:rFonts w:ascii="Times New Roman"/>
                <w:b/>
                <w:color w:val="365F91"/>
                <w:sz w:val="24"/>
              </w:rPr>
              <w:t>paciente 1</w:t>
            </w:r>
          </w:p>
        </w:tc>
        <w:tc>
          <w:tcPr>
            <w:tcW w:w="2242" w:type="dxa"/>
            <w:tcBorders>
              <w:top w:val="single" w:sz="8" w:space="0" w:color="4F81BC"/>
            </w:tcBorders>
            <w:shd w:val="clear" w:color="auto" w:fill="D2DFED"/>
          </w:tcPr>
          <w:p>
            <w:pPr>
              <w:pStyle w:val="TableParagraph"/>
              <w:spacing w:line="268" w:lineRule="exact"/>
              <w:ind w:left="643"/>
              <w:jc w:val="left"/>
              <w:rPr>
                <w:rFonts w:ascii="Times New Roman"/>
                <w:sz w:val="24"/>
              </w:rPr>
            </w:pPr>
            <w:r>
              <w:rPr>
                <w:rFonts w:ascii="Times New Roman"/>
                <w:color w:val="365F91"/>
                <w:sz w:val="24"/>
              </w:rPr>
              <w:t>135.6</w:t>
            </w:r>
          </w:p>
        </w:tc>
        <w:tc>
          <w:tcPr>
            <w:tcW w:w="2946" w:type="dxa"/>
            <w:tcBorders>
              <w:top w:val="single" w:sz="8" w:space="0" w:color="4F81BC"/>
            </w:tcBorders>
            <w:shd w:val="clear" w:color="auto" w:fill="D2DFED"/>
          </w:tcPr>
          <w:p>
            <w:pPr>
              <w:pStyle w:val="TableParagraph"/>
              <w:spacing w:line="268" w:lineRule="exact"/>
              <w:ind w:left="1159" w:right="1207"/>
              <w:rPr>
                <w:rFonts w:ascii="Times New Roman"/>
                <w:sz w:val="24"/>
              </w:rPr>
            </w:pPr>
            <w:r>
              <w:rPr>
                <w:rFonts w:ascii="Times New Roman"/>
                <w:color w:val="365F91"/>
                <w:sz w:val="24"/>
              </w:rPr>
              <w:t>21.04</w:t>
            </w:r>
          </w:p>
        </w:tc>
        <w:tc>
          <w:tcPr>
            <w:tcW w:w="2089" w:type="dxa"/>
            <w:tcBorders>
              <w:top w:val="single" w:sz="8" w:space="0" w:color="4F81BC"/>
            </w:tcBorders>
            <w:shd w:val="clear" w:color="auto" w:fill="D2DFED"/>
          </w:tcPr>
          <w:p>
            <w:pPr>
              <w:pStyle w:val="TableParagraph"/>
              <w:spacing w:line="268" w:lineRule="exact"/>
              <w:ind w:left="696" w:right="358"/>
              <w:jc w:val="left"/>
              <w:rPr>
                <w:rFonts w:ascii="Times New Roman"/>
                <w:sz w:val="24"/>
              </w:rPr>
            </w:pPr>
            <w:r>
              <w:rPr>
                <w:rFonts w:ascii="Times New Roman"/>
                <w:color w:val="365F91"/>
                <w:sz w:val="24"/>
              </w:rPr>
              <w:t>131.84</w:t>
            </w:r>
          </w:p>
        </w:tc>
      </w:tr>
      <w:tr>
        <w:trPr>
          <w:trHeight w:val="300" w:hRule="exact"/>
        </w:trPr>
        <w:tc>
          <w:tcPr>
            <w:tcW w:w="1782" w:type="dxa"/>
          </w:tcPr>
          <w:p>
            <w:pPr>
              <w:pStyle w:val="TableParagraph"/>
              <w:spacing w:line="272" w:lineRule="exact"/>
              <w:ind w:left="108"/>
              <w:jc w:val="left"/>
              <w:rPr>
                <w:rFonts w:ascii="Times New Roman"/>
                <w:b/>
                <w:sz w:val="24"/>
              </w:rPr>
            </w:pPr>
            <w:r>
              <w:rPr>
                <w:rFonts w:ascii="Times New Roman"/>
                <w:b/>
                <w:color w:val="365F91"/>
                <w:sz w:val="24"/>
              </w:rPr>
              <w:t>paciente 2</w:t>
            </w:r>
          </w:p>
        </w:tc>
        <w:tc>
          <w:tcPr>
            <w:tcW w:w="2242" w:type="dxa"/>
          </w:tcPr>
          <w:p>
            <w:pPr>
              <w:pStyle w:val="TableParagraph"/>
              <w:spacing w:line="268" w:lineRule="exact"/>
              <w:ind w:left="643"/>
              <w:jc w:val="left"/>
              <w:rPr>
                <w:rFonts w:ascii="Times New Roman"/>
                <w:sz w:val="24"/>
              </w:rPr>
            </w:pPr>
            <w:r>
              <w:rPr>
                <w:rFonts w:ascii="Times New Roman"/>
                <w:color w:val="365F91"/>
                <w:sz w:val="24"/>
              </w:rPr>
              <w:t>181.9</w:t>
            </w:r>
          </w:p>
        </w:tc>
        <w:tc>
          <w:tcPr>
            <w:tcW w:w="2946" w:type="dxa"/>
          </w:tcPr>
          <w:p>
            <w:pPr>
              <w:pStyle w:val="TableParagraph"/>
              <w:spacing w:line="268" w:lineRule="exact"/>
              <w:ind w:left="1159" w:right="1207"/>
              <w:rPr>
                <w:rFonts w:ascii="Times New Roman"/>
                <w:sz w:val="24"/>
              </w:rPr>
            </w:pPr>
            <w:r>
              <w:rPr>
                <w:rFonts w:ascii="Times New Roman"/>
                <w:color w:val="365F91"/>
                <w:sz w:val="24"/>
              </w:rPr>
              <w:t>29.86</w:t>
            </w:r>
          </w:p>
        </w:tc>
        <w:tc>
          <w:tcPr>
            <w:tcW w:w="2089" w:type="dxa"/>
          </w:tcPr>
          <w:p>
            <w:pPr>
              <w:pStyle w:val="TableParagraph"/>
              <w:spacing w:line="268" w:lineRule="exact"/>
              <w:ind w:left="696" w:right="358"/>
              <w:jc w:val="left"/>
              <w:rPr>
                <w:rFonts w:ascii="Times New Roman"/>
                <w:sz w:val="24"/>
              </w:rPr>
            </w:pPr>
            <w:r>
              <w:rPr>
                <w:rFonts w:ascii="Times New Roman"/>
                <w:color w:val="365F91"/>
                <w:sz w:val="24"/>
              </w:rPr>
              <w:t>187.11</w:t>
            </w:r>
          </w:p>
        </w:tc>
      </w:tr>
      <w:tr>
        <w:trPr>
          <w:trHeight w:val="300" w:hRule="exact"/>
        </w:trPr>
        <w:tc>
          <w:tcPr>
            <w:tcW w:w="1782" w:type="dxa"/>
            <w:shd w:val="clear" w:color="auto" w:fill="D2DFED"/>
          </w:tcPr>
          <w:p>
            <w:pPr>
              <w:pStyle w:val="TableParagraph"/>
              <w:spacing w:line="272" w:lineRule="exact"/>
              <w:ind w:left="108"/>
              <w:jc w:val="left"/>
              <w:rPr>
                <w:rFonts w:ascii="Times New Roman"/>
                <w:b/>
                <w:sz w:val="24"/>
              </w:rPr>
            </w:pPr>
            <w:r>
              <w:rPr>
                <w:rFonts w:ascii="Times New Roman"/>
                <w:b/>
                <w:color w:val="365F91"/>
                <w:sz w:val="24"/>
              </w:rPr>
              <w:t>paciente 3</w:t>
            </w:r>
          </w:p>
        </w:tc>
        <w:tc>
          <w:tcPr>
            <w:tcW w:w="2242" w:type="dxa"/>
            <w:shd w:val="clear" w:color="auto" w:fill="D2DFED"/>
          </w:tcPr>
          <w:p>
            <w:pPr>
              <w:pStyle w:val="TableParagraph"/>
              <w:spacing w:line="268" w:lineRule="exact"/>
              <w:ind w:left="643"/>
              <w:jc w:val="left"/>
              <w:rPr>
                <w:rFonts w:ascii="Times New Roman"/>
                <w:sz w:val="24"/>
              </w:rPr>
            </w:pPr>
            <w:r>
              <w:rPr>
                <w:rFonts w:ascii="Times New Roman"/>
                <w:color w:val="365F91"/>
                <w:sz w:val="24"/>
              </w:rPr>
              <w:t>229.5</w:t>
            </w:r>
          </w:p>
        </w:tc>
        <w:tc>
          <w:tcPr>
            <w:tcW w:w="2946" w:type="dxa"/>
            <w:shd w:val="clear" w:color="auto" w:fill="D2DFED"/>
          </w:tcPr>
          <w:p>
            <w:pPr>
              <w:pStyle w:val="TableParagraph"/>
              <w:spacing w:line="268" w:lineRule="exact"/>
              <w:ind w:left="1159" w:right="1207"/>
              <w:rPr>
                <w:rFonts w:ascii="Times New Roman"/>
                <w:sz w:val="24"/>
              </w:rPr>
            </w:pPr>
            <w:r>
              <w:rPr>
                <w:rFonts w:ascii="Times New Roman"/>
                <w:color w:val="365F91"/>
                <w:sz w:val="24"/>
              </w:rPr>
              <w:t>35.86</w:t>
            </w:r>
          </w:p>
        </w:tc>
        <w:tc>
          <w:tcPr>
            <w:tcW w:w="2089" w:type="dxa"/>
            <w:shd w:val="clear" w:color="auto" w:fill="D2DFED"/>
          </w:tcPr>
          <w:p>
            <w:pPr>
              <w:pStyle w:val="TableParagraph"/>
              <w:spacing w:line="268" w:lineRule="exact"/>
              <w:ind w:left="756" w:right="358"/>
              <w:jc w:val="left"/>
              <w:rPr>
                <w:rFonts w:ascii="Times New Roman"/>
                <w:sz w:val="24"/>
              </w:rPr>
            </w:pPr>
            <w:r>
              <w:rPr>
                <w:rFonts w:ascii="Times New Roman"/>
                <w:color w:val="365F91"/>
                <w:sz w:val="24"/>
              </w:rPr>
              <w:t>224.7</w:t>
            </w:r>
          </w:p>
        </w:tc>
      </w:tr>
      <w:tr>
        <w:trPr>
          <w:trHeight w:val="300" w:hRule="exact"/>
        </w:trPr>
        <w:tc>
          <w:tcPr>
            <w:tcW w:w="1782" w:type="dxa"/>
          </w:tcPr>
          <w:p>
            <w:pPr>
              <w:pStyle w:val="TableParagraph"/>
              <w:spacing w:line="272" w:lineRule="exact"/>
              <w:ind w:left="108"/>
              <w:jc w:val="left"/>
              <w:rPr>
                <w:rFonts w:ascii="Times New Roman"/>
                <w:b/>
                <w:sz w:val="24"/>
              </w:rPr>
            </w:pPr>
            <w:r>
              <w:rPr>
                <w:rFonts w:ascii="Times New Roman"/>
                <w:b/>
                <w:color w:val="365F91"/>
                <w:sz w:val="24"/>
              </w:rPr>
              <w:t>paciente 4</w:t>
            </w:r>
          </w:p>
        </w:tc>
        <w:tc>
          <w:tcPr>
            <w:tcW w:w="2242" w:type="dxa"/>
          </w:tcPr>
          <w:p>
            <w:pPr>
              <w:pStyle w:val="TableParagraph"/>
              <w:spacing w:line="268" w:lineRule="exact"/>
              <w:ind w:left="703"/>
              <w:jc w:val="left"/>
              <w:rPr>
                <w:rFonts w:ascii="Times New Roman"/>
                <w:sz w:val="24"/>
              </w:rPr>
            </w:pPr>
            <w:r>
              <w:rPr>
                <w:rFonts w:ascii="Times New Roman"/>
                <w:color w:val="365F91"/>
                <w:sz w:val="24"/>
              </w:rPr>
              <w:t>89.6</w:t>
            </w:r>
          </w:p>
        </w:tc>
        <w:tc>
          <w:tcPr>
            <w:tcW w:w="2946" w:type="dxa"/>
          </w:tcPr>
          <w:p>
            <w:pPr>
              <w:pStyle w:val="TableParagraph"/>
              <w:spacing w:line="268" w:lineRule="exact"/>
              <w:ind w:left="1159" w:right="1207"/>
              <w:rPr>
                <w:rFonts w:ascii="Times New Roman"/>
                <w:sz w:val="24"/>
              </w:rPr>
            </w:pPr>
            <w:r>
              <w:rPr>
                <w:rFonts w:ascii="Times New Roman"/>
                <w:color w:val="365F91"/>
                <w:sz w:val="24"/>
              </w:rPr>
              <w:t>13.37</w:t>
            </w:r>
          </w:p>
        </w:tc>
        <w:tc>
          <w:tcPr>
            <w:tcW w:w="2089" w:type="dxa"/>
          </w:tcPr>
          <w:p>
            <w:pPr>
              <w:pStyle w:val="TableParagraph"/>
              <w:spacing w:line="268" w:lineRule="exact"/>
              <w:ind w:left="756" w:right="358"/>
              <w:jc w:val="left"/>
              <w:rPr>
                <w:rFonts w:ascii="Times New Roman"/>
                <w:sz w:val="24"/>
              </w:rPr>
            </w:pPr>
            <w:r>
              <w:rPr>
                <w:rFonts w:ascii="Times New Roman"/>
                <w:color w:val="365F91"/>
                <w:sz w:val="24"/>
              </w:rPr>
              <w:t>83.78</w:t>
            </w:r>
          </w:p>
        </w:tc>
      </w:tr>
      <w:tr>
        <w:trPr>
          <w:trHeight w:val="300" w:hRule="exact"/>
        </w:trPr>
        <w:tc>
          <w:tcPr>
            <w:tcW w:w="1782" w:type="dxa"/>
            <w:shd w:val="clear" w:color="auto" w:fill="D2DFED"/>
          </w:tcPr>
          <w:p>
            <w:pPr>
              <w:pStyle w:val="TableParagraph"/>
              <w:spacing w:line="272" w:lineRule="exact"/>
              <w:ind w:left="108"/>
              <w:jc w:val="left"/>
              <w:rPr>
                <w:rFonts w:ascii="Times New Roman"/>
                <w:b/>
                <w:sz w:val="24"/>
              </w:rPr>
            </w:pPr>
            <w:r>
              <w:rPr>
                <w:rFonts w:ascii="Times New Roman"/>
                <w:b/>
                <w:color w:val="365F91"/>
                <w:sz w:val="24"/>
              </w:rPr>
              <w:t>paciente 5</w:t>
            </w:r>
          </w:p>
        </w:tc>
        <w:tc>
          <w:tcPr>
            <w:tcW w:w="2242" w:type="dxa"/>
            <w:shd w:val="clear" w:color="auto" w:fill="D2DFED"/>
          </w:tcPr>
          <w:p>
            <w:pPr>
              <w:pStyle w:val="TableParagraph"/>
              <w:spacing w:line="268" w:lineRule="exact"/>
              <w:ind w:left="734"/>
              <w:jc w:val="left"/>
              <w:rPr>
                <w:rFonts w:ascii="Times New Roman"/>
                <w:sz w:val="24"/>
              </w:rPr>
            </w:pPr>
            <w:r>
              <w:rPr>
                <w:rFonts w:ascii="Times New Roman"/>
                <w:color w:val="365F91"/>
                <w:sz w:val="24"/>
              </w:rPr>
              <w:t>214</w:t>
            </w:r>
          </w:p>
        </w:tc>
        <w:tc>
          <w:tcPr>
            <w:tcW w:w="2946" w:type="dxa"/>
            <w:shd w:val="clear" w:color="auto" w:fill="D2DFED"/>
          </w:tcPr>
          <w:p>
            <w:pPr>
              <w:pStyle w:val="TableParagraph"/>
              <w:spacing w:line="268" w:lineRule="exact"/>
              <w:ind w:left="1159" w:right="1207"/>
              <w:rPr>
                <w:rFonts w:ascii="Times New Roman"/>
                <w:sz w:val="24"/>
              </w:rPr>
            </w:pPr>
            <w:r>
              <w:rPr>
                <w:rFonts w:ascii="Times New Roman"/>
                <w:color w:val="365F91"/>
                <w:sz w:val="24"/>
              </w:rPr>
              <w:t>34.1</w:t>
            </w:r>
          </w:p>
        </w:tc>
        <w:tc>
          <w:tcPr>
            <w:tcW w:w="2089" w:type="dxa"/>
            <w:shd w:val="clear" w:color="auto" w:fill="D2DFED"/>
          </w:tcPr>
          <w:p>
            <w:pPr>
              <w:pStyle w:val="TableParagraph"/>
              <w:spacing w:line="268" w:lineRule="exact"/>
              <w:ind w:left="696" w:right="358"/>
              <w:jc w:val="left"/>
              <w:rPr>
                <w:rFonts w:ascii="Times New Roman"/>
                <w:sz w:val="24"/>
              </w:rPr>
            </w:pPr>
            <w:r>
              <w:rPr>
                <w:rFonts w:ascii="Times New Roman"/>
                <w:color w:val="365F91"/>
                <w:sz w:val="24"/>
              </w:rPr>
              <w:t>213.68</w:t>
            </w:r>
          </w:p>
        </w:tc>
      </w:tr>
      <w:tr>
        <w:trPr>
          <w:trHeight w:val="300" w:hRule="exact"/>
        </w:trPr>
        <w:tc>
          <w:tcPr>
            <w:tcW w:w="1782" w:type="dxa"/>
          </w:tcPr>
          <w:p>
            <w:pPr>
              <w:pStyle w:val="TableParagraph"/>
              <w:spacing w:line="272" w:lineRule="exact"/>
              <w:ind w:left="108"/>
              <w:jc w:val="left"/>
              <w:rPr>
                <w:rFonts w:ascii="Times New Roman"/>
                <w:b/>
                <w:sz w:val="24"/>
              </w:rPr>
            </w:pPr>
            <w:r>
              <w:rPr>
                <w:rFonts w:ascii="Times New Roman"/>
                <w:b/>
                <w:color w:val="365F91"/>
                <w:sz w:val="24"/>
              </w:rPr>
              <w:t>paciente 6</w:t>
            </w:r>
          </w:p>
        </w:tc>
        <w:tc>
          <w:tcPr>
            <w:tcW w:w="2242" w:type="dxa"/>
          </w:tcPr>
          <w:p>
            <w:pPr>
              <w:pStyle w:val="TableParagraph"/>
              <w:spacing w:line="268" w:lineRule="exact"/>
              <w:ind w:left="643"/>
              <w:jc w:val="left"/>
              <w:rPr>
                <w:rFonts w:ascii="Times New Roman"/>
                <w:sz w:val="24"/>
              </w:rPr>
            </w:pPr>
            <w:r>
              <w:rPr>
                <w:rFonts w:ascii="Times New Roman"/>
                <w:color w:val="365F91"/>
                <w:sz w:val="24"/>
              </w:rPr>
              <w:t>208.2</w:t>
            </w:r>
          </w:p>
        </w:tc>
        <w:tc>
          <w:tcPr>
            <w:tcW w:w="2946" w:type="dxa"/>
          </w:tcPr>
          <w:p>
            <w:pPr>
              <w:pStyle w:val="TableParagraph"/>
              <w:spacing w:line="268" w:lineRule="exact"/>
              <w:ind w:left="1159" w:right="1207"/>
              <w:rPr>
                <w:rFonts w:ascii="Times New Roman"/>
                <w:sz w:val="24"/>
              </w:rPr>
            </w:pPr>
            <w:r>
              <w:rPr>
                <w:rFonts w:ascii="Times New Roman"/>
                <w:color w:val="365F91"/>
                <w:sz w:val="24"/>
              </w:rPr>
              <w:t>34.01</w:t>
            </w:r>
          </w:p>
        </w:tc>
        <w:tc>
          <w:tcPr>
            <w:tcW w:w="2089" w:type="dxa"/>
          </w:tcPr>
          <w:p>
            <w:pPr>
              <w:pStyle w:val="TableParagraph"/>
              <w:spacing w:line="268" w:lineRule="exact"/>
              <w:ind w:left="696" w:right="358"/>
              <w:jc w:val="left"/>
              <w:rPr>
                <w:rFonts w:ascii="Times New Roman"/>
                <w:sz w:val="24"/>
              </w:rPr>
            </w:pPr>
            <w:r>
              <w:rPr>
                <w:rFonts w:ascii="Times New Roman"/>
                <w:color w:val="365F91"/>
                <w:sz w:val="24"/>
              </w:rPr>
              <w:t>213.11</w:t>
            </w:r>
          </w:p>
        </w:tc>
      </w:tr>
      <w:tr>
        <w:trPr>
          <w:trHeight w:val="300" w:hRule="exact"/>
        </w:trPr>
        <w:tc>
          <w:tcPr>
            <w:tcW w:w="1782" w:type="dxa"/>
            <w:shd w:val="clear" w:color="auto" w:fill="D2DFED"/>
          </w:tcPr>
          <w:p>
            <w:pPr>
              <w:pStyle w:val="TableParagraph"/>
              <w:spacing w:line="272" w:lineRule="exact"/>
              <w:ind w:left="108"/>
              <w:jc w:val="left"/>
              <w:rPr>
                <w:rFonts w:ascii="Times New Roman"/>
                <w:b/>
                <w:sz w:val="24"/>
              </w:rPr>
            </w:pPr>
            <w:r>
              <w:rPr>
                <w:rFonts w:ascii="Times New Roman"/>
                <w:b/>
                <w:color w:val="365F91"/>
                <w:sz w:val="24"/>
              </w:rPr>
              <w:t>paciente 7</w:t>
            </w:r>
          </w:p>
        </w:tc>
        <w:tc>
          <w:tcPr>
            <w:tcW w:w="2242" w:type="dxa"/>
            <w:shd w:val="clear" w:color="auto" w:fill="D2DFED"/>
          </w:tcPr>
          <w:p>
            <w:pPr>
              <w:pStyle w:val="TableParagraph"/>
              <w:spacing w:line="268" w:lineRule="exact"/>
              <w:ind w:left="643"/>
              <w:jc w:val="left"/>
              <w:rPr>
                <w:rFonts w:ascii="Times New Roman"/>
                <w:sz w:val="24"/>
              </w:rPr>
            </w:pPr>
            <w:r>
              <w:rPr>
                <w:rFonts w:ascii="Times New Roman"/>
                <w:color w:val="365F91"/>
                <w:sz w:val="24"/>
              </w:rPr>
              <w:t>122.2</w:t>
            </w:r>
          </w:p>
        </w:tc>
        <w:tc>
          <w:tcPr>
            <w:tcW w:w="2946" w:type="dxa"/>
            <w:shd w:val="clear" w:color="auto" w:fill="D2DFED"/>
          </w:tcPr>
          <w:p>
            <w:pPr>
              <w:pStyle w:val="TableParagraph"/>
              <w:spacing w:line="268" w:lineRule="exact"/>
              <w:ind w:left="1159" w:right="1207"/>
              <w:rPr>
                <w:rFonts w:ascii="Times New Roman"/>
                <w:sz w:val="24"/>
              </w:rPr>
            </w:pPr>
            <w:r>
              <w:rPr>
                <w:rFonts w:ascii="Times New Roman"/>
                <w:color w:val="365F91"/>
                <w:sz w:val="24"/>
              </w:rPr>
              <w:t>20.07</w:t>
            </w:r>
          </w:p>
        </w:tc>
        <w:tc>
          <w:tcPr>
            <w:tcW w:w="2089" w:type="dxa"/>
            <w:shd w:val="clear" w:color="auto" w:fill="D2DFED"/>
          </w:tcPr>
          <w:p>
            <w:pPr>
              <w:pStyle w:val="TableParagraph"/>
              <w:spacing w:line="268" w:lineRule="exact"/>
              <w:ind w:left="696" w:right="358"/>
              <w:jc w:val="left"/>
              <w:rPr>
                <w:rFonts w:ascii="Times New Roman"/>
                <w:sz w:val="24"/>
              </w:rPr>
            </w:pPr>
            <w:r>
              <w:rPr>
                <w:rFonts w:ascii="Times New Roman"/>
                <w:color w:val="365F91"/>
                <w:sz w:val="24"/>
              </w:rPr>
              <w:t>125.76</w:t>
            </w:r>
          </w:p>
        </w:tc>
      </w:tr>
      <w:tr>
        <w:trPr>
          <w:trHeight w:val="300" w:hRule="exact"/>
        </w:trPr>
        <w:tc>
          <w:tcPr>
            <w:tcW w:w="1782" w:type="dxa"/>
          </w:tcPr>
          <w:p>
            <w:pPr>
              <w:pStyle w:val="TableParagraph"/>
              <w:spacing w:line="272" w:lineRule="exact"/>
              <w:ind w:left="108"/>
              <w:jc w:val="left"/>
              <w:rPr>
                <w:rFonts w:ascii="Times New Roman"/>
                <w:b/>
                <w:sz w:val="24"/>
              </w:rPr>
            </w:pPr>
            <w:r>
              <w:rPr>
                <w:rFonts w:ascii="Times New Roman"/>
                <w:b/>
                <w:color w:val="365F91"/>
                <w:sz w:val="24"/>
              </w:rPr>
              <w:t>paciente 8</w:t>
            </w:r>
          </w:p>
        </w:tc>
        <w:tc>
          <w:tcPr>
            <w:tcW w:w="2242" w:type="dxa"/>
          </w:tcPr>
          <w:p>
            <w:pPr>
              <w:pStyle w:val="TableParagraph"/>
              <w:spacing w:line="268" w:lineRule="exact"/>
              <w:ind w:left="734"/>
              <w:jc w:val="left"/>
              <w:rPr>
                <w:rFonts w:ascii="Times New Roman"/>
                <w:sz w:val="24"/>
              </w:rPr>
            </w:pPr>
            <w:r>
              <w:rPr>
                <w:rFonts w:ascii="Times New Roman"/>
                <w:color w:val="365F91"/>
                <w:sz w:val="24"/>
              </w:rPr>
              <w:t>189</w:t>
            </w:r>
          </w:p>
        </w:tc>
        <w:tc>
          <w:tcPr>
            <w:tcW w:w="2946" w:type="dxa"/>
          </w:tcPr>
          <w:p>
            <w:pPr>
              <w:pStyle w:val="TableParagraph"/>
              <w:spacing w:line="268" w:lineRule="exact"/>
              <w:ind w:left="1159" w:right="1207"/>
              <w:rPr>
                <w:rFonts w:ascii="Times New Roman"/>
                <w:sz w:val="24"/>
              </w:rPr>
            </w:pPr>
            <w:r>
              <w:rPr>
                <w:rFonts w:ascii="Times New Roman"/>
                <w:color w:val="365F91"/>
                <w:sz w:val="24"/>
              </w:rPr>
              <w:t>30.94</w:t>
            </w:r>
          </w:p>
        </w:tc>
        <w:tc>
          <w:tcPr>
            <w:tcW w:w="2089" w:type="dxa"/>
          </w:tcPr>
          <w:p>
            <w:pPr>
              <w:pStyle w:val="TableParagraph"/>
              <w:spacing w:line="268" w:lineRule="exact"/>
              <w:ind w:left="696" w:right="358"/>
              <w:jc w:val="left"/>
              <w:rPr>
                <w:rFonts w:ascii="Times New Roman"/>
                <w:sz w:val="24"/>
              </w:rPr>
            </w:pPr>
            <w:r>
              <w:rPr>
                <w:rFonts w:ascii="Times New Roman"/>
                <w:color w:val="365F91"/>
                <w:sz w:val="24"/>
              </w:rPr>
              <w:t>193.88</w:t>
            </w:r>
          </w:p>
        </w:tc>
      </w:tr>
      <w:tr>
        <w:trPr>
          <w:trHeight w:val="310" w:hRule="exact"/>
        </w:trPr>
        <w:tc>
          <w:tcPr>
            <w:tcW w:w="1782" w:type="dxa"/>
            <w:tcBorders>
              <w:bottom w:val="single" w:sz="8" w:space="0" w:color="4F81BC"/>
            </w:tcBorders>
            <w:shd w:val="clear" w:color="auto" w:fill="D2DFED"/>
          </w:tcPr>
          <w:p>
            <w:pPr>
              <w:pStyle w:val="TableParagraph"/>
              <w:spacing w:line="272" w:lineRule="exact"/>
              <w:ind w:left="108"/>
              <w:jc w:val="left"/>
              <w:rPr>
                <w:rFonts w:ascii="Times New Roman"/>
                <w:b/>
                <w:sz w:val="24"/>
              </w:rPr>
            </w:pPr>
            <w:r>
              <w:rPr>
                <w:rFonts w:ascii="Times New Roman"/>
                <w:b/>
                <w:color w:val="365F91"/>
                <w:sz w:val="24"/>
              </w:rPr>
              <w:t>paciente 9</w:t>
            </w:r>
          </w:p>
        </w:tc>
        <w:tc>
          <w:tcPr>
            <w:tcW w:w="2242" w:type="dxa"/>
            <w:tcBorders>
              <w:bottom w:val="single" w:sz="8" w:space="0" w:color="4F81BC"/>
            </w:tcBorders>
            <w:shd w:val="clear" w:color="auto" w:fill="D2DFED"/>
          </w:tcPr>
          <w:p>
            <w:pPr>
              <w:pStyle w:val="TableParagraph"/>
              <w:spacing w:line="268" w:lineRule="exact"/>
              <w:ind w:left="643"/>
              <w:jc w:val="left"/>
              <w:rPr>
                <w:rFonts w:ascii="Times New Roman"/>
                <w:sz w:val="24"/>
              </w:rPr>
            </w:pPr>
            <w:r>
              <w:rPr>
                <w:rFonts w:ascii="Times New Roman"/>
                <w:color w:val="365F91"/>
                <w:sz w:val="24"/>
              </w:rPr>
              <w:t>181.4</w:t>
            </w:r>
          </w:p>
        </w:tc>
        <w:tc>
          <w:tcPr>
            <w:tcW w:w="2946" w:type="dxa"/>
            <w:tcBorders>
              <w:bottom w:val="single" w:sz="8" w:space="0" w:color="4F81BC"/>
            </w:tcBorders>
            <w:shd w:val="clear" w:color="auto" w:fill="D2DFED"/>
          </w:tcPr>
          <w:p>
            <w:pPr>
              <w:pStyle w:val="TableParagraph"/>
              <w:spacing w:line="268" w:lineRule="exact"/>
              <w:ind w:left="1159" w:right="1207"/>
              <w:rPr>
                <w:rFonts w:ascii="Times New Roman"/>
                <w:sz w:val="24"/>
              </w:rPr>
            </w:pPr>
            <w:r>
              <w:rPr>
                <w:rFonts w:ascii="Times New Roman"/>
                <w:color w:val="365F91"/>
                <w:sz w:val="24"/>
              </w:rPr>
              <w:t>29.44</w:t>
            </w:r>
          </w:p>
        </w:tc>
        <w:tc>
          <w:tcPr>
            <w:tcW w:w="2089" w:type="dxa"/>
            <w:tcBorders>
              <w:bottom w:val="single" w:sz="8" w:space="0" w:color="4F81BC"/>
            </w:tcBorders>
            <w:shd w:val="clear" w:color="auto" w:fill="D2DFED"/>
          </w:tcPr>
          <w:p>
            <w:pPr>
              <w:pStyle w:val="TableParagraph"/>
              <w:spacing w:line="268" w:lineRule="exact"/>
              <w:ind w:left="696" w:right="358"/>
              <w:jc w:val="left"/>
              <w:rPr>
                <w:rFonts w:ascii="Times New Roman"/>
                <w:sz w:val="24"/>
              </w:rPr>
            </w:pPr>
            <w:r>
              <w:rPr>
                <w:rFonts w:ascii="Times New Roman"/>
                <w:color w:val="365F91"/>
                <w:sz w:val="24"/>
              </w:rPr>
              <w:t>184.48</w:t>
            </w:r>
          </w:p>
        </w:tc>
      </w:tr>
    </w:tbl>
    <w:p>
      <w:pPr>
        <w:spacing w:line="240" w:lineRule="auto" w:before="0"/>
        <w:ind w:left="3637" w:right="528" w:hanging="3109"/>
        <w:jc w:val="left"/>
        <w:rPr>
          <w:sz w:val="20"/>
        </w:rPr>
      </w:pPr>
      <w:bookmarkStart w:name="_bookmark85" w:id="135"/>
      <w:bookmarkEnd w:id="135"/>
      <w:r>
        <w:rPr/>
      </w:r>
      <w:r>
        <w:rPr>
          <w:sz w:val="20"/>
        </w:rPr>
        <w:t>Tabla 5. Mediciones de dosis en un punto con la cámara de ionización y dosis calculada con el sistema de planeación.</w:t>
      </w:r>
    </w:p>
    <w:p>
      <w:pPr>
        <w:pStyle w:val="BodyText"/>
        <w:rPr>
          <w:sz w:val="20"/>
        </w:rPr>
      </w:pPr>
    </w:p>
    <w:p>
      <w:pPr>
        <w:pStyle w:val="BodyText"/>
        <w:spacing w:before="1"/>
        <w:rPr>
          <w:sz w:val="24"/>
        </w:rPr>
      </w:pPr>
    </w:p>
    <w:p>
      <w:pPr>
        <w:spacing w:before="59"/>
        <w:ind w:left="1611" w:right="0" w:firstLine="0"/>
        <w:jc w:val="left"/>
        <w:rPr>
          <w:rFonts w:ascii="Calibri"/>
          <w:sz w:val="20"/>
        </w:rPr>
      </w:pPr>
      <w:r>
        <w:rPr/>
        <w:pict>
          <v:group style="position:absolute;margin-left:165.324997pt;margin-top:9.066477pt;width:298.45pt;height:178.7pt;mso-position-horizontal-relative:page;mso-position-vertical-relative:paragraph;z-index:2920" coordorigin="3306,181" coordsize="5969,3574">
            <v:shape style="position:absolute;left:3314;top:189;width:5954;height:3559" coordorigin="3314,189" coordsize="5954,3559" path="m3377,3747l9268,3747m3377,3153l9268,3153m3377,1969l9268,1969m3377,1373l9268,1373m3377,781l9268,781m3377,189l9268,189m3377,3747l3377,189m3314,3747l3377,3747m3314,3153l3377,3153m3314,2561l3377,2561m3314,1969l3377,1969m3314,1373l3377,1373m3314,781l3377,781m3314,189l3377,189m3377,2561l9268,2561m3377,2561l3377,2624m4032,2561l4032,2624m4688,2561l4688,2624m5340,2561l5340,2624m5996,2561l5996,2624m6648,2561l6648,2624m7304,2561l7304,2624m7960,2561l7960,2624m8612,2561l8612,2624m9268,2561l9268,2624e" filled="false" stroked="true" strokeweight=".75pt" strokecolor="#858585">
              <v:path arrowok="t"/>
            </v:shape>
            <v:shape style="position:absolute;left:3705;top:635;width:5236;height:2791" coordorigin="3705,635" coordsize="5236,2791" path="m3705,1741l4360,3409,5012,1941,5668,635,6324,2517,6976,3261,7632,3426,8288,3325,8941,3065e" filled="false" stroked="true" strokeweight="1.5pt" strokecolor="#497dba">
              <v:path arrowok="t"/>
            </v:shape>
            <v:shape style="position:absolute;left:3664;top:1702;width:80;height:80" coordorigin="3664,1702" coordsize="80,80" path="m3704,1702l3688,1706,3676,1714,3667,1727,3664,1742,3667,1758,3676,1771,3688,1779,3704,1782,3720,1779,3732,1771,3741,1758,3744,1742,3741,1727,3732,1714,3720,1706,3704,1702xe" filled="true" fillcolor="#4f81bc" stroked="false">
              <v:path arrowok="t"/>
              <v:fill type="solid"/>
            </v:shape>
            <v:shape style="position:absolute;left:3664;top:1702;width:80;height:80" coordorigin="3664,1702" coordsize="80,80" path="m3744,1742l3741,1758,3732,1771,3720,1779,3704,1782,3688,1779,3676,1771,3667,1758,3664,1742,3667,1727,3676,1714,3688,1706,3704,1702,3720,1706,3732,1714,3741,1727,3744,1742xe" filled="false" stroked="true" strokeweight=".8pt" strokecolor="#497dba">
              <v:path arrowok="t"/>
            </v:shape>
            <v:shape style="position:absolute;left:4320;top:3370;width:80;height:80" coordorigin="4320,3370" coordsize="80,80" path="m4360,3370l4344,3374,4332,3382,4323,3395,4320,3410,4323,3426,4332,3439,4344,3447,4360,3450,4376,3447,4388,3439,4397,3426,4400,3410,4397,3395,4388,3382,4376,3374,4360,3370xe" filled="true" fillcolor="#4f81bc" stroked="false">
              <v:path arrowok="t"/>
              <v:fill type="solid"/>
            </v:shape>
            <v:shape style="position:absolute;left:4320;top:3370;width:80;height:80" coordorigin="4320,3370" coordsize="80,80" path="m4400,3410l4397,3426,4388,3439,4376,3447,4360,3450,4344,3447,4332,3439,4323,3426,4320,3410,4323,3395,4332,3382,4344,3374,4360,3370,4376,3374,4388,3382,4397,3395,4400,3410xe" filled="false" stroked="true" strokeweight=".8pt" strokecolor="#497dba">
              <v:path arrowok="t"/>
            </v:shape>
            <v:shape style="position:absolute;left:4972;top:1902;width:80;height:80" coordorigin="4972,1902" coordsize="80,80" path="m5012,1902l4996,1906,4984,1914,4975,1927,4972,1942,4975,1958,4984,1971,4996,1979,5012,1982,5028,1979,5040,1971,5049,1958,5052,1942,5049,1927,5040,1914,5028,1906,5012,1902xe" filled="true" fillcolor="#4f81bc" stroked="false">
              <v:path arrowok="t"/>
              <v:fill type="solid"/>
            </v:shape>
            <v:shape style="position:absolute;left:4972;top:1902;width:80;height:80" coordorigin="4972,1902" coordsize="80,80" path="m5052,1942l5049,1958,5040,1971,5028,1979,5012,1982,4996,1979,4984,1971,4975,1958,4972,1942,4975,1927,4984,1914,4996,1906,5012,1902,5028,1906,5040,1914,5049,1927,5052,1942xe" filled="false" stroked="true" strokeweight=".8pt" strokecolor="#497dba">
              <v:path arrowok="t"/>
            </v:shape>
            <v:shape style="position:absolute;left:5628;top:594;width:80;height:80" coordorigin="5628,594" coordsize="80,80" path="m5668,594l5652,598,5640,606,5631,619,5628,634,5631,650,5640,663,5652,671,5668,674,5684,671,5696,663,5705,650,5708,634,5705,619,5696,606,5684,598,5668,594xe" filled="true" fillcolor="#4f81bc" stroked="false">
              <v:path arrowok="t"/>
              <v:fill type="solid"/>
            </v:shape>
            <v:shape style="position:absolute;left:5628;top:594;width:80;height:80" coordorigin="5628,594" coordsize="80,80" path="m5708,634l5705,650,5696,663,5684,671,5668,674,5652,671,5640,663,5631,650,5628,634,5631,619,5640,606,5652,598,5668,594,5684,598,5696,606,5705,619,5708,634xe" filled="false" stroked="true" strokeweight=".8pt" strokecolor="#497dba">
              <v:path arrowok="t"/>
            </v:shape>
            <v:shape style="position:absolute;left:6284;top:2478;width:80;height:80" coordorigin="6284,2478" coordsize="80,80" path="m6324,2478l6308,2482,6296,2490,6287,2503,6284,2518,6287,2534,6296,2547,6308,2555,6324,2558,6340,2555,6352,2547,6361,2534,6364,2518,6361,2503,6352,2490,6340,2482,6324,2478xe" filled="true" fillcolor="#4f81bc" stroked="false">
              <v:path arrowok="t"/>
              <v:fill type="solid"/>
            </v:shape>
            <v:shape style="position:absolute;left:6284;top:2478;width:80;height:80" coordorigin="6284,2478" coordsize="80,80" path="m6364,2518l6361,2534,6352,2547,6340,2555,6324,2558,6308,2555,6296,2547,6287,2534,6284,2518,6287,2503,6296,2490,6308,2482,6324,2478,6340,2482,6352,2490,6361,2503,6364,2518xe" filled="false" stroked="true" strokeweight=".8pt" strokecolor="#497dba">
              <v:path arrowok="t"/>
            </v:shape>
            <v:shape style="position:absolute;left:6936;top:3222;width:80;height:80" coordorigin="6936,3222" coordsize="80,80" path="m6976,3222l6960,3226,6948,3234,6939,3247,6936,3262,6939,3278,6948,3291,6960,3299,6976,3302,6992,3299,7004,3291,7013,3278,7016,3262,7013,3247,7004,3234,6992,3226,6976,3222xe" filled="true" fillcolor="#4f81bc" stroked="false">
              <v:path arrowok="t"/>
              <v:fill type="solid"/>
            </v:shape>
            <v:shape style="position:absolute;left:6936;top:3222;width:80;height:80" coordorigin="6936,3222" coordsize="80,80" path="m7016,3262l7013,3278,7004,3291,6992,3299,6976,3302,6960,3299,6948,3291,6939,3278,6936,3262,6939,3247,6948,3234,6960,3226,6976,3222,6992,3226,7004,3234,7013,3247,7016,3262xe" filled="false" stroked="true" strokeweight=".8pt" strokecolor="#497dba">
              <v:path arrowok="t"/>
            </v:shape>
            <v:shape style="position:absolute;left:7592;top:3386;width:80;height:80" coordorigin="7592,3386" coordsize="80,80" path="m7632,3386l7616,3390,7604,3398,7595,3411,7592,3426,7595,3442,7604,3455,7616,3463,7632,3466,7648,3463,7660,3455,7669,3442,7672,3426,7669,3411,7660,3398,7648,3390,7632,3386xe" filled="true" fillcolor="#4f81bc" stroked="false">
              <v:path arrowok="t"/>
              <v:fill type="solid"/>
            </v:shape>
            <v:shape style="position:absolute;left:7592;top:3386;width:80;height:80" coordorigin="7592,3386" coordsize="80,80" path="m7672,3426l7669,3442,7660,3455,7648,3463,7632,3466,7616,3463,7604,3455,7595,3442,7592,3426,7595,3411,7604,3398,7616,3390,7632,3386,7648,3390,7660,3398,7669,3411,7672,3426xe" filled="false" stroked="true" strokeweight=".8pt" strokecolor="#497dba">
              <v:path arrowok="t"/>
            </v:shape>
            <v:shape style="position:absolute;left:8248;top:3286;width:80;height:80" coordorigin="8248,3286" coordsize="80,80" path="m8288,3286l8272,3290,8260,3298,8251,3311,8248,3326,8251,3342,8260,3355,8272,3363,8288,3366,8304,3363,8316,3355,8325,3342,8328,3326,8325,3311,8316,3298,8304,3290,8288,3286xe" filled="true" fillcolor="#4f81bc" stroked="false">
              <v:path arrowok="t"/>
              <v:fill type="solid"/>
            </v:shape>
            <v:shape style="position:absolute;left:8248;top:3286;width:80;height:80" coordorigin="8248,3286" coordsize="80,80" path="m8328,3326l8325,3342,8316,3355,8304,3363,8288,3366,8272,3363,8260,3355,8251,3342,8248,3326,8251,3311,8260,3298,8272,3290,8288,3286,8304,3290,8316,3298,8325,3311,8328,3326xe" filled="false" stroked="true" strokeweight=".8pt" strokecolor="#497dba">
              <v:path arrowok="t"/>
            </v:shape>
            <v:shape style="position:absolute;left:8900;top:3026;width:80;height:80" coordorigin="8900,3026" coordsize="80,80" path="m8940,3026l8924,3030,8912,3038,8903,3051,8900,3066,8903,3082,8912,3095,8924,3103,8940,3106,8956,3103,8968,3095,8977,3082,8980,3066,8977,3051,8968,3038,8956,3030,8940,3026xe" filled="true" fillcolor="#4f81bc" stroked="false">
              <v:path arrowok="t"/>
              <v:fill type="solid"/>
            </v:shape>
            <v:shape style="position:absolute;left:8900;top:3026;width:80;height:80" coordorigin="8900,3026" coordsize="80,80" path="m8980,3066l8977,3082,8968,3095,8956,3103,8940,3106,8924,3103,8912,3095,8903,3082,8900,3066,8903,3051,8912,3038,8924,3030,8940,3026,8956,3030,8968,3038,8977,3051,8980,3066xe" filled="false" stroked="true" strokeweight=".8pt" strokecolor="#497dba">
              <v:path arrowok="t"/>
            </v:shape>
            <v:shape style="position:absolute;left:3655;top:27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1</w:t>
                    </w:r>
                  </w:p>
                </w:txbxContent>
              </v:textbox>
              <w10:wrap type="none"/>
            </v:shape>
            <v:shape style="position:absolute;left:4310;top:27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2</w:t>
                    </w:r>
                  </w:p>
                </w:txbxContent>
              </v:textbox>
              <w10:wrap type="none"/>
            </v:shape>
            <v:shape style="position:absolute;left:4964;top:27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3</w:t>
                    </w:r>
                  </w:p>
                </w:txbxContent>
              </v:textbox>
              <w10:wrap type="none"/>
            </v:shape>
            <v:shape style="position:absolute;left:5619;top:27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4</w:t>
                    </w:r>
                  </w:p>
                </w:txbxContent>
              </v:textbox>
              <w10:wrap type="none"/>
            </v:shape>
            <v:shape style="position:absolute;left:6274;top:27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5</w:t>
                    </w:r>
                  </w:p>
                </w:txbxContent>
              </v:textbox>
              <w10:wrap type="none"/>
            </v:shape>
            <v:shape style="position:absolute;left:6928;top:27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6</w:t>
                    </w:r>
                  </w:p>
                </w:txbxContent>
              </v:textbox>
              <w10:wrap type="none"/>
            </v:shape>
            <v:shape style="position:absolute;left:7583;top:27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7</w:t>
                    </w:r>
                  </w:p>
                </w:txbxContent>
              </v:textbox>
              <w10:wrap type="none"/>
            </v:shape>
            <v:shape style="position:absolute;left:8238;top:27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8</w:t>
                    </w:r>
                  </w:p>
                </w:txbxContent>
              </v:textbox>
              <w10:wrap type="none"/>
            </v:shape>
            <v:shape style="position:absolute;left:8893;top:27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9</w:t>
                    </w:r>
                  </w:p>
                </w:txbxContent>
              </v:textbox>
              <w10:wrap type="none"/>
            </v:shape>
            <w10:wrap type="none"/>
          </v:group>
        </w:pict>
      </w:r>
      <w:r>
        <w:rPr>
          <w:rFonts w:ascii="Calibri"/>
          <w:sz w:val="20"/>
        </w:rPr>
        <w:t>8</w:t>
      </w:r>
    </w:p>
    <w:p>
      <w:pPr>
        <w:pStyle w:val="BodyText"/>
        <w:spacing w:before="8"/>
        <w:rPr>
          <w:rFonts w:ascii="Calibri"/>
          <w:sz w:val="23"/>
        </w:rPr>
      </w:pPr>
    </w:p>
    <w:p>
      <w:pPr>
        <w:spacing w:before="60"/>
        <w:ind w:left="1611" w:right="0" w:firstLine="0"/>
        <w:jc w:val="left"/>
        <w:rPr>
          <w:rFonts w:ascii="Calibri"/>
          <w:sz w:val="20"/>
        </w:rPr>
      </w:pPr>
      <w:r>
        <w:rPr>
          <w:rFonts w:ascii="Calibri"/>
          <w:sz w:val="20"/>
        </w:rPr>
        <w:t>6</w:t>
      </w:r>
    </w:p>
    <w:p>
      <w:pPr>
        <w:pStyle w:val="BodyText"/>
        <w:spacing w:before="9"/>
        <w:rPr>
          <w:rFonts w:ascii="Calibri"/>
          <w:sz w:val="23"/>
        </w:rPr>
      </w:pPr>
    </w:p>
    <w:p>
      <w:pPr>
        <w:spacing w:before="59"/>
        <w:ind w:left="1611" w:right="0" w:firstLine="0"/>
        <w:jc w:val="left"/>
        <w:rPr>
          <w:rFonts w:ascii="Calibri"/>
          <w:sz w:val="20"/>
        </w:rPr>
      </w:pPr>
      <w:r>
        <w:rPr/>
        <w:pict>
          <v:shape style="position:absolute;margin-left:140.649994pt;margin-top:9.216253pt;width:12pt;height:60.3pt;mso-position-horizontal-relative:page;mso-position-vertical-relative:paragraph;z-index:2944" type="#_x0000_t202" filled="false" stroked="false">
            <v:textbox inset="0,0,0,0" style="layout-flow:vertical;mso-layout-flow-alt:bottom-to-top">
              <w:txbxContent>
                <w:p>
                  <w:pPr>
                    <w:spacing w:line="224" w:lineRule="exact" w:before="0"/>
                    <w:ind w:left="20" w:right="-645" w:firstLine="0"/>
                    <w:jc w:val="left"/>
                    <w:rPr>
                      <w:rFonts w:ascii="Calibri"/>
                      <w:b/>
                      <w:sz w:val="20"/>
                    </w:rPr>
                  </w:pPr>
                  <w:r>
                    <w:rPr>
                      <w:rFonts w:ascii="Calibri"/>
                      <w:b/>
                      <w:spacing w:val="1"/>
                      <w:sz w:val="20"/>
                    </w:rPr>
                    <w:t>D</w:t>
                  </w:r>
                  <w:r>
                    <w:rPr>
                      <w:rFonts w:ascii="Calibri"/>
                      <w:b/>
                      <w:spacing w:val="-2"/>
                      <w:sz w:val="20"/>
                    </w:rPr>
                    <w:t>i</w:t>
                  </w:r>
                  <w:r>
                    <w:rPr>
                      <w:rFonts w:ascii="Calibri"/>
                      <w:b/>
                      <w:sz w:val="20"/>
                    </w:rPr>
                    <w:t>f</w:t>
                  </w:r>
                  <w:r>
                    <w:rPr>
                      <w:rFonts w:ascii="Calibri"/>
                      <w:b/>
                      <w:spacing w:val="-1"/>
                      <w:sz w:val="20"/>
                    </w:rPr>
                    <w:t>e</w:t>
                  </w:r>
                  <w:r>
                    <w:rPr>
                      <w:rFonts w:ascii="Calibri"/>
                      <w:b/>
                      <w:sz w:val="20"/>
                    </w:rPr>
                    <w:t>r</w:t>
                  </w:r>
                  <w:r>
                    <w:rPr>
                      <w:rFonts w:ascii="Calibri"/>
                      <w:b/>
                      <w:spacing w:val="-1"/>
                      <w:sz w:val="20"/>
                    </w:rPr>
                    <w:t>e</w:t>
                  </w:r>
                  <w:r>
                    <w:rPr>
                      <w:rFonts w:ascii="Calibri"/>
                      <w:b/>
                      <w:sz w:val="20"/>
                    </w:rPr>
                    <w:t>n</w:t>
                  </w:r>
                  <w:r>
                    <w:rPr>
                      <w:rFonts w:ascii="Calibri"/>
                      <w:b/>
                      <w:spacing w:val="-1"/>
                      <w:sz w:val="20"/>
                    </w:rPr>
                    <w:t>ci</w:t>
                  </w:r>
                  <w:r>
                    <w:rPr>
                      <w:rFonts w:ascii="Calibri"/>
                      <w:b/>
                      <w:sz w:val="20"/>
                    </w:rPr>
                    <w:t>a</w:t>
                  </w:r>
                  <w:r>
                    <w:rPr>
                      <w:rFonts w:ascii="Calibri"/>
                      <w:b/>
                      <w:spacing w:val="-1"/>
                      <w:sz w:val="20"/>
                    </w:rPr>
                    <w:t> </w:t>
                  </w:r>
                  <w:r>
                    <w:rPr>
                      <w:rFonts w:ascii="Calibri"/>
                      <w:b/>
                      <w:spacing w:val="1"/>
                      <w:sz w:val="20"/>
                    </w:rPr>
                    <w:t>(</w:t>
                  </w:r>
                  <w:r>
                    <w:rPr>
                      <w:rFonts w:ascii="Calibri"/>
                      <w:b/>
                      <w:spacing w:val="-2"/>
                      <w:sz w:val="20"/>
                    </w:rPr>
                    <w:t>%</w:t>
                  </w:r>
                  <w:r>
                    <w:rPr>
                      <w:rFonts w:ascii="Calibri"/>
                      <w:b/>
                      <w:sz w:val="20"/>
                    </w:rPr>
                    <w:t>)</w:t>
                  </w:r>
                </w:p>
              </w:txbxContent>
            </v:textbox>
            <w10:wrap type="none"/>
          </v:shape>
        </w:pict>
      </w:r>
      <w:r>
        <w:rPr>
          <w:rFonts w:ascii="Calibri"/>
          <w:sz w:val="20"/>
        </w:rPr>
        <w:t>4</w:t>
      </w:r>
    </w:p>
    <w:p>
      <w:pPr>
        <w:pStyle w:val="BodyText"/>
        <w:spacing w:before="8"/>
        <w:rPr>
          <w:rFonts w:ascii="Calibri"/>
          <w:sz w:val="23"/>
        </w:rPr>
      </w:pPr>
    </w:p>
    <w:p>
      <w:pPr>
        <w:spacing w:before="60"/>
        <w:ind w:left="1611" w:right="0" w:firstLine="0"/>
        <w:jc w:val="left"/>
        <w:rPr>
          <w:rFonts w:ascii="Calibri"/>
          <w:sz w:val="20"/>
        </w:rPr>
      </w:pPr>
      <w:r>
        <w:rPr>
          <w:rFonts w:ascii="Calibri"/>
          <w:sz w:val="20"/>
        </w:rPr>
        <w:t>2</w:t>
      </w:r>
    </w:p>
    <w:p>
      <w:pPr>
        <w:pStyle w:val="BodyText"/>
        <w:spacing w:before="8"/>
        <w:rPr>
          <w:rFonts w:ascii="Calibri"/>
          <w:sz w:val="23"/>
        </w:rPr>
      </w:pPr>
    </w:p>
    <w:p>
      <w:pPr>
        <w:spacing w:before="60"/>
        <w:ind w:left="1611" w:right="0" w:firstLine="0"/>
        <w:jc w:val="left"/>
        <w:rPr>
          <w:rFonts w:ascii="Calibri"/>
          <w:sz w:val="20"/>
        </w:rPr>
      </w:pPr>
      <w:r>
        <w:rPr>
          <w:rFonts w:ascii="Calibri"/>
          <w:sz w:val="20"/>
        </w:rPr>
        <w:t>0</w:t>
      </w:r>
    </w:p>
    <w:p>
      <w:pPr>
        <w:pStyle w:val="BodyText"/>
        <w:spacing w:before="8"/>
        <w:rPr>
          <w:rFonts w:ascii="Calibri"/>
          <w:sz w:val="23"/>
        </w:rPr>
      </w:pPr>
    </w:p>
    <w:p>
      <w:pPr>
        <w:spacing w:before="60"/>
        <w:ind w:left="1550" w:right="528" w:firstLine="0"/>
        <w:jc w:val="left"/>
        <w:rPr>
          <w:rFonts w:ascii="Calibri"/>
          <w:sz w:val="20"/>
        </w:rPr>
      </w:pPr>
      <w:r>
        <w:rPr>
          <w:rFonts w:ascii="Calibri"/>
          <w:sz w:val="20"/>
        </w:rPr>
        <w:t>-2</w:t>
      </w:r>
    </w:p>
    <w:p>
      <w:pPr>
        <w:pStyle w:val="BodyText"/>
        <w:spacing w:before="8"/>
        <w:rPr>
          <w:rFonts w:ascii="Calibri"/>
          <w:sz w:val="23"/>
        </w:rPr>
      </w:pPr>
    </w:p>
    <w:p>
      <w:pPr>
        <w:spacing w:line="203" w:lineRule="exact" w:before="60"/>
        <w:ind w:left="1550" w:right="528" w:firstLine="0"/>
        <w:jc w:val="left"/>
        <w:rPr>
          <w:rFonts w:ascii="Calibri"/>
          <w:sz w:val="20"/>
        </w:rPr>
      </w:pPr>
      <w:r>
        <w:rPr>
          <w:rFonts w:ascii="Calibri"/>
          <w:sz w:val="20"/>
        </w:rPr>
        <w:t>-4</w:t>
      </w:r>
    </w:p>
    <w:p>
      <w:pPr>
        <w:spacing w:line="203" w:lineRule="exact" w:before="0"/>
        <w:ind w:left="751" w:right="361" w:firstLine="0"/>
        <w:jc w:val="center"/>
        <w:rPr>
          <w:rFonts w:ascii="Calibri"/>
          <w:b/>
          <w:sz w:val="20"/>
        </w:rPr>
      </w:pPr>
      <w:r>
        <w:rPr>
          <w:rFonts w:ascii="Calibri"/>
          <w:b/>
          <w:sz w:val="20"/>
        </w:rPr>
        <w:t>Pacientes</w:t>
      </w:r>
    </w:p>
    <w:p>
      <w:pPr>
        <w:spacing w:before="43"/>
        <w:ind w:left="340" w:right="361" w:firstLine="0"/>
        <w:jc w:val="center"/>
        <w:rPr>
          <w:sz w:val="20"/>
        </w:rPr>
      </w:pPr>
      <w:bookmarkStart w:name="_bookmark86" w:id="136"/>
      <w:bookmarkEnd w:id="136"/>
      <w:r>
        <w:rPr/>
      </w:r>
      <w:r>
        <w:rPr>
          <w:sz w:val="20"/>
        </w:rPr>
        <w:t>Figura 30. Porcentaje de diferencia entre la dosis calculada por el sistema de planeación y la dosis medida</w:t>
      </w:r>
    </w:p>
    <w:p>
      <w:pPr>
        <w:pStyle w:val="BodyText"/>
        <w:rPr>
          <w:sz w:val="20"/>
        </w:rPr>
      </w:pPr>
    </w:p>
    <w:p>
      <w:pPr>
        <w:pStyle w:val="BodyText"/>
        <w:rPr>
          <w:sz w:val="20"/>
        </w:rPr>
      </w:pPr>
    </w:p>
    <w:p>
      <w:pPr>
        <w:pStyle w:val="BodyText"/>
        <w:spacing w:line="360" w:lineRule="auto" w:before="124"/>
        <w:ind w:left="220" w:right="235"/>
        <w:jc w:val="both"/>
      </w:pPr>
      <w:r>
        <w:rPr/>
        <w:t>Algunos autores han reportado que la diferencia entre la dosis medida y calculada puede ser mayor al 3.5% en tratamientos de cabeza y cuello (Doong, et al., 2003). </w:t>
      </w:r>
      <w:r>
        <w:rPr>
          <w:i/>
        </w:rPr>
        <w:t>Fenoglietto et  </w:t>
      </w:r>
      <w:r>
        <w:rPr>
          <w:i/>
        </w:rPr>
        <w:t>al</w:t>
      </w:r>
      <w:r>
        <w:rPr>
          <w:i/>
          <w:spacing w:val="24"/>
        </w:rPr>
        <w:t> </w:t>
      </w:r>
      <w:r>
        <w:rPr/>
        <w:t>reportan</w:t>
      </w:r>
      <w:r>
        <w:rPr>
          <w:spacing w:val="22"/>
        </w:rPr>
        <w:t> </w:t>
      </w:r>
      <w:r>
        <w:rPr/>
        <w:t>resultados</w:t>
      </w:r>
      <w:r>
        <w:rPr>
          <w:spacing w:val="23"/>
        </w:rPr>
        <w:t> </w:t>
      </w:r>
      <w:r>
        <w:rPr/>
        <w:t>de</w:t>
      </w:r>
      <w:r>
        <w:rPr>
          <w:spacing w:val="24"/>
        </w:rPr>
        <w:t> </w:t>
      </w:r>
      <w:r>
        <w:rPr/>
        <w:t>1.33%</w:t>
      </w:r>
      <w:r>
        <w:rPr>
          <w:spacing w:val="22"/>
        </w:rPr>
        <w:t> </w:t>
      </w:r>
      <w:r>
        <w:rPr/>
        <w:t>de</w:t>
      </w:r>
      <w:r>
        <w:rPr>
          <w:spacing w:val="24"/>
        </w:rPr>
        <w:t> </w:t>
      </w:r>
      <w:r>
        <w:rPr/>
        <w:t>diferencia</w:t>
      </w:r>
      <w:r>
        <w:rPr>
          <w:spacing w:val="23"/>
        </w:rPr>
        <w:t> </w:t>
      </w:r>
      <w:r>
        <w:rPr/>
        <w:t>promedio,</w:t>
      </w:r>
      <w:r>
        <w:rPr>
          <w:spacing w:val="23"/>
        </w:rPr>
        <w:t> </w:t>
      </w:r>
      <w:r>
        <w:rPr/>
        <w:t>con</w:t>
      </w:r>
      <w:r>
        <w:rPr>
          <w:spacing w:val="20"/>
        </w:rPr>
        <w:t> </w:t>
      </w:r>
      <w:r>
        <w:rPr/>
        <w:t>una</w:t>
      </w:r>
      <w:r>
        <w:rPr>
          <w:spacing w:val="23"/>
        </w:rPr>
        <w:t> </w:t>
      </w:r>
      <w:r>
        <w:rPr/>
        <w:t>desviación</w:t>
      </w:r>
      <w:r>
        <w:rPr>
          <w:spacing w:val="20"/>
        </w:rPr>
        <w:t> </w:t>
      </w:r>
      <w:r>
        <w:rPr/>
        <w:t>estándar</w:t>
      </w:r>
      <w:r>
        <w:rPr>
          <w:spacing w:val="24"/>
        </w:rPr>
        <w:t> </w:t>
      </w:r>
      <w:r>
        <w:rPr/>
        <w:t>de</w:t>
      </w:r>
    </w:p>
    <w:p>
      <w:pPr>
        <w:spacing w:before="1"/>
        <w:ind w:left="220" w:right="0" w:firstLine="0"/>
        <w:jc w:val="both"/>
        <w:rPr>
          <w:i/>
          <w:sz w:val="22"/>
        </w:rPr>
      </w:pPr>
      <w:r>
        <w:rPr>
          <w:sz w:val="22"/>
        </w:rPr>
        <w:t>±3.22% para tumores de cabeza y cuello (Fenoglietto, et al., 2011) </w:t>
      </w:r>
      <w:r>
        <w:rPr>
          <w:i/>
          <w:sz w:val="22"/>
        </w:rPr>
        <w:t>y Syam Kumar et al</w:t>
      </w:r>
    </w:p>
    <w:p>
      <w:pPr>
        <w:pStyle w:val="BodyText"/>
        <w:spacing w:before="122"/>
        <w:ind w:left="220"/>
        <w:jc w:val="both"/>
      </w:pPr>
      <w:r>
        <w:rPr/>
        <w:t>refiere diferencias promedio de 2.23% en el isocentro (Syam Kumar, et al., 2012).</w:t>
      </w:r>
    </w:p>
    <w:p>
      <w:pPr>
        <w:spacing w:after="0"/>
        <w:jc w:val="both"/>
        <w:sectPr>
          <w:pgSz w:w="12240" w:h="15840"/>
          <w:pgMar w:header="0" w:footer="1034" w:top="1360" w:bottom="1220" w:left="1480" w:right="1460"/>
        </w:sectPr>
      </w:pPr>
    </w:p>
    <w:p>
      <w:pPr>
        <w:pStyle w:val="BodyText"/>
        <w:spacing w:line="360" w:lineRule="auto" w:before="55"/>
        <w:ind w:left="100" w:right="115"/>
        <w:jc w:val="both"/>
      </w:pPr>
      <w:r>
        <w:rPr/>
        <w:t>En general se observan variaciones aceptables entre la dosis medida y la calculada. Las diferencias mayores pueden deberse al volumen de la cámara y a su posicionamiento en regiones de penumbra y alto gradiente, en las cuales existen variaciones en la intensidad del haz de radiación, y al efecto </w:t>
      </w:r>
      <w:r>
        <w:rPr>
          <w:i/>
        </w:rPr>
        <w:t>tongue and Groove. </w:t>
      </w:r>
      <w:r>
        <w:rPr/>
        <w:t>Estos factores han sido descritos por diversos autores (Venecia &amp; Besa, 2004), (Escudé, et al., 2006), (Laub &amp; Wong, 2003), (Sánchez-Doblado, et al., 2007), (Syam Kumar, et al.,</w:t>
      </w:r>
      <w:r>
        <w:rPr>
          <w:spacing w:val="-14"/>
        </w:rPr>
        <w:t> </w:t>
      </w:r>
      <w:r>
        <w:rPr/>
        <w:t>2012).</w:t>
      </w:r>
    </w:p>
    <w:p>
      <w:pPr>
        <w:pStyle w:val="BodyText"/>
      </w:pPr>
    </w:p>
    <w:p>
      <w:pPr>
        <w:pStyle w:val="BodyText"/>
        <w:spacing w:before="2"/>
        <w:rPr>
          <w:sz w:val="24"/>
        </w:rPr>
      </w:pPr>
    </w:p>
    <w:p>
      <w:pPr>
        <w:pStyle w:val="Heading6"/>
        <w:numPr>
          <w:ilvl w:val="1"/>
          <w:numId w:val="8"/>
        </w:numPr>
        <w:tabs>
          <w:tab w:pos="893" w:val="left" w:leader="none"/>
        </w:tabs>
        <w:spacing w:line="240" w:lineRule="auto" w:before="0" w:after="0"/>
        <w:ind w:left="893" w:right="0" w:hanging="433"/>
        <w:jc w:val="left"/>
      </w:pPr>
      <w:bookmarkStart w:name="_bookmark87" w:id="137"/>
      <w:bookmarkEnd w:id="137"/>
      <w:r>
        <w:rPr>
          <w:b w:val="0"/>
        </w:rPr>
      </w:r>
      <w:bookmarkStart w:name="_bookmark87" w:id="138"/>
      <w:bookmarkEnd w:id="138"/>
      <w:r>
        <w:rPr/>
        <w:t>A</w:t>
      </w:r>
      <w:r>
        <w:rPr/>
        <w:t>nálisis de distribución de dosis. Índice</w:t>
      </w:r>
      <w:r>
        <w:rPr>
          <w:spacing w:val="-14"/>
        </w:rPr>
        <w:t> </w:t>
      </w:r>
      <w:r>
        <w:rPr/>
        <w:t>gamma</w:t>
      </w:r>
    </w:p>
    <w:p>
      <w:pPr>
        <w:pStyle w:val="Heading6"/>
        <w:numPr>
          <w:ilvl w:val="2"/>
          <w:numId w:val="8"/>
        </w:numPr>
        <w:tabs>
          <w:tab w:pos="1517" w:val="left" w:leader="none"/>
        </w:tabs>
        <w:spacing w:line="240" w:lineRule="auto" w:before="102" w:after="0"/>
        <w:ind w:left="1517" w:right="0" w:hanging="696"/>
        <w:jc w:val="left"/>
      </w:pPr>
      <w:bookmarkStart w:name="_bookmark88" w:id="139"/>
      <w:bookmarkEnd w:id="139"/>
      <w:r>
        <w:rPr>
          <w:b w:val="0"/>
        </w:rPr>
      </w:r>
      <w:bookmarkStart w:name="_bookmark88" w:id="140"/>
      <w:bookmarkEnd w:id="140"/>
      <w:r>
        <w:rPr/>
        <w:t>P</w:t>
      </w:r>
      <w:r>
        <w:rPr/>
        <w:t>elículas</w:t>
      </w:r>
      <w:r>
        <w:rPr>
          <w:spacing w:val="-14"/>
        </w:rPr>
        <w:t> </w:t>
      </w:r>
      <w:r>
        <w:rPr/>
        <w:t>radiocrómicas</w:t>
      </w:r>
    </w:p>
    <w:p>
      <w:pPr>
        <w:pStyle w:val="BodyText"/>
        <w:spacing w:before="7"/>
        <w:rPr>
          <w:b/>
          <w:sz w:val="27"/>
        </w:rPr>
      </w:pPr>
    </w:p>
    <w:p>
      <w:pPr>
        <w:pStyle w:val="BodyText"/>
        <w:spacing w:line="360" w:lineRule="auto"/>
        <w:ind w:left="100" w:right="155"/>
      </w:pPr>
      <w:r>
        <w:rPr/>
        <w:t>En la </w:t>
      </w:r>
      <w:hyperlink w:history="true" w:anchor="_bookmark89">
        <w:r>
          <w:rPr>
            <w:b/>
            <w:sz w:val="20"/>
          </w:rPr>
          <w:t>Tabla 6</w:t>
        </w:r>
      </w:hyperlink>
      <w:r>
        <w:rPr>
          <w:b/>
          <w:sz w:val="20"/>
        </w:rPr>
        <w:t> </w:t>
      </w:r>
      <w:r>
        <w:rPr/>
        <w:t>se muestran los resultados del análisis gamma realizado con las películas radiocrómicas a los nueve pacientes., utilizando un criterio de 3% en la diferencia de dosis y 3 mm de distancia en concordancia</w:t>
      </w:r>
    </w:p>
    <w:p>
      <w:pPr>
        <w:pStyle w:val="BodyText"/>
        <w:rPr>
          <w:sz w:val="20"/>
        </w:rPr>
      </w:pPr>
    </w:p>
    <w:p>
      <w:pPr>
        <w:pStyle w:val="BodyText"/>
        <w:spacing w:before="11"/>
        <w:rPr>
          <w:sz w:val="12"/>
        </w:rPr>
      </w:pPr>
    </w:p>
    <w:tbl>
      <w:tblPr>
        <w:tblW w:w="0" w:type="auto"/>
        <w:jc w:val="left"/>
        <w:tblInd w:w="179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62"/>
        <w:gridCol w:w="1601"/>
        <w:gridCol w:w="2163"/>
      </w:tblGrid>
      <w:tr>
        <w:trPr>
          <w:trHeight w:val="620" w:hRule="exact"/>
        </w:trPr>
        <w:tc>
          <w:tcPr>
            <w:tcW w:w="3263" w:type="dxa"/>
            <w:gridSpan w:val="2"/>
            <w:tcBorders>
              <w:top w:val="single" w:sz="8" w:space="0" w:color="4F81BC"/>
              <w:bottom w:val="single" w:sz="8" w:space="0" w:color="4F81BC"/>
            </w:tcBorders>
          </w:tcPr>
          <w:p>
            <w:pPr>
              <w:pStyle w:val="TableParagraph"/>
              <w:spacing w:line="248" w:lineRule="exact"/>
              <w:ind w:left="1500"/>
              <w:jc w:val="left"/>
              <w:rPr>
                <w:b/>
                <w:sz w:val="22"/>
              </w:rPr>
            </w:pPr>
            <w:r>
              <w:rPr>
                <w:b/>
                <w:color w:val="365F91"/>
                <w:sz w:val="22"/>
              </w:rPr>
              <w:t>Gamma medio</w:t>
            </w:r>
          </w:p>
        </w:tc>
        <w:tc>
          <w:tcPr>
            <w:tcW w:w="2163" w:type="dxa"/>
            <w:tcBorders>
              <w:top w:val="single" w:sz="8" w:space="0" w:color="4F81BC"/>
              <w:bottom w:val="single" w:sz="8" w:space="0" w:color="4F81BC"/>
            </w:tcBorders>
          </w:tcPr>
          <w:p>
            <w:pPr>
              <w:pStyle w:val="TableParagraph"/>
              <w:spacing w:line="248" w:lineRule="exact"/>
              <w:ind w:left="89" w:right="90"/>
              <w:rPr>
                <w:b/>
                <w:sz w:val="22"/>
              </w:rPr>
            </w:pPr>
            <w:r>
              <w:rPr>
                <w:b/>
                <w:color w:val="365F91"/>
                <w:sz w:val="22"/>
              </w:rPr>
              <w:t>% puntos con γ&lt;1</w:t>
            </w:r>
          </w:p>
        </w:tc>
      </w:tr>
      <w:tr>
        <w:trPr>
          <w:trHeight w:val="387" w:hRule="exact"/>
        </w:trPr>
        <w:tc>
          <w:tcPr>
            <w:tcW w:w="1662" w:type="dxa"/>
            <w:tcBorders>
              <w:top w:val="single" w:sz="8" w:space="0" w:color="4F81BC"/>
            </w:tcBorders>
            <w:shd w:val="clear" w:color="auto" w:fill="D2DFED"/>
          </w:tcPr>
          <w:p>
            <w:pPr>
              <w:pStyle w:val="TableParagraph"/>
              <w:spacing w:line="249" w:lineRule="exact"/>
              <w:ind w:left="108"/>
              <w:jc w:val="left"/>
              <w:rPr>
                <w:b/>
                <w:sz w:val="22"/>
              </w:rPr>
            </w:pPr>
            <w:r>
              <w:rPr>
                <w:b/>
                <w:color w:val="365F91"/>
                <w:sz w:val="22"/>
              </w:rPr>
              <w:t>Paciente 1</w:t>
            </w:r>
          </w:p>
        </w:tc>
        <w:tc>
          <w:tcPr>
            <w:tcW w:w="1601" w:type="dxa"/>
            <w:tcBorders>
              <w:top w:val="single" w:sz="8" w:space="0" w:color="4F81BC"/>
            </w:tcBorders>
            <w:shd w:val="clear" w:color="auto" w:fill="D2DFED"/>
          </w:tcPr>
          <w:p>
            <w:pPr>
              <w:pStyle w:val="TableParagraph"/>
              <w:spacing w:line="249" w:lineRule="exact"/>
              <w:ind w:left="390"/>
              <w:jc w:val="left"/>
              <w:rPr>
                <w:sz w:val="22"/>
              </w:rPr>
            </w:pPr>
            <w:r>
              <w:rPr>
                <w:color w:val="365F91"/>
                <w:sz w:val="22"/>
              </w:rPr>
              <w:t>0.401</w:t>
            </w:r>
          </w:p>
        </w:tc>
        <w:tc>
          <w:tcPr>
            <w:tcW w:w="2163" w:type="dxa"/>
            <w:tcBorders>
              <w:top w:val="single" w:sz="8" w:space="0" w:color="4F81BC"/>
            </w:tcBorders>
            <w:shd w:val="clear" w:color="auto" w:fill="D2DFED"/>
          </w:tcPr>
          <w:p>
            <w:pPr>
              <w:pStyle w:val="TableParagraph"/>
              <w:spacing w:line="249" w:lineRule="exact"/>
              <w:ind w:left="89" w:right="90"/>
              <w:rPr>
                <w:sz w:val="22"/>
              </w:rPr>
            </w:pPr>
            <w:r>
              <w:rPr>
                <w:color w:val="365F91"/>
                <w:sz w:val="22"/>
              </w:rPr>
              <w:t>93.5</w:t>
            </w:r>
          </w:p>
        </w:tc>
      </w:tr>
      <w:tr>
        <w:trPr>
          <w:trHeight w:val="376" w:hRule="exact"/>
        </w:trPr>
        <w:tc>
          <w:tcPr>
            <w:tcW w:w="1662" w:type="dxa"/>
          </w:tcPr>
          <w:p>
            <w:pPr>
              <w:pStyle w:val="TableParagraph"/>
              <w:spacing w:line="248" w:lineRule="exact"/>
              <w:ind w:left="108"/>
              <w:jc w:val="left"/>
              <w:rPr>
                <w:b/>
                <w:sz w:val="22"/>
              </w:rPr>
            </w:pPr>
            <w:r>
              <w:rPr>
                <w:b/>
                <w:color w:val="365F91"/>
                <w:sz w:val="22"/>
              </w:rPr>
              <w:t>Paciente 2</w:t>
            </w:r>
          </w:p>
        </w:tc>
        <w:tc>
          <w:tcPr>
            <w:tcW w:w="1601" w:type="dxa"/>
          </w:tcPr>
          <w:p>
            <w:pPr>
              <w:pStyle w:val="TableParagraph"/>
              <w:spacing w:line="248" w:lineRule="exact"/>
              <w:ind w:left="382"/>
              <w:jc w:val="left"/>
              <w:rPr>
                <w:sz w:val="22"/>
              </w:rPr>
            </w:pPr>
            <w:r>
              <w:rPr>
                <w:color w:val="365F91"/>
                <w:sz w:val="22"/>
              </w:rPr>
              <w:t>0.434</w:t>
            </w:r>
          </w:p>
        </w:tc>
        <w:tc>
          <w:tcPr>
            <w:tcW w:w="2163" w:type="dxa"/>
          </w:tcPr>
          <w:p>
            <w:pPr>
              <w:pStyle w:val="TableParagraph"/>
              <w:spacing w:line="248" w:lineRule="exact"/>
              <w:ind w:left="89" w:right="84"/>
              <w:rPr>
                <w:sz w:val="22"/>
              </w:rPr>
            </w:pPr>
            <w:r>
              <w:rPr>
                <w:color w:val="365F91"/>
                <w:sz w:val="22"/>
              </w:rPr>
              <w:t>90.8</w:t>
            </w:r>
          </w:p>
        </w:tc>
      </w:tr>
      <w:tr>
        <w:trPr>
          <w:trHeight w:val="376" w:hRule="exact"/>
        </w:trPr>
        <w:tc>
          <w:tcPr>
            <w:tcW w:w="1662" w:type="dxa"/>
            <w:shd w:val="clear" w:color="auto" w:fill="D2DFED"/>
          </w:tcPr>
          <w:p>
            <w:pPr>
              <w:pStyle w:val="TableParagraph"/>
              <w:spacing w:line="248" w:lineRule="exact"/>
              <w:ind w:left="108"/>
              <w:jc w:val="left"/>
              <w:rPr>
                <w:b/>
                <w:sz w:val="22"/>
              </w:rPr>
            </w:pPr>
            <w:r>
              <w:rPr>
                <w:b/>
                <w:color w:val="365F91"/>
                <w:sz w:val="22"/>
              </w:rPr>
              <w:t>Paciente 3</w:t>
            </w:r>
          </w:p>
        </w:tc>
        <w:tc>
          <w:tcPr>
            <w:tcW w:w="1601" w:type="dxa"/>
            <w:shd w:val="clear" w:color="auto" w:fill="D2DFED"/>
          </w:tcPr>
          <w:p>
            <w:pPr>
              <w:pStyle w:val="TableParagraph"/>
              <w:spacing w:line="248" w:lineRule="exact"/>
              <w:ind w:left="382"/>
              <w:jc w:val="left"/>
              <w:rPr>
                <w:sz w:val="22"/>
              </w:rPr>
            </w:pPr>
            <w:r>
              <w:rPr>
                <w:color w:val="365F91"/>
                <w:sz w:val="22"/>
              </w:rPr>
              <w:t>0.283</w:t>
            </w:r>
          </w:p>
        </w:tc>
        <w:tc>
          <w:tcPr>
            <w:tcW w:w="2163" w:type="dxa"/>
            <w:shd w:val="clear" w:color="auto" w:fill="D2DFED"/>
          </w:tcPr>
          <w:p>
            <w:pPr>
              <w:pStyle w:val="TableParagraph"/>
              <w:spacing w:line="248" w:lineRule="exact"/>
              <w:ind w:left="89" w:right="87"/>
              <w:rPr>
                <w:sz w:val="22"/>
              </w:rPr>
            </w:pPr>
            <w:r>
              <w:rPr>
                <w:color w:val="365F91"/>
                <w:sz w:val="22"/>
              </w:rPr>
              <w:t>99</w:t>
            </w:r>
          </w:p>
        </w:tc>
      </w:tr>
      <w:tr>
        <w:trPr>
          <w:trHeight w:val="372" w:hRule="exact"/>
        </w:trPr>
        <w:tc>
          <w:tcPr>
            <w:tcW w:w="1662" w:type="dxa"/>
          </w:tcPr>
          <w:p>
            <w:pPr>
              <w:pStyle w:val="TableParagraph"/>
              <w:spacing w:line="248" w:lineRule="exact"/>
              <w:ind w:left="108"/>
              <w:jc w:val="left"/>
              <w:rPr>
                <w:b/>
                <w:sz w:val="22"/>
              </w:rPr>
            </w:pPr>
            <w:r>
              <w:rPr>
                <w:b/>
                <w:color w:val="365F91"/>
                <w:sz w:val="22"/>
              </w:rPr>
              <w:t>Paciente 4</w:t>
            </w:r>
          </w:p>
        </w:tc>
        <w:tc>
          <w:tcPr>
            <w:tcW w:w="1601" w:type="dxa"/>
          </w:tcPr>
          <w:p>
            <w:pPr>
              <w:pStyle w:val="TableParagraph"/>
              <w:spacing w:line="248" w:lineRule="exact"/>
              <w:ind w:left="386"/>
              <w:jc w:val="left"/>
              <w:rPr>
                <w:sz w:val="22"/>
              </w:rPr>
            </w:pPr>
            <w:r>
              <w:rPr>
                <w:color w:val="365F91"/>
                <w:sz w:val="22"/>
              </w:rPr>
              <w:t>0.307</w:t>
            </w:r>
          </w:p>
        </w:tc>
        <w:tc>
          <w:tcPr>
            <w:tcW w:w="2163" w:type="dxa"/>
          </w:tcPr>
          <w:p>
            <w:pPr>
              <w:pStyle w:val="TableParagraph"/>
              <w:spacing w:line="248" w:lineRule="exact"/>
              <w:ind w:left="89" w:right="90"/>
              <w:rPr>
                <w:sz w:val="22"/>
              </w:rPr>
            </w:pPr>
            <w:r>
              <w:rPr>
                <w:color w:val="365F91"/>
                <w:sz w:val="22"/>
              </w:rPr>
              <w:t>99.1</w:t>
            </w:r>
          </w:p>
        </w:tc>
      </w:tr>
      <w:tr>
        <w:trPr>
          <w:trHeight w:val="376" w:hRule="exact"/>
        </w:trPr>
        <w:tc>
          <w:tcPr>
            <w:tcW w:w="1662" w:type="dxa"/>
            <w:shd w:val="clear" w:color="auto" w:fill="D2DFED"/>
          </w:tcPr>
          <w:p>
            <w:pPr>
              <w:pStyle w:val="TableParagraph"/>
              <w:spacing w:line="248" w:lineRule="exact"/>
              <w:ind w:left="108"/>
              <w:jc w:val="left"/>
              <w:rPr>
                <w:b/>
                <w:sz w:val="22"/>
              </w:rPr>
            </w:pPr>
            <w:r>
              <w:rPr>
                <w:b/>
                <w:color w:val="365F91"/>
                <w:sz w:val="22"/>
              </w:rPr>
              <w:t>Paciente 5</w:t>
            </w:r>
          </w:p>
        </w:tc>
        <w:tc>
          <w:tcPr>
            <w:tcW w:w="1601" w:type="dxa"/>
            <w:shd w:val="clear" w:color="auto" w:fill="D2DFED"/>
          </w:tcPr>
          <w:p>
            <w:pPr>
              <w:pStyle w:val="TableParagraph"/>
              <w:spacing w:line="248" w:lineRule="exact"/>
              <w:ind w:left="394"/>
              <w:jc w:val="left"/>
              <w:rPr>
                <w:sz w:val="22"/>
              </w:rPr>
            </w:pPr>
            <w:r>
              <w:rPr>
                <w:color w:val="365F91"/>
                <w:sz w:val="22"/>
              </w:rPr>
              <w:t>0.381</w:t>
            </w:r>
          </w:p>
        </w:tc>
        <w:tc>
          <w:tcPr>
            <w:tcW w:w="2163" w:type="dxa"/>
            <w:shd w:val="clear" w:color="auto" w:fill="D2DFED"/>
          </w:tcPr>
          <w:p>
            <w:pPr>
              <w:pStyle w:val="TableParagraph"/>
              <w:spacing w:line="248" w:lineRule="exact"/>
              <w:ind w:left="89" w:right="87"/>
              <w:rPr>
                <w:sz w:val="22"/>
              </w:rPr>
            </w:pPr>
            <w:r>
              <w:rPr>
                <w:color w:val="365F91"/>
                <w:sz w:val="22"/>
              </w:rPr>
              <w:t>97.3</w:t>
            </w:r>
          </w:p>
        </w:tc>
      </w:tr>
      <w:tr>
        <w:trPr>
          <w:trHeight w:val="377" w:hRule="exact"/>
        </w:trPr>
        <w:tc>
          <w:tcPr>
            <w:tcW w:w="1662" w:type="dxa"/>
          </w:tcPr>
          <w:p>
            <w:pPr>
              <w:pStyle w:val="TableParagraph"/>
              <w:spacing w:line="248" w:lineRule="exact"/>
              <w:ind w:left="108"/>
              <w:jc w:val="left"/>
              <w:rPr>
                <w:b/>
                <w:sz w:val="22"/>
              </w:rPr>
            </w:pPr>
            <w:r>
              <w:rPr>
                <w:b/>
                <w:color w:val="365F91"/>
                <w:sz w:val="22"/>
              </w:rPr>
              <w:t>Paciente 6</w:t>
            </w:r>
          </w:p>
        </w:tc>
        <w:tc>
          <w:tcPr>
            <w:tcW w:w="1601" w:type="dxa"/>
          </w:tcPr>
          <w:p>
            <w:pPr>
              <w:pStyle w:val="TableParagraph"/>
              <w:spacing w:line="248" w:lineRule="exact"/>
              <w:ind w:left="442"/>
              <w:jc w:val="left"/>
              <w:rPr>
                <w:sz w:val="22"/>
              </w:rPr>
            </w:pPr>
            <w:r>
              <w:rPr>
                <w:color w:val="365F91"/>
                <w:sz w:val="22"/>
              </w:rPr>
              <w:t>0.38</w:t>
            </w:r>
          </w:p>
        </w:tc>
        <w:tc>
          <w:tcPr>
            <w:tcW w:w="2163" w:type="dxa"/>
          </w:tcPr>
          <w:p>
            <w:pPr>
              <w:pStyle w:val="TableParagraph"/>
              <w:spacing w:line="248" w:lineRule="exact"/>
              <w:ind w:left="89" w:right="89"/>
              <w:rPr>
                <w:sz w:val="22"/>
              </w:rPr>
            </w:pPr>
            <w:r>
              <w:rPr>
                <w:color w:val="365F91"/>
                <w:sz w:val="22"/>
              </w:rPr>
              <w:t>97.1</w:t>
            </w:r>
          </w:p>
        </w:tc>
      </w:tr>
      <w:tr>
        <w:trPr>
          <w:trHeight w:val="376" w:hRule="exact"/>
        </w:trPr>
        <w:tc>
          <w:tcPr>
            <w:tcW w:w="1662" w:type="dxa"/>
            <w:shd w:val="clear" w:color="auto" w:fill="D2DFED"/>
          </w:tcPr>
          <w:p>
            <w:pPr>
              <w:pStyle w:val="TableParagraph"/>
              <w:spacing w:line="248" w:lineRule="exact"/>
              <w:ind w:left="108"/>
              <w:jc w:val="left"/>
              <w:rPr>
                <w:b/>
                <w:sz w:val="22"/>
              </w:rPr>
            </w:pPr>
            <w:r>
              <w:rPr>
                <w:b/>
                <w:color w:val="365F91"/>
                <w:sz w:val="22"/>
              </w:rPr>
              <w:t>Paciente 7</w:t>
            </w:r>
          </w:p>
        </w:tc>
        <w:tc>
          <w:tcPr>
            <w:tcW w:w="1601" w:type="dxa"/>
            <w:shd w:val="clear" w:color="auto" w:fill="D2DFED"/>
          </w:tcPr>
          <w:p>
            <w:pPr>
              <w:pStyle w:val="TableParagraph"/>
              <w:spacing w:line="248" w:lineRule="exact"/>
              <w:ind w:left="398"/>
              <w:jc w:val="left"/>
              <w:rPr>
                <w:sz w:val="22"/>
              </w:rPr>
            </w:pPr>
            <w:r>
              <w:rPr>
                <w:color w:val="365F91"/>
                <w:sz w:val="22"/>
              </w:rPr>
              <w:t>0.231</w:t>
            </w:r>
          </w:p>
        </w:tc>
        <w:tc>
          <w:tcPr>
            <w:tcW w:w="2163" w:type="dxa"/>
            <w:shd w:val="clear" w:color="auto" w:fill="D2DFED"/>
          </w:tcPr>
          <w:p>
            <w:pPr>
              <w:pStyle w:val="TableParagraph"/>
              <w:spacing w:line="248" w:lineRule="exact"/>
              <w:ind w:left="89" w:right="88"/>
              <w:rPr>
                <w:sz w:val="22"/>
              </w:rPr>
            </w:pPr>
            <w:r>
              <w:rPr>
                <w:color w:val="365F91"/>
                <w:sz w:val="22"/>
              </w:rPr>
              <w:t>99.8</w:t>
            </w:r>
          </w:p>
        </w:tc>
      </w:tr>
      <w:tr>
        <w:trPr>
          <w:trHeight w:val="372" w:hRule="exact"/>
        </w:trPr>
        <w:tc>
          <w:tcPr>
            <w:tcW w:w="1662" w:type="dxa"/>
          </w:tcPr>
          <w:p>
            <w:pPr>
              <w:pStyle w:val="TableParagraph"/>
              <w:spacing w:line="248" w:lineRule="exact"/>
              <w:ind w:left="108"/>
              <w:jc w:val="left"/>
              <w:rPr>
                <w:b/>
                <w:sz w:val="22"/>
              </w:rPr>
            </w:pPr>
            <w:r>
              <w:rPr>
                <w:b/>
                <w:color w:val="365F91"/>
                <w:sz w:val="22"/>
              </w:rPr>
              <w:t>Paciente 8</w:t>
            </w:r>
          </w:p>
        </w:tc>
        <w:tc>
          <w:tcPr>
            <w:tcW w:w="1601" w:type="dxa"/>
          </w:tcPr>
          <w:p>
            <w:pPr>
              <w:pStyle w:val="TableParagraph"/>
              <w:spacing w:line="248" w:lineRule="exact"/>
              <w:ind w:left="386"/>
              <w:jc w:val="left"/>
              <w:rPr>
                <w:sz w:val="22"/>
              </w:rPr>
            </w:pPr>
            <w:r>
              <w:rPr>
                <w:color w:val="365F91"/>
                <w:sz w:val="22"/>
              </w:rPr>
              <w:t>0.363</w:t>
            </w:r>
          </w:p>
        </w:tc>
        <w:tc>
          <w:tcPr>
            <w:tcW w:w="2163" w:type="dxa"/>
          </w:tcPr>
          <w:p>
            <w:pPr>
              <w:pStyle w:val="TableParagraph"/>
              <w:spacing w:line="248" w:lineRule="exact"/>
              <w:ind w:left="89" w:right="85"/>
              <w:rPr>
                <w:sz w:val="22"/>
              </w:rPr>
            </w:pPr>
            <w:r>
              <w:rPr>
                <w:color w:val="365F91"/>
                <w:sz w:val="22"/>
              </w:rPr>
              <w:t>97.2</w:t>
            </w:r>
          </w:p>
        </w:tc>
      </w:tr>
      <w:tr>
        <w:trPr>
          <w:trHeight w:val="386" w:hRule="exact"/>
        </w:trPr>
        <w:tc>
          <w:tcPr>
            <w:tcW w:w="1662" w:type="dxa"/>
            <w:tcBorders>
              <w:bottom w:val="single" w:sz="8" w:space="0" w:color="4F81BC"/>
            </w:tcBorders>
            <w:shd w:val="clear" w:color="auto" w:fill="D2DFED"/>
          </w:tcPr>
          <w:p>
            <w:pPr>
              <w:pStyle w:val="TableParagraph"/>
              <w:spacing w:line="248" w:lineRule="exact"/>
              <w:ind w:left="108"/>
              <w:jc w:val="left"/>
              <w:rPr>
                <w:b/>
                <w:sz w:val="22"/>
              </w:rPr>
            </w:pPr>
            <w:r>
              <w:rPr>
                <w:b/>
                <w:color w:val="365F91"/>
                <w:sz w:val="22"/>
              </w:rPr>
              <w:t>Paciente 9</w:t>
            </w:r>
          </w:p>
        </w:tc>
        <w:tc>
          <w:tcPr>
            <w:tcW w:w="1601" w:type="dxa"/>
            <w:tcBorders>
              <w:bottom w:val="single" w:sz="8" w:space="0" w:color="4F81BC"/>
            </w:tcBorders>
            <w:shd w:val="clear" w:color="auto" w:fill="D2DFED"/>
          </w:tcPr>
          <w:p>
            <w:pPr>
              <w:pStyle w:val="TableParagraph"/>
              <w:spacing w:line="248" w:lineRule="exact"/>
              <w:ind w:left="390"/>
              <w:jc w:val="left"/>
              <w:rPr>
                <w:sz w:val="22"/>
              </w:rPr>
            </w:pPr>
            <w:r>
              <w:rPr>
                <w:color w:val="365F91"/>
                <w:sz w:val="22"/>
              </w:rPr>
              <w:t>0.267</w:t>
            </w:r>
          </w:p>
        </w:tc>
        <w:tc>
          <w:tcPr>
            <w:tcW w:w="2163" w:type="dxa"/>
            <w:tcBorders>
              <w:bottom w:val="single" w:sz="8" w:space="0" w:color="4F81BC"/>
            </w:tcBorders>
            <w:shd w:val="clear" w:color="auto" w:fill="D2DFED"/>
          </w:tcPr>
          <w:p>
            <w:pPr>
              <w:pStyle w:val="TableParagraph"/>
              <w:spacing w:line="248" w:lineRule="exact"/>
              <w:ind w:left="89" w:right="87"/>
              <w:rPr>
                <w:sz w:val="22"/>
              </w:rPr>
            </w:pPr>
            <w:r>
              <w:rPr>
                <w:color w:val="365F91"/>
                <w:sz w:val="22"/>
              </w:rPr>
              <w:t>99.5</w:t>
            </w:r>
          </w:p>
        </w:tc>
      </w:tr>
    </w:tbl>
    <w:p>
      <w:pPr>
        <w:spacing w:line="240" w:lineRule="auto" w:before="0"/>
        <w:ind w:left="1768" w:right="155" w:hanging="1445"/>
        <w:jc w:val="left"/>
        <w:rPr>
          <w:sz w:val="20"/>
        </w:rPr>
      </w:pPr>
      <w:bookmarkStart w:name="_bookmark89" w:id="141"/>
      <w:bookmarkEnd w:id="141"/>
      <w:r>
        <w:rPr/>
      </w:r>
      <w:r>
        <w:rPr>
          <w:sz w:val="20"/>
        </w:rPr>
        <w:t>Tabla 6. Valores del índice gamma medio y porcentaje de puntos que cumplen con el criterio de aceptación de 3%/3mm para las películas radiocrómicas EBT3</w:t>
      </w:r>
    </w:p>
    <w:p>
      <w:pPr>
        <w:pStyle w:val="BodyText"/>
        <w:rPr>
          <w:sz w:val="20"/>
        </w:rPr>
      </w:pPr>
    </w:p>
    <w:p>
      <w:pPr>
        <w:pStyle w:val="BodyText"/>
        <w:rPr>
          <w:sz w:val="20"/>
        </w:rPr>
      </w:pPr>
    </w:p>
    <w:p>
      <w:pPr>
        <w:pStyle w:val="BodyText"/>
        <w:spacing w:line="360" w:lineRule="auto" w:before="124"/>
        <w:ind w:left="100" w:right="121"/>
        <w:jc w:val="both"/>
      </w:pPr>
      <w:r>
        <w:rPr/>
        <w:t>El valor medio del índice gamma de las planeaciones de los pacientes analizados es de 0.3386, con una desviación estándar de </w:t>
      </w:r>
      <w:r>
        <w:rPr>
          <w:rFonts w:ascii="Calibri" w:hAnsi="Calibri"/>
        </w:rPr>
        <w:t>±</w:t>
      </w:r>
      <w:r>
        <w:rPr/>
        <w:t>0.0649. El porcentaje promedio de aceptación es de 97.03, con una desviación estándar de </w:t>
      </w:r>
      <w:r>
        <w:rPr>
          <w:rFonts w:ascii="Calibri" w:hAnsi="Calibri"/>
        </w:rPr>
        <w:t>±</w:t>
      </w:r>
      <w:r>
        <w:rPr/>
        <w:t>2.8542.</w:t>
      </w:r>
    </w:p>
    <w:p>
      <w:pPr>
        <w:pStyle w:val="BodyText"/>
      </w:pPr>
    </w:p>
    <w:p>
      <w:pPr>
        <w:pStyle w:val="BodyText"/>
        <w:spacing w:line="362" w:lineRule="auto" w:before="127"/>
        <w:ind w:left="100" w:right="146"/>
      </w:pPr>
      <w:r>
        <w:rPr/>
        <w:t>En la </w:t>
      </w:r>
      <w:hyperlink w:history="true" w:anchor="_bookmark90">
        <w:r>
          <w:rPr>
            <w:b/>
            <w:sz w:val="20"/>
          </w:rPr>
          <w:t>Tabla 7</w:t>
        </w:r>
      </w:hyperlink>
      <w:r>
        <w:rPr>
          <w:b/>
          <w:sz w:val="20"/>
        </w:rPr>
        <w:t> </w:t>
      </w:r>
      <w:r>
        <w:rPr/>
        <w:t>se muestran los resultados del análisis gamma con los criterios de aceptación de 4% y 5% de diferencia de dosis, ambos con 3 mm de tolerancia para la distancia en concordancia.</w:t>
      </w:r>
    </w:p>
    <w:p>
      <w:pPr>
        <w:spacing w:after="0" w:line="362" w:lineRule="auto"/>
        <w:sectPr>
          <w:pgSz w:w="12240" w:h="15840"/>
          <w:pgMar w:header="0" w:footer="1034" w:top="1360" w:bottom="1220" w:left="1600" w:right="1580"/>
        </w:sectPr>
      </w:pPr>
    </w:p>
    <w:tbl>
      <w:tblPr>
        <w:tblW w:w="0" w:type="auto"/>
        <w:jc w:val="left"/>
        <w:tblInd w:w="3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2"/>
        <w:gridCol w:w="1400"/>
        <w:gridCol w:w="1922"/>
        <w:gridCol w:w="1603"/>
        <w:gridCol w:w="1925"/>
      </w:tblGrid>
      <w:tr>
        <w:trPr>
          <w:trHeight w:val="620" w:hRule="exact"/>
        </w:trPr>
        <w:tc>
          <w:tcPr>
            <w:tcW w:w="4914" w:type="dxa"/>
            <w:gridSpan w:val="3"/>
            <w:tcBorders>
              <w:top w:val="single" w:sz="8" w:space="0" w:color="4F81BC"/>
              <w:bottom w:val="single" w:sz="8" w:space="0" w:color="4F81BC"/>
            </w:tcBorders>
          </w:tcPr>
          <w:p>
            <w:pPr>
              <w:pStyle w:val="TableParagraph"/>
              <w:spacing w:line="245" w:lineRule="exact"/>
              <w:ind w:left="2613"/>
              <w:jc w:val="left"/>
              <w:rPr>
                <w:b/>
                <w:sz w:val="22"/>
              </w:rPr>
            </w:pPr>
            <w:r>
              <w:rPr>
                <w:b/>
                <w:color w:val="365F91"/>
                <w:sz w:val="22"/>
              </w:rPr>
              <w:t>4%/3 mm</w:t>
            </w:r>
          </w:p>
        </w:tc>
        <w:tc>
          <w:tcPr>
            <w:tcW w:w="3529" w:type="dxa"/>
            <w:gridSpan w:val="2"/>
            <w:tcBorders>
              <w:top w:val="single" w:sz="8" w:space="0" w:color="4F81BC"/>
              <w:bottom w:val="single" w:sz="8" w:space="0" w:color="4F81BC"/>
            </w:tcBorders>
          </w:tcPr>
          <w:p>
            <w:pPr>
              <w:pStyle w:val="TableParagraph"/>
              <w:spacing w:line="245" w:lineRule="exact"/>
              <w:ind w:left="1210" w:right="1207"/>
              <w:rPr>
                <w:b/>
                <w:sz w:val="22"/>
              </w:rPr>
            </w:pPr>
            <w:r>
              <w:rPr>
                <w:b/>
                <w:color w:val="365F91"/>
                <w:sz w:val="22"/>
              </w:rPr>
              <w:t>5%/3 mm</w:t>
            </w:r>
          </w:p>
        </w:tc>
      </w:tr>
      <w:tr>
        <w:trPr>
          <w:trHeight w:val="610" w:hRule="exact"/>
        </w:trPr>
        <w:tc>
          <w:tcPr>
            <w:tcW w:w="2992" w:type="dxa"/>
            <w:gridSpan w:val="2"/>
            <w:tcBorders>
              <w:top w:val="single" w:sz="8" w:space="0" w:color="4F81BC"/>
            </w:tcBorders>
            <w:shd w:val="clear" w:color="auto" w:fill="D2DFED"/>
          </w:tcPr>
          <w:p>
            <w:pPr>
              <w:pStyle w:val="TableParagraph"/>
              <w:spacing w:line="245" w:lineRule="exact"/>
              <w:ind w:left="1500"/>
              <w:jc w:val="left"/>
              <w:rPr>
                <w:sz w:val="22"/>
              </w:rPr>
            </w:pPr>
            <w:r>
              <w:rPr>
                <w:color w:val="365F91"/>
                <w:sz w:val="22"/>
              </w:rPr>
              <w:t>gamma medio</w:t>
            </w:r>
          </w:p>
        </w:tc>
        <w:tc>
          <w:tcPr>
            <w:tcW w:w="1922" w:type="dxa"/>
            <w:tcBorders>
              <w:top w:val="single" w:sz="8" w:space="0" w:color="4F81BC"/>
            </w:tcBorders>
            <w:shd w:val="clear" w:color="auto" w:fill="D2DFED"/>
          </w:tcPr>
          <w:p>
            <w:pPr>
              <w:pStyle w:val="TableParagraph"/>
              <w:spacing w:line="245" w:lineRule="exact"/>
              <w:ind w:left="86" w:right="86"/>
              <w:rPr>
                <w:sz w:val="22"/>
              </w:rPr>
            </w:pPr>
            <w:r>
              <w:rPr>
                <w:color w:val="365F91"/>
                <w:sz w:val="22"/>
              </w:rPr>
              <w:t>% puntos con γ&lt;1</w:t>
            </w:r>
          </w:p>
        </w:tc>
        <w:tc>
          <w:tcPr>
            <w:tcW w:w="1603" w:type="dxa"/>
            <w:tcBorders>
              <w:top w:val="single" w:sz="8" w:space="0" w:color="4F81BC"/>
            </w:tcBorders>
            <w:shd w:val="clear" w:color="auto" w:fill="D2DFED"/>
          </w:tcPr>
          <w:p>
            <w:pPr>
              <w:pStyle w:val="TableParagraph"/>
              <w:spacing w:line="245" w:lineRule="exact"/>
              <w:ind w:left="90" w:right="88"/>
              <w:rPr>
                <w:sz w:val="22"/>
              </w:rPr>
            </w:pPr>
            <w:r>
              <w:rPr>
                <w:color w:val="365F91"/>
                <w:sz w:val="22"/>
              </w:rPr>
              <w:t>gamma medio</w:t>
            </w:r>
          </w:p>
        </w:tc>
        <w:tc>
          <w:tcPr>
            <w:tcW w:w="1925" w:type="dxa"/>
            <w:tcBorders>
              <w:top w:val="single" w:sz="8" w:space="0" w:color="4F81BC"/>
            </w:tcBorders>
            <w:shd w:val="clear" w:color="auto" w:fill="D2DFED"/>
          </w:tcPr>
          <w:p>
            <w:pPr>
              <w:pStyle w:val="TableParagraph"/>
              <w:spacing w:line="245" w:lineRule="exact"/>
              <w:ind w:left="86" w:right="90"/>
              <w:rPr>
                <w:sz w:val="22"/>
              </w:rPr>
            </w:pPr>
            <w:r>
              <w:rPr>
                <w:color w:val="365F91"/>
                <w:sz w:val="22"/>
              </w:rPr>
              <w:t>% puntos con γ&lt;1</w:t>
            </w:r>
          </w:p>
        </w:tc>
      </w:tr>
      <w:tr>
        <w:trPr>
          <w:trHeight w:val="376" w:hRule="exact"/>
        </w:trPr>
        <w:tc>
          <w:tcPr>
            <w:tcW w:w="1592" w:type="dxa"/>
          </w:tcPr>
          <w:p>
            <w:pPr>
              <w:pStyle w:val="TableParagraph"/>
              <w:spacing w:line="245" w:lineRule="exact"/>
              <w:ind w:left="108"/>
              <w:jc w:val="left"/>
              <w:rPr>
                <w:b/>
                <w:sz w:val="22"/>
              </w:rPr>
            </w:pPr>
            <w:r>
              <w:rPr>
                <w:b/>
                <w:color w:val="365F91"/>
                <w:sz w:val="22"/>
              </w:rPr>
              <w:t>Paciente 1</w:t>
            </w:r>
          </w:p>
        </w:tc>
        <w:tc>
          <w:tcPr>
            <w:tcW w:w="1400" w:type="dxa"/>
          </w:tcPr>
          <w:p>
            <w:pPr>
              <w:pStyle w:val="TableParagraph"/>
              <w:spacing w:line="245" w:lineRule="exact"/>
              <w:ind w:left="316"/>
              <w:jc w:val="left"/>
              <w:rPr>
                <w:sz w:val="22"/>
              </w:rPr>
            </w:pPr>
            <w:r>
              <w:rPr>
                <w:color w:val="365F91"/>
                <w:sz w:val="22"/>
              </w:rPr>
              <w:t>0.324</w:t>
            </w:r>
          </w:p>
        </w:tc>
        <w:tc>
          <w:tcPr>
            <w:tcW w:w="1922" w:type="dxa"/>
          </w:tcPr>
          <w:p>
            <w:pPr>
              <w:pStyle w:val="TableParagraph"/>
              <w:spacing w:line="245" w:lineRule="exact"/>
              <w:ind w:left="86" w:right="84"/>
              <w:rPr>
                <w:sz w:val="22"/>
              </w:rPr>
            </w:pPr>
            <w:r>
              <w:rPr>
                <w:color w:val="365F91"/>
                <w:sz w:val="22"/>
              </w:rPr>
              <w:t>97</w:t>
            </w:r>
          </w:p>
        </w:tc>
        <w:tc>
          <w:tcPr>
            <w:tcW w:w="1603" w:type="dxa"/>
          </w:tcPr>
          <w:p>
            <w:pPr>
              <w:pStyle w:val="TableParagraph"/>
              <w:spacing w:line="245" w:lineRule="exact"/>
              <w:ind w:left="90" w:right="88"/>
              <w:rPr>
                <w:sz w:val="22"/>
              </w:rPr>
            </w:pPr>
            <w:r>
              <w:rPr>
                <w:color w:val="365F91"/>
                <w:sz w:val="22"/>
              </w:rPr>
              <w:t>0.271</w:t>
            </w:r>
          </w:p>
        </w:tc>
        <w:tc>
          <w:tcPr>
            <w:tcW w:w="1925" w:type="dxa"/>
          </w:tcPr>
          <w:p>
            <w:pPr>
              <w:pStyle w:val="TableParagraph"/>
              <w:spacing w:line="245" w:lineRule="exact"/>
              <w:ind w:left="86" w:right="86"/>
              <w:rPr>
                <w:sz w:val="22"/>
              </w:rPr>
            </w:pPr>
            <w:r>
              <w:rPr>
                <w:color w:val="365F91"/>
                <w:sz w:val="22"/>
              </w:rPr>
              <w:t>98.7</w:t>
            </w:r>
          </w:p>
        </w:tc>
      </w:tr>
      <w:tr>
        <w:trPr>
          <w:trHeight w:val="377" w:hRule="exact"/>
        </w:trPr>
        <w:tc>
          <w:tcPr>
            <w:tcW w:w="1592" w:type="dxa"/>
            <w:shd w:val="clear" w:color="auto" w:fill="D2DFED"/>
          </w:tcPr>
          <w:p>
            <w:pPr>
              <w:pStyle w:val="TableParagraph"/>
              <w:spacing w:line="245" w:lineRule="exact"/>
              <w:ind w:left="108"/>
              <w:jc w:val="left"/>
              <w:rPr>
                <w:b/>
                <w:sz w:val="22"/>
              </w:rPr>
            </w:pPr>
            <w:r>
              <w:rPr>
                <w:b/>
                <w:color w:val="365F91"/>
                <w:sz w:val="22"/>
              </w:rPr>
              <w:t>Paciente 2</w:t>
            </w:r>
          </w:p>
        </w:tc>
        <w:tc>
          <w:tcPr>
            <w:tcW w:w="1400" w:type="dxa"/>
            <w:shd w:val="clear" w:color="auto" w:fill="D2DFED"/>
          </w:tcPr>
          <w:p>
            <w:pPr>
              <w:pStyle w:val="TableParagraph"/>
              <w:spacing w:line="245" w:lineRule="exact"/>
              <w:ind w:left="320"/>
              <w:jc w:val="left"/>
              <w:rPr>
                <w:sz w:val="22"/>
              </w:rPr>
            </w:pPr>
            <w:r>
              <w:rPr>
                <w:color w:val="365F91"/>
                <w:sz w:val="22"/>
              </w:rPr>
              <w:t>0.352</w:t>
            </w:r>
          </w:p>
        </w:tc>
        <w:tc>
          <w:tcPr>
            <w:tcW w:w="1922" w:type="dxa"/>
            <w:shd w:val="clear" w:color="auto" w:fill="D2DFED"/>
          </w:tcPr>
          <w:p>
            <w:pPr>
              <w:pStyle w:val="TableParagraph"/>
              <w:spacing w:line="245" w:lineRule="exact"/>
              <w:ind w:left="86" w:right="86"/>
              <w:rPr>
                <w:sz w:val="22"/>
              </w:rPr>
            </w:pPr>
            <w:r>
              <w:rPr>
                <w:color w:val="365F91"/>
                <w:sz w:val="22"/>
              </w:rPr>
              <w:t>95.6</w:t>
            </w:r>
          </w:p>
        </w:tc>
        <w:tc>
          <w:tcPr>
            <w:tcW w:w="1603" w:type="dxa"/>
            <w:shd w:val="clear" w:color="auto" w:fill="D2DFED"/>
          </w:tcPr>
          <w:p>
            <w:pPr>
              <w:pStyle w:val="TableParagraph"/>
              <w:spacing w:line="245" w:lineRule="exact"/>
              <w:ind w:left="90" w:right="83"/>
              <w:rPr>
                <w:sz w:val="22"/>
              </w:rPr>
            </w:pPr>
            <w:r>
              <w:rPr>
                <w:color w:val="365F91"/>
                <w:sz w:val="22"/>
              </w:rPr>
              <w:t>0.297</w:t>
            </w:r>
          </w:p>
        </w:tc>
        <w:tc>
          <w:tcPr>
            <w:tcW w:w="1925" w:type="dxa"/>
            <w:shd w:val="clear" w:color="auto" w:fill="D2DFED"/>
          </w:tcPr>
          <w:p>
            <w:pPr>
              <w:pStyle w:val="TableParagraph"/>
              <w:spacing w:line="245" w:lineRule="exact"/>
              <w:ind w:left="86" w:right="83"/>
              <w:rPr>
                <w:sz w:val="22"/>
              </w:rPr>
            </w:pPr>
            <w:r>
              <w:rPr>
                <w:color w:val="365F91"/>
                <w:sz w:val="22"/>
              </w:rPr>
              <w:t>98.2</w:t>
            </w:r>
          </w:p>
        </w:tc>
      </w:tr>
      <w:tr>
        <w:trPr>
          <w:trHeight w:val="372" w:hRule="exact"/>
        </w:trPr>
        <w:tc>
          <w:tcPr>
            <w:tcW w:w="1592" w:type="dxa"/>
          </w:tcPr>
          <w:p>
            <w:pPr>
              <w:pStyle w:val="TableParagraph"/>
              <w:spacing w:line="245" w:lineRule="exact"/>
              <w:ind w:left="108"/>
              <w:jc w:val="left"/>
              <w:rPr>
                <w:b/>
                <w:sz w:val="22"/>
              </w:rPr>
            </w:pPr>
            <w:r>
              <w:rPr>
                <w:b/>
                <w:color w:val="365F91"/>
                <w:sz w:val="22"/>
              </w:rPr>
              <w:t>Paciente 3</w:t>
            </w:r>
          </w:p>
        </w:tc>
        <w:tc>
          <w:tcPr>
            <w:tcW w:w="1400" w:type="dxa"/>
          </w:tcPr>
          <w:p>
            <w:pPr>
              <w:pStyle w:val="TableParagraph"/>
              <w:spacing w:line="245" w:lineRule="exact"/>
              <w:ind w:left="316"/>
              <w:jc w:val="left"/>
              <w:rPr>
                <w:sz w:val="22"/>
              </w:rPr>
            </w:pPr>
            <w:r>
              <w:rPr>
                <w:color w:val="365F91"/>
                <w:sz w:val="22"/>
              </w:rPr>
              <w:t>0.226</w:t>
            </w:r>
          </w:p>
        </w:tc>
        <w:tc>
          <w:tcPr>
            <w:tcW w:w="1922" w:type="dxa"/>
          </w:tcPr>
          <w:p>
            <w:pPr>
              <w:pStyle w:val="TableParagraph"/>
              <w:spacing w:line="245" w:lineRule="exact"/>
              <w:ind w:left="86" w:right="86"/>
              <w:rPr>
                <w:sz w:val="22"/>
              </w:rPr>
            </w:pPr>
            <w:r>
              <w:rPr>
                <w:color w:val="365F91"/>
                <w:sz w:val="22"/>
              </w:rPr>
              <w:t>99.8</w:t>
            </w:r>
          </w:p>
        </w:tc>
        <w:tc>
          <w:tcPr>
            <w:tcW w:w="1603" w:type="dxa"/>
          </w:tcPr>
          <w:p>
            <w:pPr>
              <w:pStyle w:val="TableParagraph"/>
              <w:spacing w:line="245" w:lineRule="exact"/>
              <w:ind w:left="90" w:right="83"/>
              <w:rPr>
                <w:sz w:val="22"/>
              </w:rPr>
            </w:pPr>
            <w:r>
              <w:rPr>
                <w:color w:val="365F91"/>
                <w:sz w:val="22"/>
              </w:rPr>
              <w:t>0.188</w:t>
            </w:r>
          </w:p>
        </w:tc>
        <w:tc>
          <w:tcPr>
            <w:tcW w:w="1925" w:type="dxa"/>
          </w:tcPr>
          <w:p>
            <w:pPr>
              <w:pStyle w:val="TableParagraph"/>
              <w:spacing w:line="245" w:lineRule="exact"/>
              <w:ind w:left="86" w:right="83"/>
              <w:rPr>
                <w:sz w:val="22"/>
              </w:rPr>
            </w:pPr>
            <w:r>
              <w:rPr>
                <w:color w:val="365F91"/>
                <w:sz w:val="22"/>
              </w:rPr>
              <w:t>100</w:t>
            </w:r>
          </w:p>
        </w:tc>
      </w:tr>
      <w:tr>
        <w:trPr>
          <w:trHeight w:val="376" w:hRule="exact"/>
        </w:trPr>
        <w:tc>
          <w:tcPr>
            <w:tcW w:w="1592" w:type="dxa"/>
            <w:shd w:val="clear" w:color="auto" w:fill="D2DFED"/>
          </w:tcPr>
          <w:p>
            <w:pPr>
              <w:pStyle w:val="TableParagraph"/>
              <w:spacing w:line="245" w:lineRule="exact"/>
              <w:ind w:left="108"/>
              <w:jc w:val="left"/>
              <w:rPr>
                <w:b/>
                <w:sz w:val="22"/>
              </w:rPr>
            </w:pPr>
            <w:r>
              <w:rPr>
                <w:b/>
                <w:color w:val="365F91"/>
                <w:sz w:val="22"/>
              </w:rPr>
              <w:t>Paciente 4</w:t>
            </w:r>
          </w:p>
        </w:tc>
        <w:tc>
          <w:tcPr>
            <w:tcW w:w="1400" w:type="dxa"/>
            <w:shd w:val="clear" w:color="auto" w:fill="D2DFED"/>
          </w:tcPr>
          <w:p>
            <w:pPr>
              <w:pStyle w:val="TableParagraph"/>
              <w:spacing w:line="245" w:lineRule="exact"/>
              <w:ind w:left="336"/>
              <w:jc w:val="left"/>
              <w:rPr>
                <w:sz w:val="22"/>
              </w:rPr>
            </w:pPr>
            <w:r>
              <w:rPr>
                <w:color w:val="365F91"/>
                <w:sz w:val="22"/>
              </w:rPr>
              <w:t>0.251</w:t>
            </w:r>
          </w:p>
        </w:tc>
        <w:tc>
          <w:tcPr>
            <w:tcW w:w="1922" w:type="dxa"/>
            <w:shd w:val="clear" w:color="auto" w:fill="D2DFED"/>
          </w:tcPr>
          <w:p>
            <w:pPr>
              <w:pStyle w:val="TableParagraph"/>
              <w:spacing w:line="245" w:lineRule="exact"/>
              <w:ind w:left="86" w:right="86"/>
              <w:rPr>
                <w:sz w:val="22"/>
              </w:rPr>
            </w:pPr>
            <w:r>
              <w:rPr>
                <w:color w:val="365F91"/>
                <w:sz w:val="22"/>
              </w:rPr>
              <w:t>99.9</w:t>
            </w:r>
          </w:p>
        </w:tc>
        <w:tc>
          <w:tcPr>
            <w:tcW w:w="1603" w:type="dxa"/>
            <w:shd w:val="clear" w:color="auto" w:fill="D2DFED"/>
          </w:tcPr>
          <w:p>
            <w:pPr>
              <w:pStyle w:val="TableParagraph"/>
              <w:spacing w:line="245" w:lineRule="exact"/>
              <w:ind w:left="90" w:right="84"/>
              <w:rPr>
                <w:sz w:val="22"/>
              </w:rPr>
            </w:pPr>
            <w:r>
              <w:rPr>
                <w:color w:val="365F91"/>
                <w:sz w:val="22"/>
              </w:rPr>
              <w:t>0.212</w:t>
            </w:r>
          </w:p>
        </w:tc>
        <w:tc>
          <w:tcPr>
            <w:tcW w:w="1925" w:type="dxa"/>
            <w:shd w:val="clear" w:color="auto" w:fill="D2DFED"/>
          </w:tcPr>
          <w:p>
            <w:pPr>
              <w:pStyle w:val="TableParagraph"/>
              <w:spacing w:line="245" w:lineRule="exact"/>
              <w:ind w:left="86" w:right="83"/>
              <w:rPr>
                <w:sz w:val="22"/>
              </w:rPr>
            </w:pPr>
            <w:r>
              <w:rPr>
                <w:color w:val="365F91"/>
                <w:sz w:val="22"/>
              </w:rPr>
              <w:t>100</w:t>
            </w:r>
          </w:p>
        </w:tc>
      </w:tr>
      <w:tr>
        <w:trPr>
          <w:trHeight w:val="376" w:hRule="exact"/>
        </w:trPr>
        <w:tc>
          <w:tcPr>
            <w:tcW w:w="1592" w:type="dxa"/>
          </w:tcPr>
          <w:p>
            <w:pPr>
              <w:pStyle w:val="TableParagraph"/>
              <w:spacing w:line="245" w:lineRule="exact"/>
              <w:ind w:left="108"/>
              <w:jc w:val="left"/>
              <w:rPr>
                <w:b/>
                <w:sz w:val="22"/>
              </w:rPr>
            </w:pPr>
            <w:r>
              <w:rPr>
                <w:b/>
                <w:color w:val="365F91"/>
                <w:sz w:val="22"/>
              </w:rPr>
              <w:t>Paciente 5</w:t>
            </w:r>
          </w:p>
        </w:tc>
        <w:tc>
          <w:tcPr>
            <w:tcW w:w="1400" w:type="dxa"/>
          </w:tcPr>
          <w:p>
            <w:pPr>
              <w:pStyle w:val="TableParagraph"/>
              <w:spacing w:line="245" w:lineRule="exact"/>
              <w:ind w:left="312"/>
              <w:jc w:val="left"/>
              <w:rPr>
                <w:sz w:val="22"/>
              </w:rPr>
            </w:pPr>
            <w:r>
              <w:rPr>
                <w:color w:val="365F91"/>
                <w:sz w:val="22"/>
              </w:rPr>
              <w:t>0.302</w:t>
            </w:r>
          </w:p>
        </w:tc>
        <w:tc>
          <w:tcPr>
            <w:tcW w:w="1922" w:type="dxa"/>
          </w:tcPr>
          <w:p>
            <w:pPr>
              <w:pStyle w:val="TableParagraph"/>
              <w:spacing w:line="245" w:lineRule="exact"/>
              <w:ind w:left="86" w:right="84"/>
              <w:rPr>
                <w:sz w:val="22"/>
              </w:rPr>
            </w:pPr>
            <w:r>
              <w:rPr>
                <w:color w:val="365F91"/>
                <w:sz w:val="22"/>
              </w:rPr>
              <w:t>99.1</w:t>
            </w:r>
          </w:p>
        </w:tc>
        <w:tc>
          <w:tcPr>
            <w:tcW w:w="1603" w:type="dxa"/>
          </w:tcPr>
          <w:p>
            <w:pPr>
              <w:pStyle w:val="TableParagraph"/>
              <w:spacing w:line="245" w:lineRule="exact"/>
              <w:ind w:left="90" w:right="82"/>
              <w:rPr>
                <w:sz w:val="22"/>
              </w:rPr>
            </w:pPr>
            <w:r>
              <w:rPr>
                <w:color w:val="365F91"/>
                <w:sz w:val="22"/>
              </w:rPr>
              <w:t>0.25</w:t>
            </w:r>
          </w:p>
        </w:tc>
        <w:tc>
          <w:tcPr>
            <w:tcW w:w="1925" w:type="dxa"/>
          </w:tcPr>
          <w:p>
            <w:pPr>
              <w:pStyle w:val="TableParagraph"/>
              <w:spacing w:line="245" w:lineRule="exact"/>
              <w:ind w:left="86" w:right="86"/>
              <w:rPr>
                <w:sz w:val="22"/>
              </w:rPr>
            </w:pPr>
            <w:r>
              <w:rPr>
                <w:color w:val="365F91"/>
                <w:sz w:val="22"/>
              </w:rPr>
              <w:t>99.6</w:t>
            </w:r>
          </w:p>
        </w:tc>
      </w:tr>
      <w:tr>
        <w:trPr>
          <w:trHeight w:val="376" w:hRule="exact"/>
        </w:trPr>
        <w:tc>
          <w:tcPr>
            <w:tcW w:w="1592" w:type="dxa"/>
            <w:shd w:val="clear" w:color="auto" w:fill="D2DFED"/>
          </w:tcPr>
          <w:p>
            <w:pPr>
              <w:pStyle w:val="TableParagraph"/>
              <w:spacing w:line="245" w:lineRule="exact"/>
              <w:ind w:left="108"/>
              <w:jc w:val="left"/>
              <w:rPr>
                <w:b/>
                <w:sz w:val="22"/>
              </w:rPr>
            </w:pPr>
            <w:r>
              <w:rPr>
                <w:b/>
                <w:color w:val="365F91"/>
                <w:sz w:val="22"/>
              </w:rPr>
              <w:t>Paciente 6</w:t>
            </w:r>
          </w:p>
        </w:tc>
        <w:tc>
          <w:tcPr>
            <w:tcW w:w="1400" w:type="dxa"/>
            <w:shd w:val="clear" w:color="auto" w:fill="D2DFED"/>
          </w:tcPr>
          <w:p>
            <w:pPr>
              <w:pStyle w:val="TableParagraph"/>
              <w:spacing w:line="245" w:lineRule="exact"/>
              <w:ind w:left="312"/>
              <w:jc w:val="left"/>
              <w:rPr>
                <w:sz w:val="22"/>
              </w:rPr>
            </w:pPr>
            <w:r>
              <w:rPr>
                <w:color w:val="365F91"/>
                <w:sz w:val="22"/>
              </w:rPr>
              <w:t>0.306</w:t>
            </w:r>
          </w:p>
        </w:tc>
        <w:tc>
          <w:tcPr>
            <w:tcW w:w="1922" w:type="dxa"/>
            <w:shd w:val="clear" w:color="auto" w:fill="D2DFED"/>
          </w:tcPr>
          <w:p>
            <w:pPr>
              <w:pStyle w:val="TableParagraph"/>
              <w:spacing w:line="245" w:lineRule="exact"/>
              <w:ind w:left="86" w:right="84"/>
              <w:rPr>
                <w:sz w:val="22"/>
              </w:rPr>
            </w:pPr>
            <w:r>
              <w:rPr>
                <w:color w:val="365F91"/>
                <w:sz w:val="22"/>
              </w:rPr>
              <w:t>99.7</w:t>
            </w:r>
          </w:p>
        </w:tc>
        <w:tc>
          <w:tcPr>
            <w:tcW w:w="1603" w:type="dxa"/>
            <w:shd w:val="clear" w:color="auto" w:fill="D2DFED"/>
          </w:tcPr>
          <w:p>
            <w:pPr>
              <w:pStyle w:val="TableParagraph"/>
              <w:spacing w:line="245" w:lineRule="exact"/>
              <w:ind w:left="90" w:right="86"/>
              <w:rPr>
                <w:sz w:val="22"/>
              </w:rPr>
            </w:pPr>
            <w:r>
              <w:rPr>
                <w:color w:val="365F91"/>
                <w:sz w:val="22"/>
              </w:rPr>
              <w:t>0.256</w:t>
            </w:r>
          </w:p>
        </w:tc>
        <w:tc>
          <w:tcPr>
            <w:tcW w:w="1925" w:type="dxa"/>
            <w:shd w:val="clear" w:color="auto" w:fill="D2DFED"/>
          </w:tcPr>
          <w:p>
            <w:pPr>
              <w:pStyle w:val="TableParagraph"/>
              <w:spacing w:line="245" w:lineRule="exact"/>
              <w:ind w:left="86" w:right="83"/>
              <w:rPr>
                <w:sz w:val="22"/>
              </w:rPr>
            </w:pPr>
            <w:r>
              <w:rPr>
                <w:color w:val="365F91"/>
                <w:sz w:val="22"/>
              </w:rPr>
              <w:t>100</w:t>
            </w:r>
          </w:p>
        </w:tc>
      </w:tr>
      <w:tr>
        <w:trPr>
          <w:trHeight w:val="372" w:hRule="exact"/>
        </w:trPr>
        <w:tc>
          <w:tcPr>
            <w:tcW w:w="1592" w:type="dxa"/>
          </w:tcPr>
          <w:p>
            <w:pPr>
              <w:pStyle w:val="TableParagraph"/>
              <w:spacing w:line="245" w:lineRule="exact"/>
              <w:ind w:left="108"/>
              <w:jc w:val="left"/>
              <w:rPr>
                <w:b/>
                <w:sz w:val="22"/>
              </w:rPr>
            </w:pPr>
            <w:r>
              <w:rPr>
                <w:b/>
                <w:color w:val="365F91"/>
                <w:sz w:val="22"/>
              </w:rPr>
              <w:t>Paciente 7</w:t>
            </w:r>
          </w:p>
        </w:tc>
        <w:tc>
          <w:tcPr>
            <w:tcW w:w="1400" w:type="dxa"/>
          </w:tcPr>
          <w:p>
            <w:pPr>
              <w:pStyle w:val="TableParagraph"/>
              <w:spacing w:line="245" w:lineRule="exact"/>
              <w:ind w:left="328"/>
              <w:jc w:val="left"/>
              <w:rPr>
                <w:sz w:val="22"/>
              </w:rPr>
            </w:pPr>
            <w:r>
              <w:rPr>
                <w:color w:val="365F91"/>
                <w:sz w:val="22"/>
              </w:rPr>
              <w:t>0.183</w:t>
            </w:r>
          </w:p>
        </w:tc>
        <w:tc>
          <w:tcPr>
            <w:tcW w:w="1922" w:type="dxa"/>
          </w:tcPr>
          <w:p>
            <w:pPr>
              <w:pStyle w:val="TableParagraph"/>
              <w:spacing w:line="245" w:lineRule="exact"/>
              <w:ind w:left="86" w:right="86"/>
              <w:rPr>
                <w:sz w:val="22"/>
              </w:rPr>
            </w:pPr>
            <w:r>
              <w:rPr>
                <w:color w:val="365F91"/>
                <w:sz w:val="22"/>
              </w:rPr>
              <w:t>99.9</w:t>
            </w:r>
          </w:p>
        </w:tc>
        <w:tc>
          <w:tcPr>
            <w:tcW w:w="1603" w:type="dxa"/>
          </w:tcPr>
          <w:p>
            <w:pPr>
              <w:pStyle w:val="TableParagraph"/>
              <w:spacing w:line="245" w:lineRule="exact"/>
              <w:ind w:left="90" w:right="88"/>
              <w:rPr>
                <w:sz w:val="22"/>
              </w:rPr>
            </w:pPr>
            <w:r>
              <w:rPr>
                <w:color w:val="365F91"/>
                <w:sz w:val="22"/>
              </w:rPr>
              <w:t>0.151</w:t>
            </w:r>
          </w:p>
        </w:tc>
        <w:tc>
          <w:tcPr>
            <w:tcW w:w="1925" w:type="dxa"/>
          </w:tcPr>
          <w:p>
            <w:pPr>
              <w:pStyle w:val="TableParagraph"/>
              <w:spacing w:line="245" w:lineRule="exact"/>
              <w:ind w:left="86" w:right="86"/>
              <w:rPr>
                <w:sz w:val="22"/>
              </w:rPr>
            </w:pPr>
            <w:r>
              <w:rPr>
                <w:color w:val="365F91"/>
                <w:sz w:val="22"/>
              </w:rPr>
              <w:t>99.9</w:t>
            </w:r>
          </w:p>
        </w:tc>
      </w:tr>
      <w:tr>
        <w:trPr>
          <w:trHeight w:val="376" w:hRule="exact"/>
        </w:trPr>
        <w:tc>
          <w:tcPr>
            <w:tcW w:w="1592" w:type="dxa"/>
            <w:shd w:val="clear" w:color="auto" w:fill="D2DFED"/>
          </w:tcPr>
          <w:p>
            <w:pPr>
              <w:pStyle w:val="TableParagraph"/>
              <w:spacing w:line="245" w:lineRule="exact"/>
              <w:ind w:left="108"/>
              <w:jc w:val="left"/>
              <w:rPr>
                <w:b/>
                <w:sz w:val="22"/>
              </w:rPr>
            </w:pPr>
            <w:r>
              <w:rPr>
                <w:b/>
                <w:color w:val="365F91"/>
                <w:sz w:val="22"/>
              </w:rPr>
              <w:t>Paciente 8</w:t>
            </w:r>
          </w:p>
        </w:tc>
        <w:tc>
          <w:tcPr>
            <w:tcW w:w="1400" w:type="dxa"/>
            <w:shd w:val="clear" w:color="auto" w:fill="D2DFED"/>
          </w:tcPr>
          <w:p>
            <w:pPr>
              <w:pStyle w:val="TableParagraph"/>
              <w:spacing w:line="245" w:lineRule="exact"/>
              <w:ind w:left="380"/>
              <w:jc w:val="left"/>
              <w:rPr>
                <w:sz w:val="22"/>
              </w:rPr>
            </w:pPr>
            <w:r>
              <w:rPr>
                <w:color w:val="365F91"/>
                <w:sz w:val="22"/>
              </w:rPr>
              <w:t>0.29</w:t>
            </w:r>
          </w:p>
        </w:tc>
        <w:tc>
          <w:tcPr>
            <w:tcW w:w="1922" w:type="dxa"/>
            <w:shd w:val="clear" w:color="auto" w:fill="D2DFED"/>
          </w:tcPr>
          <w:p>
            <w:pPr>
              <w:pStyle w:val="TableParagraph"/>
              <w:spacing w:line="245" w:lineRule="exact"/>
              <w:ind w:left="86" w:right="86"/>
              <w:rPr>
                <w:sz w:val="22"/>
              </w:rPr>
            </w:pPr>
            <w:r>
              <w:rPr>
                <w:color w:val="365F91"/>
                <w:sz w:val="22"/>
              </w:rPr>
              <w:t>99.6</w:t>
            </w:r>
          </w:p>
        </w:tc>
        <w:tc>
          <w:tcPr>
            <w:tcW w:w="1603" w:type="dxa"/>
            <w:shd w:val="clear" w:color="auto" w:fill="D2DFED"/>
          </w:tcPr>
          <w:p>
            <w:pPr>
              <w:pStyle w:val="TableParagraph"/>
              <w:spacing w:line="245" w:lineRule="exact"/>
              <w:ind w:left="90" w:right="88"/>
              <w:rPr>
                <w:sz w:val="22"/>
              </w:rPr>
            </w:pPr>
            <w:r>
              <w:rPr>
                <w:color w:val="365F91"/>
                <w:sz w:val="22"/>
              </w:rPr>
              <w:t>0.243</w:t>
            </w:r>
          </w:p>
        </w:tc>
        <w:tc>
          <w:tcPr>
            <w:tcW w:w="1925" w:type="dxa"/>
            <w:shd w:val="clear" w:color="auto" w:fill="D2DFED"/>
          </w:tcPr>
          <w:p>
            <w:pPr>
              <w:pStyle w:val="TableParagraph"/>
              <w:spacing w:line="245" w:lineRule="exact"/>
              <w:ind w:left="86" w:right="86"/>
              <w:rPr>
                <w:sz w:val="22"/>
              </w:rPr>
            </w:pPr>
            <w:r>
              <w:rPr>
                <w:color w:val="365F91"/>
                <w:sz w:val="22"/>
              </w:rPr>
              <w:t>99.9</w:t>
            </w:r>
          </w:p>
        </w:tc>
      </w:tr>
      <w:tr>
        <w:trPr>
          <w:trHeight w:val="386" w:hRule="exact"/>
        </w:trPr>
        <w:tc>
          <w:tcPr>
            <w:tcW w:w="1592" w:type="dxa"/>
            <w:tcBorders>
              <w:bottom w:val="single" w:sz="8" w:space="0" w:color="4F81BC"/>
            </w:tcBorders>
          </w:tcPr>
          <w:p>
            <w:pPr>
              <w:pStyle w:val="TableParagraph"/>
              <w:spacing w:line="245" w:lineRule="exact"/>
              <w:ind w:left="108"/>
              <w:jc w:val="left"/>
              <w:rPr>
                <w:b/>
                <w:sz w:val="22"/>
              </w:rPr>
            </w:pPr>
            <w:r>
              <w:rPr>
                <w:b/>
                <w:color w:val="365F91"/>
                <w:sz w:val="22"/>
              </w:rPr>
              <w:t>Paciente 9</w:t>
            </w:r>
          </w:p>
        </w:tc>
        <w:tc>
          <w:tcPr>
            <w:tcW w:w="1400" w:type="dxa"/>
            <w:tcBorders>
              <w:bottom w:val="single" w:sz="8" w:space="0" w:color="4F81BC"/>
            </w:tcBorders>
          </w:tcPr>
          <w:p>
            <w:pPr>
              <w:pStyle w:val="TableParagraph"/>
              <w:spacing w:line="245" w:lineRule="exact"/>
              <w:ind w:left="336"/>
              <w:jc w:val="left"/>
              <w:rPr>
                <w:sz w:val="22"/>
              </w:rPr>
            </w:pPr>
            <w:r>
              <w:rPr>
                <w:color w:val="365F91"/>
                <w:sz w:val="22"/>
              </w:rPr>
              <w:t>0.217</w:t>
            </w:r>
          </w:p>
        </w:tc>
        <w:tc>
          <w:tcPr>
            <w:tcW w:w="1922" w:type="dxa"/>
            <w:tcBorders>
              <w:bottom w:val="single" w:sz="8" w:space="0" w:color="4F81BC"/>
            </w:tcBorders>
          </w:tcPr>
          <w:p>
            <w:pPr>
              <w:pStyle w:val="TableParagraph"/>
              <w:spacing w:line="245" w:lineRule="exact"/>
              <w:ind w:left="86" w:right="86"/>
              <w:rPr>
                <w:sz w:val="22"/>
              </w:rPr>
            </w:pPr>
            <w:r>
              <w:rPr>
                <w:color w:val="365F91"/>
                <w:sz w:val="22"/>
              </w:rPr>
              <w:t>99.9</w:t>
            </w:r>
          </w:p>
        </w:tc>
        <w:tc>
          <w:tcPr>
            <w:tcW w:w="1603" w:type="dxa"/>
            <w:tcBorders>
              <w:bottom w:val="single" w:sz="8" w:space="0" w:color="4F81BC"/>
            </w:tcBorders>
          </w:tcPr>
          <w:p>
            <w:pPr>
              <w:pStyle w:val="TableParagraph"/>
              <w:spacing w:line="245" w:lineRule="exact"/>
              <w:ind w:left="90" w:right="85"/>
              <w:rPr>
                <w:sz w:val="22"/>
              </w:rPr>
            </w:pPr>
            <w:r>
              <w:rPr>
                <w:color w:val="365F91"/>
                <w:sz w:val="22"/>
              </w:rPr>
              <w:t>0.183</w:t>
            </w:r>
          </w:p>
        </w:tc>
        <w:tc>
          <w:tcPr>
            <w:tcW w:w="1925" w:type="dxa"/>
            <w:tcBorders>
              <w:bottom w:val="single" w:sz="8" w:space="0" w:color="4F81BC"/>
            </w:tcBorders>
          </w:tcPr>
          <w:p>
            <w:pPr>
              <w:pStyle w:val="TableParagraph"/>
              <w:spacing w:line="245" w:lineRule="exact"/>
              <w:ind w:left="86" w:right="83"/>
              <w:rPr>
                <w:sz w:val="22"/>
              </w:rPr>
            </w:pPr>
            <w:r>
              <w:rPr>
                <w:color w:val="365F91"/>
                <w:sz w:val="22"/>
              </w:rPr>
              <w:t>100</w:t>
            </w:r>
          </w:p>
        </w:tc>
      </w:tr>
    </w:tbl>
    <w:p>
      <w:pPr>
        <w:spacing w:line="240" w:lineRule="auto" w:before="0"/>
        <w:ind w:left="1256" w:right="336" w:hanging="929"/>
        <w:jc w:val="left"/>
        <w:rPr>
          <w:sz w:val="20"/>
        </w:rPr>
      </w:pPr>
      <w:bookmarkStart w:name="_bookmark90" w:id="142"/>
      <w:bookmarkEnd w:id="142"/>
      <w:r>
        <w:rPr/>
      </w:r>
      <w:r>
        <w:rPr>
          <w:sz w:val="20"/>
        </w:rPr>
        <w:t>Tabla 7. Valores del índice gamma medio y porcentaje de puntos que cumplen con el criterio de aceptación de 4%/3mm y 5%/3mm para las películas radiocrómicas EBT3</w:t>
      </w:r>
    </w:p>
    <w:p>
      <w:pPr>
        <w:pStyle w:val="BodyText"/>
        <w:rPr>
          <w:sz w:val="20"/>
        </w:rPr>
      </w:pPr>
    </w:p>
    <w:p>
      <w:pPr>
        <w:pStyle w:val="BodyText"/>
        <w:rPr>
          <w:sz w:val="20"/>
        </w:rPr>
      </w:pPr>
    </w:p>
    <w:p>
      <w:pPr>
        <w:pStyle w:val="BodyText"/>
        <w:spacing w:line="360" w:lineRule="auto" w:before="124"/>
        <w:ind w:left="100" w:right="117"/>
        <w:jc w:val="both"/>
      </w:pPr>
      <w:r>
        <w:rPr/>
        <w:t>Para el caso del criterio de aceptación de 4%/3 mm, se obtuvo un valor gamma medio de 0.272, con una desviación estándar de ±0.052. El porcentaje promedio de puntos que cumple con el criterio de aceptación fue de 98.94, y la desviación estándar es de ±1.47.</w:t>
      </w:r>
    </w:p>
    <w:p>
      <w:pPr>
        <w:pStyle w:val="BodyText"/>
        <w:spacing w:before="9"/>
        <w:rPr>
          <w:sz w:val="32"/>
        </w:rPr>
      </w:pPr>
    </w:p>
    <w:p>
      <w:pPr>
        <w:pStyle w:val="BodyText"/>
        <w:spacing w:line="362" w:lineRule="auto"/>
        <w:ind w:left="100" w:right="118"/>
        <w:jc w:val="both"/>
      </w:pPr>
      <w:r>
        <w:rPr/>
        <w:t>El criterio de aceptación de 5%/3 mm arrojo como resultado un porcentaje promedio de puntos que cumplen el criterio de 99.58, con una desviación estándar de ±0.6315. El valor gamma medio de las planeaciones fue de 0.227, con una desviación estándar de ±0.0446.</w:t>
      </w:r>
    </w:p>
    <w:p>
      <w:pPr>
        <w:pStyle w:val="BodyText"/>
        <w:spacing w:before="9"/>
        <w:rPr>
          <w:sz w:val="23"/>
        </w:rPr>
      </w:pPr>
    </w:p>
    <w:p>
      <w:pPr>
        <w:pStyle w:val="BodyText"/>
        <w:spacing w:line="360" w:lineRule="auto"/>
        <w:ind w:left="100" w:right="155"/>
      </w:pPr>
      <w:r>
        <w:rPr/>
        <w:t>En la </w:t>
      </w:r>
      <w:hyperlink w:history="true" w:anchor="_bookmark91">
        <w:r>
          <w:rPr>
            <w:b/>
            <w:sz w:val="20"/>
          </w:rPr>
          <w:t>Figura 31</w:t>
        </w:r>
      </w:hyperlink>
      <w:r>
        <w:rPr>
          <w:b/>
          <w:sz w:val="20"/>
        </w:rPr>
        <w:t> </w:t>
      </w:r>
      <w:r>
        <w:rPr/>
        <w:t>se muestra una gráfica del porcentaje de puntos que cumplen con el criterio de aceptación, para los tres criterios analizados.</w:t>
      </w:r>
    </w:p>
    <w:p>
      <w:pPr>
        <w:pStyle w:val="BodyText"/>
      </w:pPr>
    </w:p>
    <w:p>
      <w:pPr>
        <w:pStyle w:val="BodyText"/>
        <w:spacing w:line="360" w:lineRule="auto" w:before="127"/>
        <w:ind w:left="100" w:right="115"/>
        <w:jc w:val="both"/>
      </w:pPr>
      <w:r>
        <w:rPr/>
        <w:t>Utilizando el criterio de aceptación de 3%/3 mm, como recomienda originalmente </w:t>
      </w:r>
      <w:r>
        <w:rPr>
          <w:i/>
        </w:rPr>
        <w:t>Low et </w:t>
      </w:r>
      <w:r>
        <w:rPr>
          <w:i/>
        </w:rPr>
        <w:t>al, </w:t>
      </w:r>
      <w:r>
        <w:rPr/>
        <w:t>arroja resultados con un γ&lt;1 mayores al 90% de los puntos evaluados (Low, et al.,  1998). Este criterio es ampliamente aceptado en diversos centros de radioterapia en el mundo para el control de calidad de tratamientos de IMRT, y es recomendado en el Task Group TG 119 de la AAPM. En este trabajo, se recogen las experiencias de diversas instituciones que imparten tratamientos de IMRT. Los resultados del procedimiento de control de calidad paciente especifico en estas instituciones reportan un promedio global de aceptación del índice gamma de 96.2 </w:t>
      </w:r>
      <w:r>
        <w:rPr>
          <w:rFonts w:ascii="Calibri" w:hAnsi="Calibri"/>
        </w:rPr>
        <w:t>±</w:t>
      </w:r>
      <w:r>
        <w:rPr/>
        <w:t>3.0 %, para tratamientos de cabeza y cuello, utilizando películas compuestas (Ezzell, et al., 2009). </w:t>
      </w:r>
      <w:r>
        <w:rPr>
          <w:i/>
        </w:rPr>
        <w:t>Anjum el al </w:t>
      </w:r>
      <w:r>
        <w:rPr/>
        <w:t>reportan porcentajes  </w:t>
      </w:r>
      <w:r>
        <w:rPr>
          <w:spacing w:val="7"/>
        </w:rPr>
        <w:t> </w:t>
      </w:r>
      <w:r>
        <w:rPr/>
        <w:t>de</w:t>
      </w:r>
    </w:p>
    <w:p>
      <w:pPr>
        <w:spacing w:after="0" w:line="360" w:lineRule="auto"/>
        <w:jc w:val="both"/>
        <w:sectPr>
          <w:pgSz w:w="12240" w:h="15840"/>
          <w:pgMar w:header="0" w:footer="1034" w:top="1420" w:bottom="1220" w:left="1600" w:right="1580"/>
        </w:sectPr>
      </w:pPr>
    </w:p>
    <w:p>
      <w:pPr>
        <w:pStyle w:val="BodyText"/>
        <w:spacing w:line="364" w:lineRule="auto" w:before="51"/>
        <w:ind w:left="100" w:right="1078"/>
      </w:pPr>
      <w:r>
        <w:rPr/>
        <w:t>aceptación de 90.2 </w:t>
      </w:r>
      <w:r>
        <w:rPr>
          <w:rFonts w:ascii="Calibri" w:hAnsi="Calibri"/>
        </w:rPr>
        <w:t>±</w:t>
      </w:r>
      <w:r>
        <w:rPr/>
        <w:t>7.1 para tratamientos de cabeza y cuello, utilizando películas radiocrómicas EBT (Anjum, et al., 2010).</w:t>
      </w:r>
    </w:p>
    <w:p>
      <w:pPr>
        <w:pStyle w:val="BodyText"/>
        <w:rPr>
          <w:sz w:val="20"/>
        </w:rPr>
      </w:pPr>
    </w:p>
    <w:p>
      <w:pPr>
        <w:pStyle w:val="BodyText"/>
        <w:spacing w:before="7"/>
        <w:rPr>
          <w:sz w:val="20"/>
        </w:rPr>
      </w:pPr>
    </w:p>
    <w:p>
      <w:pPr>
        <w:spacing w:before="1"/>
        <w:ind w:left="1175" w:right="1078" w:firstLine="0"/>
        <w:jc w:val="left"/>
        <w:rPr>
          <w:rFonts w:ascii="Calibri"/>
          <w:sz w:val="20"/>
        </w:rPr>
      </w:pPr>
      <w:r>
        <w:rPr/>
        <w:pict>
          <v:group style="position:absolute;margin-left:159.645004pt;margin-top:4.281467pt;width:255.25pt;height:162.6pt;mso-position-horizontal-relative:page;mso-position-vertical-relative:paragraph;z-index:-104080" coordorigin="3193,86" coordsize="5105,3252">
            <v:shape style="position:absolute;left:3200;top:132;width:5090;height:3199" coordorigin="3200,132" coordsize="5090,3199" path="m3264,2744l8290,2744m3264,2220l8290,2220m3264,1700l8290,1700m3264,1176l8290,1176m3264,656l8290,656m3264,132l8290,132m3264,3266l3264,132m3200,3266l3264,3266m3200,2744l3264,2744m3200,2220l3264,2220m3200,1700l3264,1700m3200,1176l3264,1176m3200,656l3264,656m3200,132l3264,132m3264,3266l8290,3266m3264,3266l3264,3330m3824,3266l3824,3330m4380,3266l4380,3330m4940,3266l4940,3330m5496,3266l5496,3330m6056,3266l6056,3330m6616,3266l6616,3330m7172,3266l7172,3330m7732,3266l7732,3330m8290,3266l8290,3330e" filled="false" stroked="true" strokeweight=".75pt" strokecolor="#858585">
              <v:path arrowok="t"/>
            </v:shape>
            <v:shape style="position:absolute;left:3543;top:152;width:4468;height:941" coordorigin="3543,152" coordsize="4468,941" path="m3543,812l4100,1093,4660,236,5220,224,5776,412,6336,436,6892,152,7452,424,8011,184e" filled="false" stroked="true" strokeweight="1.75pt" strokecolor="#497dba">
              <v:path arrowok="t"/>
            </v:shape>
            <v:shape style="position:absolute;left:3504;top:774;width:80;height:80" coordorigin="3504,774" coordsize="80,80" path="m3544,774l3504,814,3544,854,3584,814,3544,774xe" filled="true" fillcolor="#4f81bc" stroked="false">
              <v:path arrowok="t"/>
              <v:fill type="solid"/>
            </v:shape>
            <v:shape style="position:absolute;left:3504;top:774;width:80;height:80" coordorigin="3504,774" coordsize="80,80" path="m3544,774l3584,814,3544,854,3504,814,3544,774xe" filled="false" stroked="true" strokeweight=".8pt" strokecolor="#497dba">
              <v:path arrowok="t"/>
            </v:shape>
            <v:shape style="position:absolute;left:4060;top:1054;width:80;height:80" coordorigin="4060,1054" coordsize="80,80" path="m4100,1054l4060,1094,4100,1134,4140,1094,4100,1054xe" filled="true" fillcolor="#4f81bc" stroked="false">
              <v:path arrowok="t"/>
              <v:fill type="solid"/>
            </v:shape>
            <v:shape style="position:absolute;left:4060;top:1054;width:80;height:80" coordorigin="4060,1054" coordsize="80,80" path="m4100,1054l4140,1094,4100,1134,4060,1094,4100,1054xe" filled="false" stroked="true" strokeweight=".8pt" strokecolor="#497dba">
              <v:path arrowok="t"/>
            </v:shape>
            <v:shape style="position:absolute;left:4620;top:198;width:80;height:80" coordorigin="4620,198" coordsize="80,80" path="m4660,198l4620,238,4660,278,4700,238,4660,198xe" filled="true" fillcolor="#4f81bc" stroked="false">
              <v:path arrowok="t"/>
              <v:fill type="solid"/>
            </v:shape>
            <v:shape style="position:absolute;left:4620;top:198;width:80;height:80" coordorigin="4620,198" coordsize="80,80" path="m4660,198l4700,238,4660,278,4620,238,4660,198xe" filled="false" stroked="true" strokeweight=".8pt" strokecolor="#497dba">
              <v:path arrowok="t"/>
            </v:shape>
            <v:shape style="position:absolute;left:5180;top:186;width:80;height:80" coordorigin="5180,186" coordsize="80,80" path="m5220,186l5180,226,5220,266,5260,226,5220,186xe" filled="true" fillcolor="#4f81bc" stroked="false">
              <v:path arrowok="t"/>
              <v:fill type="solid"/>
            </v:shape>
            <v:shape style="position:absolute;left:5180;top:186;width:80;height:80" coordorigin="5180,186" coordsize="80,80" path="m5220,186l5260,226,5220,266,5180,226,5220,186xe" filled="false" stroked="true" strokeweight=".8pt" strokecolor="#497dba">
              <v:path arrowok="t"/>
            </v:shape>
            <v:shape style="position:absolute;left:5736;top:374;width:80;height:80" coordorigin="5736,374" coordsize="80,80" path="m5776,374l5736,414,5776,454,5816,414,5776,374xe" filled="true" fillcolor="#4f81bc" stroked="false">
              <v:path arrowok="t"/>
              <v:fill type="solid"/>
            </v:shape>
            <v:shape style="position:absolute;left:5736;top:374;width:80;height:80" coordorigin="5736,374" coordsize="80,80" path="m5776,374l5816,414,5776,454,5736,414,5776,374xe" filled="false" stroked="true" strokeweight=".8pt" strokecolor="#497dba">
              <v:path arrowok="t"/>
            </v:shape>
            <v:shape style="position:absolute;left:6296;top:398;width:80;height:80" coordorigin="6296,398" coordsize="80,80" path="m6336,398l6296,438,6336,478,6376,438,6336,398xe" filled="true" fillcolor="#4f81bc" stroked="false">
              <v:path arrowok="t"/>
              <v:fill type="solid"/>
            </v:shape>
            <v:shape style="position:absolute;left:6296;top:398;width:80;height:80" coordorigin="6296,398" coordsize="80,80" path="m6336,398l6376,438,6336,478,6296,438,6336,398xe" filled="false" stroked="true" strokeweight=".8pt" strokecolor="#497dba">
              <v:path arrowok="t"/>
            </v:shape>
            <v:shape style="position:absolute;left:6852;top:114;width:80;height:80" coordorigin="6852,114" coordsize="80,80" path="m6892,114l6852,154,6892,194,6932,154,6892,114xe" filled="true" fillcolor="#4f81bc" stroked="false">
              <v:path arrowok="t"/>
              <v:fill type="solid"/>
            </v:shape>
            <v:shape style="position:absolute;left:6852;top:114;width:80;height:80" coordorigin="6852,114" coordsize="80,80" path="m6892,114l6932,154,6892,194,6852,154,6892,114xe" filled="false" stroked="true" strokeweight=".8pt" strokecolor="#497dba">
              <v:path arrowok="t"/>
            </v:shape>
            <v:shape style="position:absolute;left:7412;top:386;width:80;height:80" coordorigin="7412,386" coordsize="80,80" path="m7452,386l7412,426,7452,466,7492,426,7452,386xe" filled="true" fillcolor="#4f81bc" stroked="false">
              <v:path arrowok="t"/>
              <v:fill type="solid"/>
            </v:shape>
            <v:shape style="position:absolute;left:7412;top:386;width:80;height:80" coordorigin="7412,386" coordsize="80,80" path="m7452,386l7492,426,7452,466,7412,426,7452,386xe" filled="false" stroked="true" strokeweight=".8pt" strokecolor="#497dba">
              <v:path arrowok="t"/>
            </v:shape>
            <v:shape style="position:absolute;left:7972;top:146;width:80;height:80" coordorigin="7972,146" coordsize="80,80" path="m8012,146l7972,186,8012,226,8052,186,8012,146xe" filled="true" fillcolor="#4f81bc" stroked="false">
              <v:path arrowok="t"/>
              <v:fill type="solid"/>
            </v:shape>
            <v:shape style="position:absolute;left:7972;top:146;width:80;height:80" coordorigin="7972,146" coordsize="80,80" path="m8012,146l8052,186,8012,226,7972,186,8012,146xe" filled="false" stroked="true" strokeweight=".8pt" strokecolor="#497dba">
              <v:path arrowok="t"/>
            </v:shape>
            <v:shape style="position:absolute;left:3543;top:142;width:4468;height:450" coordorigin="3543,142" coordsize="4468,450" path="m3543,444l4100,591,4660,152,5220,142,5776,224,6336,164,6892,142,7452,172,8011,142e" filled="false" stroked="true" strokeweight="1.75pt" strokecolor="#bd4a47">
              <v:path arrowok="t"/>
            </v:shape>
            <v:line style="position:absolute" from="3504,446" to="3584,446" stroked="true" strokeweight="4pt" strokecolor="#c0504d"/>
            <v:rect style="position:absolute;left:3504;top:406;width:80;height:80" filled="false" stroked="true" strokeweight=".8pt" strokecolor="#bd4a47"/>
            <v:line style="position:absolute" from="4060,594" to="4140,594" stroked="true" strokeweight="4pt" strokecolor="#c0504d"/>
            <v:rect style="position:absolute;left:4060;top:554;width:80;height:80" filled="false" stroked="true" strokeweight=".8pt" strokecolor="#bd4a47"/>
            <v:line style="position:absolute" from="4620,154" to="4700,154" stroked="true" strokeweight="4pt" strokecolor="#c0504d"/>
            <v:rect style="position:absolute;left:4620;top:114;width:80;height:80" filled="false" stroked="true" strokeweight=".8pt" strokecolor="#bd4a47"/>
            <v:line style="position:absolute" from="5180,146" to="5260,146" stroked="true" strokeweight="4pt" strokecolor="#c0504d"/>
            <v:rect style="position:absolute;left:5180;top:106;width:80;height:80" filled="false" stroked="true" strokeweight=".8pt" strokecolor="#bd4a47"/>
            <v:line style="position:absolute" from="5736,226" to="5816,226" stroked="true" strokeweight="4pt" strokecolor="#c0504d"/>
            <v:rect style="position:absolute;left:5736;top:186;width:80;height:80" filled="false" stroked="true" strokeweight=".8pt" strokecolor="#bd4a47"/>
            <v:line style="position:absolute" from="6296,166" to="6376,166" stroked="true" strokeweight="4pt" strokecolor="#c0504d"/>
            <v:rect style="position:absolute;left:6296;top:126;width:80;height:80" filled="false" stroked="true" strokeweight=".8pt" strokecolor="#bd4a47"/>
            <v:line style="position:absolute" from="6852,146" to="6932,146" stroked="true" strokeweight="4pt" strokecolor="#c0504d"/>
            <v:rect style="position:absolute;left:6852;top:106;width:80;height:80" filled="false" stroked="true" strokeweight=".8pt" strokecolor="#bd4a47"/>
            <v:line style="position:absolute" from="7412,174" to="7492,174" stroked="true" strokeweight="4pt" strokecolor="#c0504d"/>
            <v:rect style="position:absolute;left:7412;top:134;width:80;height:80" filled="false" stroked="true" strokeweight=".8pt" strokecolor="#bd4a47"/>
            <v:line style="position:absolute" from="7972,146" to="8052,146" stroked="true" strokeweight="4pt" strokecolor="#c0504d"/>
            <v:rect style="position:absolute;left:7972;top:106;width:80;height:80" filled="false" stroked="true" strokeweight=".8pt" strokecolor="#bd4a47"/>
            <v:shape style="position:absolute;left:3543;top:132;width:4468;height:188" coordorigin="3543,132" coordsize="4468,188" path="m3543,268l4100,320,4660,132,5220,132,5776,172,6336,132,6892,144,7452,144,8011,132e" filled="false" stroked="true" strokeweight="1.75pt" strokecolor="#97b853">
              <v:path arrowok="t"/>
            </v:shape>
            <v:shape style="position:absolute;left:3504;top:230;width:80;height:80" coordorigin="3504,230" coordsize="80,80" path="m3544,230l3504,310,3584,310,3544,230xe" filled="true" fillcolor="#9bba58" stroked="false">
              <v:path arrowok="t"/>
              <v:fill type="solid"/>
            </v:shape>
            <v:shape style="position:absolute;left:3504;top:230;width:80;height:80" coordorigin="3504,230" coordsize="80,80" path="m3544,230l3584,310,3504,310,3544,230xe" filled="false" stroked="true" strokeweight=".8pt" strokecolor="#97b853">
              <v:path arrowok="t"/>
            </v:shape>
            <v:shape style="position:absolute;left:4060;top:282;width:80;height:80" coordorigin="4060,282" coordsize="80,80" path="m4100,282l4060,362,4140,362,4100,282xe" filled="true" fillcolor="#9bba58" stroked="false">
              <v:path arrowok="t"/>
              <v:fill type="solid"/>
            </v:shape>
            <v:shape style="position:absolute;left:4060;top:282;width:80;height:80" coordorigin="4060,282" coordsize="80,80" path="m4100,282l4140,362,4060,362,4100,282xe" filled="false" stroked="true" strokeweight=".8pt" strokecolor="#97b853">
              <v:path arrowok="t"/>
            </v:shape>
            <v:shape style="position:absolute;left:4620;top:94;width:80;height:80" coordorigin="4620,94" coordsize="80,80" path="m4660,94l4620,174,4700,174,4660,94xe" filled="true" fillcolor="#9bba58" stroked="false">
              <v:path arrowok="t"/>
              <v:fill type="solid"/>
            </v:shape>
            <v:shape style="position:absolute;left:4620;top:94;width:80;height:80" coordorigin="4620,94" coordsize="80,80" path="m4660,94l4700,174,4620,174,4660,94xe" filled="false" stroked="true" strokeweight=".8pt" strokecolor="#97b853">
              <v:path arrowok="t"/>
            </v:shape>
            <v:shape style="position:absolute;left:5180;top:94;width:80;height:80" coordorigin="5180,94" coordsize="80,80" path="m5220,94l5180,174,5260,174,5220,94xe" filled="true" fillcolor="#9bba58" stroked="false">
              <v:path arrowok="t"/>
              <v:fill type="solid"/>
            </v:shape>
            <v:shape style="position:absolute;left:5180;top:94;width:80;height:80" coordorigin="5180,94" coordsize="80,80" path="m5220,94l5260,174,5180,174,5220,94xe" filled="false" stroked="true" strokeweight=".8pt" strokecolor="#97b853">
              <v:path arrowok="t"/>
            </v:shape>
            <v:shape style="position:absolute;left:5736;top:134;width:80;height:80" coordorigin="5736,134" coordsize="80,80" path="m5776,134l5736,214,5816,214,5776,134xe" filled="true" fillcolor="#9bba58" stroked="false">
              <v:path arrowok="t"/>
              <v:fill type="solid"/>
            </v:shape>
            <v:shape style="position:absolute;left:5736;top:134;width:80;height:80" coordorigin="5736,134" coordsize="80,80" path="m5776,134l5816,214,5736,214,5776,134xe" filled="false" stroked="true" strokeweight=".8pt" strokecolor="#97b853">
              <v:path arrowok="t"/>
            </v:shape>
            <v:shape style="position:absolute;left:6296;top:94;width:80;height:80" coordorigin="6296,94" coordsize="80,80" path="m6336,94l6296,174,6376,174,6336,94xe" filled="true" fillcolor="#9bba58" stroked="false">
              <v:path arrowok="t"/>
              <v:fill type="solid"/>
            </v:shape>
            <v:shape style="position:absolute;left:6296;top:94;width:80;height:80" coordorigin="6296,94" coordsize="80,80" path="m6336,94l6376,174,6296,174,6336,94xe" filled="false" stroked="true" strokeweight=".8pt" strokecolor="#97b853">
              <v:path arrowok="t"/>
            </v:shape>
            <v:shape style="position:absolute;left:6852;top:106;width:80;height:80" coordorigin="6852,106" coordsize="80,80" path="m6892,106l6852,186,6932,186,6892,106xe" filled="true" fillcolor="#9bba58" stroked="false">
              <v:path arrowok="t"/>
              <v:fill type="solid"/>
            </v:shape>
            <v:shape style="position:absolute;left:6852;top:106;width:80;height:80" coordorigin="6852,106" coordsize="80,80" path="m6892,106l6932,186,6852,186,6892,106xe" filled="false" stroked="true" strokeweight=".8pt" strokecolor="#97b853">
              <v:path arrowok="t"/>
            </v:shape>
            <v:shape style="position:absolute;left:7412;top:106;width:80;height:80" coordorigin="7412,106" coordsize="80,80" path="m7452,106l7412,186,7492,186,7452,106xe" filled="true" fillcolor="#9bba58" stroked="false">
              <v:path arrowok="t"/>
              <v:fill type="solid"/>
            </v:shape>
            <v:shape style="position:absolute;left:7412;top:106;width:80;height:80" coordorigin="7412,106" coordsize="80,80" path="m7452,106l7492,186,7412,186,7452,106xe" filled="false" stroked="true" strokeweight=".8pt" strokecolor="#97b853">
              <v:path arrowok="t"/>
            </v:shape>
            <v:shape style="position:absolute;left:7972;top:94;width:80;height:80" coordorigin="7972,94" coordsize="80,80" path="m8012,94l7972,174,8052,174,8012,94xe" filled="true" fillcolor="#9bba58" stroked="false">
              <v:path arrowok="t"/>
              <v:fill type="solid"/>
            </v:shape>
            <v:shape style="position:absolute;left:7972;top:94;width:80;height:80" coordorigin="7972,94" coordsize="80,80" path="m8012,94l8052,174,7972,174,8012,94xe" filled="false" stroked="true" strokeweight=".8pt" strokecolor="#97b853">
              <v:path arrowok="t"/>
            </v:shape>
            <w10:wrap type="none"/>
          </v:group>
        </w:pict>
      </w:r>
      <w:r>
        <w:rPr>
          <w:rFonts w:ascii="Calibri"/>
          <w:sz w:val="20"/>
        </w:rPr>
        <w:t>100</w:t>
      </w:r>
    </w:p>
    <w:p>
      <w:pPr>
        <w:pStyle w:val="BodyText"/>
        <w:spacing w:before="11"/>
        <w:rPr>
          <w:rFonts w:ascii="Calibri"/>
          <w:sz w:val="17"/>
        </w:rPr>
      </w:pPr>
    </w:p>
    <w:p>
      <w:pPr>
        <w:spacing w:before="59"/>
        <w:ind w:left="1276" w:right="1078" w:firstLine="0"/>
        <w:jc w:val="left"/>
        <w:rPr>
          <w:rFonts w:ascii="Calibri"/>
          <w:sz w:val="20"/>
        </w:rPr>
      </w:pPr>
      <w:r>
        <w:rPr>
          <w:rFonts w:ascii="Calibri"/>
          <w:sz w:val="20"/>
        </w:rPr>
        <w:t>95</w:t>
      </w:r>
    </w:p>
    <w:p>
      <w:pPr>
        <w:pStyle w:val="BodyText"/>
        <w:spacing w:before="11"/>
        <w:rPr>
          <w:rFonts w:ascii="Calibri"/>
          <w:sz w:val="17"/>
        </w:rPr>
      </w:pPr>
    </w:p>
    <w:p>
      <w:pPr>
        <w:spacing w:before="60"/>
        <w:ind w:left="1276" w:right="1078" w:firstLine="0"/>
        <w:jc w:val="left"/>
        <w:rPr>
          <w:rFonts w:ascii="Calibri"/>
          <w:sz w:val="20"/>
        </w:rPr>
      </w:pPr>
      <w:r>
        <w:rPr>
          <w:rFonts w:ascii="Calibri"/>
          <w:sz w:val="20"/>
        </w:rPr>
        <w:t>90</w:t>
      </w:r>
    </w:p>
    <w:p>
      <w:pPr>
        <w:pStyle w:val="BodyText"/>
        <w:spacing w:before="1"/>
        <w:rPr>
          <w:rFonts w:ascii="Calibri"/>
          <w:sz w:val="17"/>
        </w:rPr>
      </w:pPr>
    </w:p>
    <w:p>
      <w:pPr>
        <w:tabs>
          <w:tab w:pos="7430" w:val="left" w:leader="none"/>
        </w:tabs>
        <w:spacing w:before="59"/>
        <w:ind w:left="1276" w:right="1078" w:firstLine="0"/>
        <w:jc w:val="left"/>
        <w:rPr>
          <w:rFonts w:ascii="Calibri"/>
          <w:sz w:val="20"/>
        </w:rPr>
      </w:pPr>
      <w:r>
        <w:rPr/>
        <w:pict>
          <v:group style="position:absolute;margin-left:429.285004pt;margin-top:7.021472pt;width:20.95pt;height:4.8pt;mso-position-horizontal-relative:page;mso-position-vertical-relative:paragraph;z-index:-104056" coordorigin="8586,140" coordsize="419,96">
            <v:line style="position:absolute" from="8603,189" to="8987,189" stroked="true" strokeweight="1.75pt" strokecolor="#497dba"/>
            <v:shape style="position:absolute;left:8752;top:148;width:80;height:80" coordorigin="8752,148" coordsize="80,80" path="m8792,148l8752,188,8792,228,8832,188,8792,148xe" filled="true" fillcolor="#4f81bc" stroked="false">
              <v:path arrowok="t"/>
              <v:fill type="solid"/>
            </v:shape>
            <v:shape style="position:absolute;left:8752;top:148;width:80;height:80" coordorigin="8752,148" coordsize="80,80" path="m8792,148l8832,188,8792,228,8752,188,8792,148xe" filled="false" stroked="true" strokeweight=".8pt" strokecolor="#497dba">
              <v:path arrowok="t"/>
            </v:shape>
            <w10:wrap type="none"/>
          </v:group>
        </w:pict>
      </w:r>
      <w:r>
        <w:rPr/>
        <w:pict>
          <v:shape style="position:absolute;margin-left:124.650002pt;margin-top:-8.288528pt;width:12pt;height:36.8pt;mso-position-horizontal-relative:page;mso-position-vertical-relative:paragraph;z-index:3064"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w:t>
                  </w:r>
                  <w:r>
                    <w:rPr>
                      <w:rFonts w:ascii="Calibri" w:hAnsi="Calibri"/>
                      <w:b/>
                      <w:spacing w:val="1"/>
                      <w:sz w:val="20"/>
                    </w:rPr>
                    <w:t> </w:t>
                  </w:r>
                  <w:r>
                    <w:rPr>
                      <w:rFonts w:ascii="Calibri" w:hAnsi="Calibri"/>
                      <w:b/>
                      <w:w w:val="99"/>
                      <w:sz w:val="20"/>
                    </w:rPr>
                    <w:t>γ</w:t>
                  </w:r>
                  <w:r>
                    <w:rPr>
                      <w:rFonts w:ascii="Calibri" w:hAnsi="Calibri"/>
                      <w:b/>
                      <w:spacing w:val="-3"/>
                      <w:sz w:val="20"/>
                    </w:rPr>
                    <w:t> </w:t>
                  </w:r>
                  <w:r>
                    <w:rPr>
                      <w:rFonts w:ascii="Calibri" w:hAnsi="Calibri"/>
                      <w:b/>
                      <w:sz w:val="20"/>
                    </w:rPr>
                    <w:t>p</w:t>
                  </w:r>
                  <w:r>
                    <w:rPr>
                      <w:rFonts w:ascii="Calibri" w:hAnsi="Calibri"/>
                      <w:b/>
                      <w:spacing w:val="1"/>
                      <w:sz w:val="20"/>
                    </w:rPr>
                    <w:t>a</w:t>
                  </w:r>
                  <w:r>
                    <w:rPr>
                      <w:rFonts w:ascii="Calibri" w:hAnsi="Calibri"/>
                      <w:b/>
                      <w:sz w:val="20"/>
                    </w:rPr>
                    <w:t>ss</w:t>
                  </w:r>
                </w:p>
              </w:txbxContent>
            </v:textbox>
            <w10:wrap type="none"/>
          </v:shape>
        </w:pict>
      </w:r>
      <w:r>
        <w:rPr>
          <w:rFonts w:ascii="Calibri"/>
          <w:sz w:val="20"/>
        </w:rPr>
        <w:t>85</w:t>
        <w:tab/>
      </w:r>
      <w:r>
        <w:rPr>
          <w:rFonts w:ascii="Calibri"/>
          <w:position w:val="1"/>
          <w:sz w:val="20"/>
        </w:rPr>
        <w:t>3%/3</w:t>
      </w:r>
      <w:r>
        <w:rPr>
          <w:rFonts w:ascii="Calibri"/>
          <w:spacing w:val="-3"/>
          <w:position w:val="1"/>
          <w:sz w:val="20"/>
        </w:rPr>
        <w:t> </w:t>
      </w:r>
      <w:r>
        <w:rPr>
          <w:rFonts w:ascii="Calibri"/>
          <w:position w:val="1"/>
          <w:sz w:val="20"/>
        </w:rPr>
        <w:t>mm</w:t>
      </w:r>
    </w:p>
    <w:p>
      <w:pPr>
        <w:spacing w:line="208" w:lineRule="exact" w:before="108"/>
        <w:ind w:left="0" w:right="2140" w:firstLine="0"/>
        <w:jc w:val="right"/>
        <w:rPr>
          <w:rFonts w:ascii="Calibri"/>
          <w:sz w:val="20"/>
        </w:rPr>
      </w:pPr>
      <w:r>
        <w:rPr/>
        <w:pict>
          <v:group style="position:absolute;margin-left:429.285004pt;margin-top:9.396497pt;width:20.95pt;height:4.75pt;mso-position-horizontal-relative:page;mso-position-vertical-relative:paragraph;z-index:3016" coordorigin="8586,188" coordsize="419,95">
            <v:line style="position:absolute" from="8603,238" to="8987,238" stroked="true" strokeweight="1.75pt" strokecolor="#bd4a47"/>
            <v:line style="position:absolute" from="8752,235" to="8832,235" stroked="true" strokeweight="4pt" strokecolor="#c0504d"/>
            <v:rect style="position:absolute;left:8752;top:195;width:80;height:80" filled="false" stroked="true" strokeweight=".75pt" strokecolor="#bd4a47"/>
            <w10:wrap type="none"/>
          </v:group>
        </w:pict>
      </w:r>
      <w:r>
        <w:rPr>
          <w:rFonts w:ascii="Calibri"/>
          <w:sz w:val="20"/>
        </w:rPr>
        <w:t>4%/3 mm</w:t>
      </w:r>
    </w:p>
    <w:p>
      <w:pPr>
        <w:spacing w:line="181" w:lineRule="exact" w:before="0"/>
        <w:ind w:left="1276" w:right="1078" w:firstLine="0"/>
        <w:jc w:val="left"/>
        <w:rPr>
          <w:rFonts w:ascii="Calibri"/>
          <w:sz w:val="20"/>
        </w:rPr>
      </w:pPr>
      <w:r>
        <w:rPr>
          <w:rFonts w:ascii="Calibri"/>
          <w:sz w:val="20"/>
        </w:rPr>
        <w:t>80</w:t>
      </w:r>
    </w:p>
    <w:p>
      <w:pPr>
        <w:spacing w:line="217" w:lineRule="exact" w:before="0"/>
        <w:ind w:left="7430" w:right="1078" w:firstLine="0"/>
        <w:jc w:val="left"/>
        <w:rPr>
          <w:rFonts w:ascii="Calibri"/>
          <w:sz w:val="20"/>
        </w:rPr>
      </w:pPr>
      <w:r>
        <w:rPr/>
        <w:pict>
          <v:group style="position:absolute;margin-left:429.285004pt;margin-top:2.757983pt;width:20.95pt;height:4.8pt;mso-position-horizontal-relative:page;mso-position-vertical-relative:paragraph;z-index:-104008" coordorigin="8586,55" coordsize="419,96">
            <v:line style="position:absolute" from="8603,104" to="8987,104" stroked="true" strokeweight="1.75pt" strokecolor="#97b853"/>
            <v:shape style="position:absolute;left:8752;top:63;width:80;height:80" coordorigin="8752,63" coordsize="80,80" path="m8792,63l8752,143,8832,143,8792,63xe" filled="true" fillcolor="#9bba58" stroked="false">
              <v:path arrowok="t"/>
              <v:fill type="solid"/>
            </v:shape>
            <v:shape style="position:absolute;left:8752;top:63;width:80;height:80" coordorigin="8752,63" coordsize="80,80" path="m8792,63l8832,143,8752,143,8792,63xe" filled="false" stroked="true" strokeweight=".8pt" strokecolor="#97b853">
              <v:path arrowok="t"/>
            </v:shape>
            <w10:wrap type="none"/>
          </v:group>
        </w:pict>
      </w:r>
      <w:r>
        <w:rPr>
          <w:rFonts w:ascii="Calibri"/>
          <w:sz w:val="20"/>
        </w:rPr>
        <w:t>5%/3 mm</w:t>
      </w:r>
    </w:p>
    <w:p>
      <w:pPr>
        <w:spacing w:before="88"/>
        <w:ind w:left="1276" w:right="1078" w:firstLine="0"/>
        <w:jc w:val="left"/>
        <w:rPr>
          <w:rFonts w:ascii="Calibri"/>
          <w:sz w:val="20"/>
        </w:rPr>
      </w:pPr>
      <w:r>
        <w:rPr>
          <w:rFonts w:ascii="Calibri"/>
          <w:sz w:val="20"/>
        </w:rPr>
        <w:t>75</w:t>
      </w:r>
    </w:p>
    <w:p>
      <w:pPr>
        <w:pStyle w:val="BodyText"/>
        <w:spacing w:before="11"/>
        <w:rPr>
          <w:rFonts w:ascii="Calibri"/>
          <w:sz w:val="17"/>
        </w:rPr>
      </w:pPr>
    </w:p>
    <w:p>
      <w:pPr>
        <w:spacing w:before="60"/>
        <w:ind w:left="1276" w:right="1078" w:firstLine="0"/>
        <w:jc w:val="left"/>
        <w:rPr>
          <w:rFonts w:ascii="Calibri"/>
          <w:sz w:val="20"/>
        </w:rPr>
      </w:pPr>
      <w:r>
        <w:rPr>
          <w:rFonts w:ascii="Calibri"/>
          <w:sz w:val="20"/>
        </w:rPr>
        <w:t>70</w:t>
      </w:r>
    </w:p>
    <w:p>
      <w:pPr>
        <w:tabs>
          <w:tab w:pos="558" w:val="left" w:leader="none"/>
          <w:tab w:pos="1117" w:val="left" w:leader="none"/>
          <w:tab w:pos="1676" w:val="left" w:leader="none"/>
          <w:tab w:pos="2234" w:val="left" w:leader="none"/>
          <w:tab w:pos="2793" w:val="left" w:leader="none"/>
          <w:tab w:pos="3351" w:val="left" w:leader="none"/>
          <w:tab w:pos="3910" w:val="left" w:leader="none"/>
          <w:tab w:pos="4469" w:val="left" w:leader="none"/>
        </w:tabs>
        <w:spacing w:before="16"/>
        <w:ind w:left="0" w:right="2000" w:firstLine="0"/>
        <w:jc w:val="center"/>
        <w:rPr>
          <w:rFonts w:ascii="Calibri"/>
          <w:sz w:val="20"/>
        </w:rPr>
      </w:pPr>
      <w:r>
        <w:rPr>
          <w:rFonts w:ascii="Calibri"/>
          <w:sz w:val="20"/>
        </w:rPr>
        <w:t>1</w:t>
        <w:tab/>
        <w:t>2</w:t>
        <w:tab/>
        <w:t>3</w:t>
        <w:tab/>
        <w:t>4</w:t>
        <w:tab/>
        <w:t>5</w:t>
        <w:tab/>
        <w:t>6</w:t>
        <w:tab/>
        <w:t>7</w:t>
        <w:tab/>
        <w:t>8</w:t>
        <w:tab/>
        <w:t>9</w:t>
      </w:r>
    </w:p>
    <w:p>
      <w:pPr>
        <w:spacing w:before="60"/>
        <w:ind w:left="0" w:right="2003" w:firstLine="0"/>
        <w:jc w:val="center"/>
        <w:rPr>
          <w:rFonts w:ascii="Calibri"/>
          <w:b/>
          <w:sz w:val="20"/>
        </w:rPr>
      </w:pPr>
      <w:r>
        <w:rPr>
          <w:rFonts w:ascii="Calibri"/>
          <w:b/>
          <w:sz w:val="20"/>
        </w:rPr>
        <w:t>Pacientes</w:t>
      </w:r>
    </w:p>
    <w:p>
      <w:pPr>
        <w:pStyle w:val="BodyText"/>
        <w:rPr>
          <w:rFonts w:ascii="Calibri"/>
          <w:b/>
          <w:sz w:val="14"/>
        </w:rPr>
      </w:pPr>
    </w:p>
    <w:p>
      <w:pPr>
        <w:spacing w:before="78"/>
        <w:ind w:left="451" w:right="1779" w:firstLine="0"/>
        <w:jc w:val="center"/>
        <w:rPr>
          <w:sz w:val="20"/>
        </w:rPr>
      </w:pPr>
      <w:bookmarkStart w:name="_bookmark91" w:id="143"/>
      <w:bookmarkEnd w:id="143"/>
      <w:r>
        <w:rPr/>
      </w:r>
      <w:r>
        <w:rPr>
          <w:sz w:val="20"/>
        </w:rPr>
        <w:t>Figura 31. Porcentaje de puntos con γ&lt;1 para criterios de 3%/3 mm, 4%/3 mm, y 5%/3 mm, películas radiocrómicas</w:t>
      </w:r>
    </w:p>
    <w:p>
      <w:pPr>
        <w:pStyle w:val="BodyText"/>
        <w:rPr>
          <w:sz w:val="20"/>
        </w:rPr>
      </w:pPr>
    </w:p>
    <w:p>
      <w:pPr>
        <w:pStyle w:val="BodyText"/>
        <w:rPr>
          <w:sz w:val="20"/>
        </w:rPr>
      </w:pPr>
    </w:p>
    <w:p>
      <w:pPr>
        <w:pStyle w:val="BodyText"/>
        <w:spacing w:line="360" w:lineRule="auto" w:before="124"/>
        <w:ind w:left="100" w:right="1428"/>
        <w:jc w:val="both"/>
      </w:pPr>
      <w:r>
        <w:rPr/>
        <w:t>Para este caso de estudio, el porcentaje promedio de puntos que cumplen con el criterio de 3%/3 mm es de 97 %. El 100% de los planes analizados tiene un porcentaje de  </w:t>
      </w:r>
      <w:r>
        <w:rPr>
          <w:spacing w:val="50"/>
        </w:rPr>
        <w:t> </w:t>
      </w:r>
      <w:r>
        <w:rPr/>
        <w:t>aceptación</w:t>
      </w:r>
    </w:p>
    <w:p>
      <w:pPr>
        <w:pStyle w:val="BodyText"/>
        <w:spacing w:line="360" w:lineRule="auto" w:before="1"/>
        <w:ind w:left="100" w:right="1414"/>
        <w:jc w:val="both"/>
      </w:pPr>
      <w:r>
        <w:rPr/>
        <w:t>&gt;90%, por lo que la utilización de películas radiocrómicas para el análisis de distribución de dosis en un plano es adecuada con las condiciones descritas.</w:t>
      </w:r>
    </w:p>
    <w:p>
      <w:pPr>
        <w:pStyle w:val="BodyText"/>
        <w:spacing w:before="10"/>
        <w:rPr>
          <w:sz w:val="32"/>
        </w:rPr>
      </w:pPr>
    </w:p>
    <w:p>
      <w:pPr>
        <w:pStyle w:val="BodyText"/>
        <w:spacing w:line="360" w:lineRule="auto"/>
        <w:ind w:left="100" w:right="1414"/>
        <w:jc w:val="both"/>
      </w:pPr>
      <w:r>
        <w:rPr/>
        <w:t>Criterios de aceptación diferentes del índice gamma también son utilizados en el análisis  de distribución de dosis. </w:t>
      </w:r>
      <w:r>
        <w:rPr>
          <w:i/>
        </w:rPr>
        <w:t>Low y Dempsey </w:t>
      </w:r>
      <w:r>
        <w:rPr/>
        <w:t>han utilizado 5% para la diferencia de dosis y entre 2 y 3 mm para la distancia en concordancia en sus evaluaciones clínicas (Low &amp; Dempsey, 2003). </w:t>
      </w:r>
      <w:r>
        <w:rPr>
          <w:i/>
        </w:rPr>
        <w:t>Childress et al </w:t>
      </w:r>
      <w:r>
        <w:rPr/>
        <w:t>llevaron a cabo evaluaciones dosimétricas en planes de 850 pacientes de IMRT con película, recomendando el criterio de 5 %/3 mm (Childress, et al.,</w:t>
      </w:r>
      <w:r>
        <w:rPr>
          <w:spacing w:val="-3"/>
        </w:rPr>
        <w:t> </w:t>
      </w:r>
      <w:r>
        <w:rPr/>
        <w:t>2005).</w:t>
      </w:r>
    </w:p>
    <w:p>
      <w:pPr>
        <w:pStyle w:val="BodyText"/>
        <w:spacing w:before="9"/>
        <w:rPr>
          <w:sz w:val="32"/>
        </w:rPr>
      </w:pPr>
    </w:p>
    <w:p>
      <w:pPr>
        <w:pStyle w:val="BodyText"/>
        <w:spacing w:line="360" w:lineRule="auto"/>
        <w:ind w:left="100" w:right="1419"/>
        <w:jc w:val="both"/>
      </w:pPr>
      <w:r>
        <w:rPr/>
        <w:t>En el presente estudio, al aumentar la tolerancia para el porcentaje de diferencia de dosis a 4 y 5 %, se observa un aumento en el porcentaje de puntos con </w:t>
      </w:r>
      <w:r>
        <w:rPr>
          <w:rFonts w:ascii="Calibri" w:hAnsi="Calibri"/>
        </w:rPr>
        <w:t>γ</w:t>
      </w:r>
      <w:r>
        <w:rPr/>
        <w:t>&lt;1, como era de esperarse, llegando al 100% en cuatro de los planes analizados para el criterio 5%/3 mm. Como se mostró en la sección </w:t>
      </w:r>
      <w:hyperlink w:history="true" w:anchor="_bookmark80">
        <w:r>
          <w:rPr/>
          <w:t>6.2</w:t>
        </w:r>
      </w:hyperlink>
      <w:r>
        <w:rPr/>
        <w:t>, la incerteza global en la dosis asociada a la curva de calibración  de</w:t>
      </w:r>
      <w:r>
        <w:rPr>
          <w:spacing w:val="38"/>
        </w:rPr>
        <w:t> </w:t>
      </w:r>
      <w:r>
        <w:rPr/>
        <w:t>las</w:t>
      </w:r>
      <w:r>
        <w:rPr>
          <w:spacing w:val="37"/>
        </w:rPr>
        <w:t> </w:t>
      </w:r>
      <w:r>
        <w:rPr/>
        <w:t>películas</w:t>
      </w:r>
      <w:r>
        <w:rPr>
          <w:spacing w:val="33"/>
        </w:rPr>
        <w:t> </w:t>
      </w:r>
      <w:r>
        <w:rPr/>
        <w:t>radiocrómicas</w:t>
      </w:r>
      <w:r>
        <w:rPr>
          <w:spacing w:val="37"/>
        </w:rPr>
        <w:t> </w:t>
      </w:r>
      <w:r>
        <w:rPr/>
        <w:t>es</w:t>
      </w:r>
      <w:r>
        <w:rPr>
          <w:spacing w:val="33"/>
        </w:rPr>
        <w:t> </w:t>
      </w:r>
      <w:r>
        <w:rPr/>
        <w:t>de</w:t>
      </w:r>
      <w:r>
        <w:rPr>
          <w:spacing w:val="38"/>
        </w:rPr>
        <w:t> </w:t>
      </w:r>
      <w:r>
        <w:rPr/>
        <w:t>4.14%</w:t>
      </w:r>
      <w:r>
        <w:rPr>
          <w:spacing w:val="36"/>
        </w:rPr>
        <w:t> </w:t>
      </w:r>
      <w:r>
        <w:rPr/>
        <w:t>en</w:t>
      </w:r>
      <w:r>
        <w:rPr>
          <w:spacing w:val="34"/>
        </w:rPr>
        <w:t> </w:t>
      </w:r>
      <w:r>
        <w:rPr/>
        <w:t>el</w:t>
      </w:r>
      <w:r>
        <w:rPr>
          <w:spacing w:val="37"/>
        </w:rPr>
        <w:t> </w:t>
      </w:r>
      <w:r>
        <w:rPr/>
        <w:t>rango</w:t>
      </w:r>
      <w:r>
        <w:rPr>
          <w:spacing w:val="37"/>
        </w:rPr>
        <w:t> </w:t>
      </w:r>
      <w:r>
        <w:rPr/>
        <w:t>de</w:t>
      </w:r>
      <w:r>
        <w:rPr>
          <w:spacing w:val="38"/>
        </w:rPr>
        <w:t> </w:t>
      </w:r>
      <w:r>
        <w:rPr/>
        <w:t>0</w:t>
      </w:r>
      <w:r>
        <w:rPr>
          <w:spacing w:val="37"/>
        </w:rPr>
        <w:t> </w:t>
      </w:r>
      <w:r>
        <w:rPr/>
        <w:t>a</w:t>
      </w:r>
      <w:r>
        <w:rPr>
          <w:spacing w:val="33"/>
        </w:rPr>
        <w:t> </w:t>
      </w:r>
      <w:r>
        <w:rPr/>
        <w:t>2</w:t>
      </w:r>
      <w:r>
        <w:rPr>
          <w:spacing w:val="37"/>
        </w:rPr>
        <w:t> </w:t>
      </w:r>
      <w:r>
        <w:rPr/>
        <w:t>Gy,</w:t>
      </w:r>
      <w:r>
        <w:rPr>
          <w:spacing w:val="37"/>
        </w:rPr>
        <w:t> </w:t>
      </w:r>
      <w:r>
        <w:rPr/>
        <w:t>por</w:t>
      </w:r>
      <w:r>
        <w:rPr>
          <w:spacing w:val="38"/>
        </w:rPr>
        <w:t> </w:t>
      </w:r>
      <w:r>
        <w:rPr/>
        <w:t>lo</w:t>
      </w:r>
      <w:r>
        <w:rPr>
          <w:spacing w:val="33"/>
        </w:rPr>
        <w:t> </w:t>
      </w:r>
      <w:r>
        <w:rPr/>
        <w:t>que</w:t>
      </w:r>
      <w:r>
        <w:rPr>
          <w:spacing w:val="34"/>
        </w:rPr>
        <w:t> </w:t>
      </w:r>
      <w:r>
        <w:rPr/>
        <w:t>resulta</w:t>
      </w:r>
    </w:p>
    <w:p>
      <w:pPr>
        <w:spacing w:after="0" w:line="360" w:lineRule="auto"/>
        <w:jc w:val="both"/>
        <w:sectPr>
          <w:pgSz w:w="12240" w:h="15840"/>
          <w:pgMar w:header="0" w:footer="1034" w:top="1360" w:bottom="1220" w:left="1600" w:right="280"/>
        </w:sectPr>
      </w:pPr>
    </w:p>
    <w:p>
      <w:pPr>
        <w:pStyle w:val="BodyText"/>
        <w:spacing w:line="360" w:lineRule="auto" w:before="55"/>
        <w:ind w:left="100" w:right="118"/>
        <w:jc w:val="both"/>
      </w:pPr>
      <w:r>
        <w:rPr/>
        <w:t>conveniente otorgar un margen mayor en el criterio de aceptación. Sin embargo, los resultados indican que con el criterio de 3%/3 mm se cumplen con los estándares aceptados</w:t>
      </w:r>
      <w:r>
        <w:rPr>
          <w:spacing w:val="-16"/>
        </w:rPr>
        <w:t> </w:t>
      </w:r>
      <w:r>
        <w:rPr/>
        <w:t>internacionalmente.</w:t>
      </w:r>
    </w:p>
    <w:p>
      <w:pPr>
        <w:pStyle w:val="BodyText"/>
      </w:pPr>
    </w:p>
    <w:p>
      <w:pPr>
        <w:pStyle w:val="BodyText"/>
        <w:spacing w:before="4"/>
        <w:rPr>
          <w:sz w:val="26"/>
        </w:rPr>
      </w:pPr>
    </w:p>
    <w:p>
      <w:pPr>
        <w:pStyle w:val="Heading6"/>
        <w:ind w:left="821" w:right="155" w:firstLine="0"/>
      </w:pPr>
      <w:bookmarkStart w:name="_bookmark92" w:id="144"/>
      <w:bookmarkEnd w:id="144"/>
      <w:r>
        <w:rPr>
          <w:b w:val="0"/>
        </w:rPr>
      </w:r>
      <w:r>
        <w:rPr/>
        <w:t>6.5.2. Películas radiográficas</w:t>
      </w:r>
    </w:p>
    <w:p>
      <w:pPr>
        <w:pStyle w:val="BodyText"/>
        <w:spacing w:before="7"/>
        <w:rPr>
          <w:b/>
          <w:sz w:val="27"/>
        </w:rPr>
      </w:pPr>
    </w:p>
    <w:p>
      <w:pPr>
        <w:pStyle w:val="BodyText"/>
        <w:spacing w:line="360" w:lineRule="auto"/>
        <w:ind w:left="100" w:right="120"/>
        <w:jc w:val="both"/>
      </w:pPr>
      <w:r>
        <w:rPr/>
        <w:t>En la </w:t>
      </w:r>
      <w:hyperlink w:history="true" w:anchor="_bookmark93">
        <w:r>
          <w:rPr>
            <w:b/>
            <w:sz w:val="20"/>
          </w:rPr>
          <w:t>Tabla 8</w:t>
        </w:r>
      </w:hyperlink>
      <w:r>
        <w:rPr>
          <w:b/>
          <w:sz w:val="20"/>
        </w:rPr>
        <w:t> </w:t>
      </w:r>
      <w:r>
        <w:rPr/>
        <w:t>se muestran los resultados del análisis gamma utilizando las películas radiográficas, con el criterio de 3%/3mm para la diferencia de dosis y distancia en concordancia, respectivamente.</w:t>
      </w:r>
    </w:p>
    <w:p>
      <w:pPr>
        <w:pStyle w:val="BodyText"/>
        <w:rPr>
          <w:sz w:val="20"/>
        </w:rPr>
      </w:pPr>
    </w:p>
    <w:p>
      <w:pPr>
        <w:pStyle w:val="BodyText"/>
        <w:spacing w:before="11"/>
        <w:rPr>
          <w:sz w:val="12"/>
        </w:rPr>
      </w:pPr>
    </w:p>
    <w:tbl>
      <w:tblPr>
        <w:tblW w:w="0" w:type="auto"/>
        <w:jc w:val="left"/>
        <w:tblInd w:w="17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74"/>
        <w:gridCol w:w="1608"/>
        <w:gridCol w:w="2239"/>
      </w:tblGrid>
      <w:tr>
        <w:trPr>
          <w:trHeight w:val="620" w:hRule="exact"/>
        </w:trPr>
        <w:tc>
          <w:tcPr>
            <w:tcW w:w="3283" w:type="dxa"/>
            <w:gridSpan w:val="2"/>
            <w:tcBorders>
              <w:top w:val="single" w:sz="8" w:space="0" w:color="4F81BC"/>
              <w:bottom w:val="single" w:sz="8" w:space="0" w:color="4F81BC"/>
            </w:tcBorders>
          </w:tcPr>
          <w:p>
            <w:pPr>
              <w:pStyle w:val="TableParagraph"/>
              <w:spacing w:line="249" w:lineRule="exact"/>
              <w:ind w:left="1548"/>
              <w:jc w:val="left"/>
              <w:rPr>
                <w:b/>
                <w:sz w:val="22"/>
              </w:rPr>
            </w:pPr>
            <w:r>
              <w:rPr>
                <w:b/>
                <w:color w:val="365F91"/>
                <w:sz w:val="22"/>
              </w:rPr>
              <w:t>gamma medio</w:t>
            </w:r>
          </w:p>
        </w:tc>
        <w:tc>
          <w:tcPr>
            <w:tcW w:w="2239" w:type="dxa"/>
            <w:tcBorders>
              <w:top w:val="single" w:sz="8" w:space="0" w:color="4F81BC"/>
              <w:bottom w:val="single" w:sz="8" w:space="0" w:color="4F81BC"/>
            </w:tcBorders>
          </w:tcPr>
          <w:p>
            <w:pPr>
              <w:pStyle w:val="TableParagraph"/>
              <w:spacing w:line="249" w:lineRule="exact"/>
              <w:ind w:left="110" w:right="145"/>
              <w:rPr>
                <w:b/>
                <w:sz w:val="22"/>
              </w:rPr>
            </w:pPr>
            <w:r>
              <w:rPr>
                <w:b/>
                <w:color w:val="365F91"/>
                <w:sz w:val="22"/>
              </w:rPr>
              <w:t>% puntos con γ&lt;1</w:t>
            </w:r>
          </w:p>
        </w:tc>
      </w:tr>
      <w:tr>
        <w:trPr>
          <w:trHeight w:val="386" w:hRule="exact"/>
        </w:trPr>
        <w:tc>
          <w:tcPr>
            <w:tcW w:w="1674" w:type="dxa"/>
            <w:tcBorders>
              <w:top w:val="single" w:sz="8" w:space="0" w:color="4F81BC"/>
            </w:tcBorders>
            <w:shd w:val="clear" w:color="auto" w:fill="D2DFED"/>
          </w:tcPr>
          <w:p>
            <w:pPr>
              <w:pStyle w:val="TableParagraph"/>
              <w:spacing w:line="248" w:lineRule="exact"/>
              <w:ind w:left="107"/>
              <w:jc w:val="left"/>
              <w:rPr>
                <w:b/>
                <w:sz w:val="22"/>
              </w:rPr>
            </w:pPr>
            <w:r>
              <w:rPr>
                <w:b/>
                <w:color w:val="365F91"/>
                <w:sz w:val="22"/>
              </w:rPr>
              <w:t>Paciente 1</w:t>
            </w:r>
          </w:p>
        </w:tc>
        <w:tc>
          <w:tcPr>
            <w:tcW w:w="1608" w:type="dxa"/>
            <w:tcBorders>
              <w:top w:val="single" w:sz="8" w:space="0" w:color="4F81BC"/>
            </w:tcBorders>
            <w:shd w:val="clear" w:color="auto" w:fill="D2DFED"/>
          </w:tcPr>
          <w:p>
            <w:pPr>
              <w:pStyle w:val="TableParagraph"/>
              <w:spacing w:line="248" w:lineRule="exact"/>
              <w:ind w:left="406"/>
              <w:jc w:val="left"/>
              <w:rPr>
                <w:sz w:val="22"/>
              </w:rPr>
            </w:pPr>
            <w:r>
              <w:rPr>
                <w:color w:val="365F91"/>
                <w:sz w:val="22"/>
              </w:rPr>
              <w:t>0.381</w:t>
            </w:r>
          </w:p>
        </w:tc>
        <w:tc>
          <w:tcPr>
            <w:tcW w:w="2239" w:type="dxa"/>
            <w:tcBorders>
              <w:top w:val="single" w:sz="8" w:space="0" w:color="4F81BC"/>
            </w:tcBorders>
            <w:shd w:val="clear" w:color="auto" w:fill="D2DFED"/>
          </w:tcPr>
          <w:p>
            <w:pPr>
              <w:pStyle w:val="TableParagraph"/>
              <w:spacing w:line="248" w:lineRule="exact"/>
              <w:ind w:left="110" w:right="92"/>
              <w:rPr>
                <w:sz w:val="22"/>
              </w:rPr>
            </w:pPr>
            <w:r>
              <w:rPr>
                <w:color w:val="365F91"/>
                <w:sz w:val="22"/>
              </w:rPr>
              <w:t>99.3</w:t>
            </w:r>
          </w:p>
        </w:tc>
      </w:tr>
      <w:tr>
        <w:trPr>
          <w:trHeight w:val="376" w:hRule="exact"/>
        </w:trPr>
        <w:tc>
          <w:tcPr>
            <w:tcW w:w="1674" w:type="dxa"/>
          </w:tcPr>
          <w:p>
            <w:pPr>
              <w:pStyle w:val="TableParagraph"/>
              <w:spacing w:line="248" w:lineRule="exact"/>
              <w:ind w:left="107"/>
              <w:jc w:val="left"/>
              <w:rPr>
                <w:b/>
                <w:sz w:val="22"/>
              </w:rPr>
            </w:pPr>
            <w:r>
              <w:rPr>
                <w:b/>
                <w:color w:val="365F91"/>
                <w:sz w:val="22"/>
              </w:rPr>
              <w:t>Paciente 2</w:t>
            </w:r>
          </w:p>
        </w:tc>
        <w:tc>
          <w:tcPr>
            <w:tcW w:w="1608" w:type="dxa"/>
          </w:tcPr>
          <w:p>
            <w:pPr>
              <w:pStyle w:val="TableParagraph"/>
              <w:spacing w:line="248" w:lineRule="exact"/>
              <w:ind w:left="398"/>
              <w:jc w:val="left"/>
              <w:rPr>
                <w:sz w:val="22"/>
              </w:rPr>
            </w:pPr>
            <w:r>
              <w:rPr>
                <w:color w:val="365F91"/>
                <w:sz w:val="22"/>
              </w:rPr>
              <w:t>0.325</w:t>
            </w:r>
          </w:p>
        </w:tc>
        <w:tc>
          <w:tcPr>
            <w:tcW w:w="2239" w:type="dxa"/>
          </w:tcPr>
          <w:p>
            <w:pPr>
              <w:pStyle w:val="TableParagraph"/>
              <w:spacing w:line="248" w:lineRule="exact"/>
              <w:ind w:left="110" w:right="89"/>
              <w:rPr>
                <w:sz w:val="22"/>
              </w:rPr>
            </w:pPr>
            <w:r>
              <w:rPr>
                <w:color w:val="365F91"/>
                <w:sz w:val="22"/>
              </w:rPr>
              <w:t>99.8</w:t>
            </w:r>
          </w:p>
        </w:tc>
      </w:tr>
      <w:tr>
        <w:trPr>
          <w:trHeight w:val="372" w:hRule="exact"/>
        </w:trPr>
        <w:tc>
          <w:tcPr>
            <w:tcW w:w="1674" w:type="dxa"/>
            <w:shd w:val="clear" w:color="auto" w:fill="D2DFED"/>
          </w:tcPr>
          <w:p>
            <w:pPr>
              <w:pStyle w:val="TableParagraph"/>
              <w:spacing w:line="248" w:lineRule="exact"/>
              <w:ind w:left="107"/>
              <w:jc w:val="left"/>
              <w:rPr>
                <w:b/>
                <w:sz w:val="22"/>
              </w:rPr>
            </w:pPr>
            <w:r>
              <w:rPr>
                <w:b/>
                <w:color w:val="365F91"/>
                <w:sz w:val="22"/>
              </w:rPr>
              <w:t>Paciente 3</w:t>
            </w:r>
          </w:p>
        </w:tc>
        <w:tc>
          <w:tcPr>
            <w:tcW w:w="1608" w:type="dxa"/>
            <w:shd w:val="clear" w:color="auto" w:fill="D2DFED"/>
          </w:tcPr>
          <w:p>
            <w:pPr>
              <w:pStyle w:val="TableParagraph"/>
              <w:spacing w:line="248" w:lineRule="exact"/>
              <w:ind w:left="414"/>
              <w:jc w:val="left"/>
              <w:rPr>
                <w:sz w:val="22"/>
              </w:rPr>
            </w:pPr>
            <w:r>
              <w:rPr>
                <w:color w:val="365F91"/>
                <w:sz w:val="22"/>
              </w:rPr>
              <w:t>0.512</w:t>
            </w:r>
          </w:p>
        </w:tc>
        <w:tc>
          <w:tcPr>
            <w:tcW w:w="2239" w:type="dxa"/>
            <w:shd w:val="clear" w:color="auto" w:fill="D2DFED"/>
          </w:tcPr>
          <w:p>
            <w:pPr>
              <w:pStyle w:val="TableParagraph"/>
              <w:spacing w:line="248" w:lineRule="exact"/>
              <w:ind w:left="110" w:right="88"/>
              <w:rPr>
                <w:sz w:val="22"/>
              </w:rPr>
            </w:pPr>
            <w:r>
              <w:rPr>
                <w:color w:val="365F91"/>
                <w:sz w:val="22"/>
              </w:rPr>
              <w:t>81.3</w:t>
            </w:r>
          </w:p>
        </w:tc>
      </w:tr>
      <w:tr>
        <w:trPr>
          <w:trHeight w:val="376" w:hRule="exact"/>
        </w:trPr>
        <w:tc>
          <w:tcPr>
            <w:tcW w:w="1674" w:type="dxa"/>
          </w:tcPr>
          <w:p>
            <w:pPr>
              <w:pStyle w:val="TableParagraph"/>
              <w:spacing w:line="248" w:lineRule="exact"/>
              <w:ind w:left="107"/>
              <w:jc w:val="left"/>
              <w:rPr>
                <w:b/>
                <w:sz w:val="22"/>
              </w:rPr>
            </w:pPr>
            <w:r>
              <w:rPr>
                <w:b/>
                <w:color w:val="365F91"/>
                <w:sz w:val="22"/>
              </w:rPr>
              <w:t>Paciente 4</w:t>
            </w:r>
          </w:p>
        </w:tc>
        <w:tc>
          <w:tcPr>
            <w:tcW w:w="1608" w:type="dxa"/>
          </w:tcPr>
          <w:p>
            <w:pPr>
              <w:pStyle w:val="TableParagraph"/>
              <w:spacing w:line="248" w:lineRule="exact"/>
              <w:ind w:left="402"/>
              <w:jc w:val="left"/>
              <w:rPr>
                <w:sz w:val="22"/>
              </w:rPr>
            </w:pPr>
            <w:r>
              <w:rPr>
                <w:color w:val="365F91"/>
                <w:sz w:val="22"/>
              </w:rPr>
              <w:t>0.474</w:t>
            </w:r>
          </w:p>
        </w:tc>
        <w:tc>
          <w:tcPr>
            <w:tcW w:w="2239" w:type="dxa"/>
          </w:tcPr>
          <w:p>
            <w:pPr>
              <w:pStyle w:val="TableParagraph"/>
              <w:spacing w:line="248" w:lineRule="exact"/>
              <w:ind w:left="110" w:right="88"/>
              <w:rPr>
                <w:sz w:val="22"/>
              </w:rPr>
            </w:pPr>
            <w:r>
              <w:rPr>
                <w:color w:val="365F91"/>
                <w:sz w:val="22"/>
              </w:rPr>
              <w:t>95.6</w:t>
            </w:r>
          </w:p>
        </w:tc>
      </w:tr>
      <w:tr>
        <w:trPr>
          <w:trHeight w:val="377" w:hRule="exact"/>
        </w:trPr>
        <w:tc>
          <w:tcPr>
            <w:tcW w:w="1674" w:type="dxa"/>
            <w:shd w:val="clear" w:color="auto" w:fill="D2DFED"/>
          </w:tcPr>
          <w:p>
            <w:pPr>
              <w:pStyle w:val="TableParagraph"/>
              <w:spacing w:line="249" w:lineRule="exact"/>
              <w:ind w:left="107"/>
              <w:jc w:val="left"/>
              <w:rPr>
                <w:b/>
                <w:sz w:val="22"/>
              </w:rPr>
            </w:pPr>
            <w:r>
              <w:rPr>
                <w:b/>
                <w:color w:val="365F91"/>
                <w:sz w:val="22"/>
              </w:rPr>
              <w:t>Paciente 5</w:t>
            </w:r>
          </w:p>
        </w:tc>
        <w:tc>
          <w:tcPr>
            <w:tcW w:w="1608" w:type="dxa"/>
            <w:shd w:val="clear" w:color="auto" w:fill="D2DFED"/>
          </w:tcPr>
          <w:p>
            <w:pPr>
              <w:pStyle w:val="TableParagraph"/>
              <w:spacing w:line="249" w:lineRule="exact"/>
              <w:ind w:left="398"/>
              <w:jc w:val="left"/>
              <w:rPr>
                <w:sz w:val="22"/>
              </w:rPr>
            </w:pPr>
            <w:r>
              <w:rPr>
                <w:color w:val="365F91"/>
                <w:sz w:val="22"/>
              </w:rPr>
              <w:t>0.633</w:t>
            </w:r>
          </w:p>
        </w:tc>
        <w:tc>
          <w:tcPr>
            <w:tcW w:w="2239" w:type="dxa"/>
            <w:shd w:val="clear" w:color="auto" w:fill="D2DFED"/>
          </w:tcPr>
          <w:p>
            <w:pPr>
              <w:pStyle w:val="TableParagraph"/>
              <w:spacing w:line="249" w:lineRule="exact"/>
              <w:ind w:left="110" w:right="90"/>
              <w:rPr>
                <w:sz w:val="22"/>
              </w:rPr>
            </w:pPr>
            <w:r>
              <w:rPr>
                <w:color w:val="365F91"/>
                <w:sz w:val="22"/>
              </w:rPr>
              <w:t>75.1</w:t>
            </w:r>
          </w:p>
        </w:tc>
      </w:tr>
      <w:tr>
        <w:trPr>
          <w:trHeight w:val="376" w:hRule="exact"/>
        </w:trPr>
        <w:tc>
          <w:tcPr>
            <w:tcW w:w="1674" w:type="dxa"/>
          </w:tcPr>
          <w:p>
            <w:pPr>
              <w:pStyle w:val="TableParagraph"/>
              <w:spacing w:line="248" w:lineRule="exact"/>
              <w:ind w:left="107"/>
              <w:jc w:val="left"/>
              <w:rPr>
                <w:b/>
                <w:sz w:val="22"/>
              </w:rPr>
            </w:pPr>
            <w:r>
              <w:rPr>
                <w:b/>
                <w:color w:val="365F91"/>
                <w:sz w:val="22"/>
              </w:rPr>
              <w:t>Paciente 6</w:t>
            </w:r>
          </w:p>
        </w:tc>
        <w:tc>
          <w:tcPr>
            <w:tcW w:w="1608" w:type="dxa"/>
          </w:tcPr>
          <w:p>
            <w:pPr>
              <w:pStyle w:val="TableParagraph"/>
              <w:spacing w:line="248" w:lineRule="exact"/>
              <w:ind w:left="402"/>
              <w:jc w:val="left"/>
              <w:rPr>
                <w:sz w:val="22"/>
              </w:rPr>
            </w:pPr>
            <w:r>
              <w:rPr>
                <w:color w:val="365F91"/>
                <w:sz w:val="22"/>
              </w:rPr>
              <w:t>0.373</w:t>
            </w:r>
          </w:p>
        </w:tc>
        <w:tc>
          <w:tcPr>
            <w:tcW w:w="2239" w:type="dxa"/>
          </w:tcPr>
          <w:p>
            <w:pPr>
              <w:pStyle w:val="TableParagraph"/>
              <w:spacing w:line="248" w:lineRule="exact"/>
              <w:ind w:left="110" w:right="86"/>
              <w:rPr>
                <w:sz w:val="22"/>
              </w:rPr>
            </w:pPr>
            <w:r>
              <w:rPr>
                <w:color w:val="365F91"/>
                <w:sz w:val="22"/>
              </w:rPr>
              <w:t>92.7</w:t>
            </w:r>
          </w:p>
        </w:tc>
      </w:tr>
      <w:tr>
        <w:trPr>
          <w:trHeight w:val="372" w:hRule="exact"/>
        </w:trPr>
        <w:tc>
          <w:tcPr>
            <w:tcW w:w="1674" w:type="dxa"/>
            <w:shd w:val="clear" w:color="auto" w:fill="D2DFED"/>
          </w:tcPr>
          <w:p>
            <w:pPr>
              <w:pStyle w:val="TableParagraph"/>
              <w:spacing w:line="248" w:lineRule="exact"/>
              <w:ind w:left="107"/>
              <w:jc w:val="left"/>
              <w:rPr>
                <w:b/>
                <w:sz w:val="22"/>
              </w:rPr>
            </w:pPr>
            <w:r>
              <w:rPr>
                <w:b/>
                <w:color w:val="365F91"/>
                <w:sz w:val="22"/>
              </w:rPr>
              <w:t>Paciente 7</w:t>
            </w:r>
          </w:p>
        </w:tc>
        <w:tc>
          <w:tcPr>
            <w:tcW w:w="1608" w:type="dxa"/>
            <w:shd w:val="clear" w:color="auto" w:fill="D2DFED"/>
          </w:tcPr>
          <w:p>
            <w:pPr>
              <w:pStyle w:val="TableParagraph"/>
              <w:spacing w:line="248" w:lineRule="exact"/>
              <w:ind w:left="402"/>
              <w:jc w:val="left"/>
              <w:rPr>
                <w:sz w:val="22"/>
              </w:rPr>
            </w:pPr>
            <w:r>
              <w:rPr>
                <w:color w:val="365F91"/>
                <w:sz w:val="22"/>
              </w:rPr>
              <w:t>0.373</w:t>
            </w:r>
          </w:p>
        </w:tc>
        <w:tc>
          <w:tcPr>
            <w:tcW w:w="2239" w:type="dxa"/>
            <w:shd w:val="clear" w:color="auto" w:fill="D2DFED"/>
          </w:tcPr>
          <w:p>
            <w:pPr>
              <w:pStyle w:val="TableParagraph"/>
              <w:spacing w:line="248" w:lineRule="exact"/>
              <w:ind w:left="110" w:right="92"/>
              <w:rPr>
                <w:sz w:val="22"/>
              </w:rPr>
            </w:pPr>
            <w:r>
              <w:rPr>
                <w:color w:val="365F91"/>
                <w:sz w:val="22"/>
              </w:rPr>
              <w:t>96.3</w:t>
            </w:r>
          </w:p>
        </w:tc>
      </w:tr>
      <w:tr>
        <w:trPr>
          <w:trHeight w:val="376" w:hRule="exact"/>
        </w:trPr>
        <w:tc>
          <w:tcPr>
            <w:tcW w:w="1674" w:type="dxa"/>
          </w:tcPr>
          <w:p>
            <w:pPr>
              <w:pStyle w:val="TableParagraph"/>
              <w:spacing w:line="248" w:lineRule="exact"/>
              <w:ind w:left="107"/>
              <w:jc w:val="left"/>
              <w:rPr>
                <w:b/>
                <w:sz w:val="22"/>
              </w:rPr>
            </w:pPr>
            <w:r>
              <w:rPr>
                <w:b/>
                <w:color w:val="365F91"/>
                <w:sz w:val="22"/>
              </w:rPr>
              <w:t>Paciente 8</w:t>
            </w:r>
          </w:p>
        </w:tc>
        <w:tc>
          <w:tcPr>
            <w:tcW w:w="1608" w:type="dxa"/>
          </w:tcPr>
          <w:p>
            <w:pPr>
              <w:pStyle w:val="TableParagraph"/>
              <w:spacing w:line="248" w:lineRule="exact"/>
              <w:ind w:left="394"/>
              <w:jc w:val="left"/>
              <w:rPr>
                <w:sz w:val="22"/>
              </w:rPr>
            </w:pPr>
            <w:r>
              <w:rPr>
                <w:color w:val="365F91"/>
                <w:sz w:val="22"/>
              </w:rPr>
              <w:t>0.624</w:t>
            </w:r>
          </w:p>
        </w:tc>
        <w:tc>
          <w:tcPr>
            <w:tcW w:w="2239" w:type="dxa"/>
          </w:tcPr>
          <w:p>
            <w:pPr>
              <w:pStyle w:val="TableParagraph"/>
              <w:spacing w:line="248" w:lineRule="exact"/>
              <w:ind w:left="110" w:right="90"/>
              <w:rPr>
                <w:sz w:val="22"/>
              </w:rPr>
            </w:pPr>
            <w:r>
              <w:rPr>
                <w:color w:val="365F91"/>
                <w:sz w:val="22"/>
              </w:rPr>
              <w:t>72.7</w:t>
            </w:r>
          </w:p>
        </w:tc>
      </w:tr>
      <w:tr>
        <w:trPr>
          <w:trHeight w:val="386" w:hRule="exact"/>
        </w:trPr>
        <w:tc>
          <w:tcPr>
            <w:tcW w:w="1674" w:type="dxa"/>
            <w:tcBorders>
              <w:bottom w:val="single" w:sz="8" w:space="0" w:color="4F81BC"/>
            </w:tcBorders>
            <w:shd w:val="clear" w:color="auto" w:fill="D2DFED"/>
          </w:tcPr>
          <w:p>
            <w:pPr>
              <w:pStyle w:val="TableParagraph"/>
              <w:spacing w:line="248" w:lineRule="exact"/>
              <w:ind w:left="107"/>
              <w:jc w:val="left"/>
              <w:rPr>
                <w:b/>
                <w:sz w:val="22"/>
              </w:rPr>
            </w:pPr>
            <w:r>
              <w:rPr>
                <w:b/>
                <w:color w:val="365F91"/>
                <w:sz w:val="22"/>
              </w:rPr>
              <w:t>Paciente 9</w:t>
            </w:r>
          </w:p>
        </w:tc>
        <w:tc>
          <w:tcPr>
            <w:tcW w:w="1608" w:type="dxa"/>
            <w:tcBorders>
              <w:bottom w:val="single" w:sz="8" w:space="0" w:color="4F81BC"/>
            </w:tcBorders>
            <w:shd w:val="clear" w:color="auto" w:fill="D2DFED"/>
          </w:tcPr>
          <w:p>
            <w:pPr>
              <w:pStyle w:val="TableParagraph"/>
              <w:spacing w:line="248" w:lineRule="exact"/>
              <w:ind w:left="394"/>
              <w:jc w:val="left"/>
              <w:rPr>
                <w:sz w:val="22"/>
              </w:rPr>
            </w:pPr>
            <w:r>
              <w:rPr>
                <w:color w:val="365F91"/>
                <w:sz w:val="22"/>
              </w:rPr>
              <w:t>0.369</w:t>
            </w:r>
          </w:p>
        </w:tc>
        <w:tc>
          <w:tcPr>
            <w:tcW w:w="2239" w:type="dxa"/>
            <w:tcBorders>
              <w:bottom w:val="single" w:sz="8" w:space="0" w:color="4F81BC"/>
            </w:tcBorders>
            <w:shd w:val="clear" w:color="auto" w:fill="D2DFED"/>
          </w:tcPr>
          <w:p>
            <w:pPr>
              <w:pStyle w:val="TableParagraph"/>
              <w:spacing w:line="248" w:lineRule="exact"/>
              <w:ind w:left="110" w:right="90"/>
              <w:rPr>
                <w:sz w:val="22"/>
              </w:rPr>
            </w:pPr>
            <w:r>
              <w:rPr>
                <w:color w:val="365F91"/>
                <w:sz w:val="22"/>
              </w:rPr>
              <w:t>93.1</w:t>
            </w:r>
          </w:p>
        </w:tc>
      </w:tr>
    </w:tbl>
    <w:p>
      <w:pPr>
        <w:spacing w:line="242" w:lineRule="auto" w:before="0"/>
        <w:ind w:left="1801" w:right="325" w:hanging="1481"/>
        <w:jc w:val="left"/>
        <w:rPr>
          <w:sz w:val="20"/>
        </w:rPr>
      </w:pPr>
      <w:bookmarkStart w:name="_bookmark93" w:id="145"/>
      <w:bookmarkEnd w:id="145"/>
      <w:r>
        <w:rPr/>
      </w:r>
      <w:r>
        <w:rPr>
          <w:sz w:val="20"/>
        </w:rPr>
        <w:t>Tabla 8. Valores del índice gamma medio y porcentaje de puntos que cumplen con el criterio de aceptación de 3%/3mm para las películas radiográficas EDR2</w:t>
      </w:r>
    </w:p>
    <w:p>
      <w:pPr>
        <w:pStyle w:val="BodyText"/>
        <w:rPr>
          <w:sz w:val="20"/>
        </w:rPr>
      </w:pPr>
    </w:p>
    <w:p>
      <w:pPr>
        <w:pStyle w:val="BodyText"/>
        <w:rPr>
          <w:sz w:val="20"/>
        </w:rPr>
      </w:pPr>
    </w:p>
    <w:p>
      <w:pPr>
        <w:pStyle w:val="BodyText"/>
        <w:spacing w:line="360" w:lineRule="auto" w:before="121"/>
        <w:ind w:left="100" w:right="116"/>
        <w:jc w:val="both"/>
      </w:pPr>
      <w:r>
        <w:rPr/>
        <w:t>Para este caso se tiene un valor medio del índice gamma de 0.4515, con una desviación estándar de </w:t>
      </w:r>
      <w:r>
        <w:rPr>
          <w:rFonts w:ascii="Calibri" w:hAnsi="Calibri"/>
        </w:rPr>
        <w:t>±</w:t>
      </w:r>
      <w:r>
        <w:rPr/>
        <w:t>0.1090. El porcentaje promedio de puntos con </w:t>
      </w:r>
      <w:r>
        <w:rPr>
          <w:rFonts w:ascii="Calibri" w:hAnsi="Calibri"/>
        </w:rPr>
        <w:t>γ</w:t>
      </w:r>
      <w:r>
        <w:rPr/>
        <w:t>&lt;1 es de 89.54, con una desviación estándar de </w:t>
      </w:r>
      <w:r>
        <w:rPr>
          <w:rFonts w:ascii="Calibri" w:hAnsi="Calibri"/>
        </w:rPr>
        <w:t>±</w:t>
      </w:r>
      <w:r>
        <w:rPr/>
        <w:t>9.8.</w:t>
      </w:r>
    </w:p>
    <w:p>
      <w:pPr>
        <w:pStyle w:val="BodyText"/>
      </w:pPr>
    </w:p>
    <w:p>
      <w:pPr>
        <w:pStyle w:val="BodyText"/>
        <w:spacing w:line="360" w:lineRule="auto" w:before="127"/>
        <w:ind w:left="100" w:right="119"/>
        <w:jc w:val="both"/>
      </w:pPr>
      <w:r>
        <w:rPr/>
        <w:t>En la </w:t>
      </w:r>
      <w:hyperlink w:history="true" w:anchor="_bookmark94">
        <w:r>
          <w:rPr>
            <w:b/>
            <w:sz w:val="20"/>
          </w:rPr>
          <w:t>Tabla 9</w:t>
        </w:r>
      </w:hyperlink>
      <w:r>
        <w:rPr>
          <w:b/>
          <w:sz w:val="20"/>
        </w:rPr>
        <w:t> </w:t>
      </w:r>
      <w:r>
        <w:rPr/>
        <w:t>se muestran los resultados del análisis gamma para el caso de tolerancias en el porcentaje de diferencia de dosis del 4 y 5 %, al igual que en el caso de las películas radiocrómicas, con una tolerancia en la distancia en concordancia de 3 mm.</w:t>
      </w:r>
    </w:p>
    <w:p>
      <w:pPr>
        <w:pStyle w:val="BodyText"/>
        <w:spacing w:before="9"/>
        <w:rPr>
          <w:sz w:val="32"/>
        </w:rPr>
      </w:pPr>
    </w:p>
    <w:p>
      <w:pPr>
        <w:pStyle w:val="BodyText"/>
        <w:spacing w:line="362" w:lineRule="auto"/>
        <w:ind w:left="100" w:right="119"/>
        <w:jc w:val="both"/>
      </w:pPr>
      <w:r>
        <w:rPr/>
        <w:t>Con el criterio de aceptación de 4%/3 mm, se obtuvo un valor gamma medio de 0.3654,  con una desviación estándar de ±0.08. El porcentaje promedio de puntos que cumple con el criterio de aceptación fue de 96.18, y la desviación estándar es de</w:t>
      </w:r>
      <w:r>
        <w:rPr>
          <w:spacing w:val="-33"/>
        </w:rPr>
        <w:t> </w:t>
      </w:r>
      <w:r>
        <w:rPr/>
        <w:t>±4.63.</w:t>
      </w:r>
    </w:p>
    <w:p>
      <w:pPr>
        <w:spacing w:after="0" w:line="362" w:lineRule="auto"/>
        <w:jc w:val="both"/>
        <w:sectPr>
          <w:pgSz w:w="12240" w:h="15840"/>
          <w:pgMar w:header="0" w:footer="1034" w:top="1360" w:bottom="1220" w:left="1600" w:right="1580"/>
        </w:sectPr>
      </w:pPr>
    </w:p>
    <w:p>
      <w:pPr>
        <w:pStyle w:val="BodyText"/>
        <w:spacing w:line="360" w:lineRule="auto" w:before="55"/>
        <w:ind w:left="100" w:right="100"/>
        <w:jc w:val="both"/>
      </w:pPr>
      <w:r>
        <w:rPr/>
        <w:t>Para el criterio de aceptación de 5%/3 mm , los resultados indican un porcentaje promedio de puntos que cumplen el criterio de 99.13, con una desviación estándar de ±1.39. El valor gamma medio de las planeaciones fue de 0.3081, con una desviación estándar de ±0.0633.</w:t>
      </w:r>
    </w:p>
    <w:p>
      <w:pPr>
        <w:pStyle w:val="BodyText"/>
        <w:spacing w:after="1"/>
      </w:pPr>
    </w:p>
    <w:tbl>
      <w:tblPr>
        <w:tblW w:w="0" w:type="auto"/>
        <w:jc w:val="left"/>
        <w:tblInd w:w="3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0"/>
        <w:gridCol w:w="1402"/>
        <w:gridCol w:w="1922"/>
        <w:gridCol w:w="1603"/>
        <w:gridCol w:w="1925"/>
      </w:tblGrid>
      <w:tr>
        <w:trPr>
          <w:trHeight w:val="621" w:hRule="exact"/>
        </w:trPr>
        <w:tc>
          <w:tcPr>
            <w:tcW w:w="4914" w:type="dxa"/>
            <w:gridSpan w:val="3"/>
            <w:tcBorders>
              <w:top w:val="single" w:sz="8" w:space="0" w:color="4F81BC"/>
              <w:bottom w:val="single" w:sz="8" w:space="0" w:color="4F81BC"/>
            </w:tcBorders>
          </w:tcPr>
          <w:p>
            <w:pPr>
              <w:pStyle w:val="TableParagraph"/>
              <w:spacing w:line="248" w:lineRule="exact"/>
              <w:ind w:left="2613"/>
              <w:jc w:val="left"/>
              <w:rPr>
                <w:b/>
                <w:sz w:val="22"/>
              </w:rPr>
            </w:pPr>
            <w:r>
              <w:rPr>
                <w:b/>
                <w:color w:val="365F91"/>
                <w:sz w:val="22"/>
              </w:rPr>
              <w:t>4%/3 mm</w:t>
            </w:r>
          </w:p>
        </w:tc>
        <w:tc>
          <w:tcPr>
            <w:tcW w:w="3529" w:type="dxa"/>
            <w:gridSpan w:val="2"/>
            <w:tcBorders>
              <w:top w:val="single" w:sz="8" w:space="0" w:color="4F81BC"/>
              <w:bottom w:val="single" w:sz="8" w:space="0" w:color="4F81BC"/>
            </w:tcBorders>
          </w:tcPr>
          <w:p>
            <w:pPr>
              <w:pStyle w:val="TableParagraph"/>
              <w:spacing w:line="248" w:lineRule="exact"/>
              <w:ind w:left="1210" w:right="1208"/>
              <w:rPr>
                <w:b/>
                <w:sz w:val="22"/>
              </w:rPr>
            </w:pPr>
            <w:r>
              <w:rPr>
                <w:b/>
                <w:color w:val="365F91"/>
                <w:sz w:val="22"/>
              </w:rPr>
              <w:t>5%/3 mm</w:t>
            </w:r>
          </w:p>
        </w:tc>
      </w:tr>
      <w:tr>
        <w:trPr>
          <w:trHeight w:val="610" w:hRule="exact"/>
        </w:trPr>
        <w:tc>
          <w:tcPr>
            <w:tcW w:w="2992" w:type="dxa"/>
            <w:gridSpan w:val="2"/>
            <w:tcBorders>
              <w:top w:val="single" w:sz="8" w:space="0" w:color="4F81BC"/>
            </w:tcBorders>
            <w:shd w:val="clear" w:color="auto" w:fill="D2DFED"/>
          </w:tcPr>
          <w:p>
            <w:pPr>
              <w:pStyle w:val="TableParagraph"/>
              <w:spacing w:line="248" w:lineRule="exact"/>
              <w:ind w:left="1500"/>
              <w:jc w:val="left"/>
              <w:rPr>
                <w:sz w:val="22"/>
              </w:rPr>
            </w:pPr>
            <w:r>
              <w:rPr>
                <w:color w:val="365F91"/>
                <w:sz w:val="22"/>
              </w:rPr>
              <w:t>gamma medio</w:t>
            </w:r>
          </w:p>
        </w:tc>
        <w:tc>
          <w:tcPr>
            <w:tcW w:w="1922" w:type="dxa"/>
            <w:tcBorders>
              <w:top w:val="single" w:sz="8" w:space="0" w:color="4F81BC"/>
            </w:tcBorders>
            <w:shd w:val="clear" w:color="auto" w:fill="D2DFED"/>
          </w:tcPr>
          <w:p>
            <w:pPr>
              <w:pStyle w:val="TableParagraph"/>
              <w:spacing w:line="248" w:lineRule="exact"/>
              <w:ind w:left="86" w:right="86"/>
              <w:rPr>
                <w:sz w:val="22"/>
              </w:rPr>
            </w:pPr>
            <w:r>
              <w:rPr>
                <w:color w:val="365F91"/>
                <w:sz w:val="22"/>
              </w:rPr>
              <w:t>% puntos con γ&lt;1</w:t>
            </w:r>
          </w:p>
        </w:tc>
        <w:tc>
          <w:tcPr>
            <w:tcW w:w="1603" w:type="dxa"/>
            <w:tcBorders>
              <w:top w:val="single" w:sz="8" w:space="0" w:color="4F81BC"/>
            </w:tcBorders>
            <w:shd w:val="clear" w:color="auto" w:fill="D2DFED"/>
          </w:tcPr>
          <w:p>
            <w:pPr>
              <w:pStyle w:val="TableParagraph"/>
              <w:spacing w:line="248" w:lineRule="exact"/>
              <w:ind w:left="90" w:right="88"/>
              <w:rPr>
                <w:sz w:val="22"/>
              </w:rPr>
            </w:pPr>
            <w:r>
              <w:rPr>
                <w:color w:val="365F91"/>
                <w:sz w:val="22"/>
              </w:rPr>
              <w:t>gamma medio</w:t>
            </w:r>
          </w:p>
        </w:tc>
        <w:tc>
          <w:tcPr>
            <w:tcW w:w="1925" w:type="dxa"/>
            <w:tcBorders>
              <w:top w:val="single" w:sz="8" w:space="0" w:color="4F81BC"/>
            </w:tcBorders>
            <w:shd w:val="clear" w:color="auto" w:fill="D2DFED"/>
          </w:tcPr>
          <w:p>
            <w:pPr>
              <w:pStyle w:val="TableParagraph"/>
              <w:spacing w:line="248" w:lineRule="exact"/>
              <w:ind w:left="86" w:right="90"/>
              <w:rPr>
                <w:sz w:val="22"/>
              </w:rPr>
            </w:pPr>
            <w:r>
              <w:rPr>
                <w:color w:val="365F91"/>
                <w:sz w:val="22"/>
              </w:rPr>
              <w:t>% puntos con γ&lt;1</w:t>
            </w:r>
          </w:p>
        </w:tc>
      </w:tr>
      <w:tr>
        <w:trPr>
          <w:trHeight w:val="300" w:hRule="exact"/>
        </w:trPr>
        <w:tc>
          <w:tcPr>
            <w:tcW w:w="1590" w:type="dxa"/>
          </w:tcPr>
          <w:p>
            <w:pPr>
              <w:pStyle w:val="TableParagraph"/>
              <w:spacing w:line="248" w:lineRule="exact"/>
              <w:ind w:left="108"/>
              <w:jc w:val="left"/>
              <w:rPr>
                <w:b/>
                <w:sz w:val="22"/>
              </w:rPr>
            </w:pPr>
            <w:r>
              <w:rPr>
                <w:b/>
                <w:color w:val="365F91"/>
                <w:sz w:val="22"/>
              </w:rPr>
              <w:t>Paciente 1</w:t>
            </w:r>
          </w:p>
        </w:tc>
        <w:tc>
          <w:tcPr>
            <w:tcW w:w="1402" w:type="dxa"/>
          </w:tcPr>
          <w:p>
            <w:pPr>
              <w:pStyle w:val="TableParagraph"/>
              <w:spacing w:line="248" w:lineRule="exact"/>
              <w:ind w:left="334"/>
              <w:jc w:val="left"/>
              <w:rPr>
                <w:sz w:val="22"/>
              </w:rPr>
            </w:pPr>
            <w:r>
              <w:rPr>
                <w:color w:val="365F91"/>
                <w:sz w:val="22"/>
              </w:rPr>
              <w:t>0.313</w:t>
            </w:r>
          </w:p>
        </w:tc>
        <w:tc>
          <w:tcPr>
            <w:tcW w:w="1922" w:type="dxa"/>
          </w:tcPr>
          <w:p>
            <w:pPr>
              <w:pStyle w:val="TableParagraph"/>
              <w:spacing w:line="248" w:lineRule="exact"/>
              <w:ind w:left="86" w:right="84"/>
              <w:rPr>
                <w:sz w:val="22"/>
              </w:rPr>
            </w:pPr>
            <w:r>
              <w:rPr>
                <w:color w:val="365F91"/>
                <w:sz w:val="22"/>
              </w:rPr>
              <w:t>99.7</w:t>
            </w:r>
          </w:p>
        </w:tc>
        <w:tc>
          <w:tcPr>
            <w:tcW w:w="1603" w:type="dxa"/>
          </w:tcPr>
          <w:p>
            <w:pPr>
              <w:pStyle w:val="TableParagraph"/>
              <w:spacing w:line="248" w:lineRule="exact"/>
              <w:ind w:left="90" w:right="86"/>
              <w:rPr>
                <w:sz w:val="22"/>
              </w:rPr>
            </w:pPr>
            <w:r>
              <w:rPr>
                <w:color w:val="365F91"/>
                <w:sz w:val="22"/>
              </w:rPr>
              <w:t>0.265</w:t>
            </w:r>
          </w:p>
        </w:tc>
        <w:tc>
          <w:tcPr>
            <w:tcW w:w="1925" w:type="dxa"/>
          </w:tcPr>
          <w:p>
            <w:pPr>
              <w:pStyle w:val="TableParagraph"/>
              <w:spacing w:line="248" w:lineRule="exact"/>
              <w:ind w:left="86" w:right="86"/>
              <w:rPr>
                <w:sz w:val="22"/>
              </w:rPr>
            </w:pPr>
            <w:r>
              <w:rPr>
                <w:color w:val="365F91"/>
                <w:sz w:val="22"/>
              </w:rPr>
              <w:t>99.9</w:t>
            </w:r>
          </w:p>
        </w:tc>
      </w:tr>
      <w:tr>
        <w:trPr>
          <w:trHeight w:val="300" w:hRule="exact"/>
        </w:trPr>
        <w:tc>
          <w:tcPr>
            <w:tcW w:w="1590" w:type="dxa"/>
            <w:shd w:val="clear" w:color="auto" w:fill="D2DFED"/>
          </w:tcPr>
          <w:p>
            <w:pPr>
              <w:pStyle w:val="TableParagraph"/>
              <w:spacing w:line="248" w:lineRule="exact"/>
              <w:ind w:left="108"/>
              <w:jc w:val="left"/>
              <w:rPr>
                <w:b/>
                <w:sz w:val="22"/>
              </w:rPr>
            </w:pPr>
            <w:r>
              <w:rPr>
                <w:b/>
                <w:color w:val="365F91"/>
                <w:sz w:val="22"/>
              </w:rPr>
              <w:t>Paciente 2</w:t>
            </w:r>
          </w:p>
        </w:tc>
        <w:tc>
          <w:tcPr>
            <w:tcW w:w="1402" w:type="dxa"/>
            <w:shd w:val="clear" w:color="auto" w:fill="D2DFED"/>
          </w:tcPr>
          <w:p>
            <w:pPr>
              <w:pStyle w:val="TableParagraph"/>
              <w:spacing w:line="248" w:lineRule="exact"/>
              <w:ind w:left="330"/>
              <w:jc w:val="left"/>
              <w:rPr>
                <w:sz w:val="22"/>
              </w:rPr>
            </w:pPr>
            <w:r>
              <w:rPr>
                <w:color w:val="365F91"/>
                <w:sz w:val="22"/>
              </w:rPr>
              <w:t>0.275</w:t>
            </w:r>
          </w:p>
        </w:tc>
        <w:tc>
          <w:tcPr>
            <w:tcW w:w="1922" w:type="dxa"/>
            <w:shd w:val="clear" w:color="auto" w:fill="D2DFED"/>
          </w:tcPr>
          <w:p>
            <w:pPr>
              <w:pStyle w:val="TableParagraph"/>
              <w:spacing w:line="248" w:lineRule="exact"/>
              <w:ind w:left="86" w:right="79"/>
              <w:rPr>
                <w:sz w:val="22"/>
              </w:rPr>
            </w:pPr>
            <w:r>
              <w:rPr>
                <w:color w:val="365F91"/>
                <w:sz w:val="22"/>
              </w:rPr>
              <w:t>100</w:t>
            </w:r>
          </w:p>
        </w:tc>
        <w:tc>
          <w:tcPr>
            <w:tcW w:w="1603" w:type="dxa"/>
            <w:shd w:val="clear" w:color="auto" w:fill="D2DFED"/>
          </w:tcPr>
          <w:p>
            <w:pPr>
              <w:pStyle w:val="TableParagraph"/>
              <w:spacing w:line="248" w:lineRule="exact"/>
              <w:ind w:left="90" w:right="82"/>
              <w:rPr>
                <w:sz w:val="22"/>
              </w:rPr>
            </w:pPr>
            <w:r>
              <w:rPr>
                <w:color w:val="365F91"/>
                <w:sz w:val="22"/>
              </w:rPr>
              <w:t>0.24</w:t>
            </w:r>
          </w:p>
        </w:tc>
        <w:tc>
          <w:tcPr>
            <w:tcW w:w="1925" w:type="dxa"/>
            <w:shd w:val="clear" w:color="auto" w:fill="D2DFED"/>
          </w:tcPr>
          <w:p>
            <w:pPr>
              <w:pStyle w:val="TableParagraph"/>
              <w:spacing w:line="248" w:lineRule="exact"/>
              <w:ind w:left="86" w:right="83"/>
              <w:rPr>
                <w:sz w:val="22"/>
              </w:rPr>
            </w:pPr>
            <w:r>
              <w:rPr>
                <w:color w:val="365F91"/>
                <w:sz w:val="22"/>
              </w:rPr>
              <w:t>100</w:t>
            </w:r>
          </w:p>
        </w:tc>
      </w:tr>
      <w:tr>
        <w:trPr>
          <w:trHeight w:val="300" w:hRule="exact"/>
        </w:trPr>
        <w:tc>
          <w:tcPr>
            <w:tcW w:w="1590" w:type="dxa"/>
          </w:tcPr>
          <w:p>
            <w:pPr>
              <w:pStyle w:val="TableParagraph"/>
              <w:spacing w:line="248" w:lineRule="exact"/>
              <w:ind w:left="108"/>
              <w:jc w:val="left"/>
              <w:rPr>
                <w:b/>
                <w:sz w:val="22"/>
              </w:rPr>
            </w:pPr>
            <w:r>
              <w:rPr>
                <w:b/>
                <w:color w:val="365F91"/>
                <w:sz w:val="22"/>
              </w:rPr>
              <w:t>Paciente 3</w:t>
            </w:r>
          </w:p>
        </w:tc>
        <w:tc>
          <w:tcPr>
            <w:tcW w:w="1402" w:type="dxa"/>
          </w:tcPr>
          <w:p>
            <w:pPr>
              <w:pStyle w:val="TableParagraph"/>
              <w:spacing w:line="248" w:lineRule="exact"/>
              <w:ind w:left="310"/>
              <w:jc w:val="left"/>
              <w:rPr>
                <w:sz w:val="22"/>
              </w:rPr>
            </w:pPr>
            <w:r>
              <w:rPr>
                <w:color w:val="365F91"/>
                <w:sz w:val="22"/>
              </w:rPr>
              <w:t>0.408</w:t>
            </w:r>
          </w:p>
        </w:tc>
        <w:tc>
          <w:tcPr>
            <w:tcW w:w="1922" w:type="dxa"/>
          </w:tcPr>
          <w:p>
            <w:pPr>
              <w:pStyle w:val="TableParagraph"/>
              <w:spacing w:line="248" w:lineRule="exact"/>
              <w:ind w:left="86" w:right="85"/>
              <w:rPr>
                <w:sz w:val="22"/>
              </w:rPr>
            </w:pPr>
            <w:r>
              <w:rPr>
                <w:color w:val="365F91"/>
                <w:sz w:val="22"/>
              </w:rPr>
              <w:t>93.3</w:t>
            </w:r>
          </w:p>
        </w:tc>
        <w:tc>
          <w:tcPr>
            <w:tcW w:w="1603" w:type="dxa"/>
          </w:tcPr>
          <w:p>
            <w:pPr>
              <w:pStyle w:val="TableParagraph"/>
              <w:spacing w:line="248" w:lineRule="exact"/>
              <w:ind w:left="90" w:right="87"/>
              <w:rPr>
                <w:sz w:val="22"/>
              </w:rPr>
            </w:pPr>
            <w:r>
              <w:rPr>
                <w:color w:val="365F91"/>
                <w:sz w:val="22"/>
              </w:rPr>
              <w:t>0.341</w:t>
            </w:r>
          </w:p>
        </w:tc>
        <w:tc>
          <w:tcPr>
            <w:tcW w:w="1925" w:type="dxa"/>
          </w:tcPr>
          <w:p>
            <w:pPr>
              <w:pStyle w:val="TableParagraph"/>
              <w:spacing w:line="248" w:lineRule="exact"/>
              <w:ind w:left="86" w:right="86"/>
              <w:rPr>
                <w:sz w:val="22"/>
              </w:rPr>
            </w:pPr>
            <w:r>
              <w:rPr>
                <w:color w:val="365F91"/>
                <w:sz w:val="22"/>
              </w:rPr>
              <w:t>98.9</w:t>
            </w:r>
          </w:p>
        </w:tc>
      </w:tr>
      <w:tr>
        <w:trPr>
          <w:trHeight w:val="300" w:hRule="exact"/>
        </w:trPr>
        <w:tc>
          <w:tcPr>
            <w:tcW w:w="1590" w:type="dxa"/>
            <w:shd w:val="clear" w:color="auto" w:fill="D2DFED"/>
          </w:tcPr>
          <w:p>
            <w:pPr>
              <w:pStyle w:val="TableParagraph"/>
              <w:spacing w:line="248" w:lineRule="exact"/>
              <w:ind w:left="108"/>
              <w:jc w:val="left"/>
              <w:rPr>
                <w:b/>
                <w:sz w:val="22"/>
              </w:rPr>
            </w:pPr>
            <w:r>
              <w:rPr>
                <w:b/>
                <w:color w:val="365F91"/>
                <w:sz w:val="22"/>
              </w:rPr>
              <w:t>Paciente 4</w:t>
            </w:r>
          </w:p>
        </w:tc>
        <w:tc>
          <w:tcPr>
            <w:tcW w:w="1402" w:type="dxa"/>
            <w:shd w:val="clear" w:color="auto" w:fill="D2DFED"/>
          </w:tcPr>
          <w:p>
            <w:pPr>
              <w:pStyle w:val="TableParagraph"/>
              <w:spacing w:line="248" w:lineRule="exact"/>
              <w:ind w:left="318"/>
              <w:jc w:val="left"/>
              <w:rPr>
                <w:sz w:val="22"/>
              </w:rPr>
            </w:pPr>
            <w:r>
              <w:rPr>
                <w:color w:val="365F91"/>
                <w:sz w:val="22"/>
              </w:rPr>
              <w:t>0.394</w:t>
            </w:r>
          </w:p>
        </w:tc>
        <w:tc>
          <w:tcPr>
            <w:tcW w:w="1922" w:type="dxa"/>
            <w:shd w:val="clear" w:color="auto" w:fill="D2DFED"/>
          </w:tcPr>
          <w:p>
            <w:pPr>
              <w:pStyle w:val="TableParagraph"/>
              <w:spacing w:line="248" w:lineRule="exact"/>
              <w:ind w:left="86" w:right="79"/>
              <w:rPr>
                <w:sz w:val="22"/>
              </w:rPr>
            </w:pPr>
            <w:r>
              <w:rPr>
                <w:color w:val="365F91"/>
                <w:sz w:val="22"/>
              </w:rPr>
              <w:t>100</w:t>
            </w:r>
          </w:p>
        </w:tc>
        <w:tc>
          <w:tcPr>
            <w:tcW w:w="1603" w:type="dxa"/>
            <w:shd w:val="clear" w:color="auto" w:fill="D2DFED"/>
          </w:tcPr>
          <w:p>
            <w:pPr>
              <w:pStyle w:val="TableParagraph"/>
              <w:spacing w:line="248" w:lineRule="exact"/>
              <w:ind w:left="90" w:right="87"/>
              <w:rPr>
                <w:sz w:val="22"/>
              </w:rPr>
            </w:pPr>
            <w:r>
              <w:rPr>
                <w:color w:val="365F91"/>
                <w:sz w:val="22"/>
              </w:rPr>
              <w:t>0.338</w:t>
            </w:r>
          </w:p>
        </w:tc>
        <w:tc>
          <w:tcPr>
            <w:tcW w:w="1925" w:type="dxa"/>
            <w:shd w:val="clear" w:color="auto" w:fill="D2DFED"/>
          </w:tcPr>
          <w:p>
            <w:pPr>
              <w:pStyle w:val="TableParagraph"/>
              <w:spacing w:line="248" w:lineRule="exact"/>
              <w:ind w:left="86" w:right="83"/>
              <w:rPr>
                <w:sz w:val="22"/>
              </w:rPr>
            </w:pPr>
            <w:r>
              <w:rPr>
                <w:color w:val="365F91"/>
                <w:sz w:val="22"/>
              </w:rPr>
              <w:t>100</w:t>
            </w:r>
          </w:p>
        </w:tc>
      </w:tr>
      <w:tr>
        <w:trPr>
          <w:trHeight w:val="301" w:hRule="exact"/>
        </w:trPr>
        <w:tc>
          <w:tcPr>
            <w:tcW w:w="1590" w:type="dxa"/>
          </w:tcPr>
          <w:p>
            <w:pPr>
              <w:pStyle w:val="TableParagraph"/>
              <w:spacing w:line="249" w:lineRule="exact"/>
              <w:ind w:left="108"/>
              <w:jc w:val="left"/>
              <w:rPr>
                <w:b/>
                <w:sz w:val="22"/>
              </w:rPr>
            </w:pPr>
            <w:r>
              <w:rPr>
                <w:b/>
                <w:color w:val="365F91"/>
                <w:sz w:val="22"/>
              </w:rPr>
              <w:t>Paciente 5</w:t>
            </w:r>
          </w:p>
        </w:tc>
        <w:tc>
          <w:tcPr>
            <w:tcW w:w="1402" w:type="dxa"/>
          </w:tcPr>
          <w:p>
            <w:pPr>
              <w:pStyle w:val="TableParagraph"/>
              <w:spacing w:line="249" w:lineRule="exact"/>
              <w:ind w:left="326"/>
              <w:jc w:val="left"/>
              <w:rPr>
                <w:sz w:val="22"/>
              </w:rPr>
            </w:pPr>
            <w:r>
              <w:rPr>
                <w:color w:val="365F91"/>
                <w:sz w:val="22"/>
              </w:rPr>
              <w:t>0.497</w:t>
            </w:r>
          </w:p>
        </w:tc>
        <w:tc>
          <w:tcPr>
            <w:tcW w:w="1922" w:type="dxa"/>
          </w:tcPr>
          <w:p>
            <w:pPr>
              <w:pStyle w:val="TableParagraph"/>
              <w:spacing w:line="249" w:lineRule="exact"/>
              <w:ind w:left="86" w:right="84"/>
              <w:rPr>
                <w:sz w:val="22"/>
              </w:rPr>
            </w:pPr>
            <w:r>
              <w:rPr>
                <w:color w:val="365F91"/>
                <w:sz w:val="22"/>
              </w:rPr>
              <w:t>88.1</w:t>
            </w:r>
          </w:p>
        </w:tc>
        <w:tc>
          <w:tcPr>
            <w:tcW w:w="1603" w:type="dxa"/>
          </w:tcPr>
          <w:p>
            <w:pPr>
              <w:pStyle w:val="TableParagraph"/>
              <w:spacing w:line="249" w:lineRule="exact"/>
              <w:ind w:left="90" w:right="88"/>
              <w:rPr>
                <w:sz w:val="22"/>
              </w:rPr>
            </w:pPr>
            <w:r>
              <w:rPr>
                <w:color w:val="365F91"/>
                <w:sz w:val="22"/>
              </w:rPr>
              <w:t>0.41</w:t>
            </w:r>
          </w:p>
        </w:tc>
        <w:tc>
          <w:tcPr>
            <w:tcW w:w="1925" w:type="dxa"/>
          </w:tcPr>
          <w:p>
            <w:pPr>
              <w:pStyle w:val="TableParagraph"/>
              <w:spacing w:line="249" w:lineRule="exact"/>
              <w:ind w:left="86" w:right="87"/>
              <w:rPr>
                <w:sz w:val="22"/>
              </w:rPr>
            </w:pPr>
            <w:r>
              <w:rPr>
                <w:color w:val="365F91"/>
                <w:sz w:val="22"/>
              </w:rPr>
              <w:t>95.5</w:t>
            </w:r>
          </w:p>
        </w:tc>
      </w:tr>
      <w:tr>
        <w:trPr>
          <w:trHeight w:val="300" w:hRule="exact"/>
        </w:trPr>
        <w:tc>
          <w:tcPr>
            <w:tcW w:w="1590" w:type="dxa"/>
            <w:shd w:val="clear" w:color="auto" w:fill="D2DFED"/>
          </w:tcPr>
          <w:p>
            <w:pPr>
              <w:pStyle w:val="TableParagraph"/>
              <w:spacing w:line="248" w:lineRule="exact"/>
              <w:ind w:left="108"/>
              <w:jc w:val="left"/>
              <w:rPr>
                <w:b/>
                <w:sz w:val="22"/>
              </w:rPr>
            </w:pPr>
            <w:r>
              <w:rPr>
                <w:b/>
                <w:color w:val="365F91"/>
                <w:sz w:val="22"/>
              </w:rPr>
              <w:t>Paciente 6</w:t>
            </w:r>
          </w:p>
        </w:tc>
        <w:tc>
          <w:tcPr>
            <w:tcW w:w="1402" w:type="dxa"/>
            <w:shd w:val="clear" w:color="auto" w:fill="D2DFED"/>
          </w:tcPr>
          <w:p>
            <w:pPr>
              <w:pStyle w:val="TableParagraph"/>
              <w:spacing w:line="248" w:lineRule="exact"/>
              <w:ind w:left="318"/>
              <w:jc w:val="left"/>
              <w:rPr>
                <w:sz w:val="22"/>
              </w:rPr>
            </w:pPr>
            <w:r>
              <w:rPr>
                <w:color w:val="365F91"/>
                <w:sz w:val="22"/>
              </w:rPr>
              <w:t>0.305</w:t>
            </w:r>
          </w:p>
        </w:tc>
        <w:tc>
          <w:tcPr>
            <w:tcW w:w="1922" w:type="dxa"/>
            <w:shd w:val="clear" w:color="auto" w:fill="D2DFED"/>
          </w:tcPr>
          <w:p>
            <w:pPr>
              <w:pStyle w:val="TableParagraph"/>
              <w:spacing w:line="248" w:lineRule="exact"/>
              <w:ind w:left="86" w:right="86"/>
              <w:rPr>
                <w:sz w:val="22"/>
              </w:rPr>
            </w:pPr>
            <w:r>
              <w:rPr>
                <w:color w:val="365F91"/>
                <w:sz w:val="22"/>
              </w:rPr>
              <w:t>98.5</w:t>
            </w:r>
          </w:p>
        </w:tc>
        <w:tc>
          <w:tcPr>
            <w:tcW w:w="1603" w:type="dxa"/>
            <w:shd w:val="clear" w:color="auto" w:fill="D2DFED"/>
          </w:tcPr>
          <w:p>
            <w:pPr>
              <w:pStyle w:val="TableParagraph"/>
              <w:spacing w:line="248" w:lineRule="exact"/>
              <w:ind w:left="90" w:right="87"/>
              <w:rPr>
                <w:sz w:val="22"/>
              </w:rPr>
            </w:pPr>
            <w:r>
              <w:rPr>
                <w:color w:val="365F91"/>
                <w:sz w:val="22"/>
              </w:rPr>
              <w:t>0.258</w:t>
            </w:r>
          </w:p>
        </w:tc>
        <w:tc>
          <w:tcPr>
            <w:tcW w:w="1925" w:type="dxa"/>
            <w:shd w:val="clear" w:color="auto" w:fill="D2DFED"/>
          </w:tcPr>
          <w:p>
            <w:pPr>
              <w:pStyle w:val="TableParagraph"/>
              <w:spacing w:line="248" w:lineRule="exact"/>
              <w:ind w:left="86" w:right="83"/>
              <w:rPr>
                <w:sz w:val="22"/>
              </w:rPr>
            </w:pPr>
            <w:r>
              <w:rPr>
                <w:color w:val="365F91"/>
                <w:sz w:val="22"/>
              </w:rPr>
              <w:t>100</w:t>
            </w:r>
          </w:p>
        </w:tc>
      </w:tr>
      <w:tr>
        <w:trPr>
          <w:trHeight w:val="300" w:hRule="exact"/>
        </w:trPr>
        <w:tc>
          <w:tcPr>
            <w:tcW w:w="1590" w:type="dxa"/>
          </w:tcPr>
          <w:p>
            <w:pPr>
              <w:pStyle w:val="TableParagraph"/>
              <w:spacing w:line="248" w:lineRule="exact"/>
              <w:ind w:left="108"/>
              <w:jc w:val="left"/>
              <w:rPr>
                <w:b/>
                <w:sz w:val="22"/>
              </w:rPr>
            </w:pPr>
            <w:r>
              <w:rPr>
                <w:b/>
                <w:color w:val="365F91"/>
                <w:sz w:val="22"/>
              </w:rPr>
              <w:t>Paciente 7</w:t>
            </w:r>
          </w:p>
        </w:tc>
        <w:tc>
          <w:tcPr>
            <w:tcW w:w="1402" w:type="dxa"/>
          </w:tcPr>
          <w:p>
            <w:pPr>
              <w:pStyle w:val="TableParagraph"/>
              <w:spacing w:line="248" w:lineRule="exact"/>
              <w:ind w:left="314"/>
              <w:jc w:val="left"/>
              <w:rPr>
                <w:sz w:val="22"/>
              </w:rPr>
            </w:pPr>
            <w:r>
              <w:rPr>
                <w:color w:val="365F91"/>
                <w:sz w:val="22"/>
              </w:rPr>
              <w:t>0.303</w:t>
            </w:r>
          </w:p>
        </w:tc>
        <w:tc>
          <w:tcPr>
            <w:tcW w:w="1922" w:type="dxa"/>
          </w:tcPr>
          <w:p>
            <w:pPr>
              <w:pStyle w:val="TableParagraph"/>
              <w:spacing w:line="248" w:lineRule="exact"/>
              <w:ind w:left="86" w:right="86"/>
              <w:rPr>
                <w:sz w:val="22"/>
              </w:rPr>
            </w:pPr>
            <w:r>
              <w:rPr>
                <w:color w:val="365F91"/>
                <w:sz w:val="22"/>
              </w:rPr>
              <w:t>99.2</w:t>
            </w:r>
          </w:p>
        </w:tc>
        <w:tc>
          <w:tcPr>
            <w:tcW w:w="1603" w:type="dxa"/>
          </w:tcPr>
          <w:p>
            <w:pPr>
              <w:pStyle w:val="TableParagraph"/>
              <w:spacing w:line="248" w:lineRule="exact"/>
              <w:ind w:left="90" w:right="84"/>
              <w:rPr>
                <w:sz w:val="22"/>
              </w:rPr>
            </w:pPr>
            <w:r>
              <w:rPr>
                <w:color w:val="365F91"/>
                <w:sz w:val="22"/>
              </w:rPr>
              <w:t>0.257</w:t>
            </w:r>
          </w:p>
        </w:tc>
        <w:tc>
          <w:tcPr>
            <w:tcW w:w="1925" w:type="dxa"/>
          </w:tcPr>
          <w:p>
            <w:pPr>
              <w:pStyle w:val="TableParagraph"/>
              <w:spacing w:line="248" w:lineRule="exact"/>
              <w:ind w:left="86" w:right="88"/>
              <w:rPr>
                <w:sz w:val="22"/>
              </w:rPr>
            </w:pPr>
            <w:r>
              <w:rPr>
                <w:color w:val="365F91"/>
                <w:sz w:val="22"/>
              </w:rPr>
              <w:t>99.8</w:t>
            </w:r>
          </w:p>
        </w:tc>
      </w:tr>
      <w:tr>
        <w:trPr>
          <w:trHeight w:val="300" w:hRule="exact"/>
        </w:trPr>
        <w:tc>
          <w:tcPr>
            <w:tcW w:w="1590" w:type="dxa"/>
            <w:shd w:val="clear" w:color="auto" w:fill="D2DFED"/>
          </w:tcPr>
          <w:p>
            <w:pPr>
              <w:pStyle w:val="TableParagraph"/>
              <w:spacing w:line="248" w:lineRule="exact"/>
              <w:ind w:left="108"/>
              <w:jc w:val="left"/>
              <w:rPr>
                <w:b/>
                <w:sz w:val="22"/>
              </w:rPr>
            </w:pPr>
            <w:r>
              <w:rPr>
                <w:b/>
                <w:color w:val="365F91"/>
                <w:sz w:val="22"/>
              </w:rPr>
              <w:t>Paciente 8</w:t>
            </w:r>
          </w:p>
        </w:tc>
        <w:tc>
          <w:tcPr>
            <w:tcW w:w="1402" w:type="dxa"/>
            <w:shd w:val="clear" w:color="auto" w:fill="D2DFED"/>
          </w:tcPr>
          <w:p>
            <w:pPr>
              <w:pStyle w:val="TableParagraph"/>
              <w:spacing w:line="248" w:lineRule="exact"/>
              <w:ind w:left="334"/>
              <w:jc w:val="left"/>
              <w:rPr>
                <w:sz w:val="22"/>
              </w:rPr>
            </w:pPr>
            <w:r>
              <w:rPr>
                <w:color w:val="365F91"/>
                <w:sz w:val="22"/>
              </w:rPr>
              <w:t>0.491</w:t>
            </w:r>
          </w:p>
        </w:tc>
        <w:tc>
          <w:tcPr>
            <w:tcW w:w="1922" w:type="dxa"/>
            <w:shd w:val="clear" w:color="auto" w:fill="D2DFED"/>
          </w:tcPr>
          <w:p>
            <w:pPr>
              <w:pStyle w:val="TableParagraph"/>
              <w:spacing w:line="248" w:lineRule="exact"/>
              <w:ind w:left="86" w:right="78"/>
              <w:rPr>
                <w:sz w:val="22"/>
              </w:rPr>
            </w:pPr>
            <w:r>
              <w:rPr>
                <w:color w:val="365F91"/>
                <w:sz w:val="22"/>
              </w:rPr>
              <w:t>88.5</w:t>
            </w:r>
          </w:p>
        </w:tc>
        <w:tc>
          <w:tcPr>
            <w:tcW w:w="1603" w:type="dxa"/>
            <w:shd w:val="clear" w:color="auto" w:fill="D2DFED"/>
          </w:tcPr>
          <w:p>
            <w:pPr>
              <w:pStyle w:val="TableParagraph"/>
              <w:spacing w:line="248" w:lineRule="exact"/>
              <w:ind w:left="88" w:right="88"/>
              <w:rPr>
                <w:sz w:val="22"/>
              </w:rPr>
            </w:pPr>
            <w:r>
              <w:rPr>
                <w:color w:val="365F91"/>
                <w:sz w:val="22"/>
              </w:rPr>
              <w:t>0.406</w:t>
            </w:r>
          </w:p>
        </w:tc>
        <w:tc>
          <w:tcPr>
            <w:tcW w:w="1925" w:type="dxa"/>
            <w:shd w:val="clear" w:color="auto" w:fill="D2DFED"/>
          </w:tcPr>
          <w:p>
            <w:pPr>
              <w:pStyle w:val="TableParagraph"/>
              <w:spacing w:line="248" w:lineRule="exact"/>
              <w:ind w:left="86" w:right="86"/>
              <w:rPr>
                <w:sz w:val="22"/>
              </w:rPr>
            </w:pPr>
            <w:r>
              <w:rPr>
                <w:color w:val="365F91"/>
                <w:sz w:val="22"/>
              </w:rPr>
              <w:t>98.4</w:t>
            </w:r>
          </w:p>
        </w:tc>
      </w:tr>
      <w:tr>
        <w:trPr>
          <w:trHeight w:val="310" w:hRule="exact"/>
        </w:trPr>
        <w:tc>
          <w:tcPr>
            <w:tcW w:w="1590" w:type="dxa"/>
            <w:tcBorders>
              <w:bottom w:val="single" w:sz="8" w:space="0" w:color="4F81BC"/>
            </w:tcBorders>
          </w:tcPr>
          <w:p>
            <w:pPr>
              <w:pStyle w:val="TableParagraph"/>
              <w:spacing w:line="248" w:lineRule="exact"/>
              <w:ind w:left="108"/>
              <w:jc w:val="left"/>
              <w:rPr>
                <w:b/>
                <w:sz w:val="22"/>
              </w:rPr>
            </w:pPr>
            <w:r>
              <w:rPr>
                <w:b/>
                <w:color w:val="365F91"/>
                <w:sz w:val="22"/>
              </w:rPr>
              <w:t>Paciente 9</w:t>
            </w:r>
          </w:p>
        </w:tc>
        <w:tc>
          <w:tcPr>
            <w:tcW w:w="1402" w:type="dxa"/>
            <w:tcBorders>
              <w:bottom w:val="single" w:sz="8" w:space="0" w:color="4F81BC"/>
            </w:tcBorders>
          </w:tcPr>
          <w:p>
            <w:pPr>
              <w:pStyle w:val="TableParagraph"/>
              <w:spacing w:line="248" w:lineRule="exact"/>
              <w:ind w:left="314"/>
              <w:jc w:val="left"/>
              <w:rPr>
                <w:sz w:val="22"/>
              </w:rPr>
            </w:pPr>
            <w:r>
              <w:rPr>
                <w:color w:val="365F91"/>
                <w:sz w:val="22"/>
              </w:rPr>
              <w:t>0.303</w:t>
            </w:r>
          </w:p>
        </w:tc>
        <w:tc>
          <w:tcPr>
            <w:tcW w:w="1922" w:type="dxa"/>
            <w:tcBorders>
              <w:bottom w:val="single" w:sz="8" w:space="0" w:color="4F81BC"/>
            </w:tcBorders>
          </w:tcPr>
          <w:p>
            <w:pPr>
              <w:pStyle w:val="TableParagraph"/>
              <w:spacing w:line="248" w:lineRule="exact"/>
              <w:ind w:left="86" w:right="86"/>
              <w:rPr>
                <w:sz w:val="22"/>
              </w:rPr>
            </w:pPr>
            <w:r>
              <w:rPr>
                <w:color w:val="365F91"/>
                <w:sz w:val="22"/>
              </w:rPr>
              <w:t>98.4</w:t>
            </w:r>
          </w:p>
        </w:tc>
        <w:tc>
          <w:tcPr>
            <w:tcW w:w="1603" w:type="dxa"/>
            <w:tcBorders>
              <w:bottom w:val="single" w:sz="8" w:space="0" w:color="4F81BC"/>
            </w:tcBorders>
          </w:tcPr>
          <w:p>
            <w:pPr>
              <w:pStyle w:val="TableParagraph"/>
              <w:spacing w:line="248" w:lineRule="exact"/>
              <w:ind w:left="90" w:right="87"/>
              <w:rPr>
                <w:sz w:val="22"/>
              </w:rPr>
            </w:pPr>
            <w:r>
              <w:rPr>
                <w:color w:val="365F91"/>
                <w:sz w:val="22"/>
              </w:rPr>
              <w:t>0.258</w:t>
            </w:r>
          </w:p>
        </w:tc>
        <w:tc>
          <w:tcPr>
            <w:tcW w:w="1925" w:type="dxa"/>
            <w:tcBorders>
              <w:bottom w:val="single" w:sz="8" w:space="0" w:color="4F81BC"/>
            </w:tcBorders>
          </w:tcPr>
          <w:p>
            <w:pPr>
              <w:pStyle w:val="TableParagraph"/>
              <w:spacing w:line="248" w:lineRule="exact"/>
              <w:ind w:left="86" w:right="86"/>
              <w:rPr>
                <w:sz w:val="22"/>
              </w:rPr>
            </w:pPr>
            <w:r>
              <w:rPr>
                <w:color w:val="365F91"/>
                <w:sz w:val="22"/>
              </w:rPr>
              <w:t>99.7</w:t>
            </w:r>
          </w:p>
        </w:tc>
      </w:tr>
    </w:tbl>
    <w:p>
      <w:pPr>
        <w:spacing w:line="240" w:lineRule="auto" w:before="0"/>
        <w:ind w:left="1293" w:right="0" w:hanging="969"/>
        <w:jc w:val="left"/>
        <w:rPr>
          <w:sz w:val="20"/>
        </w:rPr>
      </w:pPr>
      <w:bookmarkStart w:name="_bookmark94" w:id="146"/>
      <w:bookmarkEnd w:id="146"/>
      <w:r>
        <w:rPr/>
      </w:r>
      <w:r>
        <w:rPr>
          <w:sz w:val="20"/>
        </w:rPr>
        <w:t>Tabla 9. Valores del índice gamma medio y porcentaje de puntos que cumplen con el criterio de aceptación de 4%/3mm y 5%/3mm para las películas radiográficas EDR2</w:t>
      </w:r>
    </w:p>
    <w:p>
      <w:pPr>
        <w:pStyle w:val="BodyText"/>
        <w:rPr>
          <w:sz w:val="20"/>
        </w:rPr>
      </w:pPr>
    </w:p>
    <w:p>
      <w:pPr>
        <w:pStyle w:val="BodyText"/>
        <w:rPr>
          <w:sz w:val="20"/>
        </w:rPr>
      </w:pPr>
    </w:p>
    <w:p>
      <w:pPr>
        <w:pStyle w:val="BodyText"/>
        <w:spacing w:line="360" w:lineRule="auto" w:before="124"/>
        <w:ind w:left="100" w:right="396"/>
      </w:pPr>
      <w:r>
        <w:rPr/>
        <w:t>En la </w:t>
      </w:r>
      <w:hyperlink w:history="true" w:anchor="_bookmark95">
        <w:r>
          <w:rPr>
            <w:b/>
            <w:sz w:val="20"/>
          </w:rPr>
          <w:t>Figura 32</w:t>
        </w:r>
      </w:hyperlink>
      <w:r>
        <w:rPr>
          <w:b/>
          <w:sz w:val="20"/>
        </w:rPr>
        <w:t> </w:t>
      </w:r>
      <w:r>
        <w:rPr/>
        <w:t>se muestran los resultados del análisis gamma para cada uno de los tres criterios en el caso de las películas radiográficas.</w:t>
      </w:r>
    </w:p>
    <w:p>
      <w:pPr>
        <w:spacing w:before="93"/>
        <w:ind w:left="1175" w:right="0" w:firstLine="0"/>
        <w:jc w:val="left"/>
        <w:rPr>
          <w:rFonts w:ascii="Calibri"/>
          <w:sz w:val="20"/>
        </w:rPr>
      </w:pPr>
      <w:r>
        <w:rPr/>
        <w:pict>
          <v:group style="position:absolute;margin-left:159.645004pt;margin-top:8.601474pt;width:255.35pt;height:162.7pt;mso-position-horizontal-relative:page;mso-position-vertical-relative:paragraph;z-index:-103960" coordorigin="3193,172" coordsize="5107,3254">
            <v:shape style="position:absolute;left:3200;top:222;width:5092;height:3197" coordorigin="3200,222" coordsize="5092,3197" path="m3264,2833l8292,2833m3264,2309l8292,2309m3264,1789l8292,1789m3264,1265l8292,1265m3264,745l8292,745m3264,222l8292,222m3264,3355l3264,222m3200,3355l3264,3355m3200,2833l3264,2833m3200,2309l3264,2309m3200,1789l3264,1789m3200,1265l3264,1265m3200,745l3264,745m3200,222l3264,222m3264,3355l8292,3355m3264,3355l3264,3418m3824,3355l3824,3418m4380,3355l4380,3418m4940,3355l4940,3418m5500,3355l5500,3418m6056,3355l6056,3418m6616,3355l6616,3418m7176,3355l7176,3418m7732,3355l7732,3418m8292,3355l8292,3418e" filled="false" stroked="true" strokeweight=".75pt" strokecolor="#858585">
              <v:path arrowok="t"/>
            </v:shape>
            <v:shape style="position:absolute;left:3543;top:243;width:4470;height:2830" coordorigin="3543,243" coordsize="4470,2830" path="m3543,297l4100,243,4660,2177,5220,681,5780,2821,6336,985,6896,609,7456,3073,8013,941e" filled="false" stroked="true" strokeweight="1.75pt" strokecolor="#497dba">
              <v:path arrowok="t"/>
            </v:shape>
            <v:shape style="position:absolute;left:3504;top:256;width:80;height:80" coordorigin="3504,256" coordsize="80,80" path="m3544,256l3504,296,3544,336,3584,296,3544,256xe" filled="true" fillcolor="#4f81bc" stroked="false">
              <v:path arrowok="t"/>
              <v:fill type="solid"/>
            </v:shape>
            <v:shape style="position:absolute;left:3504;top:256;width:80;height:80" coordorigin="3504,256" coordsize="80,80" path="m3544,256l3584,296,3544,336,3504,296,3544,256xe" filled="false" stroked="true" strokeweight=".8pt" strokecolor="#497dba">
              <v:path arrowok="t"/>
            </v:shape>
            <v:shape style="position:absolute;left:4060;top:204;width:80;height:80" coordorigin="4060,204" coordsize="80,80" path="m4100,204l4060,244,4100,284,4140,244,4100,204xe" filled="true" fillcolor="#4f81bc" stroked="false">
              <v:path arrowok="t"/>
              <v:fill type="solid"/>
            </v:shape>
            <v:shape style="position:absolute;left:4060;top:204;width:80;height:80" coordorigin="4060,204" coordsize="80,80" path="m4100,204l4140,244,4100,284,4060,244,4100,204xe" filled="false" stroked="true" strokeweight=".8pt" strokecolor="#497dba">
              <v:path arrowok="t"/>
            </v:shape>
            <v:shape style="position:absolute;left:4620;top:2136;width:80;height:80" coordorigin="4620,2136" coordsize="80,80" path="m4660,2136l4620,2176,4660,2216,4700,2176,4660,2136xe" filled="true" fillcolor="#4f81bc" stroked="false">
              <v:path arrowok="t"/>
              <v:fill type="solid"/>
            </v:shape>
            <v:shape style="position:absolute;left:4620;top:2136;width:80;height:80" coordorigin="4620,2136" coordsize="80,80" path="m4660,2136l4700,2176,4660,2216,4620,2176,4660,2136xe" filled="false" stroked="true" strokeweight=".8pt" strokecolor="#497dba">
              <v:path arrowok="t"/>
            </v:shape>
            <v:shape style="position:absolute;left:5180;top:640;width:80;height:80" coordorigin="5180,640" coordsize="80,80" path="m5220,640l5180,680,5220,720,5260,680,5220,640xe" filled="true" fillcolor="#4f81bc" stroked="false">
              <v:path arrowok="t"/>
              <v:fill type="solid"/>
            </v:shape>
            <v:shape style="position:absolute;left:5180;top:640;width:80;height:80" coordorigin="5180,640" coordsize="80,80" path="m5220,640l5260,680,5220,720,5180,680,5220,640xe" filled="false" stroked="true" strokeweight=".8pt" strokecolor="#497dba">
              <v:path arrowok="t"/>
            </v:shape>
            <v:shape style="position:absolute;left:5740;top:2780;width:80;height:80" coordorigin="5740,2780" coordsize="80,80" path="m5780,2780l5740,2820,5780,2860,5820,2820,5780,2780xe" filled="true" fillcolor="#4f81bc" stroked="false">
              <v:path arrowok="t"/>
              <v:fill type="solid"/>
            </v:shape>
            <v:shape style="position:absolute;left:5740;top:2780;width:80;height:80" coordorigin="5740,2780" coordsize="80,80" path="m5780,2780l5820,2820,5780,2860,5740,2820,5780,2780xe" filled="false" stroked="true" strokeweight=".8pt" strokecolor="#497dba">
              <v:path arrowok="t"/>
            </v:shape>
            <v:shape style="position:absolute;left:6296;top:944;width:80;height:80" coordorigin="6296,944" coordsize="80,80" path="m6336,944l6296,984,6336,1024,6376,984,6336,944xe" filled="true" fillcolor="#4f81bc" stroked="false">
              <v:path arrowok="t"/>
              <v:fill type="solid"/>
            </v:shape>
            <v:shape style="position:absolute;left:6296;top:944;width:80;height:80" coordorigin="6296,944" coordsize="80,80" path="m6336,944l6376,984,6336,1024,6296,984,6336,944xe" filled="false" stroked="true" strokeweight=".8pt" strokecolor="#497dba">
              <v:path arrowok="t"/>
            </v:shape>
            <v:shape style="position:absolute;left:6856;top:568;width:80;height:80" coordorigin="6856,568" coordsize="80,80" path="m6896,568l6856,608,6896,648,6936,608,6896,568xe" filled="true" fillcolor="#4f81bc" stroked="false">
              <v:path arrowok="t"/>
              <v:fill type="solid"/>
            </v:shape>
            <v:shape style="position:absolute;left:6856;top:568;width:80;height:80" coordorigin="6856,568" coordsize="80,80" path="m6896,568l6936,608,6896,648,6856,608,6896,568xe" filled="false" stroked="true" strokeweight=".8pt" strokecolor="#497dba">
              <v:path arrowok="t"/>
            </v:shape>
            <v:shape style="position:absolute;left:7416;top:3032;width:80;height:80" coordorigin="7416,3032" coordsize="80,80" path="m7456,3032l7416,3072,7456,3112,7496,3072,7456,3032xe" filled="true" fillcolor="#4f81bc" stroked="false">
              <v:path arrowok="t"/>
              <v:fill type="solid"/>
            </v:shape>
            <v:shape style="position:absolute;left:7416;top:3032;width:80;height:80" coordorigin="7416,3032" coordsize="80,80" path="m7456,3032l7496,3072,7456,3112,7416,3072,7456,3032xe" filled="false" stroked="true" strokeweight=".8pt" strokecolor="#497dba">
              <v:path arrowok="t"/>
            </v:shape>
            <v:shape style="position:absolute;left:7972;top:900;width:80;height:80" coordorigin="7972,900" coordsize="80,80" path="m8012,900l7972,940,8012,980,8052,940,8012,900xe" filled="true" fillcolor="#4f81bc" stroked="false">
              <v:path arrowok="t"/>
              <v:fill type="solid"/>
            </v:shape>
            <v:shape style="position:absolute;left:7972;top:900;width:80;height:80" coordorigin="7972,900" coordsize="80,80" path="m8012,900l8052,940,8012,980,7972,940,8012,900xe" filled="false" stroked="true" strokeweight=".8pt" strokecolor="#497dba">
              <v:path arrowok="t"/>
            </v:shape>
            <v:shape style="position:absolute;left:3543;top:222;width:4470;height:1243" coordorigin="3543,222" coordsize="4470,1243" path="m3543,253l4100,222,4660,921,5220,222,5780,1465,6336,377,6896,305,7456,1425,8013,389e" filled="false" stroked="true" strokeweight="1.75pt" strokecolor="#bd4a47">
              <v:path arrowok="t"/>
            </v:shape>
            <v:line style="position:absolute" from="3504,252" to="3584,252" stroked="true" strokeweight="4pt" strokecolor="#c0504d"/>
            <v:rect style="position:absolute;left:3504;top:212;width:80;height:80" filled="false" stroked="true" strokeweight=".8pt" strokecolor="#bd4a47"/>
            <v:line style="position:absolute" from="4060,220" to="4140,220" stroked="true" strokeweight="4pt" strokecolor="#c0504d"/>
            <v:rect style="position:absolute;left:4060;top:180;width:80;height:80" filled="false" stroked="true" strokeweight=".8pt" strokecolor="#bd4a47"/>
            <v:line style="position:absolute" from="4620,920" to="4700,920" stroked="true" strokeweight="4pt" strokecolor="#c0504d"/>
            <v:rect style="position:absolute;left:4620;top:880;width:80;height:80" filled="false" stroked="true" strokeweight=".8pt" strokecolor="#bd4a47"/>
            <v:line style="position:absolute" from="5180,220" to="5260,220" stroked="true" strokeweight="4pt" strokecolor="#c0504d"/>
            <v:rect style="position:absolute;left:5180;top:180;width:80;height:80" filled="false" stroked="true" strokeweight=".8pt" strokecolor="#bd4a47"/>
            <v:line style="position:absolute" from="5740,1464" to="5820,1464" stroked="true" strokeweight="4pt" strokecolor="#c0504d"/>
            <v:rect style="position:absolute;left:5740;top:1424;width:80;height:80" filled="false" stroked="true" strokeweight=".8pt" strokecolor="#bd4a47"/>
            <v:line style="position:absolute" from="6296,376" to="6376,376" stroked="true" strokeweight="4pt" strokecolor="#c0504d"/>
            <v:rect style="position:absolute;left:6296;top:336;width:80;height:80" filled="false" stroked="true" strokeweight=".8pt" strokecolor="#bd4a47"/>
            <v:line style="position:absolute" from="6856,304" to="6936,304" stroked="true" strokeweight="4pt" strokecolor="#c0504d"/>
            <v:rect style="position:absolute;left:6856;top:264;width:80;height:80" filled="false" stroked="true" strokeweight=".8pt" strokecolor="#bd4a47"/>
            <v:line style="position:absolute" from="7416,1424" to="7496,1424" stroked="true" strokeweight="4pt" strokecolor="#c0504d"/>
            <v:rect style="position:absolute;left:7416;top:1384;width:80;height:80" filled="false" stroked="true" strokeweight=".8pt" strokecolor="#bd4a47"/>
            <v:line style="position:absolute" from="7972,388" to="8052,388" stroked="true" strokeweight="4pt" strokecolor="#c0504d"/>
            <v:rect style="position:absolute;left:7972;top:348;width:80;height:80" filled="false" stroked="true" strokeweight=".8pt" strokecolor="#bd4a47"/>
            <v:shape style="position:absolute;left:3543;top:222;width:4470;height:470" coordorigin="3543,222" coordsize="4470,470" path="m3543,233l4100,222,4660,337,5220,222,5780,692,6336,222,6896,245,7456,389,8013,253e" filled="false" stroked="true" strokeweight="1.75pt" strokecolor="#97b853">
              <v:path arrowok="t"/>
            </v:shape>
            <v:shape style="position:absolute;left:3504;top:192;width:80;height:80" coordorigin="3504,192" coordsize="80,80" path="m3544,192l3504,272,3584,272,3544,192xe" filled="true" fillcolor="#9bba58" stroked="false">
              <v:path arrowok="t"/>
              <v:fill type="solid"/>
            </v:shape>
            <v:shape style="position:absolute;left:3504;top:192;width:80;height:80" coordorigin="3504,192" coordsize="80,80" path="m3544,192l3584,272,3504,272,3544,192xe" filled="false" stroked="true" strokeweight=".8pt" strokecolor="#97b853">
              <v:path arrowok="t"/>
            </v:shape>
            <v:shape style="position:absolute;left:4060;top:180;width:80;height:80" coordorigin="4060,180" coordsize="80,80" path="m4100,180l4060,260,4140,260,4100,180xe" filled="true" fillcolor="#9bba58" stroked="false">
              <v:path arrowok="t"/>
              <v:fill type="solid"/>
            </v:shape>
            <v:shape style="position:absolute;left:4060;top:180;width:80;height:80" coordorigin="4060,180" coordsize="80,80" path="m4100,180l4140,260,4060,260,4100,180xe" filled="false" stroked="true" strokeweight=".8pt" strokecolor="#97b853">
              <v:path arrowok="t"/>
            </v:shape>
            <v:shape style="position:absolute;left:4620;top:296;width:80;height:80" coordorigin="4620,296" coordsize="80,80" path="m4660,296l4620,376,4700,376,4660,296xe" filled="true" fillcolor="#9bba58" stroked="false">
              <v:path arrowok="t"/>
              <v:fill type="solid"/>
            </v:shape>
            <v:shape style="position:absolute;left:4620;top:296;width:80;height:80" coordorigin="4620,296" coordsize="80,80" path="m4660,296l4700,376,4620,376,4660,296xe" filled="false" stroked="true" strokeweight=".8pt" strokecolor="#97b853">
              <v:path arrowok="t"/>
            </v:shape>
            <v:shape style="position:absolute;left:5180;top:180;width:80;height:80" coordorigin="5180,180" coordsize="80,80" path="m5220,180l5180,260,5260,260,5220,180xe" filled="true" fillcolor="#9bba58" stroked="false">
              <v:path arrowok="t"/>
              <v:fill type="solid"/>
            </v:shape>
            <v:shape style="position:absolute;left:5180;top:180;width:80;height:80" coordorigin="5180,180" coordsize="80,80" path="m5220,180l5260,260,5180,260,5220,180xe" filled="false" stroked="true" strokeweight=".8pt" strokecolor="#97b853">
              <v:path arrowok="t"/>
            </v:shape>
            <v:shape style="position:absolute;left:5740;top:652;width:80;height:80" coordorigin="5740,652" coordsize="80,80" path="m5780,652l5740,732,5820,732,5780,652xe" filled="true" fillcolor="#9bba58" stroked="false">
              <v:path arrowok="t"/>
              <v:fill type="solid"/>
            </v:shape>
            <v:shape style="position:absolute;left:5740;top:652;width:80;height:80" coordorigin="5740,652" coordsize="80,80" path="m5780,652l5820,732,5740,732,5780,652xe" filled="false" stroked="true" strokeweight=".8pt" strokecolor="#97b853">
              <v:path arrowok="t"/>
            </v:shape>
            <v:shape style="position:absolute;left:6296;top:180;width:80;height:80" coordorigin="6296,180" coordsize="80,80" path="m6336,180l6296,260,6376,260,6336,180xe" filled="true" fillcolor="#9bba58" stroked="false">
              <v:path arrowok="t"/>
              <v:fill type="solid"/>
            </v:shape>
            <v:shape style="position:absolute;left:6296;top:180;width:80;height:80" coordorigin="6296,180" coordsize="80,80" path="m6336,180l6376,260,6296,260,6336,180xe" filled="false" stroked="true" strokeweight=".8pt" strokecolor="#97b853">
              <v:path arrowok="t"/>
            </v:shape>
            <v:shape style="position:absolute;left:6856;top:204;width:80;height:80" coordorigin="6856,204" coordsize="80,80" path="m6896,204l6856,284,6936,284,6896,204xe" filled="true" fillcolor="#9bba58" stroked="false">
              <v:path arrowok="t"/>
              <v:fill type="solid"/>
            </v:shape>
            <v:shape style="position:absolute;left:6856;top:204;width:80;height:80" coordorigin="6856,204" coordsize="80,80" path="m6896,204l6936,284,6856,284,6896,204xe" filled="false" stroked="true" strokeweight=".8pt" strokecolor="#97b853">
              <v:path arrowok="t"/>
            </v:shape>
            <v:shape style="position:absolute;left:7416;top:348;width:80;height:80" coordorigin="7416,348" coordsize="80,80" path="m7456,348l7416,428,7496,428,7456,348xe" filled="true" fillcolor="#9bba58" stroked="false">
              <v:path arrowok="t"/>
              <v:fill type="solid"/>
            </v:shape>
            <v:shape style="position:absolute;left:7416;top:348;width:80;height:80" coordorigin="7416,348" coordsize="80,80" path="m7456,348l7496,428,7416,428,7456,348xe" filled="false" stroked="true" strokeweight=".8pt" strokecolor="#97b853">
              <v:path arrowok="t"/>
            </v:shape>
            <v:shape style="position:absolute;left:7972;top:212;width:80;height:80" coordorigin="7972,212" coordsize="80,80" path="m8012,212l7972,292,8052,292,8012,212xe" filled="true" fillcolor="#9bba58" stroked="false">
              <v:path arrowok="t"/>
              <v:fill type="solid"/>
            </v:shape>
            <v:shape style="position:absolute;left:7972;top:212;width:80;height:80" coordorigin="7972,212" coordsize="80,80" path="m8012,212l8052,292,7972,292,8012,212xe" filled="false" stroked="true" strokeweight=".8pt" strokecolor="#97b853">
              <v:path arrowok="t"/>
            </v:shape>
            <w10:wrap type="none"/>
          </v:group>
        </w:pict>
      </w:r>
      <w:r>
        <w:rPr>
          <w:rFonts w:ascii="Calibri"/>
          <w:sz w:val="20"/>
        </w:rPr>
        <w:t>100</w:t>
      </w:r>
    </w:p>
    <w:p>
      <w:pPr>
        <w:pStyle w:val="BodyText"/>
        <w:spacing w:before="10"/>
        <w:rPr>
          <w:rFonts w:ascii="Calibri"/>
          <w:sz w:val="17"/>
        </w:rPr>
      </w:pPr>
    </w:p>
    <w:p>
      <w:pPr>
        <w:spacing w:before="60"/>
        <w:ind w:left="1276" w:right="0" w:firstLine="0"/>
        <w:jc w:val="left"/>
        <w:rPr>
          <w:rFonts w:ascii="Calibri"/>
          <w:sz w:val="20"/>
        </w:rPr>
      </w:pPr>
      <w:r>
        <w:rPr>
          <w:rFonts w:ascii="Calibri"/>
          <w:sz w:val="20"/>
        </w:rPr>
        <w:t>95</w:t>
      </w:r>
    </w:p>
    <w:p>
      <w:pPr>
        <w:pStyle w:val="BodyText"/>
        <w:spacing w:before="11"/>
        <w:rPr>
          <w:rFonts w:ascii="Calibri"/>
          <w:sz w:val="17"/>
        </w:rPr>
      </w:pPr>
    </w:p>
    <w:p>
      <w:pPr>
        <w:spacing w:before="59"/>
        <w:ind w:left="1276" w:right="0" w:firstLine="0"/>
        <w:jc w:val="left"/>
        <w:rPr>
          <w:rFonts w:ascii="Calibri"/>
          <w:sz w:val="20"/>
        </w:rPr>
      </w:pPr>
      <w:r>
        <w:rPr/>
        <w:pict>
          <v:shape style="position:absolute;margin-left:124.649994pt;margin-top:-2.866419pt;width:12pt;height:76.95pt;mso-position-horizontal-relative:page;mso-position-vertical-relative:paragraph;z-index:3184" type="#_x0000_t202" filled="false" stroked="false">
            <v:textbox inset="0,0,0,0" style="layout-flow:vertical;mso-layout-flow-alt:bottom-to-top">
              <w:txbxContent>
                <w:p>
                  <w:pPr>
                    <w:spacing w:line="224" w:lineRule="exact" w:before="0"/>
                    <w:ind w:left="20" w:right="-371" w:firstLine="0"/>
                    <w:jc w:val="left"/>
                    <w:rPr>
                      <w:rFonts w:ascii="Calibri" w:hAnsi="Calibri"/>
                      <w:b/>
                      <w:sz w:val="20"/>
                    </w:rPr>
                  </w:pPr>
                  <w:r>
                    <w:rPr>
                      <w:rFonts w:ascii="Calibri" w:hAnsi="Calibri"/>
                      <w:b/>
                      <w:sz w:val="20"/>
                    </w:rPr>
                    <w:t>%  </w:t>
                  </w:r>
                  <w:r>
                    <w:rPr>
                      <w:rFonts w:ascii="Calibri" w:hAnsi="Calibri"/>
                      <w:b/>
                      <w:spacing w:val="1"/>
                      <w:sz w:val="20"/>
                    </w:rPr>
                    <w:t>pun</w:t>
                  </w:r>
                  <w:r>
                    <w:rPr>
                      <w:rFonts w:ascii="Calibri" w:hAnsi="Calibri"/>
                      <w:b/>
                      <w:spacing w:val="-1"/>
                      <w:sz w:val="20"/>
                    </w:rPr>
                    <w:t>t</w:t>
                  </w:r>
                  <w:r>
                    <w:rPr>
                      <w:rFonts w:ascii="Calibri" w:hAnsi="Calibri"/>
                      <w:b/>
                      <w:sz w:val="20"/>
                    </w:rPr>
                    <w:t>os con</w:t>
                  </w:r>
                  <w:r>
                    <w:rPr>
                      <w:rFonts w:ascii="Calibri" w:hAnsi="Calibri"/>
                      <w:b/>
                      <w:spacing w:val="-5"/>
                      <w:sz w:val="20"/>
                    </w:rPr>
                    <w:t> </w:t>
                  </w:r>
                  <w:r>
                    <w:rPr>
                      <w:rFonts w:ascii="Calibri" w:hAnsi="Calibri"/>
                      <w:b/>
                      <w:spacing w:val="-2"/>
                      <w:w w:val="99"/>
                      <w:sz w:val="20"/>
                    </w:rPr>
                    <w:t>γ</w:t>
                  </w:r>
                  <w:r>
                    <w:rPr>
                      <w:rFonts w:ascii="Calibri" w:hAnsi="Calibri"/>
                      <w:b/>
                      <w:sz w:val="20"/>
                    </w:rPr>
                    <w:t>&lt;1</w:t>
                  </w:r>
                </w:p>
              </w:txbxContent>
            </v:textbox>
            <w10:wrap type="none"/>
          </v:shape>
        </w:pict>
      </w:r>
      <w:r>
        <w:rPr>
          <w:rFonts w:ascii="Calibri"/>
          <w:sz w:val="20"/>
        </w:rPr>
        <w:t>90</w:t>
      </w:r>
    </w:p>
    <w:p>
      <w:pPr>
        <w:pStyle w:val="BodyText"/>
        <w:rPr>
          <w:rFonts w:ascii="Calibri"/>
          <w:sz w:val="17"/>
        </w:rPr>
      </w:pPr>
    </w:p>
    <w:p>
      <w:pPr>
        <w:tabs>
          <w:tab w:pos="7432" w:val="left" w:leader="none"/>
        </w:tabs>
        <w:spacing w:before="60"/>
        <w:ind w:left="1276" w:right="0" w:firstLine="0"/>
        <w:jc w:val="left"/>
        <w:rPr>
          <w:rFonts w:ascii="Calibri"/>
          <w:sz w:val="20"/>
        </w:rPr>
      </w:pPr>
      <w:r>
        <w:rPr/>
        <w:pict>
          <v:group style="position:absolute;margin-left:429.38501pt;margin-top:6.971497pt;width:20.95pt;height:4.8pt;mso-position-horizontal-relative:page;mso-position-vertical-relative:paragraph;z-index:-103936" coordorigin="8588,139" coordsize="419,96">
            <v:line style="position:absolute" from="8605,189" to="8989,189" stroked="true" strokeweight="1.75pt" strokecolor="#497dba"/>
            <v:shape style="position:absolute;left:8756;top:147;width:80;height:80" coordorigin="8756,147" coordsize="80,80" path="m8796,147l8756,187,8796,227,8836,187,8796,147xe" filled="true" fillcolor="#4f81bc" stroked="false">
              <v:path arrowok="t"/>
              <v:fill type="solid"/>
            </v:shape>
            <v:shape style="position:absolute;left:8756;top:147;width:80;height:80" coordorigin="8756,147" coordsize="80,80" path="m8796,147l8836,187,8796,227,8756,187,8796,147xe" filled="false" stroked="true" strokeweight=".8pt" strokecolor="#497dba">
              <v:path arrowok="t"/>
            </v:shape>
            <w10:wrap type="none"/>
          </v:group>
        </w:pict>
      </w:r>
      <w:r>
        <w:rPr>
          <w:rFonts w:ascii="Calibri"/>
          <w:sz w:val="20"/>
        </w:rPr>
        <w:t>85</w:t>
        <w:tab/>
      </w:r>
      <w:r>
        <w:rPr>
          <w:rFonts w:ascii="Calibri"/>
          <w:position w:val="1"/>
          <w:sz w:val="20"/>
        </w:rPr>
        <w:t>3%/3</w:t>
      </w:r>
      <w:r>
        <w:rPr>
          <w:rFonts w:ascii="Calibri"/>
          <w:spacing w:val="-3"/>
          <w:position w:val="1"/>
          <w:sz w:val="20"/>
        </w:rPr>
        <w:t> </w:t>
      </w:r>
      <w:r>
        <w:rPr>
          <w:rFonts w:ascii="Calibri"/>
          <w:position w:val="1"/>
          <w:sz w:val="20"/>
        </w:rPr>
        <w:t>mm</w:t>
      </w:r>
    </w:p>
    <w:p>
      <w:pPr>
        <w:spacing w:line="208" w:lineRule="exact" w:before="107"/>
        <w:ind w:left="0" w:right="818" w:firstLine="0"/>
        <w:jc w:val="right"/>
        <w:rPr>
          <w:rFonts w:ascii="Calibri"/>
          <w:sz w:val="20"/>
        </w:rPr>
      </w:pPr>
      <w:r>
        <w:rPr/>
        <w:pict>
          <v:group style="position:absolute;margin-left:429.38501pt;margin-top:9.276489pt;width:20.95pt;height:4.75pt;mso-position-horizontal-relative:page;mso-position-vertical-relative:paragraph;z-index:3136" coordorigin="8588,186" coordsize="419,95">
            <v:line style="position:absolute" from="8605,236" to="8989,236" stroked="true" strokeweight="1.75pt" strokecolor="#bd4a47"/>
            <v:line style="position:absolute" from="8756,233" to="8836,233" stroked="true" strokeweight="4pt" strokecolor="#c0504d"/>
            <v:rect style="position:absolute;left:8756;top:193;width:80;height:80" filled="false" stroked="true" strokeweight=".75pt" strokecolor="#bd4a47"/>
            <w10:wrap type="none"/>
          </v:group>
        </w:pict>
      </w:r>
      <w:r>
        <w:rPr>
          <w:rFonts w:ascii="Calibri"/>
          <w:sz w:val="20"/>
        </w:rPr>
        <w:t>4%/3 mm</w:t>
      </w:r>
    </w:p>
    <w:p>
      <w:pPr>
        <w:spacing w:line="181" w:lineRule="exact" w:before="0"/>
        <w:ind w:left="1276" w:right="0" w:firstLine="0"/>
        <w:jc w:val="left"/>
        <w:rPr>
          <w:rFonts w:ascii="Calibri"/>
          <w:sz w:val="20"/>
        </w:rPr>
      </w:pPr>
      <w:r>
        <w:rPr>
          <w:rFonts w:ascii="Calibri"/>
          <w:sz w:val="20"/>
        </w:rPr>
        <w:t>80</w:t>
      </w:r>
    </w:p>
    <w:p>
      <w:pPr>
        <w:spacing w:line="218" w:lineRule="exact" w:before="0"/>
        <w:ind w:left="7432" w:right="0" w:firstLine="0"/>
        <w:jc w:val="left"/>
        <w:rPr>
          <w:rFonts w:ascii="Calibri"/>
          <w:sz w:val="20"/>
        </w:rPr>
      </w:pPr>
      <w:r>
        <w:rPr/>
        <w:pict>
          <v:group style="position:absolute;margin-left:429.38501pt;margin-top:2.667972pt;width:20.95pt;height:4.8pt;mso-position-horizontal-relative:page;mso-position-vertical-relative:paragraph;z-index:-103888" coordorigin="8588,53" coordsize="419,96">
            <v:line style="position:absolute" from="8605,102" to="8989,102" stroked="true" strokeweight="1.75pt" strokecolor="#97b853"/>
            <v:shape style="position:absolute;left:8756;top:61;width:80;height:80" coordorigin="8756,61" coordsize="80,80" path="m8796,61l8756,141,8836,141,8796,61xe" filled="true" fillcolor="#9bba58" stroked="false">
              <v:path arrowok="t"/>
              <v:fill type="solid"/>
            </v:shape>
            <v:shape style="position:absolute;left:8756;top:61;width:80;height:80" coordorigin="8756,61" coordsize="80,80" path="m8796,61l8836,141,8756,141,8796,61xe" filled="false" stroked="true" strokeweight=".8pt" strokecolor="#97b853">
              <v:path arrowok="t"/>
            </v:shape>
            <w10:wrap type="none"/>
          </v:group>
        </w:pict>
      </w:r>
      <w:r>
        <w:rPr>
          <w:rFonts w:ascii="Calibri"/>
          <w:sz w:val="20"/>
        </w:rPr>
        <w:t>5%/3 mm</w:t>
      </w:r>
    </w:p>
    <w:p>
      <w:pPr>
        <w:spacing w:before="86"/>
        <w:ind w:left="1276" w:right="0" w:firstLine="0"/>
        <w:jc w:val="left"/>
        <w:rPr>
          <w:rFonts w:ascii="Calibri"/>
          <w:sz w:val="20"/>
        </w:rPr>
      </w:pPr>
      <w:r>
        <w:rPr>
          <w:rFonts w:ascii="Calibri"/>
          <w:sz w:val="20"/>
        </w:rPr>
        <w:t>75</w:t>
      </w:r>
    </w:p>
    <w:p>
      <w:pPr>
        <w:pStyle w:val="BodyText"/>
        <w:spacing w:before="11"/>
        <w:rPr>
          <w:rFonts w:ascii="Calibri"/>
          <w:sz w:val="17"/>
        </w:rPr>
      </w:pPr>
    </w:p>
    <w:p>
      <w:pPr>
        <w:spacing w:before="60"/>
        <w:ind w:left="1276" w:right="0" w:firstLine="0"/>
        <w:jc w:val="left"/>
        <w:rPr>
          <w:rFonts w:ascii="Calibri"/>
          <w:sz w:val="20"/>
        </w:rPr>
      </w:pPr>
      <w:r>
        <w:rPr>
          <w:rFonts w:ascii="Calibri"/>
          <w:sz w:val="20"/>
        </w:rPr>
        <w:t>70</w:t>
      </w:r>
    </w:p>
    <w:p>
      <w:pPr>
        <w:tabs>
          <w:tab w:pos="559" w:val="left" w:leader="none"/>
          <w:tab w:pos="1118" w:val="left" w:leader="none"/>
          <w:tab w:pos="1676" w:val="left" w:leader="none"/>
          <w:tab w:pos="2235" w:val="left" w:leader="none"/>
          <w:tab w:pos="2794" w:val="left" w:leader="none"/>
          <w:tab w:pos="3353" w:val="left" w:leader="none"/>
          <w:tab w:pos="3912" w:val="left" w:leader="none"/>
          <w:tab w:pos="4471" w:val="left" w:leader="none"/>
        </w:tabs>
        <w:spacing w:before="16"/>
        <w:ind w:left="0" w:right="678" w:firstLine="0"/>
        <w:jc w:val="center"/>
        <w:rPr>
          <w:rFonts w:ascii="Calibri"/>
          <w:sz w:val="20"/>
        </w:rPr>
      </w:pPr>
      <w:r>
        <w:rPr>
          <w:rFonts w:ascii="Calibri"/>
          <w:sz w:val="20"/>
        </w:rPr>
        <w:t>1</w:t>
        <w:tab/>
        <w:t>2</w:t>
        <w:tab/>
        <w:t>3</w:t>
        <w:tab/>
        <w:t>4</w:t>
        <w:tab/>
        <w:t>5</w:t>
        <w:tab/>
        <w:t>6</w:t>
        <w:tab/>
        <w:t>7</w:t>
        <w:tab/>
        <w:t>8</w:t>
        <w:tab/>
        <w:t>9</w:t>
      </w:r>
    </w:p>
    <w:p>
      <w:pPr>
        <w:spacing w:before="60"/>
        <w:ind w:left="0" w:right="682" w:firstLine="0"/>
        <w:jc w:val="center"/>
        <w:rPr>
          <w:rFonts w:ascii="Calibri"/>
          <w:b/>
          <w:sz w:val="20"/>
        </w:rPr>
      </w:pPr>
      <w:r>
        <w:rPr>
          <w:rFonts w:ascii="Calibri"/>
          <w:b/>
          <w:sz w:val="20"/>
        </w:rPr>
        <w:t>Pacientes</w:t>
      </w:r>
    </w:p>
    <w:p>
      <w:pPr>
        <w:pStyle w:val="BodyText"/>
        <w:spacing w:before="1"/>
        <w:rPr>
          <w:rFonts w:ascii="Calibri"/>
          <w:b/>
          <w:sz w:val="14"/>
        </w:rPr>
      </w:pPr>
    </w:p>
    <w:p>
      <w:pPr>
        <w:spacing w:before="78"/>
        <w:ind w:left="3529" w:right="446" w:hanging="3070"/>
        <w:jc w:val="left"/>
        <w:rPr>
          <w:sz w:val="20"/>
        </w:rPr>
      </w:pPr>
      <w:bookmarkStart w:name="_bookmark95" w:id="147"/>
      <w:bookmarkEnd w:id="147"/>
      <w:r>
        <w:rPr/>
      </w:r>
      <w:r>
        <w:rPr>
          <w:sz w:val="20"/>
        </w:rPr>
        <w:t>Figura 32. Porcentaje de puntos con γ&lt;1 para criterios de 3%/3 mm, 4%/3 mm, y 5%/3 mm, películas radiográficas</w:t>
      </w:r>
    </w:p>
    <w:p>
      <w:pPr>
        <w:spacing w:after="0"/>
        <w:jc w:val="left"/>
        <w:rPr>
          <w:sz w:val="20"/>
        </w:rPr>
        <w:sectPr>
          <w:pgSz w:w="12240" w:h="15840"/>
          <w:pgMar w:header="0" w:footer="1034" w:top="1360" w:bottom="1220" w:left="1600" w:right="1600"/>
        </w:sectPr>
      </w:pPr>
    </w:p>
    <w:p>
      <w:pPr>
        <w:pStyle w:val="BodyText"/>
        <w:spacing w:line="360" w:lineRule="auto" w:before="55"/>
        <w:ind w:left="100" w:right="116"/>
        <w:jc w:val="both"/>
      </w:pPr>
      <w:r>
        <w:rPr/>
        <w:t>Cuando se utiliza el criterio de 3%/3 mm para el análisis gamma, se observa que en 6 de  los planes analizados se tiene un </w:t>
      </w:r>
      <w:r>
        <w:rPr>
          <w:rFonts w:ascii="Calibri" w:hAnsi="Calibri"/>
        </w:rPr>
        <w:t>γ</w:t>
      </w:r>
      <w:r>
        <w:rPr/>
        <w:t>&lt;1 mayor al 90%, pero en tres casos el porcentaje de aceptación es menor. En la </w:t>
      </w:r>
      <w:hyperlink w:history="true" w:anchor="_bookmark96">
        <w:r>
          <w:rPr>
            <w:b/>
            <w:sz w:val="20"/>
          </w:rPr>
          <w:t>Figura 33</w:t>
        </w:r>
      </w:hyperlink>
      <w:r>
        <w:rPr>
          <w:b/>
          <w:sz w:val="20"/>
        </w:rPr>
        <w:t> </w:t>
      </w:r>
      <w:r>
        <w:rPr/>
        <w:t>se muestra como ejemplo las gráficas de Verisoft del paciente 3 de los planes analizados con las películas radiográficas, y en la </w:t>
      </w:r>
      <w:hyperlink w:history="true" w:anchor="_bookmark97">
        <w:r>
          <w:rPr>
            <w:b/>
            <w:sz w:val="20"/>
          </w:rPr>
          <w:t>Figura </w:t>
        </w:r>
        <w:r>
          <w:rPr>
            <w:b/>
            <w:spacing w:val="-3"/>
            <w:sz w:val="20"/>
          </w:rPr>
          <w:t>34</w:t>
        </w:r>
      </w:hyperlink>
      <w:r>
        <w:rPr>
          <w:b/>
          <w:spacing w:val="-3"/>
          <w:sz w:val="20"/>
        </w:rPr>
        <w:t> </w:t>
      </w:r>
      <w:r>
        <w:rPr/>
        <w:t>con las radiocrómicas.</w:t>
      </w:r>
    </w:p>
    <w:p>
      <w:pPr>
        <w:pStyle w:val="BodyText"/>
      </w:pPr>
    </w:p>
    <w:p>
      <w:pPr>
        <w:pStyle w:val="BodyText"/>
        <w:spacing w:line="360" w:lineRule="auto" w:before="127"/>
        <w:ind w:left="100" w:right="114"/>
        <w:jc w:val="both"/>
      </w:pPr>
      <w:r>
        <w:rPr/>
        <w:t>Utilizando los criterios de 4%/3 mm y 5%/3 mm los porcentajes de aceptación de índice gamma aumentan significativamente, siendo este aumento más evidente cuando se utiliza una tolerancia en la diferencia de dosis del 5%. En este último escenario, el porcentaje de puntos con </w:t>
      </w:r>
      <w:r>
        <w:rPr>
          <w:rFonts w:ascii="Calibri" w:hAnsi="Calibri"/>
        </w:rPr>
        <w:t>γ</w:t>
      </w:r>
      <w:r>
        <w:rPr/>
        <w:t>&lt;1 es mayor al 95% para todos los planes. Como se ha discutido  anteriormente, el criterio de aceptación de 5%/3 mm en el análisis gamma es utilizado en diversos trabajos para evaluar la distribución de dosis. Estos resultados indican que la diferencia de dosis es el parámetro de mayor influencia en los valores de aceptación del índice gamma en el caso de los análisis realizados con películas</w:t>
      </w:r>
      <w:r>
        <w:rPr>
          <w:spacing w:val="-35"/>
        </w:rPr>
        <w:t> </w:t>
      </w:r>
      <w:r>
        <w:rPr/>
        <w:t>radiográficas.</w:t>
      </w:r>
    </w:p>
    <w:p>
      <w:pPr>
        <w:spacing w:after="0" w:line="360" w:lineRule="auto"/>
        <w:jc w:val="both"/>
        <w:sectPr>
          <w:pgSz w:w="12240" w:h="15840"/>
          <w:pgMar w:header="0" w:footer="1034" w:top="1360" w:bottom="1220" w:left="1600" w:right="1580"/>
        </w:sectPr>
      </w:pPr>
    </w:p>
    <w:p>
      <w:pPr>
        <w:pStyle w:val="BodyText"/>
        <w:rPr>
          <w:sz w:val="13"/>
        </w:rPr>
      </w:pPr>
    </w:p>
    <w:p>
      <w:pPr>
        <w:pStyle w:val="BodyText"/>
        <w:ind w:left="117"/>
        <w:rPr>
          <w:sz w:val="20"/>
        </w:rPr>
      </w:pPr>
      <w:r>
        <w:rPr>
          <w:sz w:val="20"/>
        </w:rPr>
        <w:pict>
          <v:group style="width:439.5pt;height:534pt;mso-position-horizontal-relative:char;mso-position-vertical-relative:line" coordorigin="0,0" coordsize="8790,10680">
            <v:shape style="position:absolute;left:0;top:16;width:8790;height:3555" type="#_x0000_t75" stroked="false">
              <v:imagedata r:id="rId47" o:title=""/>
            </v:shape>
            <v:shape style="position:absolute;left:0;top:3570;width:8790;height:3555" type="#_x0000_t75" stroked="false">
              <v:imagedata r:id="rId48" o:title=""/>
            </v:shape>
            <v:shape style="position:absolute;left:2145;top:7125;width:4395;height:3555" type="#_x0000_t75" stroked="false">
              <v:imagedata r:id="rId49" o:title=""/>
            </v:shape>
            <v:shape style="position:absolute;left:923;top:0;width:512;height:272" type="#_x0000_t75" stroked="false">
              <v:imagedata r:id="rId50" o:title=""/>
            </v:shape>
            <v:shape style="position:absolute;left:5283;top:0;width:508;height:272" type="#_x0000_t75" stroked="false">
              <v:imagedata r:id="rId51" o:title=""/>
            </v:shape>
            <v:shape style="position:absolute;left:923;top:3444;width:512;height:268" type="#_x0000_t75" stroked="false">
              <v:imagedata r:id="rId50" o:title=""/>
            </v:shape>
            <v:shape style="position:absolute;left:5283;top:3444;width:508;height:268" type="#_x0000_t75" stroked="false">
              <v:imagedata r:id="rId51" o:title=""/>
            </v:shape>
            <v:shape style="position:absolute;left:1068;top:23;width:190;height:240" type="#_x0000_t202" filled="false" stroked="false">
              <v:textbox inset="0,0,0,0">
                <w:txbxContent>
                  <w:p>
                    <w:pPr>
                      <w:spacing w:line="240" w:lineRule="exact" w:before="0"/>
                      <w:ind w:left="0" w:right="-17" w:firstLine="0"/>
                      <w:jc w:val="left"/>
                      <w:rPr>
                        <w:rFonts w:ascii="Times New Roman"/>
                        <w:sz w:val="24"/>
                      </w:rPr>
                    </w:pPr>
                    <w:r>
                      <w:rPr>
                        <w:rFonts w:ascii="Times New Roman"/>
                        <w:sz w:val="24"/>
                      </w:rPr>
                      <w:t>a)</w:t>
                    </w:r>
                  </w:p>
                </w:txbxContent>
              </v:textbox>
              <w10:wrap type="none"/>
            </v:shape>
            <v:shape style="position:absolute;left:5429;top:23;width:200;height:240" type="#_x0000_t202" filled="false" stroked="false">
              <v:textbox inset="0,0,0,0">
                <w:txbxContent>
                  <w:p>
                    <w:pPr>
                      <w:spacing w:line="240" w:lineRule="exact" w:before="0"/>
                      <w:ind w:left="0" w:right="-20" w:firstLine="0"/>
                      <w:jc w:val="left"/>
                      <w:rPr>
                        <w:rFonts w:ascii="Times New Roman"/>
                        <w:sz w:val="24"/>
                      </w:rPr>
                    </w:pPr>
                    <w:r>
                      <w:rPr>
                        <w:rFonts w:ascii="Times New Roman"/>
                        <w:sz w:val="24"/>
                      </w:rPr>
                      <w:t>b)</w:t>
                    </w:r>
                  </w:p>
                </w:txbxContent>
              </v:textbox>
              <w10:wrap type="none"/>
            </v:shape>
            <v:shape style="position:absolute;left:1068;top:3468;width:190;height:240" type="#_x0000_t202" filled="false" stroked="false">
              <v:textbox inset="0,0,0,0">
                <w:txbxContent>
                  <w:p>
                    <w:pPr>
                      <w:spacing w:line="240" w:lineRule="exact" w:before="0"/>
                      <w:ind w:left="0" w:right="-17" w:firstLine="0"/>
                      <w:jc w:val="left"/>
                      <w:rPr>
                        <w:rFonts w:ascii="Times New Roman"/>
                        <w:sz w:val="24"/>
                      </w:rPr>
                    </w:pPr>
                    <w:r>
                      <w:rPr>
                        <w:rFonts w:ascii="Times New Roman"/>
                        <w:sz w:val="24"/>
                      </w:rPr>
                      <w:t>c)</w:t>
                    </w:r>
                  </w:p>
                </w:txbxContent>
              </v:textbox>
              <w10:wrap type="none"/>
            </v:shape>
            <v:shape style="position:absolute;left:5429;top:3468;width:200;height:240" type="#_x0000_t202" filled="false" stroked="false">
              <v:textbox inset="0,0,0,0">
                <w:txbxContent>
                  <w:p>
                    <w:pPr>
                      <w:spacing w:line="240" w:lineRule="exact" w:before="0"/>
                      <w:ind w:left="0" w:right="-20" w:firstLine="0"/>
                      <w:jc w:val="left"/>
                      <w:rPr>
                        <w:rFonts w:ascii="Times New Roman"/>
                        <w:sz w:val="24"/>
                      </w:rPr>
                    </w:pPr>
                    <w:r>
                      <w:rPr>
                        <w:rFonts w:ascii="Times New Roman"/>
                        <w:sz w:val="24"/>
                      </w:rPr>
                      <w:t>d)</w:t>
                    </w:r>
                  </w:p>
                </w:txbxContent>
              </v:textbox>
              <w10:wrap type="none"/>
            </v:shape>
            <v:shape style="position:absolute;left:2857;top:7033;width:190;height:240" type="#_x0000_t202" filled="false" stroked="false">
              <v:textbox inset="0,0,0,0">
                <w:txbxContent>
                  <w:p>
                    <w:pPr>
                      <w:spacing w:line="240" w:lineRule="exact" w:before="0"/>
                      <w:ind w:left="0" w:right="-17" w:firstLine="0"/>
                      <w:jc w:val="left"/>
                      <w:rPr>
                        <w:rFonts w:ascii="Times New Roman"/>
                        <w:sz w:val="24"/>
                      </w:rPr>
                    </w:pPr>
                    <w:r>
                      <w:rPr>
                        <w:rFonts w:ascii="Times New Roman"/>
                        <w:sz w:val="24"/>
                      </w:rPr>
                      <w:t>e)</w:t>
                    </w:r>
                  </w:p>
                </w:txbxContent>
              </v:textbox>
              <w10:wrap type="none"/>
            </v:shape>
          </v:group>
        </w:pict>
      </w:r>
      <w:r>
        <w:rPr>
          <w:sz w:val="20"/>
        </w:rPr>
      </w:r>
    </w:p>
    <w:p>
      <w:pPr>
        <w:pStyle w:val="BodyText"/>
        <w:spacing w:before="5"/>
        <w:rPr>
          <w:sz w:val="21"/>
        </w:rPr>
      </w:pPr>
    </w:p>
    <w:p>
      <w:pPr>
        <w:spacing w:before="78"/>
        <w:ind w:left="1196" w:right="450" w:hanging="793"/>
        <w:jc w:val="left"/>
        <w:rPr>
          <w:sz w:val="20"/>
        </w:rPr>
      </w:pPr>
      <w:bookmarkStart w:name="_bookmark96" w:id="148"/>
      <w:bookmarkEnd w:id="148"/>
      <w:r>
        <w:rPr/>
      </w:r>
      <w:r>
        <w:rPr>
          <w:sz w:val="20"/>
        </w:rPr>
        <w:t>Figura 33. Paciente 3: a) imagen del sistema de planeación. b) película radiográfica EDR2. c) superposición de distribuciones. d) mapa del índice gamma. e) histograma</w:t>
      </w:r>
    </w:p>
    <w:p>
      <w:pPr>
        <w:spacing w:after="0"/>
        <w:jc w:val="left"/>
        <w:rPr>
          <w:sz w:val="20"/>
        </w:rPr>
        <w:sectPr>
          <w:pgSz w:w="12240" w:h="15840"/>
          <w:pgMar w:header="0" w:footer="1034" w:top="1500" w:bottom="1220" w:left="1640" w:right="1580"/>
        </w:sectPr>
      </w:pPr>
    </w:p>
    <w:p>
      <w:pPr>
        <w:pStyle w:val="BodyText"/>
        <w:spacing w:before="7"/>
        <w:rPr>
          <w:sz w:val="13"/>
        </w:rPr>
      </w:pPr>
    </w:p>
    <w:p>
      <w:pPr>
        <w:pStyle w:val="BodyText"/>
        <w:ind w:left="116"/>
        <w:rPr>
          <w:sz w:val="20"/>
        </w:rPr>
      </w:pPr>
      <w:r>
        <w:rPr>
          <w:sz w:val="20"/>
        </w:rPr>
        <w:pict>
          <v:group style="width:439.5pt;height:532.950pt;mso-position-horizontal-relative:char;mso-position-vertical-relative:line" coordorigin="0,0" coordsize="8790,10659">
            <v:shape style="position:absolute;left:0;top:0;width:8789;height:3553" type="#_x0000_t75" stroked="false">
              <v:imagedata r:id="rId52" o:title=""/>
            </v:shape>
            <v:shape style="position:absolute;left:0;top:3553;width:8789;height:3553" type="#_x0000_t75" stroked="false">
              <v:imagedata r:id="rId53" o:title=""/>
            </v:shape>
            <v:shape style="position:absolute;left:2225;top:7106;width:4395;height:3553" type="#_x0000_t75" stroked="false">
              <v:imagedata r:id="rId54" o:title=""/>
            </v:shape>
            <v:shape style="position:absolute;left:776;top:25;width:508;height:268" type="#_x0000_t75" stroked="false">
              <v:imagedata r:id="rId51" o:title=""/>
            </v:shape>
            <v:shape style="position:absolute;left:5132;top:25;width:508;height:268" type="#_x0000_t75" stroked="false">
              <v:imagedata r:id="rId51" o:title=""/>
            </v:shape>
            <v:shape style="position:absolute;left:664;top:3485;width:508;height:268" type="#_x0000_t75" stroked="false">
              <v:imagedata r:id="rId51" o:title=""/>
            </v:shape>
            <v:shape style="position:absolute;left:5132;top:3429;width:508;height:268" type="#_x0000_t75" stroked="false">
              <v:imagedata r:id="rId51" o:title=""/>
            </v:shape>
            <v:shape style="position:absolute;left:3000;top:6981;width:508;height:272" type="#_x0000_t75" stroked="false">
              <v:imagedata r:id="rId51" o:title=""/>
            </v:shape>
            <v:shape style="position:absolute;left:917;top:44;width:190;height:240" type="#_x0000_t202" filled="false" stroked="false">
              <v:textbox inset="0,0,0,0">
                <w:txbxContent>
                  <w:p>
                    <w:pPr>
                      <w:spacing w:line="240" w:lineRule="exact" w:before="0"/>
                      <w:ind w:left="0" w:right="-17" w:firstLine="0"/>
                      <w:jc w:val="left"/>
                      <w:rPr>
                        <w:rFonts w:ascii="Times New Roman"/>
                        <w:sz w:val="24"/>
                      </w:rPr>
                    </w:pPr>
                    <w:r>
                      <w:rPr>
                        <w:rFonts w:ascii="Times New Roman"/>
                        <w:sz w:val="24"/>
                      </w:rPr>
                      <w:t>a)</w:t>
                    </w:r>
                  </w:p>
                </w:txbxContent>
              </v:textbox>
              <w10:wrap type="none"/>
            </v:shape>
            <v:shape style="position:absolute;left:5278;top:44;width:200;height:240" type="#_x0000_t202" filled="false" stroked="false">
              <v:textbox inset="0,0,0,0">
                <w:txbxContent>
                  <w:p>
                    <w:pPr>
                      <w:spacing w:line="240" w:lineRule="exact" w:before="0"/>
                      <w:ind w:left="0" w:right="-20" w:firstLine="0"/>
                      <w:jc w:val="left"/>
                      <w:rPr>
                        <w:rFonts w:ascii="Times New Roman"/>
                        <w:sz w:val="24"/>
                      </w:rPr>
                    </w:pPr>
                    <w:r>
                      <w:rPr>
                        <w:rFonts w:ascii="Times New Roman"/>
                        <w:sz w:val="24"/>
                      </w:rPr>
                      <w:t>b)</w:t>
                    </w:r>
                  </w:p>
                </w:txbxContent>
              </v:textbox>
              <w10:wrap type="none"/>
            </v:shape>
            <v:shape style="position:absolute;left:809;top:3505;width:190;height:240" type="#_x0000_t202" filled="false" stroked="false">
              <v:textbox inset="0,0,0,0">
                <w:txbxContent>
                  <w:p>
                    <w:pPr>
                      <w:spacing w:line="240" w:lineRule="exact" w:before="0"/>
                      <w:ind w:left="0" w:right="-17" w:firstLine="0"/>
                      <w:jc w:val="left"/>
                      <w:rPr>
                        <w:rFonts w:ascii="Times New Roman"/>
                        <w:sz w:val="24"/>
                      </w:rPr>
                    </w:pPr>
                    <w:r>
                      <w:rPr>
                        <w:rFonts w:ascii="Times New Roman"/>
                        <w:sz w:val="24"/>
                      </w:rPr>
                      <w:t>c)</w:t>
                    </w:r>
                  </w:p>
                </w:txbxContent>
              </v:textbox>
              <w10:wrap type="none"/>
            </v:shape>
            <v:shape style="position:absolute;left:5278;top:3453;width:200;height:240" type="#_x0000_t202" filled="false" stroked="false">
              <v:textbox inset="0,0,0,0">
                <w:txbxContent>
                  <w:p>
                    <w:pPr>
                      <w:spacing w:line="240" w:lineRule="exact" w:before="0"/>
                      <w:ind w:left="0" w:right="-20" w:firstLine="0"/>
                      <w:jc w:val="left"/>
                      <w:rPr>
                        <w:rFonts w:ascii="Times New Roman"/>
                        <w:sz w:val="24"/>
                      </w:rPr>
                    </w:pPr>
                    <w:r>
                      <w:rPr>
                        <w:rFonts w:ascii="Times New Roman"/>
                        <w:sz w:val="24"/>
                      </w:rPr>
                      <w:t>d)</w:t>
                    </w:r>
                  </w:p>
                </w:txbxContent>
              </v:textbox>
              <w10:wrap type="none"/>
            </v:shape>
            <v:shape style="position:absolute;left:3146;top:7006;width:190;height:240" type="#_x0000_t202" filled="false" stroked="false">
              <v:textbox inset="0,0,0,0">
                <w:txbxContent>
                  <w:p>
                    <w:pPr>
                      <w:spacing w:line="240" w:lineRule="exact" w:before="0"/>
                      <w:ind w:left="0" w:right="-17" w:firstLine="0"/>
                      <w:jc w:val="left"/>
                      <w:rPr>
                        <w:rFonts w:ascii="Times New Roman"/>
                        <w:sz w:val="24"/>
                      </w:rPr>
                    </w:pPr>
                    <w:r>
                      <w:rPr>
                        <w:rFonts w:ascii="Times New Roman"/>
                        <w:sz w:val="24"/>
                      </w:rPr>
                      <w:t>e)</w:t>
                    </w:r>
                  </w:p>
                </w:txbxContent>
              </v:textbox>
              <w10:wrap type="none"/>
            </v:shape>
          </v:group>
        </w:pict>
      </w:r>
      <w:r>
        <w:rPr>
          <w:sz w:val="20"/>
        </w:rPr>
      </w:r>
    </w:p>
    <w:p>
      <w:pPr>
        <w:pStyle w:val="BodyText"/>
        <w:spacing w:before="7"/>
      </w:pPr>
    </w:p>
    <w:p>
      <w:pPr>
        <w:tabs>
          <w:tab w:pos="8726" w:val="left" w:leader="none"/>
        </w:tabs>
        <w:spacing w:before="78"/>
        <w:ind w:left="1236" w:right="144" w:hanging="1093"/>
        <w:jc w:val="left"/>
        <w:rPr>
          <w:sz w:val="20"/>
        </w:rPr>
      </w:pPr>
      <w:bookmarkStart w:name="_bookmark97" w:id="149"/>
      <w:bookmarkEnd w:id="149"/>
      <w:r>
        <w:rPr/>
      </w:r>
      <w:r>
        <w:rPr>
          <w:sz w:val="20"/>
        </w:rPr>
        <w:t>Figura 34. Paciente 3: a) imagen del sistema de planeación. b) película</w:t>
      </w:r>
      <w:r>
        <w:rPr>
          <w:spacing w:val="-20"/>
          <w:sz w:val="20"/>
        </w:rPr>
        <w:t> </w:t>
      </w:r>
      <w:r>
        <w:rPr>
          <w:sz w:val="20"/>
        </w:rPr>
        <w:t>radiocrómica</w:t>
      </w:r>
      <w:r>
        <w:rPr>
          <w:spacing w:val="-2"/>
          <w:sz w:val="20"/>
        </w:rPr>
        <w:t> </w:t>
      </w:r>
      <w:r>
        <w:rPr>
          <w:sz w:val="20"/>
        </w:rPr>
        <w:t>EBT3.</w:t>
        <w:tab/>
        <w:t>c) superposición de distribuciones. d) mapa del índice gamma. e)</w:t>
      </w:r>
      <w:r>
        <w:rPr>
          <w:spacing w:val="-27"/>
          <w:sz w:val="20"/>
        </w:rPr>
        <w:t> </w:t>
      </w:r>
      <w:r>
        <w:rPr>
          <w:sz w:val="20"/>
        </w:rPr>
        <w:t>histograma</w:t>
      </w:r>
    </w:p>
    <w:p>
      <w:pPr>
        <w:spacing w:after="0"/>
        <w:jc w:val="left"/>
        <w:rPr>
          <w:sz w:val="20"/>
        </w:rPr>
        <w:sectPr>
          <w:pgSz w:w="12240" w:h="15840"/>
          <w:pgMar w:header="0" w:footer="1034" w:top="1500" w:bottom="1220" w:left="1600" w:right="1600"/>
        </w:sectPr>
      </w:pPr>
    </w:p>
    <w:p>
      <w:pPr>
        <w:pStyle w:val="BodyText"/>
        <w:spacing w:line="360" w:lineRule="auto" w:before="55"/>
        <w:ind w:left="100" w:right="115"/>
        <w:jc w:val="both"/>
      </w:pPr>
      <w:r>
        <w:rPr/>
        <w:t>En la </w:t>
      </w:r>
      <w:hyperlink w:history="true" w:anchor="_bookmark96">
        <w:r>
          <w:rPr>
            <w:b/>
            <w:sz w:val="20"/>
          </w:rPr>
          <w:t>Figura 33</w:t>
        </w:r>
      </w:hyperlink>
      <w:r>
        <w:rPr/>
        <w:t>, la inspección visual de las imágenes correspondientes a la superposición del plan calculado con el sistema de planeación y las mediciones con películas radiográficas muestra que se tiene una buena coincidencia entre los bordes de ambas distribuciones (c). Sin embargo, como puede apreciarse en (d), que existe una diferencia en los resultados del índice gamma en la zona central. Las regiones en color verde corresponden a aquellas en las que el porcentaje de puntos con </w:t>
      </w:r>
      <w:r>
        <w:rPr>
          <w:rFonts w:ascii="Calibri" w:hAnsi="Calibri"/>
        </w:rPr>
        <w:t>γ</w:t>
      </w:r>
      <w:r>
        <w:rPr/>
        <w:t>&lt;1 es mayor al 90%; el amarillo corresponde a zonas con un </w:t>
      </w:r>
      <w:r>
        <w:rPr>
          <w:rFonts w:ascii="Calibri" w:hAnsi="Calibri"/>
        </w:rPr>
        <w:t>γ</w:t>
      </w:r>
      <w:r>
        <w:rPr/>
        <w:t>&lt;1 entre 75 y 90% y en rojo este porcentaje es &lt;75%.  En los planes en los cuales  los porcentajes de aceptación del índice gamma fueron menores al 90%, se observa una sobreestimación de la dosis medida con las películas radiográficas, evidente en las zonas de alto gradiente y altas dosis. La </w:t>
      </w:r>
      <w:hyperlink w:history="true" w:anchor="_bookmark97">
        <w:r>
          <w:rPr>
            <w:b/>
            <w:sz w:val="20"/>
          </w:rPr>
          <w:t>Figura 34</w:t>
        </w:r>
      </w:hyperlink>
      <w:r>
        <w:rPr/>
        <w:t>, que corresponde a los análisis realizados con las películas radiocrómicas, se observa una marcada predominancia de zonas verdes en el mapa del índice gamma, a la vez que las regiones en amarillo y rojo son mucho más escasas.</w:t>
      </w:r>
    </w:p>
    <w:p>
      <w:pPr>
        <w:pStyle w:val="BodyText"/>
      </w:pPr>
    </w:p>
    <w:p>
      <w:pPr>
        <w:pStyle w:val="BodyText"/>
        <w:spacing w:line="360" w:lineRule="auto" w:before="127"/>
        <w:ind w:left="100" w:right="116"/>
        <w:jc w:val="both"/>
      </w:pPr>
      <w:r>
        <w:rPr/>
        <w:t>Un factor que podría ocasionar esta sobreestimación de la dosis es la sensibilidad de las películas radiográficas a fotones dispersos de bajas energías, hasta 400 keV. Esto debido a la composición de la película, ya que los átomos de plata de la emulsión aumentan la probabilidad de interacciones fotoeléctricas, que en realidad serían menores en tejido o bien, en el maniquí solido utilizado en la calibración o para llevar a cabo las mediciones de dosis (Burch, et al., 1997).</w:t>
      </w:r>
    </w:p>
    <w:p>
      <w:pPr>
        <w:pStyle w:val="BodyText"/>
      </w:pPr>
    </w:p>
    <w:p>
      <w:pPr>
        <w:pStyle w:val="BodyText"/>
        <w:spacing w:line="360" w:lineRule="auto" w:before="127"/>
        <w:ind w:left="100" w:right="116"/>
        <w:jc w:val="both"/>
      </w:pPr>
      <w:r>
        <w:rPr/>
        <w:t>Debido a esto, algunos autores como </w:t>
      </w:r>
      <w:r>
        <w:rPr>
          <w:i/>
        </w:rPr>
        <w:t>Burch el al </w:t>
      </w:r>
      <w:r>
        <w:rPr/>
        <w:t>han recomendado la utilización de placas de plomo por arriba y por debajo de la película radiográfica en el proceso de calibración de la misma. En el presente trabajo no se dispuso de esta adecuación, por lo que la dosis acumulada debido a los fotones dispersos de baja energía podría haber causado la sobrerespuesta de la película en las regiones de altas de dosis. A pesar de esto, como se mostró, esta sobreestimación no es mayor al 5% con respecto a la dosis calculada con el sistema de planeación.</w:t>
      </w:r>
    </w:p>
    <w:p>
      <w:pPr>
        <w:pStyle w:val="BodyText"/>
      </w:pPr>
    </w:p>
    <w:p>
      <w:pPr>
        <w:pStyle w:val="BodyText"/>
        <w:spacing w:line="360" w:lineRule="auto" w:before="127"/>
        <w:ind w:left="100" w:right="116"/>
        <w:jc w:val="both"/>
      </w:pPr>
      <w:r>
        <w:rPr/>
        <w:t>No puede descartarse la influencia del proceso de revelado, ya que el procesador utilizado es un equipo antiguo que escasamente recibe el mantenimiento adecuado, por lo que valores de concentración de líquidos, control de temperatura del líquido de revelado y en el proceso de secado pudieran no estar dentro de los parámetros idóneos especificados por el fabricante, comprometiendo la densidad óptica de la película.</w:t>
      </w:r>
    </w:p>
    <w:p>
      <w:pPr>
        <w:spacing w:after="0" w:line="360" w:lineRule="auto"/>
        <w:jc w:val="both"/>
        <w:sectPr>
          <w:pgSz w:w="12240" w:h="15840"/>
          <w:pgMar w:header="0" w:footer="1034" w:top="1360" w:bottom="1220" w:left="1600" w:right="1580"/>
        </w:sectPr>
      </w:pPr>
    </w:p>
    <w:p>
      <w:pPr>
        <w:pStyle w:val="BodyText"/>
        <w:spacing w:line="360" w:lineRule="auto" w:before="55"/>
        <w:ind w:left="100" w:right="113"/>
        <w:jc w:val="both"/>
      </w:pPr>
      <w:r>
        <w:rPr/>
        <w:t>En la </w:t>
      </w:r>
      <w:hyperlink w:history="true" w:anchor="_bookmark98">
        <w:r>
          <w:rPr>
            <w:b/>
            <w:sz w:val="20"/>
          </w:rPr>
          <w:t>Figura 35</w:t>
        </w:r>
      </w:hyperlink>
      <w:r>
        <w:rPr>
          <w:b/>
          <w:sz w:val="20"/>
        </w:rPr>
        <w:t> </w:t>
      </w:r>
      <w:r>
        <w:rPr/>
        <w:t>se muestra una comparación entre el porcentaje de puntos que cumplen el criterio de 3%/3 mm, para las películas radiográficas y las radiocrómicas. Todos los planes analizados con las películas radiocrómicas cumplen con un porcentaje de puntos con </w:t>
      </w:r>
      <w:r>
        <w:rPr>
          <w:rFonts w:ascii="Calibri" w:hAnsi="Calibri"/>
        </w:rPr>
        <w:t>γ</w:t>
      </w:r>
      <w:r>
        <w:rPr/>
        <w:t>&lt;1 mayor al 90%, y este porcentaje es mayor en comparación a las distribuciones medidas con las películas radiográficas, excepto para los primeros dos pacientes. El proceso de calibración y lectura de las películas radiocrómicas es más simple y se lleva a cabo de forma más rápida, por tanto, los resultados indican que las películas radiocrómicas pueden sustituir a las películas radiográficas en los controles de calidad paciente-especifico en tratamientos de IMRT, utilizando materiales y equipos disponibles para el personal de la institución donde se llevaron a cabo las pruebas, incluso, con una mayor precisión y menor variabilidad en las lecturas.</w:t>
      </w:r>
    </w:p>
    <w:p>
      <w:pPr>
        <w:pStyle w:val="BodyText"/>
        <w:rPr>
          <w:sz w:val="27"/>
        </w:rPr>
      </w:pPr>
    </w:p>
    <w:p>
      <w:pPr>
        <w:spacing w:before="60"/>
        <w:ind w:left="1175" w:right="155" w:firstLine="0"/>
        <w:jc w:val="left"/>
        <w:rPr>
          <w:rFonts w:ascii="Calibri"/>
          <w:sz w:val="20"/>
        </w:rPr>
      </w:pPr>
      <w:r>
        <w:rPr/>
        <w:pict>
          <v:group style="position:absolute;margin-left:159.634995pt;margin-top:8.391491pt;width:264.2pt;height:174.5pt;mso-position-horizontal-relative:page;mso-position-vertical-relative:paragraph;z-index:-103552" coordorigin="3193,168" coordsize="5284,3490">
            <v:shape style="position:absolute;left:3200;top:190;width:4843;height:3461" coordorigin="3200,190" coordsize="4843,3461" path="m3264,3018l8043,3018m3264,2454l8043,2454m3264,1886l8043,1886m3264,1322l8043,1322m3264,754l8043,754m3264,190l8043,190m3264,3586l3264,190m3200,3586l3264,3586m3200,3018l3264,3018m3200,2454l3264,2454m3200,1886l3264,1886m3200,1322l3264,1322m3200,754l3264,754m3200,190l3264,190m3264,3586l8043,3586m3264,3586l3264,3650m3796,3586l3796,3650m4324,3586l4324,3650m4856,3586l4856,3650m5388,3586l5388,3650m5920,3586l5920,3650m6448,3586l6448,3650m6980,3586l6980,3650m7512,3586l7512,3650m8043,3586l8043,3650e" filled="false" stroked="true" strokeweight=".75pt" strokecolor="#858585">
              <v:path arrowok="t"/>
            </v:shape>
            <v:shape style="position:absolute;left:3529;top:212;width:4249;height:1019" coordorigin="3529,212" coordsize="4249,1019" path="m3529,926l4060,1231,4592,302,5124,290,5652,494,6184,518,6716,212,7248,506,7777,246e" filled="false" stroked="true" strokeweight="1.75pt" strokecolor="#497dba">
              <v:path arrowok="t"/>
            </v:shape>
            <v:shape style="position:absolute;left:3488;top:888;width:80;height:80" coordorigin="3488,888" coordsize="80,80" path="m3528,888l3488,928,3528,968,3568,928,3528,888xe" filled="true" fillcolor="#4f81bc" stroked="false">
              <v:path arrowok="t"/>
              <v:fill type="solid"/>
            </v:shape>
            <v:shape style="position:absolute;left:3488;top:888;width:80;height:80" coordorigin="3488,888" coordsize="80,80" path="m3528,888l3568,928,3528,968,3488,928,3528,888xe" filled="false" stroked="true" strokeweight=".8pt" strokecolor="#497dba">
              <v:path arrowok="t"/>
            </v:shape>
            <v:shape style="position:absolute;left:4020;top:1192;width:80;height:80" coordorigin="4020,1192" coordsize="80,80" path="m4060,1192l4020,1232,4060,1272,4100,1232,4060,1192xe" filled="true" fillcolor="#4f81bc" stroked="false">
              <v:path arrowok="t"/>
              <v:fill type="solid"/>
            </v:shape>
            <v:shape style="position:absolute;left:4020;top:1192;width:80;height:80" coordorigin="4020,1192" coordsize="80,80" path="m4060,1192l4100,1232,4060,1272,4020,1232,4060,1192xe" filled="false" stroked="true" strokeweight=".8pt" strokecolor="#497dba">
              <v:path arrowok="t"/>
            </v:shape>
            <v:shape style="position:absolute;left:4552;top:264;width:80;height:80" coordorigin="4552,264" coordsize="80,80" path="m4592,264l4552,304,4592,344,4632,304,4592,264xe" filled="true" fillcolor="#4f81bc" stroked="false">
              <v:path arrowok="t"/>
              <v:fill type="solid"/>
            </v:shape>
            <v:shape style="position:absolute;left:4552;top:264;width:80;height:80" coordorigin="4552,264" coordsize="80,80" path="m4592,264l4632,304,4592,344,4552,304,4592,264xe" filled="false" stroked="true" strokeweight=".8pt" strokecolor="#497dba">
              <v:path arrowok="t"/>
            </v:shape>
            <v:shape style="position:absolute;left:5084;top:252;width:80;height:80" coordorigin="5084,252" coordsize="80,80" path="m5124,252l5084,292,5124,332,5164,292,5124,252xe" filled="true" fillcolor="#4f81bc" stroked="false">
              <v:path arrowok="t"/>
              <v:fill type="solid"/>
            </v:shape>
            <v:shape style="position:absolute;left:5084;top:252;width:80;height:80" coordorigin="5084,252" coordsize="80,80" path="m5124,252l5164,292,5124,332,5084,292,5124,252xe" filled="false" stroked="true" strokeweight=".8pt" strokecolor="#497dba">
              <v:path arrowok="t"/>
            </v:shape>
            <v:shape style="position:absolute;left:5612;top:456;width:80;height:80" coordorigin="5612,456" coordsize="80,80" path="m5652,456l5612,496,5652,536,5692,496,5652,456xe" filled="true" fillcolor="#4f81bc" stroked="false">
              <v:path arrowok="t"/>
              <v:fill type="solid"/>
            </v:shape>
            <v:shape style="position:absolute;left:5612;top:456;width:80;height:80" coordorigin="5612,456" coordsize="80,80" path="m5652,456l5692,496,5652,536,5612,496,5652,456xe" filled="false" stroked="true" strokeweight=".8pt" strokecolor="#497dba">
              <v:path arrowok="t"/>
            </v:shape>
            <v:shape style="position:absolute;left:6144;top:480;width:80;height:80" coordorigin="6144,480" coordsize="80,80" path="m6184,480l6144,520,6184,560,6224,520,6184,480xe" filled="true" fillcolor="#4f81bc" stroked="false">
              <v:path arrowok="t"/>
              <v:fill type="solid"/>
            </v:shape>
            <v:shape style="position:absolute;left:6144;top:480;width:80;height:80" coordorigin="6144,480" coordsize="80,80" path="m6184,480l6224,520,6184,560,6144,520,6184,480xe" filled="false" stroked="true" strokeweight=".8pt" strokecolor="#497dba">
              <v:path arrowok="t"/>
            </v:shape>
            <v:shape style="position:absolute;left:6676;top:176;width:80;height:80" coordorigin="6676,176" coordsize="80,80" path="m6716,176l6676,216,6716,256,6756,216,6716,176xe" filled="true" fillcolor="#4f81bc" stroked="false">
              <v:path arrowok="t"/>
              <v:fill type="solid"/>
            </v:shape>
            <v:shape style="position:absolute;left:6676;top:176;width:80;height:80" coordorigin="6676,176" coordsize="80,80" path="m6716,176l6756,216,6716,256,6676,216,6716,176xe" filled="false" stroked="true" strokeweight=".8pt" strokecolor="#497dba">
              <v:path arrowok="t"/>
            </v:shape>
            <v:shape style="position:absolute;left:7208;top:468;width:80;height:80" coordorigin="7208,468" coordsize="80,80" path="m7248,468l7208,508,7248,548,7288,508,7248,468xe" filled="true" fillcolor="#4f81bc" stroked="false">
              <v:path arrowok="t"/>
              <v:fill type="solid"/>
            </v:shape>
            <v:shape style="position:absolute;left:7208;top:468;width:80;height:80" coordorigin="7208,468" coordsize="80,80" path="m7248,468l7288,508,7248,548,7208,508,7248,468xe" filled="false" stroked="true" strokeweight=".8pt" strokecolor="#497dba">
              <v:path arrowok="t"/>
            </v:shape>
            <v:shape style="position:absolute;left:7736;top:208;width:80;height:80" coordorigin="7736,208" coordsize="80,80" path="m7776,208l7736,248,7776,288,7816,248,7776,208xe" filled="true" fillcolor="#4f81bc" stroked="false">
              <v:path arrowok="t"/>
              <v:fill type="solid"/>
            </v:shape>
            <v:shape style="position:absolute;left:7736;top:208;width:80;height:80" coordorigin="7736,208" coordsize="80,80" path="m7776,208l7816,248,7776,288,7736,248,7776,208xe" filled="false" stroked="true" strokeweight=".8pt" strokecolor="#497dba">
              <v:path arrowok="t"/>
            </v:shape>
            <v:shape style="position:absolute;left:3529;top:212;width:4249;height:3069" coordorigin="3529,212" coordsize="4249,3069" path="m3529,270l4060,212,4592,2306,5124,686,5652,3010,6184,1014,6716,610,7248,3281,7777,970e" filled="false" stroked="true" strokeweight="1.75pt" strokecolor="#bd4a47">
              <v:path arrowok="t"/>
            </v:shape>
            <v:line style="position:absolute" from="3488,272" to="3568,272" stroked="true" strokeweight="4pt" strokecolor="#c0504d"/>
            <v:rect style="position:absolute;left:3488;top:232;width:80;height:80" filled="false" stroked="true" strokeweight=".8pt" strokecolor="#bd4a47"/>
            <v:line style="position:absolute" from="4020,216" to="4100,216" stroked="true" strokeweight="4pt" strokecolor="#c0504d"/>
            <v:rect style="position:absolute;left:4020;top:176;width:80;height:80" filled="false" stroked="true" strokeweight=".8pt" strokecolor="#bd4a47"/>
            <v:line style="position:absolute" from="4552,2308" to="4632,2308" stroked="true" strokeweight="4pt" strokecolor="#c0504d"/>
            <v:rect style="position:absolute;left:4552;top:2268;width:80;height:80" filled="false" stroked="true" strokeweight=".8pt" strokecolor="#bd4a47"/>
            <v:line style="position:absolute" from="5084,688" to="5164,688" stroked="true" strokeweight="4pt" strokecolor="#c0504d"/>
            <v:rect style="position:absolute;left:5084;top:648;width:80;height:80" filled="false" stroked="true" strokeweight=".8pt" strokecolor="#bd4a47"/>
            <v:line style="position:absolute" from="5612,3012" to="5692,3012" stroked="true" strokeweight="4pt" strokecolor="#c0504d"/>
            <v:rect style="position:absolute;left:5612;top:2972;width:80;height:80" filled="false" stroked="true" strokeweight=".8pt" strokecolor="#bd4a47"/>
            <v:line style="position:absolute" from="6144,1016" to="6224,1016" stroked="true" strokeweight="4pt" strokecolor="#c0504d"/>
            <v:rect style="position:absolute;left:6144;top:976;width:80;height:80" filled="false" stroked="true" strokeweight=".8pt" strokecolor="#bd4a47"/>
            <v:line style="position:absolute" from="6676,612" to="6756,612" stroked="true" strokeweight="4pt" strokecolor="#c0504d"/>
            <v:rect style="position:absolute;left:6676;top:572;width:80;height:80" filled="false" stroked="true" strokeweight=".8pt" strokecolor="#bd4a47"/>
            <v:line style="position:absolute" from="7208,3284" to="7288,3284" stroked="true" strokeweight="4pt" strokecolor="#c0504d"/>
            <v:rect style="position:absolute;left:7208;top:3244;width:80;height:80" filled="false" stroked="true" strokeweight=".8pt" strokecolor="#bd4a47"/>
            <v:line style="position:absolute" from="7736,972" to="7816,972" stroked="true" strokeweight="4pt" strokecolor="#c0504d"/>
            <v:rect style="position:absolute;left:7736;top:932;width:80;height:80" filled="false" stroked="true" strokeweight=".8pt" strokecolor="#bd4a47"/>
            <v:line style="position:absolute" from="8075,1432" to="8459,1432" stroked="true" strokeweight="1.75pt" strokecolor="#497dba"/>
            <v:shape style="position:absolute;left:8224;top:1390;width:80;height:80" coordorigin="8224,1390" coordsize="80,80" path="m8264,1390l8224,1430,8264,1470,8304,1430,8264,1390xe" filled="true" fillcolor="#4f81bc" stroked="false">
              <v:path arrowok="t"/>
              <v:fill type="solid"/>
            </v:shape>
            <v:shape style="position:absolute;left:8224;top:1390;width:80;height:80" coordorigin="8224,1390" coordsize="80,80" path="m8264,1390l8304,1430,8264,1470,8224,1430,8264,1390xe" filled="false" stroked="true" strokeweight=".8pt" strokecolor="#497dba">
              <v:path arrowok="t"/>
            </v:shape>
            <v:line style="position:absolute" from="8075,1958" to="8459,1958" stroked="true" strokeweight="1.75pt" strokecolor="#bd4a47"/>
            <v:line style="position:absolute" from="8224,1954" to="8304,1954" stroked="true" strokeweight="4pt" strokecolor="#c0504d"/>
            <v:rect style="position:absolute;left:8224;top:1914;width:80;height:80" filled="false" stroked="true" strokeweight=".75pt" strokecolor="#bd4a47"/>
            <w10:wrap type="none"/>
          </v:group>
        </w:pict>
      </w:r>
      <w:r>
        <w:rPr>
          <w:rFonts w:ascii="Calibri"/>
          <w:sz w:val="20"/>
        </w:rPr>
        <w:t>100</w:t>
      </w:r>
    </w:p>
    <w:p>
      <w:pPr>
        <w:pStyle w:val="BodyText"/>
        <w:spacing w:before="5"/>
        <w:rPr>
          <w:rFonts w:ascii="Calibri"/>
          <w:sz w:val="21"/>
        </w:rPr>
      </w:pPr>
    </w:p>
    <w:p>
      <w:pPr>
        <w:spacing w:before="60"/>
        <w:ind w:left="1276" w:right="155" w:firstLine="0"/>
        <w:jc w:val="left"/>
        <w:rPr>
          <w:rFonts w:ascii="Calibri"/>
          <w:sz w:val="20"/>
        </w:rPr>
      </w:pPr>
      <w:r>
        <w:rPr>
          <w:rFonts w:ascii="Calibri"/>
          <w:sz w:val="20"/>
        </w:rPr>
        <w:t>95</w:t>
      </w:r>
    </w:p>
    <w:p>
      <w:pPr>
        <w:pStyle w:val="BodyText"/>
        <w:spacing w:before="6"/>
        <w:rPr>
          <w:rFonts w:ascii="Calibri"/>
          <w:sz w:val="21"/>
        </w:rPr>
      </w:pPr>
    </w:p>
    <w:p>
      <w:pPr>
        <w:tabs>
          <w:tab w:pos="6901" w:val="left" w:leader="none"/>
        </w:tabs>
        <w:spacing w:line="354" w:lineRule="exact" w:before="60"/>
        <w:ind w:left="1276" w:right="155" w:firstLine="0"/>
        <w:jc w:val="left"/>
        <w:rPr>
          <w:rFonts w:ascii="Calibri"/>
          <w:sz w:val="20"/>
        </w:rPr>
      </w:pPr>
      <w:r>
        <w:rPr/>
        <w:pict>
          <v:shape style="position:absolute;margin-left:124.650002pt;margin-top:19.492228pt;width:12pt;height:36.85pt;mso-position-horizontal-relative:page;mso-position-vertical-relative:paragraph;z-index:3520"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w:t>
                  </w:r>
                  <w:r>
                    <w:rPr>
                      <w:rFonts w:ascii="Calibri" w:hAnsi="Calibri"/>
                      <w:b/>
                      <w:spacing w:val="1"/>
                      <w:sz w:val="20"/>
                    </w:rPr>
                    <w:t> </w:t>
                  </w:r>
                  <w:r>
                    <w:rPr>
                      <w:rFonts w:ascii="Calibri" w:hAnsi="Calibri"/>
                      <w:b/>
                      <w:w w:val="99"/>
                      <w:sz w:val="20"/>
                    </w:rPr>
                    <w:t>γ</w:t>
                  </w:r>
                  <w:r>
                    <w:rPr>
                      <w:rFonts w:ascii="Calibri" w:hAnsi="Calibri"/>
                      <w:b/>
                      <w:spacing w:val="-3"/>
                      <w:sz w:val="20"/>
                    </w:rPr>
                    <w:t> </w:t>
                  </w:r>
                  <w:r>
                    <w:rPr>
                      <w:rFonts w:ascii="Calibri" w:hAnsi="Calibri"/>
                      <w:b/>
                      <w:spacing w:val="1"/>
                      <w:sz w:val="20"/>
                    </w:rPr>
                    <w:t>pa</w:t>
                  </w:r>
                  <w:r>
                    <w:rPr>
                      <w:rFonts w:ascii="Calibri" w:hAnsi="Calibri"/>
                      <w:b/>
                      <w:sz w:val="20"/>
                    </w:rPr>
                    <w:t>ss</w:t>
                  </w:r>
                </w:p>
              </w:txbxContent>
            </v:textbox>
            <w10:wrap type="none"/>
          </v:shape>
        </w:pict>
      </w:r>
      <w:r>
        <w:rPr>
          <w:rFonts w:ascii="Calibri"/>
          <w:position w:val="11"/>
          <w:sz w:val="20"/>
        </w:rPr>
        <w:t>90</w:t>
        <w:tab/>
      </w:r>
      <w:r>
        <w:rPr>
          <w:rFonts w:ascii="Calibri"/>
          <w:sz w:val="20"/>
        </w:rPr>
        <w:t>Peliculas</w:t>
      </w:r>
    </w:p>
    <w:p>
      <w:pPr>
        <w:spacing w:line="228" w:lineRule="exact" w:before="0"/>
        <w:ind w:left="0" w:right="1010" w:firstLine="0"/>
        <w:jc w:val="right"/>
        <w:rPr>
          <w:rFonts w:ascii="Calibri" w:hAnsi="Calibri"/>
          <w:sz w:val="20"/>
        </w:rPr>
      </w:pPr>
      <w:r>
        <w:rPr>
          <w:rFonts w:ascii="Calibri" w:hAnsi="Calibri"/>
          <w:sz w:val="20"/>
        </w:rPr>
        <w:t>radiocrómicas</w:t>
      </w:r>
    </w:p>
    <w:p>
      <w:pPr>
        <w:tabs>
          <w:tab w:pos="6901" w:val="left" w:leader="none"/>
        </w:tabs>
        <w:spacing w:line="298" w:lineRule="exact" w:before="0"/>
        <w:ind w:left="1276" w:right="155" w:firstLine="0"/>
        <w:jc w:val="left"/>
        <w:rPr>
          <w:rFonts w:ascii="Calibri"/>
          <w:sz w:val="20"/>
        </w:rPr>
      </w:pPr>
      <w:r>
        <w:rPr>
          <w:rFonts w:ascii="Calibri"/>
          <w:position w:val="7"/>
          <w:sz w:val="20"/>
        </w:rPr>
        <w:t>85</w:t>
        <w:tab/>
      </w:r>
      <w:r>
        <w:rPr>
          <w:rFonts w:ascii="Calibri"/>
          <w:sz w:val="20"/>
        </w:rPr>
        <w:t>Peliculas</w:t>
      </w:r>
    </w:p>
    <w:p>
      <w:pPr>
        <w:spacing w:before="0"/>
        <w:ind w:left="0" w:right="1110" w:firstLine="0"/>
        <w:jc w:val="right"/>
        <w:rPr>
          <w:rFonts w:ascii="Calibri" w:hAnsi="Calibri"/>
          <w:sz w:val="20"/>
        </w:rPr>
      </w:pPr>
      <w:r>
        <w:rPr>
          <w:rFonts w:ascii="Calibri" w:hAnsi="Calibri"/>
          <w:sz w:val="20"/>
        </w:rPr>
        <w:t>radiográficas</w:t>
      </w:r>
    </w:p>
    <w:p>
      <w:pPr>
        <w:spacing w:before="8"/>
        <w:ind w:left="1276" w:right="155" w:firstLine="0"/>
        <w:jc w:val="left"/>
        <w:rPr>
          <w:rFonts w:ascii="Calibri"/>
          <w:sz w:val="20"/>
        </w:rPr>
      </w:pPr>
      <w:r>
        <w:rPr>
          <w:rFonts w:ascii="Calibri"/>
          <w:sz w:val="20"/>
        </w:rPr>
        <w:t>80</w:t>
      </w:r>
    </w:p>
    <w:p>
      <w:pPr>
        <w:pStyle w:val="BodyText"/>
        <w:spacing w:before="5"/>
        <w:rPr>
          <w:rFonts w:ascii="Calibri"/>
          <w:sz w:val="21"/>
        </w:rPr>
      </w:pPr>
    </w:p>
    <w:p>
      <w:pPr>
        <w:spacing w:before="60"/>
        <w:ind w:left="1276" w:right="155" w:firstLine="0"/>
        <w:jc w:val="left"/>
        <w:rPr>
          <w:rFonts w:ascii="Calibri"/>
          <w:sz w:val="20"/>
        </w:rPr>
      </w:pPr>
      <w:r>
        <w:rPr>
          <w:rFonts w:ascii="Calibri"/>
          <w:sz w:val="20"/>
        </w:rPr>
        <w:t>75</w:t>
      </w:r>
    </w:p>
    <w:p>
      <w:pPr>
        <w:pStyle w:val="BodyText"/>
        <w:spacing w:before="6"/>
        <w:rPr>
          <w:rFonts w:ascii="Calibri"/>
          <w:sz w:val="21"/>
        </w:rPr>
      </w:pPr>
    </w:p>
    <w:p>
      <w:pPr>
        <w:spacing w:before="60"/>
        <w:ind w:left="1276" w:right="155" w:firstLine="0"/>
        <w:jc w:val="left"/>
        <w:rPr>
          <w:rFonts w:ascii="Calibri"/>
          <w:sz w:val="20"/>
        </w:rPr>
      </w:pPr>
      <w:r>
        <w:rPr>
          <w:rFonts w:ascii="Calibri"/>
          <w:sz w:val="20"/>
        </w:rPr>
        <w:t>70</w:t>
      </w:r>
    </w:p>
    <w:p>
      <w:pPr>
        <w:tabs>
          <w:tab w:pos="531" w:val="left" w:leader="none"/>
          <w:tab w:pos="1062" w:val="left" w:leader="none"/>
          <w:tab w:pos="1593" w:val="left" w:leader="none"/>
          <w:tab w:pos="2125" w:val="left" w:leader="none"/>
          <w:tab w:pos="2656" w:val="left" w:leader="none"/>
          <w:tab w:pos="3186" w:val="left" w:leader="none"/>
          <w:tab w:pos="3718" w:val="left" w:leader="none"/>
          <w:tab w:pos="4249" w:val="left" w:leader="none"/>
        </w:tabs>
        <w:spacing w:line="244" w:lineRule="exact" w:before="16"/>
        <w:ind w:left="0" w:right="948" w:firstLine="0"/>
        <w:jc w:val="center"/>
        <w:rPr>
          <w:rFonts w:ascii="Calibri"/>
          <w:sz w:val="20"/>
        </w:rPr>
      </w:pPr>
      <w:r>
        <w:rPr>
          <w:rFonts w:ascii="Calibri"/>
          <w:sz w:val="20"/>
        </w:rPr>
        <w:t>1</w:t>
        <w:tab/>
        <w:t>2</w:t>
        <w:tab/>
        <w:t>3</w:t>
        <w:tab/>
        <w:t>4</w:t>
        <w:tab/>
        <w:t>5</w:t>
        <w:tab/>
        <w:t>6</w:t>
        <w:tab/>
        <w:t>7</w:t>
        <w:tab/>
        <w:t>8</w:t>
        <w:tab/>
        <w:t>9</w:t>
      </w:r>
    </w:p>
    <w:p>
      <w:pPr>
        <w:spacing w:line="244" w:lineRule="exact" w:before="0"/>
        <w:ind w:left="216" w:right="1166" w:firstLine="0"/>
        <w:jc w:val="center"/>
        <w:rPr>
          <w:rFonts w:ascii="Calibri"/>
          <w:b/>
          <w:sz w:val="20"/>
        </w:rPr>
      </w:pPr>
      <w:r>
        <w:rPr>
          <w:rFonts w:ascii="Calibri"/>
          <w:b/>
          <w:sz w:val="20"/>
        </w:rPr>
        <w:t>Pacientes</w:t>
      </w:r>
    </w:p>
    <w:p>
      <w:pPr>
        <w:spacing w:before="21"/>
        <w:ind w:left="3889" w:right="439" w:hanging="3461"/>
        <w:jc w:val="left"/>
        <w:rPr>
          <w:sz w:val="20"/>
        </w:rPr>
      </w:pPr>
      <w:bookmarkStart w:name="_bookmark98" w:id="150"/>
      <w:bookmarkEnd w:id="150"/>
      <w:r>
        <w:rPr/>
      </w:r>
      <w:r>
        <w:rPr>
          <w:sz w:val="20"/>
        </w:rPr>
        <w:t>Figura 35. Porcentaje de puntos con γ&lt;1 para criterios de 3%/3 mm, películas radiográficas y radiocrómicas</w:t>
      </w:r>
    </w:p>
    <w:p>
      <w:pPr>
        <w:spacing w:after="0"/>
        <w:jc w:val="left"/>
        <w:rPr>
          <w:sz w:val="20"/>
        </w:rPr>
        <w:sectPr>
          <w:pgSz w:w="12240" w:h="15840"/>
          <w:pgMar w:header="0" w:footer="1034" w:top="1360" w:bottom="1220" w:left="1600" w:right="1580"/>
        </w:sectPr>
      </w:pPr>
    </w:p>
    <w:p>
      <w:pPr>
        <w:pStyle w:val="Heading1"/>
        <w:numPr>
          <w:ilvl w:val="0"/>
          <w:numId w:val="2"/>
        </w:numPr>
        <w:tabs>
          <w:tab w:pos="461" w:val="left" w:leader="none"/>
        </w:tabs>
        <w:spacing w:line="240" w:lineRule="auto" w:before="35" w:after="0"/>
        <w:ind w:left="460" w:right="0" w:hanging="360"/>
        <w:jc w:val="both"/>
        <w:rPr>
          <w:sz w:val="22"/>
        </w:rPr>
      </w:pPr>
      <w:bookmarkStart w:name="_bookmark99" w:id="151"/>
      <w:bookmarkEnd w:id="151"/>
      <w:r>
        <w:rPr>
          <w:b w:val="0"/>
        </w:rPr>
      </w:r>
      <w:bookmarkStart w:name="_bookmark99" w:id="152"/>
      <w:bookmarkEnd w:id="152"/>
      <w:r>
        <w:rPr/>
        <w:t>Con</w:t>
      </w:r>
      <w:r>
        <w:rPr/>
        <w:t>clusiones</w:t>
      </w:r>
    </w:p>
    <w:p>
      <w:pPr>
        <w:pStyle w:val="BodyText"/>
        <w:rPr>
          <w:b/>
          <w:sz w:val="32"/>
        </w:rPr>
      </w:pPr>
    </w:p>
    <w:p>
      <w:pPr>
        <w:pStyle w:val="BodyText"/>
        <w:spacing w:before="8"/>
        <w:rPr>
          <w:b/>
          <w:sz w:val="25"/>
        </w:rPr>
      </w:pPr>
    </w:p>
    <w:p>
      <w:pPr>
        <w:pStyle w:val="BodyText"/>
        <w:spacing w:line="360" w:lineRule="auto"/>
        <w:ind w:left="100" w:right="129"/>
        <w:jc w:val="both"/>
      </w:pPr>
      <w:r>
        <w:rPr/>
        <w:t>Los canales de color utilizados muestran ser adecuados para la lectura de las películas, sin embargo, el canal rojo es el más indicado para llevar a cabo la dosimetría con las películas radiocrómicas EBT3, como recomiendan diversos autores y el fabricante.</w:t>
      </w:r>
    </w:p>
    <w:p>
      <w:pPr>
        <w:pStyle w:val="BodyText"/>
        <w:spacing w:before="9"/>
        <w:rPr>
          <w:sz w:val="32"/>
        </w:rPr>
      </w:pPr>
    </w:p>
    <w:p>
      <w:pPr>
        <w:pStyle w:val="BodyText"/>
        <w:spacing w:line="360" w:lineRule="auto"/>
        <w:ind w:left="100" w:right="119"/>
        <w:jc w:val="both"/>
      </w:pPr>
      <w:r>
        <w:rPr/>
        <w:t>Diversos ajustes de curvas ofrecen resultados satisfactorios, siendo el mejor un polinomio de grado tres. Sin embargo, en un entorno clínico en el cual existe una gran demanda de servicios de radioterapia, puede utilizarse el ajuste racional, ya que tiene la ventaja de ser más rápido de implementar, con una precisión similar.</w:t>
      </w:r>
    </w:p>
    <w:p>
      <w:pPr>
        <w:pStyle w:val="BodyText"/>
        <w:rPr>
          <w:sz w:val="24"/>
        </w:rPr>
      </w:pPr>
    </w:p>
    <w:p>
      <w:pPr>
        <w:pStyle w:val="BodyText"/>
        <w:spacing w:line="360" w:lineRule="auto"/>
        <w:ind w:left="100" w:right="116"/>
        <w:jc w:val="both"/>
      </w:pPr>
      <w:r>
        <w:rPr/>
        <w:t>Las mediciones de la dosis total en un punto con cámara de ionización muestran  un margen de diferencia de dosis aceptable entre los registros de la cámara y los datos del sistema de planeación, por lo cual el equipo actual utilizado es confiable para este propósito.</w:t>
      </w:r>
    </w:p>
    <w:p>
      <w:pPr>
        <w:pStyle w:val="BodyText"/>
        <w:spacing w:before="3"/>
      </w:pPr>
    </w:p>
    <w:p>
      <w:pPr>
        <w:pStyle w:val="BodyText"/>
        <w:spacing w:line="360" w:lineRule="auto"/>
        <w:ind w:left="100" w:right="117"/>
        <w:jc w:val="both"/>
      </w:pPr>
      <w:r>
        <w:rPr/>
        <w:t>El análisis gamma realizado con las películas radiográficas da como resultado que no todos los planes analizados cumplen con la condición de un </w:t>
      </w:r>
      <w:r>
        <w:rPr>
          <w:rFonts w:ascii="Calibri" w:hAnsi="Calibri"/>
        </w:rPr>
        <w:t>γ</w:t>
      </w:r>
      <w:r>
        <w:rPr/>
        <w:t>&lt;1 para al menos un 90% de los puntos evaluados, con el criterio de 3%/3 mm, sin embargo, todos cumplen esta condición con el criterio de 5%/3 mm. Por otro lado, con la utilización de las películas radiocrómicas el 100% de los planes evaluados cumplen con </w:t>
      </w:r>
      <w:r>
        <w:rPr>
          <w:spacing w:val="4"/>
        </w:rPr>
        <w:t>la </w:t>
      </w:r>
      <w:r>
        <w:rPr/>
        <w:t>restricción de un </w:t>
      </w:r>
      <w:r>
        <w:rPr>
          <w:rFonts w:ascii="Calibri" w:hAnsi="Calibri"/>
        </w:rPr>
        <w:t>γ</w:t>
      </w:r>
      <w:r>
        <w:rPr/>
        <w:t>&lt;1 mayor al 90%  para  el criterio de 3%/3 mm, siendo este porcentaje mayor a medida que se aumenta la tolerancia en la diferencia de dosis. Por tanto, puede concluirse que las películas radiocrómicas EBT3 son una mejor opción a las películas radiográficas en las condiciones evaluadas, para el análisis de distribución de dosis en tratamientos de IMRT, siempre y cuando se sigan cuidadosamente las recomendaciones para su</w:t>
      </w:r>
      <w:r>
        <w:rPr>
          <w:spacing w:val="-33"/>
        </w:rPr>
        <w:t> </w:t>
      </w:r>
      <w:r>
        <w:rPr/>
        <w:t>manejo.</w:t>
      </w:r>
    </w:p>
    <w:p>
      <w:pPr>
        <w:spacing w:after="0" w:line="360" w:lineRule="auto"/>
        <w:jc w:val="both"/>
        <w:sectPr>
          <w:pgSz w:w="12240" w:h="15840"/>
          <w:pgMar w:header="0" w:footer="1034" w:top="1380" w:bottom="1220" w:left="1600" w:right="1580"/>
        </w:sectPr>
      </w:pPr>
    </w:p>
    <w:p>
      <w:pPr>
        <w:pStyle w:val="Heading1"/>
        <w:numPr>
          <w:ilvl w:val="0"/>
          <w:numId w:val="2"/>
        </w:numPr>
        <w:tabs>
          <w:tab w:pos="461" w:val="left" w:leader="none"/>
        </w:tabs>
        <w:spacing w:line="240" w:lineRule="auto" w:before="51" w:after="0"/>
        <w:ind w:left="460" w:right="0" w:hanging="360"/>
        <w:jc w:val="both"/>
      </w:pPr>
      <w:bookmarkStart w:name="_bookmark100" w:id="153"/>
      <w:bookmarkEnd w:id="153"/>
      <w:r>
        <w:rPr>
          <w:b w:val="0"/>
        </w:rPr>
      </w:r>
      <w:bookmarkStart w:name="_bookmark100" w:id="154"/>
      <w:bookmarkEnd w:id="154"/>
      <w:r>
        <w:rPr/>
        <w:t>Re</w:t>
      </w:r>
      <w:r>
        <w:rPr/>
        <w:t>ferencias</w:t>
      </w:r>
      <w:r>
        <w:rPr>
          <w:spacing w:val="-9"/>
        </w:rPr>
        <w:t> </w:t>
      </w:r>
      <w:r>
        <w:rPr/>
        <w:t>bibliográficas</w:t>
      </w:r>
    </w:p>
    <w:p>
      <w:pPr>
        <w:pStyle w:val="BodyText"/>
        <w:rPr>
          <w:b/>
          <w:sz w:val="32"/>
        </w:rPr>
      </w:pPr>
    </w:p>
    <w:p>
      <w:pPr>
        <w:tabs>
          <w:tab w:pos="3036" w:val="left" w:leader="none"/>
          <w:tab w:pos="5934" w:val="left" w:leader="none"/>
          <w:tab w:pos="8382" w:val="left" w:leader="none"/>
        </w:tabs>
        <w:spacing w:line="273" w:lineRule="auto" w:before="212"/>
        <w:ind w:left="100" w:right="117" w:firstLine="0"/>
        <w:jc w:val="both"/>
        <w:rPr>
          <w:sz w:val="22"/>
        </w:rPr>
      </w:pPr>
      <w:r>
        <w:rPr>
          <w:sz w:val="22"/>
        </w:rPr>
        <w:t>ACR-ASTRO, 2014. </w:t>
      </w:r>
      <w:r>
        <w:rPr>
          <w:i/>
          <w:sz w:val="22"/>
        </w:rPr>
        <w:t>ACR–ASTRO Practice Parameter for Intensity Modulated Radiation </w:t>
      </w:r>
      <w:r>
        <w:rPr>
          <w:i/>
          <w:sz w:val="22"/>
        </w:rPr>
        <w:t>Therapy</w:t>
        <w:tab/>
        <w:t>(IMRT).</w:t>
        <w:tab/>
      </w:r>
      <w:r>
        <w:rPr>
          <w:sz w:val="22"/>
        </w:rPr>
        <w:t>[En</w:t>
        <w:tab/>
        <w:t>línea] Available at:</w:t>
      </w:r>
      <w:r>
        <w:rPr>
          <w:spacing w:val="-42"/>
          <w:sz w:val="22"/>
        </w:rPr>
        <w:t> </w:t>
      </w:r>
      <w:hyperlink r:id="rId55">
        <w:r>
          <w:rPr>
            <w:sz w:val="22"/>
            <w:u w:val="single"/>
          </w:rPr>
          <w:t>http://www.acr.org/~/media/eabb986bc4ff4a78b53b001a059f27b3.pdf</w:t>
        </w:r>
      </w:hyperlink>
    </w:p>
    <w:p>
      <w:pPr>
        <w:pStyle w:val="BodyText"/>
        <w:spacing w:before="8"/>
        <w:rPr>
          <w:sz w:val="14"/>
        </w:rPr>
      </w:pPr>
    </w:p>
    <w:p>
      <w:pPr>
        <w:pStyle w:val="BodyText"/>
        <w:spacing w:line="276" w:lineRule="auto" w:before="76"/>
        <w:ind w:left="100" w:right="113"/>
        <w:jc w:val="both"/>
      </w:pPr>
      <w:r>
        <w:rPr/>
        <w:t>Ahnesjö, A., Hårdemark, B., Isacsson, U. &amp; Montelius, A., 2006. The IMRT information process- mastering the degrees of freedom in external beam therapy. </w:t>
      </w:r>
      <w:r>
        <w:rPr>
          <w:i/>
        </w:rPr>
        <w:t>Phys. Med. Biol., </w:t>
      </w:r>
      <w:r>
        <w:rPr/>
        <w:t>51(13), pp. 381-402.</w:t>
      </w:r>
    </w:p>
    <w:p>
      <w:pPr>
        <w:pStyle w:val="BodyText"/>
        <w:spacing w:before="1"/>
        <w:rPr>
          <w:sz w:val="21"/>
        </w:rPr>
      </w:pPr>
    </w:p>
    <w:p>
      <w:pPr>
        <w:pStyle w:val="BodyText"/>
        <w:spacing w:line="276" w:lineRule="auto" w:before="1"/>
        <w:ind w:left="100" w:right="128"/>
        <w:jc w:val="both"/>
      </w:pPr>
      <w:r>
        <w:rPr/>
        <w:t>Anjum, M., Parker, W., Ruo, R. &amp; Afzal, M., 2010. Evaluation criteria for film based intensity modulated radiation therapy quality assurance. </w:t>
      </w:r>
      <w:r>
        <w:rPr>
          <w:i/>
        </w:rPr>
        <w:t>Phys Med, </w:t>
      </w:r>
      <w:r>
        <w:rPr/>
        <w:t>26(1), pp. 38-43.</w:t>
      </w:r>
    </w:p>
    <w:p>
      <w:pPr>
        <w:pStyle w:val="BodyText"/>
        <w:spacing w:before="2"/>
        <w:rPr>
          <w:sz w:val="21"/>
        </w:rPr>
      </w:pPr>
    </w:p>
    <w:p>
      <w:pPr>
        <w:pStyle w:val="BodyText"/>
        <w:spacing w:line="273" w:lineRule="auto"/>
        <w:ind w:left="100" w:right="116"/>
        <w:jc w:val="both"/>
      </w:pPr>
      <w:r>
        <w:rPr/>
        <w:t>Arjomandy, B. y otros, 2010. Energy dependence and dose response of Gafchromic EBT2 film over a wide range of photon, electron, and proton beam energies.. </w:t>
      </w:r>
      <w:r>
        <w:rPr>
          <w:i/>
        </w:rPr>
        <w:t>Med Phys, </w:t>
      </w:r>
      <w:r>
        <w:rPr/>
        <w:t>37(5), pp.</w:t>
      </w:r>
      <w:r>
        <w:rPr>
          <w:spacing w:val="-2"/>
        </w:rPr>
        <w:t> </w:t>
      </w:r>
      <w:r>
        <w:rPr/>
        <w:t>1942-1947.</w:t>
      </w:r>
    </w:p>
    <w:p>
      <w:pPr>
        <w:pStyle w:val="BodyText"/>
        <w:spacing w:before="4"/>
        <w:rPr>
          <w:sz w:val="21"/>
        </w:rPr>
      </w:pPr>
    </w:p>
    <w:p>
      <w:pPr>
        <w:pStyle w:val="BodyText"/>
        <w:spacing w:line="276" w:lineRule="auto"/>
        <w:ind w:left="100" w:right="120"/>
        <w:jc w:val="both"/>
      </w:pPr>
      <w:r>
        <w:rPr/>
        <w:t>Arrans, R. y otros, 2009. Dosimetría con películas radiocrómicas. </w:t>
      </w:r>
      <w:r>
        <w:rPr>
          <w:i/>
        </w:rPr>
        <w:t>Física Medica, </w:t>
      </w:r>
      <w:r>
        <w:rPr/>
        <w:t>pp. 83- 104.</w:t>
      </w:r>
    </w:p>
    <w:p>
      <w:pPr>
        <w:pStyle w:val="BodyText"/>
        <w:spacing w:before="2"/>
        <w:rPr>
          <w:sz w:val="21"/>
        </w:rPr>
      </w:pPr>
    </w:p>
    <w:p>
      <w:pPr>
        <w:pStyle w:val="BodyText"/>
        <w:spacing w:line="276" w:lineRule="auto"/>
        <w:ind w:left="100" w:right="129"/>
        <w:jc w:val="both"/>
      </w:pPr>
      <w:r>
        <w:rPr/>
        <w:t>Borca, V. y otros, 2013. Dosimetric characterization and use of GAFCHROMIC EBT3 flm for IMRT dose verifcation. </w:t>
      </w:r>
      <w:r>
        <w:rPr>
          <w:i/>
        </w:rPr>
        <w:t>J Appl Clin Med Phys, </w:t>
      </w:r>
      <w:r>
        <w:rPr/>
        <w:t>14(2), pp. 158-171.</w:t>
      </w:r>
    </w:p>
    <w:p>
      <w:pPr>
        <w:pStyle w:val="BodyText"/>
        <w:spacing w:before="1"/>
        <w:rPr>
          <w:sz w:val="21"/>
        </w:rPr>
      </w:pPr>
    </w:p>
    <w:p>
      <w:pPr>
        <w:pStyle w:val="BodyText"/>
        <w:spacing w:line="276" w:lineRule="auto" w:before="1"/>
        <w:ind w:left="100" w:right="120"/>
        <w:jc w:val="both"/>
      </w:pPr>
      <w:r>
        <w:rPr/>
        <w:t>Bouchard, H. y otros, 2009. On the characterization and uncertainty analysis of radiochromic film dosimetry. </w:t>
      </w:r>
      <w:r>
        <w:rPr>
          <w:i/>
        </w:rPr>
        <w:t>Med Phys, </w:t>
      </w:r>
      <w:r>
        <w:rPr/>
        <w:t>36(6), pp. 1931-1946.</w:t>
      </w:r>
    </w:p>
    <w:p>
      <w:pPr>
        <w:pStyle w:val="BodyText"/>
        <w:spacing w:before="9"/>
        <w:rPr>
          <w:sz w:val="20"/>
        </w:rPr>
      </w:pPr>
    </w:p>
    <w:p>
      <w:pPr>
        <w:pStyle w:val="BodyText"/>
        <w:spacing w:line="276" w:lineRule="auto"/>
        <w:ind w:left="100" w:right="127"/>
        <w:jc w:val="both"/>
      </w:pPr>
      <w:r>
        <w:rPr/>
        <w:t>Burch, S. y otros, 1997. A new approach to film dosimetry for high energy photon beams: lateral scatter filtering. </w:t>
      </w:r>
      <w:r>
        <w:rPr>
          <w:i/>
        </w:rPr>
        <w:t>Med Phys, </w:t>
      </w:r>
      <w:r>
        <w:rPr/>
        <w:t>24(5), pp. 775-783.</w:t>
      </w:r>
    </w:p>
    <w:p>
      <w:pPr>
        <w:pStyle w:val="BodyText"/>
        <w:spacing w:before="2"/>
        <w:rPr>
          <w:sz w:val="21"/>
        </w:rPr>
      </w:pPr>
    </w:p>
    <w:p>
      <w:pPr>
        <w:pStyle w:val="BodyText"/>
        <w:spacing w:line="276" w:lineRule="auto"/>
        <w:ind w:left="100" w:right="120"/>
        <w:jc w:val="both"/>
      </w:pPr>
      <w:r>
        <w:rPr/>
        <w:t>Butson, M., Cheung, T., Yu, P. &amp; Alnawaf, H., 2009. Dose and absorption spectra response of EBT2 Gafchromic film to high energy x-rays. </w:t>
      </w:r>
      <w:r>
        <w:rPr>
          <w:i/>
        </w:rPr>
        <w:t>Australas Phys Eng Sci Med, </w:t>
      </w:r>
      <w:r>
        <w:rPr/>
        <w:t>32(4), pp. 196-202.</w:t>
      </w:r>
    </w:p>
    <w:p>
      <w:pPr>
        <w:pStyle w:val="BodyText"/>
        <w:spacing w:before="1"/>
        <w:rPr>
          <w:sz w:val="21"/>
        </w:rPr>
      </w:pPr>
    </w:p>
    <w:p>
      <w:pPr>
        <w:pStyle w:val="BodyText"/>
        <w:spacing w:line="276" w:lineRule="auto"/>
        <w:ind w:left="100" w:right="129"/>
        <w:jc w:val="both"/>
      </w:pPr>
      <w:r>
        <w:rPr/>
        <w:t>Butson, M., Yu, P., Cheung, T. &amp; Alnawaf, H., 2010. Energy response of the new EBT2 radiochromic film to x-ray radiation. </w:t>
      </w:r>
      <w:r>
        <w:rPr>
          <w:i/>
        </w:rPr>
        <w:t>Radiation Measurements, </w:t>
      </w:r>
      <w:r>
        <w:rPr/>
        <w:t>Issue 45, pp. 836-839.</w:t>
      </w:r>
    </w:p>
    <w:p>
      <w:pPr>
        <w:pStyle w:val="BodyText"/>
        <w:spacing w:before="9"/>
        <w:rPr>
          <w:sz w:val="20"/>
        </w:rPr>
      </w:pPr>
    </w:p>
    <w:p>
      <w:pPr>
        <w:pStyle w:val="BodyText"/>
        <w:spacing w:line="276" w:lineRule="auto"/>
        <w:ind w:left="100" w:right="116"/>
        <w:jc w:val="both"/>
      </w:pPr>
      <w:r>
        <w:rPr/>
        <w:t>Chang, S. y otros, 2004. Compensators: An alternative IMRT delivery technique. </w:t>
      </w:r>
      <w:r>
        <w:rPr>
          <w:i/>
        </w:rPr>
        <w:t>J Appl </w:t>
      </w:r>
      <w:r>
        <w:rPr>
          <w:i/>
        </w:rPr>
        <w:t>Clin Medl Phys, </w:t>
      </w:r>
      <w:r>
        <w:rPr/>
        <w:t>5(3), pp. 15-36.</w:t>
      </w:r>
    </w:p>
    <w:p>
      <w:pPr>
        <w:pStyle w:val="BodyText"/>
        <w:spacing w:before="1"/>
        <w:rPr>
          <w:sz w:val="21"/>
        </w:rPr>
      </w:pPr>
    </w:p>
    <w:p>
      <w:pPr>
        <w:pStyle w:val="BodyText"/>
        <w:spacing w:line="276" w:lineRule="auto" w:before="1"/>
        <w:ind w:left="100" w:right="128"/>
        <w:jc w:val="both"/>
      </w:pPr>
      <w:r>
        <w:rPr/>
        <w:t>Cheung, K., 2006. Intensity modulated radiotherapy:Advantages, limitations and future developments. </w:t>
      </w:r>
      <w:r>
        <w:rPr>
          <w:i/>
        </w:rPr>
        <w:t>Biomed Imaging Interv J, </w:t>
      </w:r>
      <w:r>
        <w:rPr/>
        <w:t>2(1).</w:t>
      </w:r>
    </w:p>
    <w:p>
      <w:pPr>
        <w:pStyle w:val="BodyText"/>
        <w:spacing w:before="1"/>
        <w:rPr>
          <w:sz w:val="21"/>
        </w:rPr>
      </w:pPr>
    </w:p>
    <w:p>
      <w:pPr>
        <w:pStyle w:val="BodyText"/>
        <w:spacing w:line="276" w:lineRule="auto" w:before="1"/>
        <w:ind w:left="100" w:right="125"/>
        <w:jc w:val="both"/>
      </w:pPr>
      <w:r>
        <w:rPr/>
        <w:t>Childress, N. L., Salehpour, M., Dong, L. &amp; Bloch, C., 2005. Dosimetric accuracy of Kodak EDR2 film for IMRT verifications. </w:t>
      </w:r>
      <w:r>
        <w:rPr>
          <w:i/>
        </w:rPr>
        <w:t>Med Phys, </w:t>
      </w:r>
      <w:r>
        <w:rPr/>
        <w:t>32(2), pp. 539-548.</w:t>
      </w:r>
    </w:p>
    <w:p>
      <w:pPr>
        <w:spacing w:after="0" w:line="276" w:lineRule="auto"/>
        <w:jc w:val="both"/>
        <w:sectPr>
          <w:pgSz w:w="12240" w:h="15840"/>
          <w:pgMar w:header="0" w:footer="1034" w:top="1360" w:bottom="1220" w:left="1600" w:right="1580"/>
        </w:sectPr>
      </w:pPr>
    </w:p>
    <w:p>
      <w:pPr>
        <w:pStyle w:val="BodyText"/>
        <w:spacing w:line="276" w:lineRule="auto" w:before="55"/>
        <w:ind w:left="100" w:right="119"/>
        <w:jc w:val="both"/>
      </w:pPr>
      <w:r>
        <w:rPr/>
        <w:t>Childress, N. y otros, 2005. Retrospective analysis of 2D patient-specific IMRT verifications. </w:t>
      </w:r>
      <w:r>
        <w:rPr>
          <w:i/>
        </w:rPr>
        <w:t>Med Phys, </w:t>
      </w:r>
      <w:r>
        <w:rPr/>
        <w:t>32(4), pp. 838-850.</w:t>
      </w:r>
    </w:p>
    <w:p>
      <w:pPr>
        <w:pStyle w:val="BodyText"/>
        <w:spacing w:before="1"/>
        <w:rPr>
          <w:sz w:val="21"/>
        </w:rPr>
      </w:pPr>
    </w:p>
    <w:p>
      <w:pPr>
        <w:pStyle w:val="BodyText"/>
        <w:spacing w:line="276" w:lineRule="auto" w:before="1"/>
        <w:ind w:left="100" w:right="120"/>
        <w:jc w:val="both"/>
      </w:pPr>
      <w:r>
        <w:rPr/>
        <w:t>Chiu-Tsao, S., de la Zerda, A., Lin, J. &amp; Ho Kim, J., 1994. High sensivity GafChromic film dosimetry for 125I seed. </w:t>
      </w:r>
      <w:r>
        <w:rPr>
          <w:i/>
        </w:rPr>
        <w:t>Med Phys, </w:t>
      </w:r>
      <w:r>
        <w:rPr/>
        <w:t>21(5), pp. 651-657.</w:t>
      </w:r>
    </w:p>
    <w:p>
      <w:pPr>
        <w:pStyle w:val="BodyText"/>
        <w:spacing w:before="2"/>
        <w:rPr>
          <w:sz w:val="21"/>
        </w:rPr>
      </w:pPr>
    </w:p>
    <w:p>
      <w:pPr>
        <w:pStyle w:val="BodyText"/>
        <w:spacing w:line="273" w:lineRule="auto"/>
        <w:ind w:left="100" w:right="116"/>
        <w:jc w:val="both"/>
      </w:pPr>
      <w:r>
        <w:rPr/>
        <w:t>Cozzi, L. y otros, 2008. A treatment planning study comparing volumetric arc modulation with RapidArc and fixed field IMRT for cervix uteri radiotherapy. </w:t>
      </w:r>
      <w:r>
        <w:rPr>
          <w:i/>
        </w:rPr>
        <w:t>Radiother Oncol, </w:t>
      </w:r>
      <w:r>
        <w:rPr/>
        <w:t>89(2), pp. 180-191.</w:t>
      </w:r>
    </w:p>
    <w:p>
      <w:pPr>
        <w:pStyle w:val="BodyText"/>
        <w:spacing w:before="4"/>
        <w:rPr>
          <w:sz w:val="21"/>
        </w:rPr>
      </w:pPr>
    </w:p>
    <w:p>
      <w:pPr>
        <w:pStyle w:val="BodyText"/>
        <w:spacing w:line="276" w:lineRule="auto"/>
        <w:ind w:left="100" w:right="121"/>
        <w:jc w:val="both"/>
      </w:pPr>
      <w:r>
        <w:rPr/>
        <w:t>Depuydt, T., Van Esch, A. &amp; Huyskens, D., 2002. A quantitative evaluation of imrt dose distributions: refinement and clinical assessment of gamma evaluation. </w:t>
      </w:r>
      <w:r>
        <w:rPr>
          <w:i/>
        </w:rPr>
        <w:t>Radiother Oncol, </w:t>
      </w:r>
      <w:r>
        <w:rPr/>
        <w:t>62(3), pp. 309-319.</w:t>
      </w:r>
    </w:p>
    <w:p>
      <w:pPr>
        <w:pStyle w:val="BodyText"/>
        <w:spacing w:before="2"/>
        <w:rPr>
          <w:sz w:val="21"/>
        </w:rPr>
      </w:pPr>
    </w:p>
    <w:p>
      <w:pPr>
        <w:pStyle w:val="BodyText"/>
        <w:spacing w:line="276" w:lineRule="auto"/>
        <w:ind w:left="100" w:right="114"/>
        <w:jc w:val="both"/>
      </w:pPr>
      <w:r>
        <w:rPr/>
        <w:t>Desroches, J., Bouchard, H. &amp; Lacroix, F., 2010. Potential errors in optical density measurements due to scanning side in EBT and EBT2 Gafchromic flm dosimetry. </w:t>
      </w:r>
      <w:r>
        <w:rPr>
          <w:i/>
        </w:rPr>
        <w:t>Med </w:t>
      </w:r>
      <w:r>
        <w:rPr>
          <w:i/>
        </w:rPr>
        <w:t>Phys, </w:t>
      </w:r>
      <w:r>
        <w:rPr/>
        <w:t>37(4), pp. 1565-1570.</w:t>
      </w:r>
    </w:p>
    <w:p>
      <w:pPr>
        <w:pStyle w:val="BodyText"/>
        <w:spacing w:before="1"/>
        <w:rPr>
          <w:sz w:val="21"/>
        </w:rPr>
      </w:pPr>
    </w:p>
    <w:p>
      <w:pPr>
        <w:pStyle w:val="BodyText"/>
        <w:spacing w:line="273" w:lineRule="auto"/>
        <w:ind w:left="100" w:right="130"/>
        <w:jc w:val="both"/>
      </w:pPr>
      <w:r>
        <w:rPr/>
        <w:t>Devic, S. y otros, 2004. Dosimetric properties of improved GrafChromic films for seven different digitizers. </w:t>
      </w:r>
      <w:r>
        <w:rPr>
          <w:i/>
        </w:rPr>
        <w:t>Med Phys, </w:t>
      </w:r>
      <w:r>
        <w:rPr/>
        <w:t>31(9), pp. 2392-2401.</w:t>
      </w:r>
    </w:p>
    <w:p>
      <w:pPr>
        <w:pStyle w:val="BodyText"/>
        <w:spacing w:before="4"/>
        <w:rPr>
          <w:sz w:val="21"/>
        </w:rPr>
      </w:pPr>
    </w:p>
    <w:p>
      <w:pPr>
        <w:pStyle w:val="BodyText"/>
        <w:spacing w:line="276" w:lineRule="auto" w:before="1"/>
        <w:ind w:left="100" w:right="120"/>
        <w:jc w:val="both"/>
      </w:pPr>
      <w:r>
        <w:rPr/>
        <w:t>Devic, S. y otros, 2005. Precise radiochromic film dosimetry using a flat-bed document scanner. </w:t>
      </w:r>
      <w:r>
        <w:rPr>
          <w:i/>
        </w:rPr>
        <w:t>Med Phys, </w:t>
      </w:r>
      <w:r>
        <w:rPr/>
        <w:t>32(7), pp. 2245-2253.</w:t>
      </w:r>
    </w:p>
    <w:p>
      <w:pPr>
        <w:pStyle w:val="BodyText"/>
        <w:spacing w:before="1"/>
        <w:rPr>
          <w:sz w:val="21"/>
        </w:rPr>
      </w:pPr>
    </w:p>
    <w:p>
      <w:pPr>
        <w:pStyle w:val="BodyText"/>
        <w:spacing w:line="276" w:lineRule="auto" w:before="1"/>
        <w:ind w:left="100" w:right="116"/>
        <w:jc w:val="both"/>
      </w:pPr>
      <w:r>
        <w:rPr/>
        <w:t>Dogan, N., Leibovich, L. &amp; Sethi, A., 2002. Comparative evaluation of Kodak EDR2 and XV2 films for verification of intensity modulated radiation therapy. </w:t>
      </w:r>
      <w:r>
        <w:rPr>
          <w:i/>
        </w:rPr>
        <w:t>Phys Med Biol, </w:t>
      </w:r>
      <w:r>
        <w:rPr/>
        <w:t>47(22), pp. 4121-4130.</w:t>
      </w:r>
    </w:p>
    <w:p>
      <w:pPr>
        <w:pStyle w:val="BodyText"/>
        <w:spacing w:before="1"/>
        <w:rPr>
          <w:sz w:val="21"/>
        </w:rPr>
      </w:pPr>
    </w:p>
    <w:p>
      <w:pPr>
        <w:pStyle w:val="BodyText"/>
        <w:spacing w:line="273" w:lineRule="auto" w:before="1"/>
        <w:ind w:left="100" w:right="121"/>
        <w:jc w:val="both"/>
      </w:pPr>
      <w:r>
        <w:rPr/>
        <w:t>Doong, L. y otros, 2003. Patient-specific point dose measurement for IMRT monitor unit verification. </w:t>
      </w:r>
      <w:r>
        <w:rPr>
          <w:i/>
        </w:rPr>
        <w:t>Int J Radiat Oncol Biol Phys, </w:t>
      </w:r>
      <w:r>
        <w:rPr/>
        <w:t>56(3), pp. 867-877.</w:t>
      </w:r>
    </w:p>
    <w:p>
      <w:pPr>
        <w:pStyle w:val="BodyText"/>
        <w:spacing w:before="4"/>
        <w:rPr>
          <w:sz w:val="21"/>
        </w:rPr>
      </w:pPr>
    </w:p>
    <w:p>
      <w:pPr>
        <w:pStyle w:val="BodyText"/>
        <w:spacing w:line="276" w:lineRule="auto"/>
        <w:ind w:left="100" w:right="122"/>
        <w:jc w:val="both"/>
      </w:pPr>
      <w:r>
        <w:rPr/>
        <w:t>Ellis, F., Hall, E. &amp; Oliver, R., 1959. A compensator for variations in tissue thickness for high energy beams. </w:t>
      </w:r>
      <w:r>
        <w:rPr>
          <w:i/>
        </w:rPr>
        <w:t>Br. J. Radiol., </w:t>
      </w:r>
      <w:r>
        <w:rPr/>
        <w:t>2(32), pp. 378-421.</w:t>
      </w:r>
    </w:p>
    <w:p>
      <w:pPr>
        <w:pStyle w:val="BodyText"/>
        <w:spacing w:before="1"/>
        <w:rPr>
          <w:sz w:val="21"/>
        </w:rPr>
      </w:pPr>
    </w:p>
    <w:p>
      <w:pPr>
        <w:pStyle w:val="BodyText"/>
        <w:spacing w:line="276" w:lineRule="auto" w:before="1"/>
        <w:ind w:left="100" w:right="122"/>
        <w:jc w:val="both"/>
      </w:pPr>
      <w:r>
        <w:rPr/>
        <w:t>Escudé, L., Linero, D., Mollá, M. &amp; M. R., 2006. Quality assurance for radiotherapy in prostate cancer: point dose measurements in intensity modulated fields with large dose gradients. </w:t>
      </w:r>
      <w:r>
        <w:rPr>
          <w:i/>
        </w:rPr>
        <w:t>Int J Radiat Oncol Biol Phys, </w:t>
      </w:r>
      <w:r>
        <w:rPr/>
        <w:t>66(4), pp. 136-140.</w:t>
      </w:r>
    </w:p>
    <w:p>
      <w:pPr>
        <w:pStyle w:val="BodyText"/>
        <w:spacing w:before="2"/>
        <w:rPr>
          <w:sz w:val="21"/>
        </w:rPr>
      </w:pPr>
    </w:p>
    <w:p>
      <w:pPr>
        <w:spacing w:line="276" w:lineRule="auto" w:before="0"/>
        <w:ind w:left="100" w:right="116" w:firstLine="0"/>
        <w:jc w:val="both"/>
        <w:rPr>
          <w:sz w:val="22"/>
        </w:rPr>
      </w:pPr>
      <w:r>
        <w:rPr>
          <w:sz w:val="22"/>
        </w:rPr>
        <w:t>ESTRO, 2008. </w:t>
      </w:r>
      <w:r>
        <w:rPr>
          <w:i/>
          <w:sz w:val="22"/>
        </w:rPr>
        <w:t>ESTRO Booklet no. 9: Guidelines for the verification of IMRT, </w:t>
      </w:r>
      <w:r>
        <w:rPr>
          <w:sz w:val="22"/>
        </w:rPr>
        <w:t>Brussels, Belgium: s.n.</w:t>
      </w:r>
    </w:p>
    <w:p>
      <w:pPr>
        <w:pStyle w:val="BodyText"/>
        <w:spacing w:before="9"/>
        <w:rPr>
          <w:sz w:val="20"/>
        </w:rPr>
      </w:pPr>
    </w:p>
    <w:p>
      <w:pPr>
        <w:pStyle w:val="BodyText"/>
        <w:spacing w:line="276" w:lineRule="auto"/>
        <w:ind w:left="100" w:right="130"/>
        <w:jc w:val="both"/>
      </w:pPr>
      <w:r>
        <w:rPr/>
        <w:t>Evans, P. y otros, 1995. Design of compensators for breast radiotherapy using electron portal imaging. </w:t>
      </w:r>
      <w:r>
        <w:rPr>
          <w:i/>
        </w:rPr>
        <w:t>Radiother Oncol, </w:t>
      </w:r>
      <w:r>
        <w:rPr/>
        <w:t>37(1), pp. 43-54.</w:t>
      </w:r>
    </w:p>
    <w:p>
      <w:pPr>
        <w:pStyle w:val="BodyText"/>
        <w:spacing w:before="2"/>
        <w:rPr>
          <w:sz w:val="21"/>
        </w:rPr>
      </w:pPr>
    </w:p>
    <w:p>
      <w:pPr>
        <w:spacing w:line="276" w:lineRule="auto" w:before="0"/>
        <w:ind w:left="100" w:right="115" w:firstLine="0"/>
        <w:jc w:val="both"/>
        <w:rPr>
          <w:sz w:val="22"/>
        </w:rPr>
      </w:pPr>
      <w:r>
        <w:rPr>
          <w:sz w:val="22"/>
        </w:rPr>
        <w:t>Ezzell, G., 2003. Quality Assurance. When and what is enough for IMRT?. En: A. A. o. P. i. Medicine, ed. </w:t>
      </w:r>
      <w:r>
        <w:rPr>
          <w:i/>
          <w:sz w:val="22"/>
        </w:rPr>
        <w:t>Intensity-Modulated Radiation Therapy: The State of the Art. </w:t>
      </w:r>
      <w:r>
        <w:rPr>
          <w:sz w:val="22"/>
        </w:rPr>
        <w:t>Madison, WI, USA: Medical Physics Publishing, pp. 613-616.</w:t>
      </w:r>
    </w:p>
    <w:p>
      <w:pPr>
        <w:spacing w:after="0" w:line="276" w:lineRule="auto"/>
        <w:jc w:val="both"/>
        <w:rPr>
          <w:sz w:val="22"/>
        </w:rPr>
        <w:sectPr>
          <w:pgSz w:w="12240" w:h="15840"/>
          <w:pgMar w:header="0" w:footer="1034" w:top="1360" w:bottom="1220" w:left="1600" w:right="1580"/>
        </w:sectPr>
      </w:pPr>
    </w:p>
    <w:p>
      <w:pPr>
        <w:pStyle w:val="BodyText"/>
        <w:spacing w:line="276" w:lineRule="auto" w:before="55"/>
        <w:ind w:left="140" w:right="136"/>
        <w:jc w:val="both"/>
      </w:pPr>
      <w:r>
        <w:rPr/>
        <w:t>Ezzell, G. y otros, 2009. IMRT commissioning: multiple institution planning  and dosimetry comparisons, a report from AAPM Task Group 119. </w:t>
      </w:r>
      <w:r>
        <w:rPr>
          <w:i/>
        </w:rPr>
        <w:t>Med Phys, </w:t>
      </w:r>
      <w:r>
        <w:rPr/>
        <w:t>36(11), pp. 5359- 73.</w:t>
      </w:r>
    </w:p>
    <w:p>
      <w:pPr>
        <w:pStyle w:val="BodyText"/>
        <w:spacing w:before="2"/>
        <w:rPr>
          <w:sz w:val="21"/>
        </w:rPr>
      </w:pPr>
    </w:p>
    <w:p>
      <w:pPr>
        <w:pStyle w:val="BodyText"/>
        <w:spacing w:line="276" w:lineRule="auto"/>
        <w:ind w:left="140" w:right="147"/>
        <w:jc w:val="both"/>
      </w:pPr>
      <w:r>
        <w:rPr/>
        <w:t>Fenoglietto, P. y otros, 2011. Eight years of IMRT quality assurance with ionization chambers and film dosimetry: experience of the montpellier comprehensive cancer center. </w:t>
      </w:r>
      <w:r>
        <w:rPr>
          <w:i/>
        </w:rPr>
        <w:t>Radiat Oncol, </w:t>
      </w:r>
      <w:r>
        <w:rPr/>
        <w:t>6(85).</w:t>
      </w:r>
    </w:p>
    <w:p>
      <w:pPr>
        <w:pStyle w:val="BodyText"/>
        <w:spacing w:before="9"/>
        <w:rPr>
          <w:sz w:val="20"/>
        </w:rPr>
      </w:pPr>
    </w:p>
    <w:p>
      <w:pPr>
        <w:pStyle w:val="BodyText"/>
        <w:spacing w:line="276" w:lineRule="auto"/>
        <w:ind w:left="140" w:right="148"/>
        <w:jc w:val="both"/>
      </w:pPr>
      <w:r>
        <w:rPr/>
        <w:t>Ferreira, B., Lopes, M. &amp; Capela, M., 2008. Evaluation of an Epson flatbed scanner to read Gafchromic EBT films for radiation dosimetry. </w:t>
      </w:r>
      <w:r>
        <w:rPr>
          <w:i/>
        </w:rPr>
        <w:t>Phys Med Biol, </w:t>
      </w:r>
      <w:r>
        <w:rPr/>
        <w:t>54(4), pp. 1073-1085.</w:t>
      </w:r>
    </w:p>
    <w:p>
      <w:pPr>
        <w:pStyle w:val="BodyText"/>
        <w:spacing w:before="1"/>
        <w:rPr>
          <w:sz w:val="21"/>
        </w:rPr>
      </w:pPr>
    </w:p>
    <w:p>
      <w:pPr>
        <w:tabs>
          <w:tab w:pos="3307" w:val="left" w:leader="none"/>
          <w:tab w:pos="6222" w:val="left" w:leader="none"/>
          <w:tab w:pos="8426" w:val="left" w:leader="none"/>
          <w:tab w:pos="8726" w:val="left" w:leader="none"/>
        </w:tabs>
        <w:spacing w:line="276" w:lineRule="auto" w:before="1"/>
        <w:ind w:left="140" w:right="135" w:firstLine="0"/>
        <w:jc w:val="both"/>
        <w:rPr>
          <w:sz w:val="22"/>
        </w:rPr>
      </w:pPr>
      <w:r>
        <w:rPr>
          <w:sz w:val="22"/>
        </w:rPr>
        <w:t>International Speciality Products, 2009. </w:t>
      </w:r>
      <w:r>
        <w:rPr>
          <w:i/>
          <w:sz w:val="22"/>
        </w:rPr>
        <w:t>GAFCHROMIC EBT2 Self developing film for </w:t>
      </w:r>
      <w:r>
        <w:rPr>
          <w:i/>
          <w:sz w:val="22"/>
        </w:rPr>
        <w:t>radiotherapy</w:t>
        <w:tab/>
        <w:t>dosimetry.</w:t>
        <w:tab/>
      </w:r>
      <w:r>
        <w:rPr>
          <w:sz w:val="22"/>
        </w:rPr>
        <w:t>[En</w:t>
        <w:tab/>
      </w:r>
      <w:r>
        <w:rPr>
          <w:spacing w:val="-1"/>
          <w:sz w:val="22"/>
        </w:rPr>
        <w:t>línea] </w:t>
      </w:r>
      <w:r>
        <w:rPr>
          <w:sz w:val="22"/>
        </w:rPr>
        <w:t>Available</w:t>
        <w:tab/>
        <w:tab/>
        <w:tab/>
        <w:tab/>
        <w:t>at:</w:t>
      </w:r>
    </w:p>
    <w:p>
      <w:pPr>
        <w:pStyle w:val="BodyText"/>
        <w:spacing w:before="1"/>
        <w:ind w:left="140"/>
        <w:jc w:val="both"/>
      </w:pPr>
      <w:hyperlink r:id="rId56">
        <w:r>
          <w:rPr>
            <w:u w:val="single"/>
          </w:rPr>
          <w:t>http://www.veritastk.co.jp/attached/2062/GAFCHROMICEBT2TechnicalBrief-Rev1.pdf</w:t>
        </w:r>
      </w:hyperlink>
    </w:p>
    <w:p>
      <w:pPr>
        <w:pStyle w:val="BodyText"/>
        <w:spacing w:before="9"/>
        <w:rPr>
          <w:sz w:val="17"/>
        </w:rPr>
      </w:pPr>
    </w:p>
    <w:p>
      <w:pPr>
        <w:pStyle w:val="BodyText"/>
        <w:tabs>
          <w:tab w:pos="2080" w:val="left" w:leader="none"/>
          <w:tab w:pos="4121" w:val="left" w:leader="none"/>
          <w:tab w:pos="6530" w:val="left" w:leader="none"/>
          <w:tab w:pos="8422" w:val="left" w:leader="none"/>
          <w:tab w:pos="8726" w:val="left" w:leader="none"/>
        </w:tabs>
        <w:spacing w:line="276" w:lineRule="auto" w:before="76"/>
        <w:ind w:left="140" w:right="135"/>
        <w:jc w:val="both"/>
      </w:pPr>
      <w:r>
        <w:rPr/>
        <w:t>ISP,</w:t>
        <w:tab/>
        <w:t>2011.</w:t>
        <w:tab/>
      </w:r>
      <w:r>
        <w:rPr>
          <w:i/>
        </w:rPr>
        <w:t>Ashland.</w:t>
        <w:tab/>
      </w:r>
      <w:r>
        <w:rPr/>
        <w:t>[En</w:t>
        <w:tab/>
        <w:t>línea] Available</w:t>
        <w:tab/>
        <w:tab/>
        <w:tab/>
        <w:tab/>
        <w:tab/>
        <w:t>at:</w:t>
      </w:r>
    </w:p>
    <w:p>
      <w:pPr>
        <w:pStyle w:val="BodyText"/>
        <w:spacing w:line="276" w:lineRule="auto"/>
        <w:ind w:left="140" w:right="156"/>
        <w:jc w:val="both"/>
      </w:pPr>
      <w:hyperlink r:id="rId57">
        <w:r>
          <w:rPr>
            <w:spacing w:val="-1"/>
            <w:u w:val="single"/>
          </w:rPr>
          <w:t>http://www.ashland.com/Ashland/Static/Documents/ASI/Advanced%20Materials/gafchr</w:t>
        </w:r>
      </w:hyperlink>
      <w:r>
        <w:rPr>
          <w:spacing w:val="-1"/>
          <w:u w:val="single"/>
        </w:rPr>
        <w:t> </w:t>
      </w:r>
      <w:r>
        <w:rPr>
          <w:u w:val="single"/>
        </w:rPr>
        <w:t>omic-ebt3.pdf</w:t>
      </w:r>
    </w:p>
    <w:p>
      <w:pPr>
        <w:pStyle w:val="BodyText"/>
        <w:ind w:left="140"/>
        <w:jc w:val="both"/>
      </w:pPr>
      <w:r>
        <w:rPr/>
        <w:t>[Último acceso: 23 Enero 2016].</w:t>
      </w:r>
    </w:p>
    <w:p>
      <w:pPr>
        <w:pStyle w:val="BodyText"/>
        <w:spacing w:before="5"/>
        <w:rPr>
          <w:sz w:val="24"/>
        </w:rPr>
      </w:pPr>
    </w:p>
    <w:p>
      <w:pPr>
        <w:pStyle w:val="BodyText"/>
        <w:spacing w:line="276" w:lineRule="auto" w:before="1"/>
        <w:ind w:left="140" w:right="137"/>
        <w:jc w:val="both"/>
      </w:pPr>
      <w:r>
        <w:rPr/>
        <w:t>Javedan, K., Stevens, C. &amp; Forster, K., 2008. Compensator-based intensity-modulated radiation therapy for malignant pleural mesothelioma post extrapleural pneumonectomy.  </w:t>
      </w:r>
      <w:r>
        <w:rPr>
          <w:i/>
        </w:rPr>
        <w:t>J Appl Clin Med Phys, </w:t>
      </w:r>
      <w:r>
        <w:rPr/>
        <w:t>9(4), pp.</w:t>
      </w:r>
      <w:r>
        <w:rPr>
          <w:spacing w:val="-12"/>
        </w:rPr>
        <w:t> </w:t>
      </w:r>
      <w:r>
        <w:rPr/>
        <w:t>98-109.</w:t>
      </w:r>
    </w:p>
    <w:p>
      <w:pPr>
        <w:pStyle w:val="BodyText"/>
        <w:spacing w:before="1"/>
        <w:rPr>
          <w:sz w:val="21"/>
        </w:rPr>
      </w:pPr>
    </w:p>
    <w:p>
      <w:pPr>
        <w:pStyle w:val="BodyText"/>
        <w:spacing w:line="273" w:lineRule="auto" w:before="1"/>
        <w:ind w:left="140" w:right="137"/>
        <w:jc w:val="both"/>
      </w:pPr>
      <w:r>
        <w:rPr/>
        <w:t>Kesava Ramgopal, A. y otros, 2012. Dynamic and Segmental Methods of Intensity Modulated Radiation Therapy Delivery in Head-and-Neck Cancer—Analysis of Volumetric and Dosimetric Parameters. </w:t>
      </w:r>
      <w:r>
        <w:rPr>
          <w:i/>
        </w:rPr>
        <w:t>Int J Radiat Oncol, </w:t>
      </w:r>
      <w:r>
        <w:rPr/>
        <w:t>3(84), pp. 789-790.</w:t>
      </w:r>
    </w:p>
    <w:p>
      <w:pPr>
        <w:pStyle w:val="BodyText"/>
        <w:spacing w:before="5"/>
        <w:rPr>
          <w:sz w:val="21"/>
        </w:rPr>
      </w:pPr>
    </w:p>
    <w:p>
      <w:pPr>
        <w:pStyle w:val="BodyText"/>
        <w:spacing w:line="276" w:lineRule="auto"/>
        <w:ind w:left="140" w:right="146"/>
        <w:jc w:val="both"/>
      </w:pPr>
      <w:r>
        <w:rPr/>
        <w:t>Laub, W. &amp; Wong, T., 2003. The volume effect of detectors in the dosimetry of small fields used in IMRT. </w:t>
      </w:r>
      <w:r>
        <w:rPr>
          <w:i/>
        </w:rPr>
        <w:t>Med Phys, </w:t>
      </w:r>
      <w:r>
        <w:rPr/>
        <w:t>30(3), pp. 341-347.</w:t>
      </w:r>
    </w:p>
    <w:p>
      <w:pPr>
        <w:pStyle w:val="BodyText"/>
        <w:spacing w:before="2"/>
        <w:rPr>
          <w:sz w:val="21"/>
        </w:rPr>
      </w:pPr>
    </w:p>
    <w:p>
      <w:pPr>
        <w:pStyle w:val="BodyText"/>
        <w:ind w:left="140"/>
        <w:jc w:val="both"/>
      </w:pPr>
      <w:r>
        <w:rPr/>
        <w:t>Lee,  K.  &amp;  Chau,  M.,  2001.  Design  of  an  in-expensive  phantom  for  IMRT verification.</w:t>
      </w:r>
    </w:p>
    <w:p>
      <w:pPr>
        <w:spacing w:before="38"/>
        <w:ind w:left="140" w:right="0" w:firstLine="0"/>
        <w:jc w:val="both"/>
        <w:rPr>
          <w:sz w:val="22"/>
        </w:rPr>
      </w:pPr>
      <w:r>
        <w:rPr>
          <w:i/>
          <w:sz w:val="22"/>
        </w:rPr>
        <w:t>Radiother Oncol, </w:t>
      </w:r>
      <w:r>
        <w:rPr>
          <w:sz w:val="22"/>
        </w:rPr>
        <w:t>Volumen 61, pp. 1-10.</w:t>
      </w:r>
    </w:p>
    <w:p>
      <w:pPr>
        <w:pStyle w:val="BodyText"/>
        <w:spacing w:before="9"/>
        <w:rPr>
          <w:sz w:val="17"/>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8"/>
        <w:gridCol w:w="1266"/>
        <w:gridCol w:w="1666"/>
        <w:gridCol w:w="1995"/>
        <w:gridCol w:w="1476"/>
        <w:gridCol w:w="1152"/>
      </w:tblGrid>
      <w:tr>
        <w:trPr>
          <w:trHeight w:val="354" w:hRule="exact"/>
        </w:trPr>
        <w:tc>
          <w:tcPr>
            <w:tcW w:w="1358" w:type="dxa"/>
          </w:tcPr>
          <w:p>
            <w:pPr>
              <w:pStyle w:val="TableParagraph"/>
              <w:spacing w:before="76"/>
              <w:ind w:left="35"/>
              <w:jc w:val="left"/>
              <w:rPr>
                <w:sz w:val="22"/>
              </w:rPr>
            </w:pPr>
            <w:r>
              <w:rPr>
                <w:sz w:val="22"/>
              </w:rPr>
              <w:t>Lewis,</w:t>
            </w:r>
          </w:p>
        </w:tc>
        <w:tc>
          <w:tcPr>
            <w:tcW w:w="1266" w:type="dxa"/>
          </w:tcPr>
          <w:p>
            <w:pPr>
              <w:pStyle w:val="TableParagraph"/>
              <w:spacing w:before="76"/>
              <w:ind w:left="420"/>
              <w:jc w:val="left"/>
              <w:rPr>
                <w:sz w:val="22"/>
              </w:rPr>
            </w:pPr>
            <w:r>
              <w:rPr>
                <w:sz w:val="22"/>
              </w:rPr>
              <w:t>D.,</w:t>
            </w:r>
          </w:p>
        </w:tc>
        <w:tc>
          <w:tcPr>
            <w:tcW w:w="1666" w:type="dxa"/>
          </w:tcPr>
          <w:p>
            <w:pPr>
              <w:pStyle w:val="TableParagraph"/>
              <w:spacing w:before="76"/>
              <w:ind w:left="540" w:right="539"/>
              <w:rPr>
                <w:sz w:val="22"/>
              </w:rPr>
            </w:pPr>
            <w:r>
              <w:rPr>
                <w:sz w:val="22"/>
              </w:rPr>
              <w:t>2010.</w:t>
            </w:r>
          </w:p>
        </w:tc>
        <w:tc>
          <w:tcPr>
            <w:tcW w:w="1995" w:type="dxa"/>
          </w:tcPr>
          <w:p>
            <w:pPr>
              <w:pStyle w:val="TableParagraph"/>
              <w:spacing w:before="76"/>
              <w:ind w:left="559"/>
              <w:jc w:val="left"/>
              <w:rPr>
                <w:i/>
                <w:sz w:val="22"/>
              </w:rPr>
            </w:pPr>
            <w:r>
              <w:rPr>
                <w:i/>
                <w:sz w:val="22"/>
              </w:rPr>
              <w:t>Ashland.</w:t>
            </w:r>
          </w:p>
        </w:tc>
        <w:tc>
          <w:tcPr>
            <w:tcW w:w="1476" w:type="dxa"/>
          </w:tcPr>
          <w:p>
            <w:pPr>
              <w:pStyle w:val="TableParagraph"/>
              <w:spacing w:before="76"/>
              <w:ind w:left="541" w:right="538"/>
              <w:rPr>
                <w:sz w:val="22"/>
              </w:rPr>
            </w:pPr>
            <w:r>
              <w:rPr>
                <w:sz w:val="22"/>
              </w:rPr>
              <w:t>[En</w:t>
            </w:r>
          </w:p>
        </w:tc>
        <w:tc>
          <w:tcPr>
            <w:tcW w:w="1152" w:type="dxa"/>
          </w:tcPr>
          <w:p>
            <w:pPr>
              <w:pStyle w:val="TableParagraph"/>
              <w:spacing w:before="76"/>
              <w:ind w:right="35"/>
              <w:jc w:val="right"/>
              <w:rPr>
                <w:sz w:val="22"/>
              </w:rPr>
            </w:pPr>
            <w:r>
              <w:rPr>
                <w:sz w:val="22"/>
              </w:rPr>
              <w:t>línea]</w:t>
            </w:r>
          </w:p>
        </w:tc>
      </w:tr>
      <w:tr>
        <w:trPr>
          <w:trHeight w:val="278" w:hRule="exact"/>
        </w:trPr>
        <w:tc>
          <w:tcPr>
            <w:tcW w:w="1358" w:type="dxa"/>
          </w:tcPr>
          <w:p>
            <w:pPr>
              <w:pStyle w:val="TableParagraph"/>
              <w:spacing w:before="10"/>
              <w:ind w:left="35"/>
              <w:jc w:val="left"/>
              <w:rPr>
                <w:sz w:val="22"/>
              </w:rPr>
            </w:pPr>
            <w:r>
              <w:rPr>
                <w:sz w:val="22"/>
              </w:rPr>
              <w:t>Available</w:t>
            </w:r>
          </w:p>
        </w:tc>
        <w:tc>
          <w:tcPr>
            <w:tcW w:w="1266" w:type="dxa"/>
          </w:tcPr>
          <w:p>
            <w:pPr/>
          </w:p>
        </w:tc>
        <w:tc>
          <w:tcPr>
            <w:tcW w:w="1666" w:type="dxa"/>
          </w:tcPr>
          <w:p>
            <w:pPr/>
          </w:p>
        </w:tc>
        <w:tc>
          <w:tcPr>
            <w:tcW w:w="1995" w:type="dxa"/>
          </w:tcPr>
          <w:p>
            <w:pPr/>
          </w:p>
        </w:tc>
        <w:tc>
          <w:tcPr>
            <w:tcW w:w="1476" w:type="dxa"/>
          </w:tcPr>
          <w:p>
            <w:pPr/>
          </w:p>
        </w:tc>
        <w:tc>
          <w:tcPr>
            <w:tcW w:w="1152" w:type="dxa"/>
          </w:tcPr>
          <w:p>
            <w:pPr>
              <w:pStyle w:val="TableParagraph"/>
              <w:spacing w:before="10"/>
              <w:ind w:right="33"/>
              <w:jc w:val="right"/>
              <w:rPr>
                <w:sz w:val="22"/>
              </w:rPr>
            </w:pPr>
            <w:r>
              <w:rPr>
                <w:sz w:val="22"/>
              </w:rPr>
              <w:t>at:</w:t>
            </w:r>
          </w:p>
        </w:tc>
      </w:tr>
    </w:tbl>
    <w:p>
      <w:pPr>
        <w:pStyle w:val="BodyText"/>
        <w:spacing w:line="276" w:lineRule="auto" w:before="16"/>
        <w:ind w:left="140" w:right="184"/>
        <w:jc w:val="both"/>
      </w:pPr>
      <w:hyperlink r:id="rId58">
        <w:r>
          <w:rPr>
            <w:u w:val="single"/>
          </w:rPr>
          <w:t>http://www.ashland.com/Ashland/Static/Documents/ASI/Advanced%20Materials/lewis-</w:t>
        </w:r>
      </w:hyperlink>
      <w:r>
        <w:rPr>
          <w:u w:val="single"/>
        </w:rPr>
        <w:t> radiochromic-film.pdf</w:t>
      </w:r>
    </w:p>
    <w:p>
      <w:pPr>
        <w:pStyle w:val="BodyText"/>
        <w:ind w:left="140"/>
        <w:jc w:val="both"/>
      </w:pPr>
      <w:r>
        <w:rPr/>
        <w:t>[Último acceso: 21 Julio 2015].</w:t>
      </w:r>
    </w:p>
    <w:p>
      <w:pPr>
        <w:pStyle w:val="BodyText"/>
        <w:spacing w:before="5"/>
        <w:rPr>
          <w:sz w:val="24"/>
        </w:rPr>
      </w:pPr>
    </w:p>
    <w:p>
      <w:pPr>
        <w:pStyle w:val="BodyText"/>
        <w:spacing w:line="276" w:lineRule="auto"/>
        <w:ind w:left="140" w:right="136"/>
        <w:jc w:val="both"/>
      </w:pPr>
      <w:r>
        <w:rPr/>
        <w:t>Lewis, D., Micke, A., Yu, X. &amp; Chan, M., 2012. An efﬁcient protocol for radiochromic ﬁlm dosimetry combining calibration and measurement in a single scan. </w:t>
      </w:r>
      <w:r>
        <w:rPr>
          <w:i/>
        </w:rPr>
        <w:t>Med Phys, </w:t>
      </w:r>
      <w:r>
        <w:rPr/>
        <w:t>39(10), pp. 6339-6350.</w:t>
      </w:r>
    </w:p>
    <w:p>
      <w:pPr>
        <w:spacing w:after="0" w:line="276" w:lineRule="auto"/>
        <w:jc w:val="both"/>
        <w:sectPr>
          <w:pgSz w:w="12240" w:h="15840"/>
          <w:pgMar w:header="0" w:footer="1034" w:top="1360" w:bottom="1220" w:left="1560" w:right="1560"/>
        </w:sectPr>
      </w:pPr>
    </w:p>
    <w:p>
      <w:pPr>
        <w:pStyle w:val="BodyText"/>
        <w:spacing w:line="276" w:lineRule="auto" w:before="55"/>
        <w:ind w:left="100" w:right="128"/>
        <w:jc w:val="both"/>
      </w:pPr>
      <w:r>
        <w:rPr/>
        <w:t>Low, D. &amp; Dempsey, J., 2003. Evaluation of the gamma dose distribution comparison method. </w:t>
      </w:r>
      <w:r>
        <w:rPr>
          <w:i/>
        </w:rPr>
        <w:t>Med Phys, </w:t>
      </w:r>
      <w:r>
        <w:rPr/>
        <w:t>30(9), pp. 2455-2464.</w:t>
      </w:r>
    </w:p>
    <w:p>
      <w:pPr>
        <w:pStyle w:val="BodyText"/>
        <w:spacing w:before="1"/>
        <w:rPr>
          <w:sz w:val="21"/>
        </w:rPr>
      </w:pPr>
    </w:p>
    <w:p>
      <w:pPr>
        <w:pStyle w:val="BodyText"/>
        <w:spacing w:line="276" w:lineRule="auto" w:before="1"/>
        <w:ind w:left="100" w:right="128"/>
        <w:jc w:val="both"/>
      </w:pPr>
      <w:r>
        <w:rPr/>
        <w:t>Low, D., Harms, W., Mutic, S. &amp; Purdy, J., 1998. A technique for the quantitative evaluation of dose distribution. </w:t>
      </w:r>
      <w:r>
        <w:rPr>
          <w:i/>
        </w:rPr>
        <w:t>Med Phys, </w:t>
      </w:r>
      <w:r>
        <w:rPr/>
        <w:t>25(5), pp.</w:t>
      </w:r>
      <w:r>
        <w:rPr>
          <w:spacing w:val="-23"/>
        </w:rPr>
        <w:t> </w:t>
      </w:r>
      <w:r>
        <w:rPr/>
        <w:t>656-661.</w:t>
      </w:r>
    </w:p>
    <w:p>
      <w:pPr>
        <w:pStyle w:val="BodyText"/>
        <w:spacing w:before="2"/>
        <w:rPr>
          <w:sz w:val="21"/>
        </w:rPr>
      </w:pPr>
    </w:p>
    <w:p>
      <w:pPr>
        <w:pStyle w:val="BodyText"/>
        <w:spacing w:line="276" w:lineRule="auto"/>
        <w:ind w:left="100" w:right="120"/>
        <w:jc w:val="both"/>
      </w:pPr>
      <w:r>
        <w:rPr/>
        <w:t>Low, D. y otros, 2011. Dosimetry tools and techniques for IMRT.. </w:t>
      </w:r>
      <w:r>
        <w:rPr>
          <w:i/>
        </w:rPr>
        <w:t>Med Phys, </w:t>
      </w:r>
      <w:r>
        <w:rPr/>
        <w:t>3(38), pp. 1313-1338.</w:t>
      </w:r>
    </w:p>
    <w:p>
      <w:pPr>
        <w:pStyle w:val="BodyText"/>
        <w:spacing w:before="9"/>
        <w:rPr>
          <w:sz w:val="20"/>
        </w:rPr>
      </w:pPr>
    </w:p>
    <w:p>
      <w:pPr>
        <w:pStyle w:val="BodyText"/>
        <w:spacing w:line="276" w:lineRule="auto"/>
        <w:ind w:left="100" w:right="115"/>
        <w:jc w:val="both"/>
      </w:pPr>
      <w:r>
        <w:rPr/>
        <w:t>Massillon, G., Sou-Tung, C., Domingo-Muñoz, I. &amp; Chan, M., 2012. Energy Dependence of the New Gafchromic EBT3 Film: Dose Response Curves for 50 kV, 6 and 15 MV X-Ray Beams. </w:t>
      </w:r>
      <w:r>
        <w:rPr>
          <w:i/>
        </w:rPr>
        <w:t>Int J Med Phys Clin Eng Radiat Oncol, </w:t>
      </w:r>
      <w:r>
        <w:rPr/>
        <w:t>1(2), pp. 60-65.</w:t>
      </w:r>
    </w:p>
    <w:p>
      <w:pPr>
        <w:pStyle w:val="BodyText"/>
        <w:spacing w:before="1"/>
        <w:rPr>
          <w:sz w:val="21"/>
        </w:rPr>
      </w:pPr>
    </w:p>
    <w:p>
      <w:pPr>
        <w:pStyle w:val="BodyText"/>
        <w:spacing w:line="276" w:lineRule="auto" w:before="1"/>
        <w:ind w:left="100" w:right="115"/>
        <w:jc w:val="both"/>
      </w:pPr>
      <w:r>
        <w:rPr/>
        <w:t>McDermott, L. y otros, 2007. Replacing pre- treatment verifcation with in vivo EPID dosimetry for prostate IMRT. </w:t>
      </w:r>
      <w:r>
        <w:rPr>
          <w:i/>
        </w:rPr>
        <w:t>Int J Radiat Oncol Biol Phys, </w:t>
      </w:r>
      <w:r>
        <w:rPr/>
        <w:t>67(5), pp. 1568-1577.</w:t>
      </w:r>
    </w:p>
    <w:p>
      <w:pPr>
        <w:pStyle w:val="BodyText"/>
        <w:spacing w:before="2"/>
        <w:rPr>
          <w:sz w:val="21"/>
        </w:rPr>
      </w:pPr>
    </w:p>
    <w:p>
      <w:pPr>
        <w:pStyle w:val="BodyText"/>
        <w:spacing w:line="276" w:lineRule="auto"/>
        <w:ind w:left="100" w:right="116"/>
        <w:jc w:val="both"/>
      </w:pPr>
      <w:r>
        <w:rPr/>
        <w:t>McLaughlin, M. y otros, 1991. Sensitometry of the response of a new radiochromic film dosimeter to gamma radiation and electron beams. </w:t>
      </w:r>
      <w:r>
        <w:rPr>
          <w:i/>
        </w:rPr>
        <w:t>Nucl. Instr. Methods Physics, </w:t>
      </w:r>
      <w:r>
        <w:rPr/>
        <w:t>302(1), pp. 165-176.</w:t>
      </w:r>
    </w:p>
    <w:p>
      <w:pPr>
        <w:pStyle w:val="BodyText"/>
        <w:spacing w:before="9"/>
        <w:rPr>
          <w:sz w:val="20"/>
        </w:rPr>
      </w:pPr>
    </w:p>
    <w:p>
      <w:pPr>
        <w:pStyle w:val="BodyText"/>
        <w:spacing w:line="276" w:lineRule="auto"/>
        <w:ind w:left="100" w:right="128"/>
        <w:jc w:val="both"/>
      </w:pPr>
      <w:r>
        <w:rPr/>
        <w:t>McLaughlin, W. y otros, 1994. The use of a radiochromic detector for the determination of stereotactic radiosurgery dose characteristics. </w:t>
      </w:r>
      <w:r>
        <w:rPr>
          <w:i/>
        </w:rPr>
        <w:t>Med Phys, </w:t>
      </w:r>
      <w:r>
        <w:rPr/>
        <w:t>21(3), pp. 379-388.</w:t>
      </w:r>
    </w:p>
    <w:p>
      <w:pPr>
        <w:pStyle w:val="BodyText"/>
        <w:spacing w:before="1"/>
        <w:rPr>
          <w:sz w:val="21"/>
        </w:rPr>
      </w:pPr>
    </w:p>
    <w:p>
      <w:pPr>
        <w:pStyle w:val="BodyText"/>
        <w:spacing w:line="276" w:lineRule="auto" w:before="1"/>
        <w:ind w:left="100" w:right="118"/>
        <w:jc w:val="both"/>
      </w:pPr>
      <w:r>
        <w:rPr/>
        <w:t>Niroomand-Rad, A. y otros, 1998. Radiochromic film dosimetry:Recommendations of AAPM radiation therapy committee task group 55. </w:t>
      </w:r>
      <w:r>
        <w:rPr>
          <w:i/>
        </w:rPr>
        <w:t>Med Phys, </w:t>
      </w:r>
      <w:r>
        <w:rPr/>
        <w:t>25(11), pp. 2093-2115.</w:t>
      </w:r>
    </w:p>
    <w:p>
      <w:pPr>
        <w:pStyle w:val="BodyText"/>
        <w:spacing w:before="1"/>
        <w:rPr>
          <w:sz w:val="21"/>
        </w:rPr>
      </w:pPr>
    </w:p>
    <w:p>
      <w:pPr>
        <w:pStyle w:val="BodyText"/>
        <w:spacing w:before="1"/>
        <w:ind w:left="100"/>
        <w:jc w:val="both"/>
        <w:rPr>
          <w:i/>
        </w:rPr>
      </w:pPr>
      <w:r>
        <w:rPr/>
        <w:t>Otto, K., 2008. Volumetric modulated arc therapy: IMRT in a single gantry arc. </w:t>
      </w:r>
      <w:r>
        <w:rPr>
          <w:i/>
        </w:rPr>
        <w:t>Med Phys,</w:t>
      </w:r>
    </w:p>
    <w:p>
      <w:pPr>
        <w:pStyle w:val="BodyText"/>
        <w:spacing w:before="38"/>
        <w:ind w:left="100"/>
        <w:jc w:val="both"/>
      </w:pPr>
      <w:r>
        <w:rPr/>
        <w:t>35(1), pp. 310-317.</w:t>
      </w:r>
    </w:p>
    <w:p>
      <w:pPr>
        <w:pStyle w:val="BodyText"/>
        <w:spacing w:before="5"/>
        <w:rPr>
          <w:sz w:val="24"/>
        </w:rPr>
      </w:pPr>
    </w:p>
    <w:p>
      <w:pPr>
        <w:pStyle w:val="BodyText"/>
        <w:spacing w:line="273" w:lineRule="auto" w:before="1"/>
        <w:ind w:left="100" w:right="121"/>
        <w:jc w:val="both"/>
      </w:pPr>
      <w:r>
        <w:rPr/>
        <w:t>Pai, S. y otros, 2007. Radiographic film for megavoltage beam dosimetry. Report of AAPM Task Group 69.. </w:t>
      </w:r>
      <w:r>
        <w:rPr>
          <w:i/>
        </w:rPr>
        <w:t>Med Phys, </w:t>
      </w:r>
      <w:r>
        <w:rPr/>
        <w:t>34(6), pp. 2228-2258.</w:t>
      </w:r>
    </w:p>
    <w:p>
      <w:pPr>
        <w:pStyle w:val="BodyText"/>
        <w:spacing w:before="4"/>
        <w:rPr>
          <w:sz w:val="21"/>
        </w:rPr>
      </w:pPr>
    </w:p>
    <w:p>
      <w:pPr>
        <w:spacing w:line="276" w:lineRule="auto" w:before="0"/>
        <w:ind w:left="100" w:right="115" w:firstLine="0"/>
        <w:jc w:val="both"/>
        <w:rPr>
          <w:sz w:val="22"/>
        </w:rPr>
      </w:pPr>
      <w:r>
        <w:rPr>
          <w:sz w:val="22"/>
        </w:rPr>
        <w:t>Palta, J., Kim, S., Li, J. &amp; Liu, C., 2003. Tolerance limits and action levels for planning and delivery of IMRT. En: A. A. c. o. P. i. Medicine, ed. </w:t>
      </w:r>
      <w:r>
        <w:rPr>
          <w:i/>
          <w:sz w:val="22"/>
        </w:rPr>
        <w:t>Intensity-Modulated Radiation </w:t>
      </w:r>
      <w:r>
        <w:rPr>
          <w:i/>
          <w:sz w:val="22"/>
        </w:rPr>
        <w:t>Therapy: The State Of The Art. </w:t>
      </w:r>
      <w:r>
        <w:rPr>
          <w:sz w:val="22"/>
        </w:rPr>
        <w:t>Madison, WI, USA: Medical Physics Publishing, pp. 593- 612.</w:t>
      </w:r>
    </w:p>
    <w:p>
      <w:pPr>
        <w:pStyle w:val="BodyText"/>
        <w:spacing w:before="2"/>
        <w:rPr>
          <w:sz w:val="21"/>
        </w:rPr>
      </w:pPr>
    </w:p>
    <w:p>
      <w:pPr>
        <w:spacing w:before="0"/>
        <w:ind w:left="100" w:right="0" w:firstLine="0"/>
        <w:jc w:val="both"/>
        <w:rPr>
          <w:i/>
          <w:sz w:val="22"/>
        </w:rPr>
      </w:pPr>
      <w:r>
        <w:rPr>
          <w:sz w:val="22"/>
        </w:rPr>
        <w:t>Pizzutiello, R. J. &amp; Cullinan, R., 1993. </w:t>
      </w:r>
      <w:r>
        <w:rPr>
          <w:i/>
          <w:sz w:val="22"/>
        </w:rPr>
        <w:t>Introduction to Medical Radiographic Imaging.</w:t>
      </w:r>
    </w:p>
    <w:p>
      <w:pPr>
        <w:pStyle w:val="BodyText"/>
        <w:spacing w:before="38"/>
        <w:ind w:left="100"/>
        <w:jc w:val="both"/>
      </w:pPr>
      <w:r>
        <w:rPr/>
        <w:t>Primera ed. Nueva York: Eastman Kodak Company.</w:t>
      </w:r>
    </w:p>
    <w:p>
      <w:pPr>
        <w:pStyle w:val="BodyText"/>
        <w:spacing w:before="5"/>
        <w:rPr>
          <w:sz w:val="24"/>
        </w:rPr>
      </w:pPr>
    </w:p>
    <w:p>
      <w:pPr>
        <w:spacing w:line="273" w:lineRule="auto" w:before="0"/>
        <w:ind w:left="100" w:right="123" w:firstLine="0"/>
        <w:jc w:val="both"/>
        <w:rPr>
          <w:sz w:val="22"/>
        </w:rPr>
      </w:pPr>
      <w:r>
        <w:rPr>
          <w:sz w:val="22"/>
        </w:rPr>
        <w:t>Podgorsak, E., 2005. </w:t>
      </w:r>
      <w:r>
        <w:rPr>
          <w:i/>
          <w:sz w:val="22"/>
        </w:rPr>
        <w:t>Radiation Oncology Physics; A Handbook for Teachers and </w:t>
      </w:r>
      <w:r>
        <w:rPr>
          <w:i/>
          <w:sz w:val="22"/>
        </w:rPr>
        <w:t>Students. </w:t>
      </w:r>
      <w:r>
        <w:rPr>
          <w:sz w:val="22"/>
        </w:rPr>
        <w:t>Viena: International Atomic Energy Agency.</w:t>
      </w:r>
    </w:p>
    <w:p>
      <w:pPr>
        <w:pStyle w:val="BodyText"/>
        <w:spacing w:before="4"/>
        <w:rPr>
          <w:sz w:val="21"/>
        </w:rPr>
      </w:pPr>
    </w:p>
    <w:p>
      <w:pPr>
        <w:spacing w:line="276" w:lineRule="auto" w:before="0"/>
        <w:ind w:left="100" w:right="119" w:firstLine="0"/>
        <w:jc w:val="both"/>
        <w:rPr>
          <w:sz w:val="22"/>
        </w:rPr>
      </w:pPr>
      <w:r>
        <w:rPr>
          <w:sz w:val="22"/>
        </w:rPr>
        <w:t>Popple, R. &amp; Rosen, I., 2000. Delivery of multiple IMRT ﬁelds using a single physical attenuator. En: W. Schlegel &amp; T. Bortﬁeld, edits. </w:t>
      </w:r>
      <w:r>
        <w:rPr>
          <w:i/>
          <w:sz w:val="22"/>
        </w:rPr>
        <w:t>Proc. 13th Int.Conf. on the use of </w:t>
      </w:r>
      <w:r>
        <w:rPr>
          <w:i/>
          <w:sz w:val="22"/>
        </w:rPr>
        <w:t>computers in radiation therapy. </w:t>
      </w:r>
      <w:r>
        <w:rPr>
          <w:sz w:val="22"/>
        </w:rPr>
        <w:t>Heidelberg: Springer, pp. 191-193.</w:t>
      </w:r>
    </w:p>
    <w:p>
      <w:pPr>
        <w:spacing w:after="0" w:line="276" w:lineRule="auto"/>
        <w:jc w:val="both"/>
        <w:rPr>
          <w:sz w:val="22"/>
        </w:rPr>
        <w:sectPr>
          <w:pgSz w:w="12240" w:h="15840"/>
          <w:pgMar w:header="0" w:footer="1034" w:top="1360" w:bottom="1220" w:left="1600" w:right="1580"/>
        </w:sectPr>
      </w:pPr>
    </w:p>
    <w:p>
      <w:pPr>
        <w:pStyle w:val="BodyText"/>
        <w:spacing w:line="276" w:lineRule="auto" w:before="55"/>
        <w:ind w:left="100" w:right="130"/>
        <w:jc w:val="both"/>
      </w:pPr>
      <w:r>
        <w:rPr/>
        <w:t>Renade, M. y otros, 2008. A prototype quantitative film scanner for radiochromic film dosimetry. </w:t>
      </w:r>
      <w:r>
        <w:rPr>
          <w:i/>
        </w:rPr>
        <w:t>Med Phys, </w:t>
      </w:r>
      <w:r>
        <w:rPr/>
        <w:t>35(2), pp. 473-479.</w:t>
      </w:r>
    </w:p>
    <w:p>
      <w:pPr>
        <w:pStyle w:val="BodyText"/>
        <w:spacing w:before="1"/>
        <w:rPr>
          <w:sz w:val="21"/>
        </w:rPr>
      </w:pPr>
    </w:p>
    <w:p>
      <w:pPr>
        <w:pStyle w:val="BodyText"/>
        <w:spacing w:line="276" w:lineRule="auto" w:before="1"/>
        <w:ind w:left="100" w:right="116"/>
        <w:jc w:val="both"/>
      </w:pPr>
      <w:r>
        <w:rPr/>
        <w:t>Sánchez-Doblado, F. y otros, 2007. Uncertainty estimation in intensity-modulated radiotherapy absolute dosimetry verification. </w:t>
      </w:r>
      <w:r>
        <w:rPr>
          <w:i/>
        </w:rPr>
        <w:t>Int J Radiat Oncol Biol Phys, </w:t>
      </w:r>
      <w:r>
        <w:rPr/>
        <w:t>68(1), pp. 301- 310.</w:t>
      </w:r>
    </w:p>
    <w:p>
      <w:pPr>
        <w:pStyle w:val="BodyText"/>
        <w:spacing w:before="2"/>
        <w:rPr>
          <w:sz w:val="21"/>
        </w:rPr>
      </w:pPr>
    </w:p>
    <w:p>
      <w:pPr>
        <w:pStyle w:val="BodyText"/>
        <w:spacing w:line="273" w:lineRule="auto"/>
        <w:ind w:left="100" w:right="122"/>
        <w:jc w:val="both"/>
      </w:pPr>
      <w:r>
        <w:rPr/>
        <w:t>Sim, J., Wong, J. &amp; Ng, K., 2013. The use of radiochromic EBT2 film for the quality assurance and dosimetric verification of 3D conformal radiotherapy using Microtek ScanMaker 9800XL. </w:t>
      </w:r>
      <w:r>
        <w:rPr>
          <w:i/>
        </w:rPr>
        <w:t>J Appl Clin Medl Phys, </w:t>
      </w:r>
      <w:r>
        <w:rPr/>
        <w:t>14(4), pp. 85-95.</w:t>
      </w:r>
    </w:p>
    <w:p>
      <w:pPr>
        <w:pStyle w:val="BodyText"/>
        <w:spacing w:before="4"/>
        <w:rPr>
          <w:sz w:val="21"/>
        </w:rPr>
      </w:pPr>
    </w:p>
    <w:p>
      <w:pPr>
        <w:pStyle w:val="BodyText"/>
        <w:ind w:left="100"/>
        <w:jc w:val="both"/>
        <w:rPr>
          <w:i/>
        </w:rPr>
      </w:pPr>
      <w:r>
        <w:rPr/>
        <w:t>Slobodan, D., 2011. Radiochromic film dosimetry: Past, present, and future. </w:t>
      </w:r>
      <w:r>
        <w:rPr>
          <w:i/>
        </w:rPr>
        <w:t>Phys Med,</w:t>
      </w:r>
    </w:p>
    <w:p>
      <w:pPr>
        <w:pStyle w:val="BodyText"/>
        <w:spacing w:before="38"/>
        <w:ind w:left="100"/>
        <w:jc w:val="both"/>
      </w:pPr>
      <w:r>
        <w:rPr/>
        <w:t>27(3), pp. 122-134.</w:t>
      </w:r>
    </w:p>
    <w:p>
      <w:pPr>
        <w:pStyle w:val="BodyText"/>
        <w:spacing w:before="5"/>
        <w:rPr>
          <w:sz w:val="24"/>
        </w:rPr>
      </w:pPr>
    </w:p>
    <w:p>
      <w:pPr>
        <w:pStyle w:val="BodyText"/>
        <w:spacing w:line="276" w:lineRule="auto"/>
        <w:ind w:left="100" w:right="117"/>
        <w:jc w:val="both"/>
      </w:pPr>
      <w:r>
        <w:rPr/>
        <w:t>Stock, M., Kroupa, B. &amp; Georg, D., 2005. Interpretation and evaluation of the gamma index and the gamma index angle for the verifcation of IMRT hybrid plans. </w:t>
      </w:r>
      <w:r>
        <w:rPr>
          <w:i/>
        </w:rPr>
        <w:t>Phys  Med  Biol, </w:t>
      </w:r>
      <w:r>
        <w:rPr/>
        <w:t>50(3), pp. 399-411.</w:t>
      </w:r>
    </w:p>
    <w:p>
      <w:pPr>
        <w:pStyle w:val="BodyText"/>
        <w:spacing w:before="1"/>
        <w:rPr>
          <w:sz w:val="21"/>
        </w:rPr>
      </w:pPr>
    </w:p>
    <w:p>
      <w:pPr>
        <w:pStyle w:val="BodyText"/>
        <w:spacing w:line="273" w:lineRule="auto"/>
        <w:ind w:left="100" w:right="116"/>
        <w:jc w:val="both"/>
      </w:pPr>
      <w:r>
        <w:rPr/>
        <w:t>Syam Kumar, S. y otros, 2012. A patient-specific quality assurance study on absolute dose verification using ionization chambers of different volumes in RapidArc treatments. </w:t>
      </w:r>
      <w:r>
        <w:rPr>
          <w:i/>
        </w:rPr>
        <w:t>Med </w:t>
      </w:r>
      <w:r>
        <w:rPr>
          <w:i/>
        </w:rPr>
        <w:t>Dosim, </w:t>
      </w:r>
      <w:r>
        <w:rPr/>
        <w:t>37(4), pp. 436-441.</w:t>
      </w:r>
    </w:p>
    <w:p>
      <w:pPr>
        <w:pStyle w:val="BodyText"/>
        <w:spacing w:before="4"/>
        <w:rPr>
          <w:sz w:val="21"/>
        </w:rPr>
      </w:pPr>
    </w:p>
    <w:p>
      <w:pPr>
        <w:pStyle w:val="BodyText"/>
        <w:spacing w:line="276" w:lineRule="auto" w:before="1"/>
        <w:ind w:left="100" w:right="123"/>
        <w:jc w:val="both"/>
      </w:pPr>
      <w:r>
        <w:rPr/>
        <w:t>Venecia, C. &amp; Besa, P., 2004. Commissioning and quality assurance for intensity modulated radiotherapy with dynamic multileaf collimator: experience of the Pontificia Universidad Católica de Chile. </w:t>
      </w:r>
      <w:r>
        <w:rPr>
          <w:i/>
        </w:rPr>
        <w:t>J Appl Clin Med Phys, </w:t>
      </w:r>
      <w:r>
        <w:rPr/>
        <w:t>5(3), pp.</w:t>
      </w:r>
      <w:r>
        <w:rPr>
          <w:spacing w:val="-23"/>
        </w:rPr>
        <w:t> </w:t>
      </w:r>
      <w:r>
        <w:rPr/>
        <w:t>37-54.</w:t>
      </w:r>
    </w:p>
    <w:p>
      <w:pPr>
        <w:pStyle w:val="BodyText"/>
        <w:spacing w:before="1"/>
        <w:rPr>
          <w:sz w:val="21"/>
        </w:rPr>
      </w:pPr>
    </w:p>
    <w:p>
      <w:pPr>
        <w:tabs>
          <w:tab w:pos="1623" w:val="left" w:leader="none"/>
          <w:tab w:pos="2505" w:val="left" w:leader="none"/>
        </w:tabs>
        <w:spacing w:line="273" w:lineRule="auto" w:before="1"/>
        <w:ind w:left="100" w:right="116" w:firstLine="0"/>
        <w:jc w:val="both"/>
        <w:rPr>
          <w:sz w:val="22"/>
        </w:rPr>
      </w:pPr>
      <w:r>
        <w:rPr>
          <w:sz w:val="22"/>
        </w:rPr>
        <w:t>Webb,     S.,     2009.     </w:t>
      </w:r>
      <w:r>
        <w:rPr>
          <w:i/>
          <w:sz w:val="22"/>
        </w:rPr>
        <w:t>VMAT:     its     role     in     radiotherapy.      </w:t>
      </w:r>
      <w:r>
        <w:rPr>
          <w:sz w:val="22"/>
        </w:rPr>
        <w:t>[En      línea]    Available</w:t>
        <w:tab/>
        <w:t>at:</w:t>
        <w:tab/>
      </w:r>
      <w:hyperlink r:id="rId59">
        <w:r>
          <w:rPr>
            <w:spacing w:val="-1"/>
            <w:sz w:val="22"/>
            <w:u w:val="single"/>
          </w:rPr>
          <w:t>http://iopp.fileburst.com/mpw/review/MPWreview-winter09.pdf</w:t>
        </w:r>
      </w:hyperlink>
      <w:r>
        <w:rPr>
          <w:spacing w:val="-1"/>
          <w:sz w:val="22"/>
          <w:u w:val="single"/>
        </w:rPr>
        <w:t> </w:t>
      </w:r>
      <w:r>
        <w:rPr>
          <w:sz w:val="22"/>
        </w:rPr>
        <w:t>[Último acceso: 18 Junio</w:t>
      </w:r>
      <w:r>
        <w:rPr>
          <w:spacing w:val="-14"/>
          <w:sz w:val="22"/>
        </w:rPr>
        <w:t> </w:t>
      </w:r>
      <w:r>
        <w:rPr>
          <w:sz w:val="22"/>
        </w:rPr>
        <w:t>2015].</w:t>
      </w:r>
    </w:p>
    <w:p>
      <w:pPr>
        <w:pStyle w:val="BodyText"/>
        <w:spacing w:before="4"/>
        <w:rPr>
          <w:sz w:val="21"/>
        </w:rPr>
      </w:pPr>
    </w:p>
    <w:p>
      <w:pPr>
        <w:pStyle w:val="BodyText"/>
        <w:spacing w:line="276" w:lineRule="auto" w:before="1"/>
        <w:ind w:left="100" w:right="128"/>
        <w:jc w:val="both"/>
      </w:pPr>
      <w:r>
        <w:rPr/>
        <w:t>Westermark, M., Arndt, J., Nilsson, B. &amp; Brahme, A., 2000. Comparative dosimetry in narrow high-energy photon beams. </w:t>
      </w:r>
      <w:r>
        <w:rPr>
          <w:i/>
        </w:rPr>
        <w:t>Phys Med Biol, </w:t>
      </w:r>
      <w:r>
        <w:rPr/>
        <w:t>45(3), pp. 685-702.</w:t>
      </w:r>
    </w:p>
    <w:p>
      <w:pPr>
        <w:pStyle w:val="BodyText"/>
        <w:spacing w:before="1"/>
        <w:rPr>
          <w:sz w:val="21"/>
        </w:rPr>
      </w:pPr>
    </w:p>
    <w:p>
      <w:pPr>
        <w:spacing w:before="1"/>
        <w:ind w:left="100" w:right="0" w:firstLine="0"/>
        <w:jc w:val="both"/>
        <w:rPr>
          <w:i/>
          <w:sz w:val="22"/>
        </w:rPr>
      </w:pPr>
      <w:r>
        <w:rPr>
          <w:sz w:val="22"/>
        </w:rPr>
        <w:t>Yeo, I. &amp; Kim, J., 2004. </w:t>
      </w:r>
      <w:r>
        <w:rPr>
          <w:i/>
          <w:sz w:val="22"/>
        </w:rPr>
        <w:t>A procedural guide to film dosimetry: with emphasis on IMRT.</w:t>
      </w:r>
    </w:p>
    <w:p>
      <w:pPr>
        <w:pStyle w:val="BodyText"/>
        <w:spacing w:before="38"/>
        <w:ind w:left="100"/>
        <w:jc w:val="both"/>
      </w:pPr>
      <w:r>
        <w:rPr/>
        <w:t>Madison, Wisconsin: Medical Physics Pub. .</w:t>
      </w:r>
    </w:p>
    <w:p>
      <w:pPr>
        <w:pStyle w:val="BodyText"/>
        <w:spacing w:before="5"/>
        <w:rPr>
          <w:sz w:val="24"/>
        </w:rPr>
      </w:pPr>
    </w:p>
    <w:p>
      <w:pPr>
        <w:pStyle w:val="BodyText"/>
        <w:spacing w:line="276" w:lineRule="auto"/>
        <w:ind w:left="100" w:right="129"/>
        <w:jc w:val="both"/>
      </w:pPr>
      <w:r>
        <w:rPr/>
        <w:t>Yu, C., 1995. Intensity-modulated arc therapy with dynamic multileaf collimation: an alternative to tomotherapy. </w:t>
      </w:r>
      <w:r>
        <w:rPr>
          <w:i/>
        </w:rPr>
        <w:t>Phys Med Biol, </w:t>
      </w:r>
      <w:r>
        <w:rPr/>
        <w:t>40(9), pp. 1435-1449.</w:t>
      </w:r>
    </w:p>
    <w:p>
      <w:pPr>
        <w:pStyle w:val="BodyText"/>
        <w:spacing w:before="1"/>
        <w:rPr>
          <w:sz w:val="21"/>
        </w:rPr>
      </w:pPr>
    </w:p>
    <w:p>
      <w:pPr>
        <w:pStyle w:val="BodyText"/>
        <w:spacing w:line="273" w:lineRule="auto" w:before="1"/>
        <w:ind w:left="100" w:right="122"/>
        <w:jc w:val="both"/>
      </w:pPr>
      <w:r>
        <w:rPr/>
        <w:t>Yu, C., Jaffray, D. &amp; Wong, J., 1998. The effects of intra fraction organ motion on the delivery of dynamic intensity modulation. </w:t>
      </w:r>
      <w:r>
        <w:rPr>
          <w:i/>
        </w:rPr>
        <w:t>Phys Med Biol, </w:t>
      </w:r>
      <w:r>
        <w:rPr/>
        <w:t>43(1), pp. 91-104.</w:t>
      </w:r>
    </w:p>
    <w:p>
      <w:pPr>
        <w:spacing w:after="0" w:line="273" w:lineRule="auto"/>
        <w:jc w:val="both"/>
        <w:sectPr>
          <w:pgSz w:w="12240" w:h="15840"/>
          <w:pgMar w:header="0" w:footer="1034" w:top="1360" w:bottom="1220" w:left="1600" w:right="1580"/>
        </w:sectPr>
      </w:pPr>
    </w:p>
    <w:p>
      <w:pPr>
        <w:spacing w:before="69"/>
        <w:ind w:left="4402" w:right="222" w:hanging="629"/>
        <w:jc w:val="left"/>
        <w:rPr>
          <w:rFonts w:ascii="Courier New" w:hAnsi="Courier New"/>
          <w:sz w:val="21"/>
        </w:rPr>
      </w:pPr>
      <w:r>
        <w:rPr>
          <w:rFonts w:ascii="Courier New" w:hAnsi="Courier New"/>
          <w:sz w:val="21"/>
        </w:rPr>
        <w:t>Elsevier Editorial System(tm) for Radiología Manuscript Draft</w:t>
      </w:r>
    </w:p>
    <w:p>
      <w:pPr>
        <w:pStyle w:val="BodyText"/>
        <w:rPr>
          <w:rFonts w:ascii="Courier New"/>
          <w:sz w:val="20"/>
        </w:rPr>
      </w:pPr>
    </w:p>
    <w:p>
      <w:pPr>
        <w:pStyle w:val="BodyText"/>
        <w:spacing w:before="9"/>
        <w:rPr>
          <w:rFonts w:ascii="Courier New"/>
          <w:sz w:val="21"/>
        </w:rPr>
      </w:pPr>
    </w:p>
    <w:p>
      <w:pPr>
        <w:spacing w:before="0"/>
        <w:ind w:left="112" w:right="222" w:firstLine="0"/>
        <w:jc w:val="left"/>
        <w:rPr>
          <w:rFonts w:ascii="Courier New"/>
          <w:sz w:val="21"/>
        </w:rPr>
      </w:pPr>
      <w:r>
        <w:rPr>
          <w:rFonts w:ascii="Courier New"/>
          <w:sz w:val="21"/>
        </w:rPr>
        <w:t>Manuscript Number:</w:t>
      </w:r>
    </w:p>
    <w:p>
      <w:pPr>
        <w:pStyle w:val="BodyText"/>
        <w:spacing w:before="4"/>
        <w:rPr>
          <w:rFonts w:ascii="Courier New"/>
          <w:sz w:val="21"/>
        </w:rPr>
      </w:pPr>
    </w:p>
    <w:p>
      <w:pPr>
        <w:spacing w:before="0"/>
        <w:ind w:left="112" w:right="354" w:firstLine="0"/>
        <w:jc w:val="left"/>
        <w:rPr>
          <w:rFonts w:ascii="Courier New" w:hAnsi="Courier New"/>
          <w:sz w:val="21"/>
        </w:rPr>
      </w:pPr>
      <w:r>
        <w:rPr>
          <w:rFonts w:ascii="Courier New" w:hAnsi="Courier New"/>
          <w:sz w:val="21"/>
        </w:rPr>
        <w:t>Title: Control de calidad con película radiocrómica Gafchromic EBT3 para tratamientos de IMRT en un acelerador lineal Varian 21EX con 6 MV</w:t>
      </w:r>
    </w:p>
    <w:p>
      <w:pPr>
        <w:pStyle w:val="BodyText"/>
        <w:rPr>
          <w:rFonts w:ascii="Courier New"/>
          <w:sz w:val="21"/>
        </w:rPr>
      </w:pPr>
    </w:p>
    <w:p>
      <w:pPr>
        <w:spacing w:line="480" w:lineRule="auto" w:before="1"/>
        <w:ind w:left="112" w:right="2496" w:firstLine="0"/>
        <w:jc w:val="left"/>
        <w:rPr>
          <w:rFonts w:ascii="Courier New" w:hAnsi="Courier New"/>
          <w:sz w:val="21"/>
        </w:rPr>
      </w:pPr>
      <w:r>
        <w:rPr>
          <w:rFonts w:ascii="Courier New" w:hAnsi="Courier New"/>
          <w:sz w:val="21"/>
        </w:rPr>
        <w:t>Article Type: Original clínico / Clinical Paper Corresponding Author: Dr. Eugenio Torres-García, Ph. D.</w:t>
      </w:r>
    </w:p>
    <w:p>
      <w:pPr>
        <w:spacing w:line="242" w:lineRule="auto" w:before="0"/>
        <w:ind w:left="112" w:right="606" w:firstLine="0"/>
        <w:jc w:val="left"/>
        <w:rPr>
          <w:rFonts w:ascii="Courier New" w:hAnsi="Courier New"/>
          <w:sz w:val="21"/>
        </w:rPr>
      </w:pPr>
      <w:r>
        <w:rPr>
          <w:rFonts w:ascii="Courier New" w:hAnsi="Courier New"/>
          <w:sz w:val="21"/>
        </w:rPr>
        <w:t>Corresponding Author's Institution: Universidad Autónoma del Estado de México</w:t>
      </w:r>
    </w:p>
    <w:p>
      <w:pPr>
        <w:pStyle w:val="BodyText"/>
        <w:spacing w:before="5"/>
        <w:rPr>
          <w:rFonts w:ascii="Courier New"/>
          <w:sz w:val="20"/>
        </w:rPr>
      </w:pPr>
    </w:p>
    <w:p>
      <w:pPr>
        <w:spacing w:before="0"/>
        <w:ind w:left="112" w:right="222" w:firstLine="0"/>
        <w:jc w:val="left"/>
        <w:rPr>
          <w:rFonts w:ascii="Courier New" w:hAnsi="Courier New"/>
          <w:sz w:val="21"/>
        </w:rPr>
      </w:pPr>
      <w:r>
        <w:rPr>
          <w:rFonts w:ascii="Courier New" w:hAnsi="Courier New"/>
          <w:sz w:val="21"/>
        </w:rPr>
        <w:t>First Author: Irving U Tzec-Quiñones, MSc</w:t>
      </w:r>
    </w:p>
    <w:p>
      <w:pPr>
        <w:pStyle w:val="BodyText"/>
        <w:rPr>
          <w:rFonts w:ascii="Courier New"/>
          <w:sz w:val="21"/>
        </w:rPr>
      </w:pPr>
    </w:p>
    <w:p>
      <w:pPr>
        <w:spacing w:before="1"/>
        <w:ind w:left="112" w:right="228" w:firstLine="0"/>
        <w:jc w:val="left"/>
        <w:rPr>
          <w:rFonts w:ascii="Courier New" w:hAnsi="Courier New"/>
          <w:sz w:val="21"/>
        </w:rPr>
      </w:pPr>
      <w:r>
        <w:rPr>
          <w:rFonts w:ascii="Courier New" w:hAnsi="Courier New"/>
          <w:sz w:val="21"/>
        </w:rPr>
        <w:t>Order of Authors: Irving U Tzec-Quiñones, MSc; Jeanette Rodríguez-Cortes, Ph. D.; Eugenio Torres-García, Ph. D.</w:t>
      </w:r>
    </w:p>
    <w:p>
      <w:pPr>
        <w:spacing w:after="0"/>
        <w:jc w:val="left"/>
        <w:rPr>
          <w:rFonts w:ascii="Courier New" w:hAnsi="Courier New"/>
          <w:sz w:val="21"/>
        </w:rPr>
        <w:sectPr>
          <w:footerReference w:type="default" r:id="rId60"/>
          <w:pgSz w:w="11920" w:h="16840"/>
          <w:pgMar w:footer="1046" w:header="0" w:top="1360" w:bottom="1240" w:left="1220" w:right="1140"/>
        </w:sectPr>
      </w:pPr>
    </w:p>
    <w:p>
      <w:pPr>
        <w:spacing w:before="44"/>
        <w:ind w:left="100" w:right="92" w:firstLine="0"/>
        <w:jc w:val="left"/>
        <w:rPr>
          <w:rFonts w:ascii="Arial" w:hAnsi="Arial"/>
          <w:b/>
          <w:sz w:val="20"/>
        </w:rPr>
      </w:pPr>
      <w:r>
        <w:rPr>
          <w:rFonts w:ascii="Arial" w:hAnsi="Arial"/>
          <w:b/>
          <w:sz w:val="20"/>
        </w:rPr>
        <w:t>*Primera página (incluye autores, filiación y correspondencia)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spacing w:line="482" w:lineRule="auto" w:before="0"/>
        <w:ind w:left="1924" w:right="464" w:hanging="7"/>
        <w:jc w:val="center"/>
        <w:rPr>
          <w:rFonts w:ascii="Times New Roman" w:hAnsi="Times New Roman"/>
          <w:b/>
          <w:sz w:val="28"/>
        </w:rPr>
      </w:pPr>
      <w:r>
        <w:rPr>
          <w:rFonts w:ascii="Times New Roman" w:hAnsi="Times New Roman"/>
          <w:b/>
          <w:sz w:val="28"/>
        </w:rPr>
        <w:t>Control de calidad con película radiocrómica Gafchromic EBT3 para tratamientos de IMRT en un acelerador lineal Varian 21EX con 6 MV</w:t>
      </w:r>
    </w:p>
    <w:p>
      <w:pPr>
        <w:pStyle w:val="BodyText"/>
        <w:rPr>
          <w:rFonts w:ascii="Times New Roman"/>
          <w:b/>
          <w:sz w:val="28"/>
        </w:rPr>
      </w:pPr>
    </w:p>
    <w:p>
      <w:pPr>
        <w:spacing w:before="236"/>
        <w:ind w:left="1851" w:right="398" w:firstLine="0"/>
        <w:jc w:val="center"/>
        <w:rPr>
          <w:rFonts w:ascii="Times New Roman" w:hAnsi="Times New Roman"/>
          <w:i/>
          <w:sz w:val="24"/>
        </w:rPr>
      </w:pPr>
      <w:r>
        <w:rPr>
          <w:rFonts w:ascii="Times New Roman" w:hAnsi="Times New Roman"/>
          <w:i/>
          <w:sz w:val="24"/>
        </w:rPr>
        <w:t>Título corto: Control de calidad en IMRT con EBT3 en tratamientos con 6MV</w:t>
      </w:r>
    </w:p>
    <w:p>
      <w:pPr>
        <w:pStyle w:val="BodyText"/>
        <w:rPr>
          <w:rFonts w:ascii="Times New Roman"/>
          <w:i/>
          <w:sz w:val="24"/>
        </w:rPr>
      </w:pPr>
    </w:p>
    <w:p>
      <w:pPr>
        <w:pStyle w:val="BodyText"/>
        <w:rPr>
          <w:rFonts w:ascii="Times New Roman"/>
          <w:i/>
          <w:sz w:val="24"/>
        </w:rPr>
      </w:pPr>
    </w:p>
    <w:p>
      <w:pPr>
        <w:pStyle w:val="BodyText"/>
        <w:spacing w:before="11"/>
        <w:rPr>
          <w:rFonts w:ascii="Times New Roman"/>
          <w:i/>
          <w:sz w:val="29"/>
        </w:rPr>
      </w:pPr>
    </w:p>
    <w:p>
      <w:pPr>
        <w:spacing w:before="0"/>
        <w:ind w:left="1862" w:right="398" w:firstLine="0"/>
        <w:jc w:val="center"/>
        <w:rPr>
          <w:rFonts w:ascii="Times New Roman" w:hAnsi="Times New Roman"/>
          <w:sz w:val="20"/>
        </w:rPr>
      </w:pPr>
      <w:r>
        <w:rPr>
          <w:rFonts w:ascii="Times New Roman" w:hAnsi="Times New Roman"/>
          <w:sz w:val="20"/>
        </w:rPr>
        <w:t>Irving Ubaldo Tzec-Quiñones</w:t>
      </w:r>
      <w:r>
        <w:rPr>
          <w:rFonts w:ascii="Times New Roman" w:hAnsi="Times New Roman"/>
          <w:position w:val="9"/>
          <w:sz w:val="13"/>
        </w:rPr>
        <w:t>1</w:t>
      </w:r>
      <w:r>
        <w:rPr>
          <w:rFonts w:ascii="Times New Roman" w:hAnsi="Times New Roman"/>
          <w:sz w:val="20"/>
        </w:rPr>
        <w:t>, Jeanette Rodríguez-Cortes</w:t>
      </w:r>
      <w:r>
        <w:rPr>
          <w:rFonts w:ascii="Times New Roman" w:hAnsi="Times New Roman"/>
          <w:position w:val="9"/>
          <w:sz w:val="13"/>
        </w:rPr>
        <w:t>2</w:t>
      </w:r>
      <w:r>
        <w:rPr>
          <w:rFonts w:ascii="Times New Roman" w:hAnsi="Times New Roman"/>
          <w:sz w:val="20"/>
        </w:rPr>
        <w:t>, Eugenio Torres-García</w:t>
      </w:r>
      <w:r>
        <w:rPr>
          <w:rFonts w:ascii="Times New Roman" w:hAnsi="Times New Roman"/>
          <w:position w:val="9"/>
          <w:sz w:val="13"/>
        </w:rPr>
        <w:t>1,</w:t>
      </w:r>
      <w:r>
        <w:rPr>
          <w:rFonts w:ascii="Times New Roman" w:hAnsi="Times New Roman"/>
          <w:sz w:val="20"/>
        </w:rPr>
        <w:t>*</w:t>
      </w:r>
    </w:p>
    <w:p>
      <w:pPr>
        <w:spacing w:before="205"/>
        <w:ind w:left="1864" w:right="398" w:firstLine="0"/>
        <w:jc w:val="center"/>
        <w:rPr>
          <w:rFonts w:ascii="Times New Roman" w:hAnsi="Times New Roman"/>
          <w:sz w:val="20"/>
        </w:rPr>
      </w:pPr>
      <w:r>
        <w:rPr>
          <w:rFonts w:ascii="Times New Roman" w:hAnsi="Times New Roman"/>
          <w:position w:val="9"/>
          <w:sz w:val="13"/>
        </w:rPr>
        <w:t>1</w:t>
      </w:r>
      <w:r>
        <w:rPr>
          <w:rFonts w:ascii="Times New Roman" w:hAnsi="Times New Roman"/>
          <w:sz w:val="20"/>
        </w:rPr>
        <w:t>Facultad de Medicina, Universidad Autónoma del Estado de México, Toluca, México, México. </w:t>
      </w:r>
      <w:r>
        <w:rPr>
          <w:rFonts w:ascii="Times New Roman" w:hAnsi="Times New Roman"/>
          <w:position w:val="9"/>
          <w:sz w:val="13"/>
        </w:rPr>
        <w:t>2</w:t>
      </w:r>
      <w:r>
        <w:rPr>
          <w:rFonts w:ascii="Times New Roman" w:hAnsi="Times New Roman"/>
          <w:sz w:val="20"/>
        </w:rPr>
        <w:t>Hospital</w:t>
      </w:r>
    </w:p>
    <w:p>
      <w:pPr>
        <w:pStyle w:val="BodyText"/>
        <w:spacing w:before="4"/>
        <w:rPr>
          <w:rFonts w:ascii="Times New Roman"/>
          <w:sz w:val="20"/>
        </w:rPr>
      </w:pPr>
    </w:p>
    <w:p>
      <w:pPr>
        <w:spacing w:before="0"/>
        <w:ind w:left="1848" w:right="398" w:firstLine="0"/>
        <w:jc w:val="center"/>
        <w:rPr>
          <w:rFonts w:ascii="Times New Roman" w:hAnsi="Times New Roman"/>
          <w:sz w:val="20"/>
        </w:rPr>
      </w:pPr>
      <w:r>
        <w:rPr>
          <w:rFonts w:ascii="Times New Roman" w:hAnsi="Times New Roman"/>
          <w:sz w:val="20"/>
        </w:rPr>
        <w:t>General de México, Ciudad de México, México.</w:t>
      </w:r>
    </w:p>
    <w:p>
      <w:pPr>
        <w:pStyle w:val="BodyText"/>
        <w:rPr>
          <w:rFonts w:ascii="Times New Roman"/>
          <w:sz w:val="20"/>
        </w:rPr>
      </w:pPr>
    </w:p>
    <w:p>
      <w:pPr>
        <w:pStyle w:val="BodyText"/>
        <w:rPr>
          <w:rFonts w:ascii="Times New Roman"/>
          <w:sz w:val="20"/>
        </w:rPr>
      </w:pPr>
    </w:p>
    <w:p>
      <w:pPr>
        <w:pStyle w:val="BodyText"/>
        <w:spacing w:before="8"/>
        <w:rPr>
          <w:rFonts w:ascii="Times New Roman"/>
          <w:sz w:val="27"/>
        </w:rPr>
      </w:pPr>
    </w:p>
    <w:p>
      <w:pPr>
        <w:pStyle w:val="BodyText"/>
        <w:spacing w:line="480" w:lineRule="auto" w:before="1"/>
        <w:ind w:left="1704" w:right="234"/>
        <w:jc w:val="both"/>
        <w:rPr>
          <w:rFonts w:ascii="Times New Roman" w:hAnsi="Times New Roman"/>
        </w:rPr>
      </w:pPr>
      <w:r>
        <w:rPr>
          <w:rFonts w:ascii="Times New Roman" w:hAnsi="Times New Roman"/>
          <w:b/>
        </w:rPr>
        <w:t>* AUTOR DE CORRESPONDENCIA: </w:t>
      </w:r>
      <w:r>
        <w:rPr>
          <w:rFonts w:ascii="Times New Roman" w:hAnsi="Times New Roman"/>
        </w:rPr>
        <w:t>Eugenio Torres-García. Facultad de Medicina. Universidad Autónoma del Estado de México. Paseo Tollocan S/N, esquina con Jesús Carranza, Colonia Moderna de la Cruz C.P. 50180, Toluca, Estado de México, México. e-mail: </w:t>
      </w:r>
      <w:hyperlink r:id="rId62">
        <w:r>
          <w:rPr>
            <w:rFonts w:ascii="Times New Roman" w:hAnsi="Times New Roman"/>
            <w:color w:val="0461C1"/>
            <w:u w:val="single" w:color="0461C1"/>
          </w:rPr>
          <w:t>eugenio_tg@yahoo.com.mx</w:t>
        </w:r>
      </w:hyperlink>
    </w:p>
    <w:p>
      <w:pPr>
        <w:spacing w:before="24"/>
        <w:ind w:left="1704" w:right="92" w:firstLine="0"/>
        <w:jc w:val="left"/>
        <w:rPr>
          <w:rFonts w:ascii="Times New Roman" w:hAnsi="Times New Roman"/>
          <w:b/>
          <w:sz w:val="24"/>
        </w:rPr>
      </w:pPr>
      <w:r>
        <w:rPr>
          <w:rFonts w:ascii="Times New Roman" w:hAnsi="Times New Roman"/>
          <w:b/>
          <w:sz w:val="24"/>
        </w:rPr>
        <w:t>Conflicto de interés:</w:t>
      </w:r>
    </w:p>
    <w:p>
      <w:pPr>
        <w:pStyle w:val="BodyText"/>
        <w:spacing w:before="11"/>
        <w:rPr>
          <w:rFonts w:ascii="Times New Roman"/>
          <w:b/>
        </w:rPr>
      </w:pPr>
    </w:p>
    <w:p>
      <w:pPr>
        <w:pStyle w:val="Heading5"/>
        <w:ind w:left="1704" w:right="92"/>
        <w:jc w:val="left"/>
      </w:pPr>
      <w:r>
        <w:rPr/>
        <w:t>No existe conflicto de interés</w:t>
      </w:r>
    </w:p>
    <w:p>
      <w:pPr>
        <w:pStyle w:val="BodyText"/>
        <w:rPr>
          <w:rFonts w:ascii="Times New Roman"/>
          <w:sz w:val="25"/>
        </w:rPr>
      </w:pPr>
    </w:p>
    <w:p>
      <w:pPr>
        <w:spacing w:before="1"/>
        <w:ind w:left="1704" w:right="92" w:firstLine="0"/>
        <w:jc w:val="left"/>
        <w:rPr>
          <w:rFonts w:ascii="Times New Roman"/>
          <w:b/>
          <w:sz w:val="24"/>
        </w:rPr>
      </w:pPr>
      <w:r>
        <w:rPr>
          <w:rFonts w:ascii="Times New Roman"/>
          <w:b/>
          <w:sz w:val="24"/>
        </w:rPr>
        <w:t>Agradecimientos:</w:t>
      </w:r>
    </w:p>
    <w:p>
      <w:pPr>
        <w:pStyle w:val="BodyText"/>
        <w:spacing w:before="11"/>
        <w:rPr>
          <w:rFonts w:ascii="Times New Roman"/>
          <w:b/>
        </w:rPr>
      </w:pPr>
    </w:p>
    <w:p>
      <w:pPr>
        <w:spacing w:line="480" w:lineRule="auto" w:before="0"/>
        <w:ind w:left="1704" w:right="92" w:firstLine="0"/>
        <w:jc w:val="left"/>
        <w:rPr>
          <w:rFonts w:ascii="Times New Roman" w:hAnsi="Times New Roman"/>
          <w:sz w:val="24"/>
        </w:rPr>
      </w:pPr>
      <w:r>
        <w:rPr>
          <w:rFonts w:ascii="Times New Roman" w:hAnsi="Times New Roman"/>
          <w:sz w:val="24"/>
        </w:rPr>
        <w:t>Al M.C. Jorge Omar Hernández Oviedo por su apoyo en el revelado de películas radiográficas y escaneo de películas radiocrómicas.</w:t>
      </w:r>
    </w:p>
    <w:p>
      <w:pPr>
        <w:pStyle w:val="BodyText"/>
        <w:rPr>
          <w:rFonts w:ascii="Times New Roman"/>
          <w:sz w:val="24"/>
        </w:rPr>
      </w:pPr>
    </w:p>
    <w:p>
      <w:pPr>
        <w:pStyle w:val="BodyText"/>
        <w:rPr>
          <w:rFonts w:ascii="Times New Roman"/>
        </w:rPr>
      </w:pPr>
    </w:p>
    <w:p>
      <w:pPr>
        <w:pStyle w:val="BodyText"/>
        <w:spacing w:line="482" w:lineRule="auto"/>
        <w:ind w:left="1704" w:right="4852"/>
        <w:rPr>
          <w:rFonts w:ascii="Times New Roman" w:hAnsi="Times New Roman"/>
        </w:rPr>
      </w:pPr>
      <w:r>
        <w:rPr>
          <w:rFonts w:ascii="Times New Roman" w:hAnsi="Times New Roman"/>
        </w:rPr>
        <w:t>Longitud del título: 131 caracteres con espacios Longitud del resumen: 220 palabras</w:t>
      </w:r>
    </w:p>
    <w:p>
      <w:pPr>
        <w:pStyle w:val="BodyText"/>
        <w:spacing w:before="13"/>
        <w:ind w:left="1704" w:right="92"/>
        <w:rPr>
          <w:rFonts w:ascii="Times New Roman"/>
        </w:rPr>
      </w:pPr>
      <w:r>
        <w:rPr>
          <w:rFonts w:ascii="Times New Roman"/>
        </w:rPr>
        <w:t>Longitud del manuscrito: 2135 palabras</w:t>
      </w:r>
    </w:p>
    <w:p>
      <w:pPr>
        <w:spacing w:after="0"/>
        <w:rPr>
          <w:rFonts w:ascii="Times New Roman"/>
        </w:rPr>
        <w:sectPr>
          <w:footerReference w:type="default" r:id="rId61"/>
          <w:pgSz w:w="12240" w:h="15840"/>
          <w:pgMar w:footer="1046" w:header="0" w:top="0" w:bottom="1240" w:left="0" w:right="1460"/>
          <w:pgNumType w:start="2"/>
        </w:sectPr>
      </w:pPr>
    </w:p>
    <w:p>
      <w:pPr>
        <w:spacing w:before="44"/>
        <w:ind w:left="79" w:right="6770" w:firstLine="0"/>
        <w:jc w:val="center"/>
        <w:rPr>
          <w:rFonts w:ascii="Arial" w:hAnsi="Arial"/>
          <w:b/>
          <w:sz w:val="20"/>
        </w:rPr>
      </w:pPr>
      <w:r>
        <w:rPr>
          <w:rFonts w:ascii="Arial" w:hAnsi="Arial"/>
          <w:b/>
          <w:sz w:val="20"/>
        </w:rPr>
        <w:t>*Manuscrito (sin información de autores)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spacing w:line="475" w:lineRule="auto" w:before="0"/>
        <w:ind w:left="1858" w:right="398" w:firstLine="0"/>
        <w:jc w:val="center"/>
        <w:rPr>
          <w:rFonts w:ascii="Times New Roman" w:hAnsi="Times New Roman"/>
          <w:i/>
          <w:sz w:val="24"/>
        </w:rPr>
      </w:pPr>
      <w:r>
        <w:rPr>
          <w:rFonts w:ascii="Times New Roman" w:hAnsi="Times New Roman"/>
          <w:b/>
          <w:sz w:val="28"/>
        </w:rPr>
        <w:t>Control de calidad con película radiocrómica Gafchromic EBT3 para tratamientos de IMRT en un acelerador lineal Varian 21EX con 6 MV </w:t>
      </w:r>
      <w:r>
        <w:rPr>
          <w:rFonts w:ascii="Times New Roman" w:hAnsi="Times New Roman"/>
          <w:i/>
          <w:sz w:val="24"/>
        </w:rPr>
        <w:t>Título corto: Control de calidad en IMRT con EBT3 en tratamientos con 6MV</w:t>
      </w:r>
    </w:p>
    <w:p>
      <w:pPr>
        <w:pStyle w:val="BodyText"/>
        <w:rPr>
          <w:rFonts w:ascii="Times New Roman"/>
          <w:i/>
          <w:sz w:val="24"/>
        </w:rPr>
      </w:pPr>
    </w:p>
    <w:p>
      <w:pPr>
        <w:pStyle w:val="BodyText"/>
        <w:spacing w:before="10"/>
        <w:rPr>
          <w:rFonts w:ascii="Times New Roman"/>
          <w:i/>
          <w:sz w:val="26"/>
        </w:rPr>
      </w:pPr>
    </w:p>
    <w:p>
      <w:pPr>
        <w:spacing w:before="0"/>
        <w:ind w:left="1704" w:right="0" w:firstLine="0"/>
        <w:jc w:val="both"/>
        <w:rPr>
          <w:rFonts w:ascii="Times New Roman"/>
          <w:b/>
          <w:sz w:val="20"/>
        </w:rPr>
      </w:pPr>
      <w:r>
        <w:rPr>
          <w:rFonts w:ascii="Times New Roman"/>
          <w:b/>
          <w:sz w:val="20"/>
        </w:rPr>
        <w:t>Resumen</w:t>
      </w:r>
    </w:p>
    <w:p>
      <w:pPr>
        <w:pStyle w:val="BodyText"/>
        <w:spacing w:before="3"/>
        <w:rPr>
          <w:rFonts w:ascii="Times New Roman"/>
          <w:b/>
          <w:sz w:val="19"/>
        </w:rPr>
      </w:pPr>
    </w:p>
    <w:p>
      <w:pPr>
        <w:spacing w:line="480" w:lineRule="auto" w:before="0"/>
        <w:ind w:left="1704" w:right="226" w:firstLine="0"/>
        <w:jc w:val="both"/>
        <w:rPr>
          <w:rFonts w:ascii="Times New Roman" w:hAnsi="Times New Roman"/>
          <w:sz w:val="20"/>
        </w:rPr>
      </w:pPr>
      <w:r>
        <w:rPr>
          <w:rFonts w:ascii="Times New Roman" w:hAnsi="Times New Roman"/>
          <w:b/>
          <w:sz w:val="20"/>
        </w:rPr>
        <w:t>Objetivo: </w:t>
      </w:r>
      <w:r>
        <w:rPr>
          <w:rFonts w:ascii="Times New Roman" w:hAnsi="Times New Roman"/>
          <w:sz w:val="20"/>
        </w:rPr>
        <w:t>Evaluar </w:t>
      </w:r>
      <w:r>
        <w:rPr>
          <w:rFonts w:ascii="Times New Roman" w:hAnsi="Times New Roman"/>
          <w:spacing w:val="-4"/>
          <w:sz w:val="20"/>
        </w:rPr>
        <w:t>la </w:t>
      </w:r>
      <w:r>
        <w:rPr>
          <w:rFonts w:ascii="Times New Roman" w:hAnsi="Times New Roman"/>
          <w:sz w:val="20"/>
        </w:rPr>
        <w:t>distribución de dosis en la película radiocrómica EBT3 y compararla con la película radiográfica EDR-2, para implementarla en los procesos de control de calidad en tratamientos de IMRT con acelerador lineal Varian 21EX con 6 MV. </w:t>
      </w:r>
      <w:r>
        <w:rPr>
          <w:rFonts w:ascii="Times New Roman" w:hAnsi="Times New Roman"/>
          <w:b/>
          <w:sz w:val="20"/>
        </w:rPr>
        <w:t>Material y Métodos: </w:t>
      </w:r>
      <w:r>
        <w:rPr>
          <w:rFonts w:ascii="Times New Roman" w:hAnsi="Times New Roman"/>
          <w:sz w:val="20"/>
        </w:rPr>
        <w:t>Ambas películas se irradiaron en un acelerador lineal Varian 21EX con 6 MV, colocadas en un maniquí de acrílico a una SSD de 100 cm a 5 cm de profundidad. Se caracterizaron las curvas de calibración correspondientes a cada tipo de película y se analizaron los planes de nueve pacientes, para </w:t>
      </w:r>
      <w:r>
        <w:rPr>
          <w:rFonts w:ascii="Times New Roman" w:hAnsi="Times New Roman"/>
          <w:spacing w:val="-4"/>
          <w:sz w:val="20"/>
        </w:rPr>
        <w:t>lo </w:t>
      </w:r>
      <w:r>
        <w:rPr>
          <w:rFonts w:ascii="Times New Roman" w:hAnsi="Times New Roman"/>
          <w:sz w:val="20"/>
        </w:rPr>
        <w:t>cual se realizaron mediciones de dosis puntuales con cámara de ionización, y se realizó el análisis del índice gamma con criterios de 3%/3 </w:t>
      </w:r>
      <w:r>
        <w:rPr>
          <w:rFonts w:ascii="Times New Roman" w:hAnsi="Times New Roman"/>
          <w:spacing w:val="-3"/>
          <w:sz w:val="20"/>
        </w:rPr>
        <w:t>mm, </w:t>
      </w:r>
      <w:r>
        <w:rPr>
          <w:rFonts w:ascii="Times New Roman" w:hAnsi="Times New Roman"/>
          <w:sz w:val="20"/>
        </w:rPr>
        <w:t>4%/3 mm y 5%/3 mm para la diferencia de dosis y la distancia en concordancia. R</w:t>
      </w:r>
      <w:r>
        <w:rPr>
          <w:rFonts w:ascii="Times New Roman" w:hAnsi="Times New Roman"/>
          <w:b/>
          <w:sz w:val="20"/>
        </w:rPr>
        <w:t>esultados: </w:t>
      </w:r>
      <w:r>
        <w:rPr>
          <w:rFonts w:ascii="Times New Roman" w:hAnsi="Times New Roman"/>
          <w:spacing w:val="2"/>
          <w:sz w:val="20"/>
        </w:rPr>
        <w:t>El </w:t>
      </w:r>
      <w:r>
        <w:rPr>
          <w:rFonts w:ascii="Times New Roman" w:hAnsi="Times New Roman"/>
          <w:sz w:val="20"/>
        </w:rPr>
        <w:t>100% de las distribuciones medidas </w:t>
      </w:r>
      <w:r>
        <w:rPr>
          <w:rFonts w:ascii="Times New Roman" w:hAnsi="Times New Roman"/>
          <w:spacing w:val="2"/>
          <w:sz w:val="20"/>
        </w:rPr>
        <w:t>con </w:t>
      </w:r>
      <w:r>
        <w:rPr>
          <w:rFonts w:ascii="Times New Roman" w:hAnsi="Times New Roman"/>
          <w:sz w:val="20"/>
        </w:rPr>
        <w:t>las películas radiocrómicas tuvieron un porcentaje de puntos con γ&lt;1 mayor al 90% con el criterio de 3%/3 </w:t>
      </w:r>
      <w:r>
        <w:rPr>
          <w:rFonts w:ascii="Times New Roman" w:hAnsi="Times New Roman"/>
          <w:spacing w:val="-3"/>
          <w:sz w:val="20"/>
        </w:rPr>
        <w:t>mm, </w:t>
      </w:r>
      <w:r>
        <w:rPr>
          <w:rFonts w:ascii="Times New Roman" w:hAnsi="Times New Roman"/>
          <w:sz w:val="20"/>
        </w:rPr>
        <w:t>mientras que dos tercios de los planes analizados con las películas radiográficas cumplieron con esta restricción. Las mediciones con cámara de ionización mostraron una diferencia entre </w:t>
      </w:r>
      <w:r>
        <w:rPr>
          <w:rFonts w:ascii="Times New Roman" w:hAnsi="Times New Roman"/>
          <w:spacing w:val="-4"/>
          <w:sz w:val="20"/>
        </w:rPr>
        <w:t>la </w:t>
      </w:r>
      <w:r>
        <w:rPr>
          <w:rFonts w:ascii="Times New Roman" w:hAnsi="Times New Roman"/>
          <w:sz w:val="20"/>
        </w:rPr>
        <w:t>dosis medida y calculada menor al 3% en ocho de los nueve planes analizados. </w:t>
      </w:r>
      <w:r>
        <w:rPr>
          <w:rFonts w:ascii="Times New Roman" w:hAnsi="Times New Roman"/>
          <w:b/>
          <w:sz w:val="20"/>
        </w:rPr>
        <w:t>Conclusión: </w:t>
      </w:r>
      <w:r>
        <w:rPr>
          <w:rFonts w:ascii="Times New Roman" w:hAnsi="Times New Roman"/>
          <w:sz w:val="20"/>
        </w:rPr>
        <w:t>Los resultados indican que la película radiocrómica EBT3 es adecuada para el análisis de distribución de dosis en el </w:t>
      </w:r>
      <w:r>
        <w:rPr>
          <w:rFonts w:ascii="Times New Roman" w:hAnsi="Times New Roman"/>
          <w:spacing w:val="2"/>
          <w:sz w:val="20"/>
        </w:rPr>
        <w:t>control </w:t>
      </w:r>
      <w:r>
        <w:rPr>
          <w:rFonts w:ascii="Times New Roman" w:hAnsi="Times New Roman"/>
          <w:sz w:val="20"/>
        </w:rPr>
        <w:t>de calidad paciente específico en tratamientos de IMRT en la</w:t>
      </w:r>
      <w:r>
        <w:rPr>
          <w:rFonts w:ascii="Times New Roman" w:hAnsi="Times New Roman"/>
          <w:spacing w:val="-39"/>
          <w:sz w:val="20"/>
        </w:rPr>
        <w:t> </w:t>
      </w:r>
      <w:r>
        <w:rPr>
          <w:rFonts w:ascii="Times New Roman" w:hAnsi="Times New Roman"/>
          <w:sz w:val="20"/>
        </w:rPr>
        <w:t>institución.</w:t>
      </w:r>
    </w:p>
    <w:p>
      <w:pPr>
        <w:pStyle w:val="BodyText"/>
        <w:rPr>
          <w:rFonts w:ascii="Times New Roman"/>
          <w:sz w:val="20"/>
        </w:rPr>
      </w:pPr>
    </w:p>
    <w:p>
      <w:pPr>
        <w:pStyle w:val="BodyText"/>
        <w:spacing w:before="1"/>
        <w:rPr>
          <w:rFonts w:ascii="Times New Roman"/>
        </w:rPr>
      </w:pPr>
    </w:p>
    <w:p>
      <w:pPr>
        <w:spacing w:before="0"/>
        <w:ind w:left="1704" w:right="0" w:firstLine="0"/>
        <w:jc w:val="both"/>
        <w:rPr>
          <w:rFonts w:ascii="Times New Roman"/>
          <w:b/>
          <w:sz w:val="20"/>
        </w:rPr>
      </w:pPr>
      <w:r>
        <w:rPr>
          <w:rFonts w:ascii="Times New Roman"/>
          <w:b/>
          <w:sz w:val="20"/>
        </w:rPr>
        <w:t>Abstract</w:t>
      </w:r>
    </w:p>
    <w:p>
      <w:pPr>
        <w:pStyle w:val="BodyText"/>
        <w:spacing w:before="3"/>
        <w:rPr>
          <w:rFonts w:ascii="Times New Roman"/>
          <w:b/>
          <w:sz w:val="19"/>
        </w:rPr>
      </w:pPr>
    </w:p>
    <w:p>
      <w:pPr>
        <w:spacing w:line="480" w:lineRule="auto" w:before="1"/>
        <w:ind w:left="1704" w:right="230" w:firstLine="0"/>
        <w:jc w:val="both"/>
        <w:rPr>
          <w:rFonts w:ascii="Times New Roman"/>
          <w:sz w:val="20"/>
        </w:rPr>
      </w:pPr>
      <w:r>
        <w:rPr>
          <w:rFonts w:ascii="Times New Roman"/>
          <w:b/>
          <w:sz w:val="20"/>
        </w:rPr>
        <w:t>Purpuse: </w:t>
      </w:r>
      <w:r>
        <w:rPr>
          <w:rFonts w:ascii="Times New Roman"/>
          <w:sz w:val="20"/>
        </w:rPr>
        <w:t>To evaluate the dose distribution in the EBT3 radiocromatic film and to compare it with the EDR-2 radiographic film, to implement it in the quality control processes in IMRT treatments using 6MV in Varian 21EX linear accelerator. </w:t>
      </w:r>
      <w:r>
        <w:rPr>
          <w:rFonts w:ascii="Times New Roman"/>
          <w:b/>
          <w:sz w:val="20"/>
        </w:rPr>
        <w:t>Materials and methods</w:t>
      </w:r>
      <w:r>
        <w:rPr>
          <w:rFonts w:ascii="Times New Roman"/>
          <w:sz w:val="20"/>
        </w:rPr>
        <w:t>: Varian 21EX linear accelerator with 6 MV was used to irradiate both films, placed at 5 cm depth in an acrylic phantom to 100 cm SSD. Calibration curves were characterized for each film and nine planning were analyzed. Point dose measurements were performed with ionization chamber and gamma index analysis was made with 3% / 3mm, 4% / 3 mm and 5% / 3 mm criteria</w:t>
      </w:r>
    </w:p>
    <w:p>
      <w:pPr>
        <w:spacing w:after="0" w:line="480" w:lineRule="auto"/>
        <w:jc w:val="both"/>
        <w:rPr>
          <w:rFonts w:ascii="Times New Roman"/>
          <w:sz w:val="20"/>
        </w:rPr>
        <w:sectPr>
          <w:pgSz w:w="12240" w:h="15840"/>
          <w:pgMar w:header="0" w:footer="1046" w:top="0" w:bottom="1240" w:left="0" w:right="1460"/>
        </w:sectPr>
      </w:pPr>
    </w:p>
    <w:p>
      <w:pPr>
        <w:spacing w:line="480" w:lineRule="auto" w:before="45"/>
        <w:ind w:left="104" w:right="216" w:firstLine="0"/>
        <w:jc w:val="both"/>
        <w:rPr>
          <w:rFonts w:ascii="Times New Roman" w:hAnsi="Times New Roman"/>
          <w:sz w:val="20"/>
        </w:rPr>
      </w:pPr>
      <w:r>
        <w:rPr>
          <w:rFonts w:ascii="Times New Roman" w:hAnsi="Times New Roman"/>
          <w:sz w:val="20"/>
        </w:rPr>
        <w:t>to find the dose difference and distance in agreement. Results: 100% of the dose distributions measured with radiochromic films had a percentage of points with γ &lt;1 greater than 90% with the 3% / 3 mm criterion, while two thirds of the plans analyzed with the radiographic films fulfilled this restriction. Ionization chamber measurements showed a difference between doses measured and calculated less than 3% in eight of the nine plans analyzed. </w:t>
      </w:r>
      <w:r>
        <w:rPr>
          <w:rFonts w:ascii="Times New Roman" w:hAnsi="Times New Roman"/>
          <w:b/>
          <w:sz w:val="20"/>
        </w:rPr>
        <w:t>Conclusion: </w:t>
      </w:r>
      <w:r>
        <w:rPr>
          <w:rFonts w:ascii="Times New Roman" w:hAnsi="Times New Roman"/>
          <w:sz w:val="20"/>
        </w:rPr>
        <w:t>Results indicates that EBT3 radiochromic film is suitable for dose distribution analysis in specific-patient quality control in IMRT treatments.</w:t>
      </w:r>
    </w:p>
    <w:p>
      <w:pPr>
        <w:pStyle w:val="BodyText"/>
        <w:rPr>
          <w:rFonts w:ascii="Times New Roman"/>
          <w:sz w:val="20"/>
        </w:rPr>
      </w:pPr>
    </w:p>
    <w:p>
      <w:pPr>
        <w:pStyle w:val="BodyText"/>
        <w:spacing w:before="11"/>
        <w:rPr>
          <w:rFonts w:ascii="Times New Roman"/>
          <w:sz w:val="28"/>
        </w:rPr>
      </w:pPr>
    </w:p>
    <w:p>
      <w:pPr>
        <w:spacing w:before="0"/>
        <w:ind w:left="104" w:right="0" w:firstLine="0"/>
        <w:jc w:val="both"/>
        <w:rPr>
          <w:rFonts w:ascii="Times New Roman" w:hAnsi="Times New Roman"/>
          <w:sz w:val="24"/>
        </w:rPr>
      </w:pPr>
      <w:r>
        <w:rPr>
          <w:rFonts w:ascii="Times New Roman" w:hAnsi="Times New Roman"/>
          <w:b/>
          <w:sz w:val="24"/>
        </w:rPr>
        <w:t>Palabras clave: </w:t>
      </w:r>
      <w:r>
        <w:rPr>
          <w:rFonts w:ascii="Times New Roman" w:hAnsi="Times New Roman"/>
          <w:sz w:val="24"/>
        </w:rPr>
        <w:t>control de calidad, película radiocrómica, IMRT, radioterapia</w:t>
      </w:r>
    </w:p>
    <w:p>
      <w:pPr>
        <w:pStyle w:val="BodyText"/>
        <w:rPr>
          <w:rFonts w:ascii="Times New Roman"/>
          <w:sz w:val="24"/>
        </w:rPr>
      </w:pPr>
    </w:p>
    <w:p>
      <w:pPr>
        <w:pStyle w:val="Heading5"/>
      </w:pPr>
      <w:r>
        <w:rPr>
          <w:b/>
        </w:rPr>
        <w:t>Keywords: </w:t>
      </w:r>
      <w:r>
        <w:rPr/>
        <w:t>Quality control, radichromic film, IMRT, radiotherapy.</w:t>
      </w:r>
    </w:p>
    <w:p>
      <w:pPr>
        <w:pStyle w:val="BodyText"/>
        <w:rPr>
          <w:rFonts w:ascii="Times New Roman"/>
          <w:sz w:val="24"/>
        </w:rPr>
      </w:pPr>
    </w:p>
    <w:p>
      <w:pPr>
        <w:pStyle w:val="BodyText"/>
        <w:rPr>
          <w:rFonts w:ascii="Times New Roman"/>
          <w:sz w:val="24"/>
        </w:rPr>
      </w:pPr>
    </w:p>
    <w:p>
      <w:pPr>
        <w:pStyle w:val="BodyText"/>
        <w:rPr>
          <w:rFonts w:ascii="Times New Roman"/>
          <w:sz w:val="25"/>
        </w:rPr>
      </w:pPr>
    </w:p>
    <w:p>
      <w:pPr>
        <w:pStyle w:val="ListParagraph"/>
        <w:numPr>
          <w:ilvl w:val="0"/>
          <w:numId w:val="12"/>
        </w:numPr>
        <w:tabs>
          <w:tab w:pos="465" w:val="left" w:leader="none"/>
        </w:tabs>
        <w:spacing w:line="240" w:lineRule="auto" w:before="0" w:after="0"/>
        <w:ind w:left="464" w:right="0" w:hanging="360"/>
        <w:jc w:val="both"/>
        <w:rPr>
          <w:rFonts w:ascii="Times New Roman" w:hAnsi="Times New Roman"/>
          <w:b/>
          <w:sz w:val="24"/>
        </w:rPr>
      </w:pPr>
      <w:r>
        <w:rPr>
          <w:rFonts w:ascii="Times New Roman" w:hAnsi="Times New Roman"/>
          <w:b/>
          <w:sz w:val="24"/>
        </w:rPr>
        <w:t>Introducción</w:t>
      </w:r>
    </w:p>
    <w:p>
      <w:pPr>
        <w:pStyle w:val="BodyText"/>
        <w:spacing w:before="11"/>
        <w:rPr>
          <w:rFonts w:ascii="Times New Roman"/>
          <w:b/>
        </w:rPr>
      </w:pPr>
    </w:p>
    <w:p>
      <w:pPr>
        <w:spacing w:line="480" w:lineRule="auto" w:before="0"/>
        <w:ind w:left="104" w:right="207" w:firstLine="0"/>
        <w:jc w:val="both"/>
        <w:rPr>
          <w:rFonts w:ascii="Times New Roman" w:hAnsi="Times New Roman"/>
          <w:sz w:val="24"/>
        </w:rPr>
      </w:pPr>
      <w:r>
        <w:rPr>
          <w:rFonts w:ascii="Times New Roman" w:hAnsi="Times New Roman"/>
          <w:sz w:val="24"/>
        </w:rPr>
        <w:t>En la actualidad, la Radioterapia de Intensidad Modulada (IMRT, por sus siglas en inglés), gana cada vez mayor aceptación y difusión para el tratamiento de tumores de cáncer,  debido a las ventajas respecto a otras técnicas de tratamiento, como aumento de la dosis absorbida al tejido a irradiar y menor dosis al tejido circundante y órganos de riesgo. Sin embargo, debido a la naturaleza de la conformación </w:t>
      </w:r>
      <w:r>
        <w:rPr>
          <w:rFonts w:ascii="Times New Roman" w:hAnsi="Times New Roman"/>
          <w:spacing w:val="-3"/>
          <w:sz w:val="24"/>
        </w:rPr>
        <w:t>de </w:t>
      </w:r>
      <w:r>
        <w:rPr>
          <w:rFonts w:ascii="Times New Roman" w:hAnsi="Times New Roman"/>
          <w:sz w:val="24"/>
        </w:rPr>
        <w:t>la dosis total, es común  la  formación de zonas de alto gradiente. Por esto, es importante asegurar </w:t>
      </w:r>
      <w:r>
        <w:rPr>
          <w:rFonts w:ascii="Times New Roman" w:hAnsi="Times New Roman"/>
          <w:spacing w:val="3"/>
          <w:sz w:val="24"/>
        </w:rPr>
        <w:t>que </w:t>
      </w:r>
      <w:r>
        <w:rPr>
          <w:rFonts w:ascii="Times New Roman" w:hAnsi="Times New Roman"/>
          <w:sz w:val="24"/>
        </w:rPr>
        <w:t>el plan </w:t>
      </w:r>
      <w:r>
        <w:rPr>
          <w:rFonts w:ascii="Times New Roman" w:hAnsi="Times New Roman"/>
          <w:spacing w:val="-3"/>
          <w:sz w:val="24"/>
        </w:rPr>
        <w:t>de </w:t>
      </w:r>
      <w:r>
        <w:rPr>
          <w:rFonts w:ascii="Times New Roman" w:hAnsi="Times New Roman"/>
          <w:sz w:val="24"/>
        </w:rPr>
        <w:t>tratamiento realizado con el sistema de planeación sea suministrado al paciente con la exactitud y precisión adecuadas. Una parte muy importante del programa </w:t>
      </w:r>
      <w:r>
        <w:rPr>
          <w:rFonts w:ascii="Times New Roman" w:hAnsi="Times New Roman"/>
          <w:spacing w:val="-3"/>
          <w:sz w:val="24"/>
        </w:rPr>
        <w:t>de </w:t>
      </w:r>
      <w:r>
        <w:rPr>
          <w:rFonts w:ascii="Times New Roman" w:hAnsi="Times New Roman"/>
          <w:sz w:val="24"/>
        </w:rPr>
        <w:t>control </w:t>
      </w:r>
      <w:r>
        <w:rPr>
          <w:rFonts w:ascii="Times New Roman" w:hAnsi="Times New Roman"/>
          <w:spacing w:val="-3"/>
          <w:sz w:val="24"/>
        </w:rPr>
        <w:t>de </w:t>
      </w:r>
      <w:r>
        <w:rPr>
          <w:rFonts w:ascii="Times New Roman" w:hAnsi="Times New Roman"/>
          <w:sz w:val="24"/>
        </w:rPr>
        <w:t>calidad en IMRT es el denominado “paciente especifico”. En esta etapa, el objetivo es verificar que el plan de tratamiento diseñado por el sistema </w:t>
      </w:r>
      <w:r>
        <w:rPr>
          <w:rFonts w:ascii="Times New Roman" w:hAnsi="Times New Roman"/>
          <w:spacing w:val="-3"/>
          <w:sz w:val="24"/>
        </w:rPr>
        <w:t>de </w:t>
      </w:r>
      <w:r>
        <w:rPr>
          <w:rFonts w:ascii="Times New Roman" w:hAnsi="Times New Roman"/>
          <w:sz w:val="24"/>
        </w:rPr>
        <w:t>planeación sea entregado correctamente, antes de ser suministrado al paciente. El procedimiento típico para la verificación del plan de tratamiento es transferirlo a un maniquí especialmente diseñado para</w:t>
      </w:r>
      <w:r>
        <w:rPr>
          <w:rFonts w:ascii="Times New Roman" w:hAnsi="Times New Roman"/>
          <w:spacing w:val="28"/>
          <w:sz w:val="24"/>
        </w:rPr>
        <w:t> </w:t>
      </w:r>
      <w:r>
        <w:rPr>
          <w:rFonts w:ascii="Times New Roman" w:hAnsi="Times New Roman"/>
          <w:sz w:val="24"/>
        </w:rPr>
        <w:t>tomar</w:t>
      </w:r>
      <w:r>
        <w:rPr>
          <w:rFonts w:ascii="Times New Roman" w:hAnsi="Times New Roman"/>
          <w:spacing w:val="23"/>
          <w:sz w:val="24"/>
        </w:rPr>
        <w:t> </w:t>
      </w:r>
      <w:r>
        <w:rPr>
          <w:rFonts w:ascii="Times New Roman" w:hAnsi="Times New Roman"/>
          <w:sz w:val="24"/>
        </w:rPr>
        <w:t>mediciones</w:t>
      </w:r>
      <w:r>
        <w:rPr>
          <w:rFonts w:ascii="Times New Roman" w:hAnsi="Times New Roman"/>
          <w:position w:val="11"/>
          <w:sz w:val="16"/>
        </w:rPr>
        <w:t>1</w:t>
      </w:r>
      <w:r>
        <w:rPr>
          <w:rFonts w:ascii="Times New Roman" w:hAnsi="Times New Roman"/>
          <w:sz w:val="24"/>
        </w:rPr>
        <w:t>.</w:t>
      </w:r>
      <w:r>
        <w:rPr>
          <w:rFonts w:ascii="Times New Roman" w:hAnsi="Times New Roman"/>
          <w:spacing w:val="26"/>
          <w:sz w:val="24"/>
        </w:rPr>
        <w:t> </w:t>
      </w:r>
      <w:r>
        <w:rPr>
          <w:rFonts w:ascii="Times New Roman" w:hAnsi="Times New Roman"/>
          <w:sz w:val="24"/>
        </w:rPr>
        <w:t>El</w:t>
      </w:r>
      <w:r>
        <w:rPr>
          <w:rFonts w:ascii="Times New Roman" w:hAnsi="Times New Roman"/>
          <w:spacing w:val="24"/>
          <w:sz w:val="24"/>
        </w:rPr>
        <w:t> </w:t>
      </w:r>
      <w:r>
        <w:rPr>
          <w:rFonts w:ascii="Times New Roman" w:hAnsi="Times New Roman"/>
          <w:sz w:val="24"/>
        </w:rPr>
        <w:t>maniquí</w:t>
      </w:r>
      <w:r>
        <w:rPr>
          <w:rFonts w:ascii="Times New Roman" w:hAnsi="Times New Roman"/>
          <w:spacing w:val="23"/>
          <w:sz w:val="24"/>
        </w:rPr>
        <w:t> </w:t>
      </w:r>
      <w:r>
        <w:rPr>
          <w:rFonts w:ascii="Times New Roman" w:hAnsi="Times New Roman"/>
          <w:sz w:val="24"/>
        </w:rPr>
        <w:t>es</w:t>
      </w:r>
      <w:r>
        <w:rPr>
          <w:rFonts w:ascii="Times New Roman" w:hAnsi="Times New Roman"/>
          <w:spacing w:val="25"/>
          <w:sz w:val="24"/>
        </w:rPr>
        <w:t> </w:t>
      </w:r>
      <w:r>
        <w:rPr>
          <w:rFonts w:ascii="Times New Roman" w:hAnsi="Times New Roman"/>
          <w:sz w:val="24"/>
        </w:rPr>
        <w:t>irradiado</w:t>
      </w:r>
      <w:r>
        <w:rPr>
          <w:rFonts w:ascii="Times New Roman" w:hAnsi="Times New Roman"/>
          <w:spacing w:val="26"/>
          <w:sz w:val="24"/>
        </w:rPr>
        <w:t> </w:t>
      </w:r>
      <w:r>
        <w:rPr>
          <w:rFonts w:ascii="Times New Roman" w:hAnsi="Times New Roman"/>
          <w:spacing w:val="-3"/>
          <w:sz w:val="24"/>
        </w:rPr>
        <w:t>de</w:t>
      </w:r>
      <w:r>
        <w:rPr>
          <w:rFonts w:ascii="Times New Roman" w:hAnsi="Times New Roman"/>
          <w:spacing w:val="24"/>
          <w:sz w:val="24"/>
        </w:rPr>
        <w:t> </w:t>
      </w:r>
      <w:r>
        <w:rPr>
          <w:rFonts w:ascii="Times New Roman" w:hAnsi="Times New Roman"/>
          <w:sz w:val="24"/>
        </w:rPr>
        <w:t>acuerdo</w:t>
      </w:r>
      <w:r>
        <w:rPr>
          <w:rFonts w:ascii="Times New Roman" w:hAnsi="Times New Roman"/>
          <w:spacing w:val="23"/>
          <w:sz w:val="24"/>
        </w:rPr>
        <w:t> </w:t>
      </w:r>
      <w:r>
        <w:rPr>
          <w:rFonts w:ascii="Times New Roman" w:hAnsi="Times New Roman"/>
          <w:sz w:val="24"/>
        </w:rPr>
        <w:t>a</w:t>
      </w:r>
      <w:r>
        <w:rPr>
          <w:rFonts w:ascii="Times New Roman" w:hAnsi="Times New Roman"/>
          <w:spacing w:val="24"/>
          <w:sz w:val="24"/>
        </w:rPr>
        <w:t> </w:t>
      </w:r>
      <w:r>
        <w:rPr>
          <w:rFonts w:ascii="Times New Roman" w:hAnsi="Times New Roman"/>
          <w:sz w:val="24"/>
        </w:rPr>
        <w:t>los</w:t>
      </w:r>
      <w:r>
        <w:rPr>
          <w:rFonts w:ascii="Times New Roman" w:hAnsi="Times New Roman"/>
          <w:spacing w:val="25"/>
          <w:sz w:val="24"/>
        </w:rPr>
        <w:t> </w:t>
      </w:r>
      <w:r>
        <w:rPr>
          <w:rFonts w:ascii="Times New Roman" w:hAnsi="Times New Roman"/>
          <w:sz w:val="24"/>
        </w:rPr>
        <w:t>patrones</w:t>
      </w:r>
      <w:r>
        <w:rPr>
          <w:rFonts w:ascii="Times New Roman" w:hAnsi="Times New Roman"/>
          <w:spacing w:val="25"/>
          <w:sz w:val="24"/>
        </w:rPr>
        <w:t> </w:t>
      </w:r>
      <w:r>
        <w:rPr>
          <w:rFonts w:ascii="Times New Roman" w:hAnsi="Times New Roman"/>
          <w:sz w:val="24"/>
        </w:rPr>
        <w:t>del</w:t>
      </w:r>
      <w:r>
        <w:rPr>
          <w:rFonts w:ascii="Times New Roman" w:hAnsi="Times New Roman"/>
          <w:spacing w:val="27"/>
          <w:sz w:val="24"/>
        </w:rPr>
        <w:t> </w:t>
      </w:r>
      <w:r>
        <w:rPr>
          <w:rFonts w:ascii="Times New Roman" w:hAnsi="Times New Roman"/>
          <w:sz w:val="24"/>
        </w:rPr>
        <w:t>plan,</w:t>
      </w:r>
      <w:r>
        <w:rPr>
          <w:rFonts w:ascii="Times New Roman" w:hAnsi="Times New Roman"/>
          <w:spacing w:val="26"/>
          <w:sz w:val="24"/>
        </w:rPr>
        <w:t> </w:t>
      </w:r>
      <w:r>
        <w:rPr>
          <w:rFonts w:ascii="Times New Roman" w:hAnsi="Times New Roman"/>
          <w:sz w:val="24"/>
        </w:rPr>
        <w:t>y</w:t>
      </w:r>
      <w:r>
        <w:rPr>
          <w:rFonts w:ascii="Times New Roman" w:hAnsi="Times New Roman"/>
          <w:spacing w:val="18"/>
          <w:sz w:val="24"/>
        </w:rPr>
        <w:t> </w:t>
      </w:r>
      <w:r>
        <w:rPr>
          <w:rFonts w:ascii="Times New Roman" w:hAnsi="Times New Roman"/>
          <w:sz w:val="24"/>
        </w:rPr>
        <w:t>se</w:t>
      </w:r>
    </w:p>
    <w:p>
      <w:pPr>
        <w:spacing w:line="232" w:lineRule="exact" w:before="0"/>
        <w:ind w:left="104" w:right="0" w:firstLine="0"/>
        <w:jc w:val="both"/>
        <w:rPr>
          <w:rFonts w:ascii="Times New Roman" w:hAnsi="Times New Roman"/>
          <w:sz w:val="24"/>
        </w:rPr>
      </w:pPr>
      <w:r>
        <w:rPr>
          <w:rFonts w:ascii="Times New Roman" w:hAnsi="Times New Roman"/>
          <w:sz w:val="24"/>
        </w:rPr>
        <w:t>lleva  a  cabo  la  medición  de  la  dosis  absoluta  en  un  punto,  (utilizando  para  este  fin</w:t>
      </w:r>
    </w:p>
    <w:p>
      <w:pPr>
        <w:spacing w:after="0" w:line="232" w:lineRule="exact"/>
        <w:jc w:val="both"/>
        <w:rPr>
          <w:rFonts w:ascii="Times New Roman" w:hAnsi="Times New Roman"/>
          <w:sz w:val="24"/>
        </w:rPr>
        <w:sectPr>
          <w:pgSz w:w="12240" w:h="15840"/>
          <w:pgMar w:header="0" w:footer="1046" w:top="1360" w:bottom="1240" w:left="1600" w:right="1480"/>
        </w:sectPr>
      </w:pPr>
    </w:p>
    <w:p>
      <w:pPr>
        <w:spacing w:line="448" w:lineRule="auto" w:before="40"/>
        <w:ind w:left="104" w:right="237" w:firstLine="0"/>
        <w:jc w:val="both"/>
        <w:rPr>
          <w:rFonts w:ascii="Times New Roman" w:hAnsi="Times New Roman"/>
          <w:sz w:val="24"/>
        </w:rPr>
      </w:pPr>
      <w:r>
        <w:rPr>
          <w:rFonts w:ascii="Times New Roman" w:hAnsi="Times New Roman"/>
          <w:sz w:val="24"/>
        </w:rPr>
        <w:t>típicamente una cámara de ionización), y la distribución de dosis en un plano. Como paso final, los datos experimentales se comparan con los cálculos del sistema de planeación</w:t>
      </w:r>
      <w:r>
        <w:rPr>
          <w:rFonts w:ascii="Times New Roman" w:hAnsi="Times New Roman"/>
          <w:position w:val="11"/>
          <w:sz w:val="16"/>
        </w:rPr>
        <w:t>2</w:t>
      </w:r>
      <w:r>
        <w:rPr>
          <w:rFonts w:ascii="Times New Roman" w:hAnsi="Times New Roman"/>
          <w:sz w:val="24"/>
        </w:rPr>
        <w:t>.</w:t>
      </w:r>
    </w:p>
    <w:p>
      <w:pPr>
        <w:spacing w:line="259" w:lineRule="exact" w:before="0"/>
        <w:ind w:left="104" w:right="0" w:firstLine="0"/>
        <w:jc w:val="both"/>
        <w:rPr>
          <w:rFonts w:ascii="Times New Roman" w:hAnsi="Times New Roman"/>
          <w:sz w:val="24"/>
        </w:rPr>
      </w:pPr>
      <w:r>
        <w:rPr>
          <w:rFonts w:ascii="Times New Roman" w:hAnsi="Times New Roman"/>
          <w:spacing w:val="-4"/>
          <w:sz w:val="24"/>
        </w:rPr>
        <w:t>La </w:t>
      </w:r>
      <w:r>
        <w:rPr>
          <w:rFonts w:ascii="Times New Roman" w:hAnsi="Times New Roman"/>
          <w:spacing w:val="52"/>
          <w:sz w:val="24"/>
        </w:rPr>
        <w:t> </w:t>
      </w:r>
      <w:r>
        <w:rPr>
          <w:rFonts w:ascii="Times New Roman" w:hAnsi="Times New Roman"/>
          <w:sz w:val="24"/>
        </w:rPr>
        <w:t>distribución   de   dosis   en   un   plano   generalmente   se   determina   con    películas</w:t>
      </w:r>
    </w:p>
    <w:p>
      <w:pPr>
        <w:pStyle w:val="BodyText"/>
        <w:spacing w:before="4"/>
        <w:rPr>
          <w:rFonts w:ascii="Times New Roman"/>
          <w:sz w:val="23"/>
        </w:rPr>
      </w:pPr>
    </w:p>
    <w:p>
      <w:pPr>
        <w:spacing w:line="472" w:lineRule="auto" w:before="0"/>
        <w:ind w:left="104" w:right="228" w:firstLine="0"/>
        <w:jc w:val="both"/>
        <w:rPr>
          <w:rFonts w:ascii="Times New Roman" w:hAnsi="Times New Roman"/>
          <w:sz w:val="24"/>
        </w:rPr>
      </w:pPr>
      <w:r>
        <w:rPr>
          <w:rFonts w:ascii="Times New Roman" w:hAnsi="Times New Roman"/>
          <w:sz w:val="24"/>
        </w:rPr>
        <w:t>radiosensibles, </w:t>
      </w:r>
      <w:r>
        <w:rPr>
          <w:rFonts w:ascii="Times New Roman" w:hAnsi="Times New Roman"/>
          <w:spacing w:val="-6"/>
          <w:sz w:val="24"/>
        </w:rPr>
        <w:t>ya </w:t>
      </w:r>
      <w:r>
        <w:rPr>
          <w:rFonts w:ascii="Times New Roman" w:hAnsi="Times New Roman"/>
          <w:sz w:val="24"/>
        </w:rPr>
        <w:t>sean radiográficas o radiocrómicas</w:t>
      </w:r>
      <w:r>
        <w:rPr>
          <w:rFonts w:ascii="Times New Roman" w:hAnsi="Times New Roman"/>
          <w:position w:val="11"/>
          <w:sz w:val="16"/>
        </w:rPr>
        <w:t>3</w:t>
      </w:r>
      <w:r>
        <w:rPr>
          <w:rFonts w:ascii="Times New Roman" w:hAnsi="Times New Roman"/>
          <w:sz w:val="24"/>
        </w:rPr>
        <w:t>. </w:t>
      </w:r>
      <w:r>
        <w:rPr>
          <w:rFonts w:ascii="Times New Roman" w:hAnsi="Times New Roman"/>
          <w:spacing w:val="-4"/>
          <w:sz w:val="24"/>
        </w:rPr>
        <w:t>Las </w:t>
      </w:r>
      <w:r>
        <w:rPr>
          <w:rFonts w:ascii="Times New Roman" w:hAnsi="Times New Roman"/>
          <w:sz w:val="24"/>
        </w:rPr>
        <w:t>películas radiográficas han sido extensamente utilizadas en la dosimetría de radioterapia de haz externo, sin embargo, debido a la introducción de equipos digitales en los centros de radioterapia y la  desaparición progresiva de equipos reveladores, la tendencia actual es sustituirlas por películas radiocrómicas, aprovechando las ventajas que presentan, tales como su alta resolución espacial, baja dependencia de la energía</w:t>
      </w:r>
      <w:r>
        <w:rPr>
          <w:rFonts w:ascii="Times New Roman" w:hAnsi="Times New Roman"/>
          <w:position w:val="11"/>
          <w:sz w:val="16"/>
        </w:rPr>
        <w:t>4</w:t>
      </w:r>
      <w:r>
        <w:rPr>
          <w:rFonts w:ascii="Times New Roman" w:hAnsi="Times New Roman"/>
          <w:sz w:val="24"/>
        </w:rPr>
        <w:t>, equivalencia a tejido</w:t>
      </w:r>
      <w:r>
        <w:rPr>
          <w:rFonts w:ascii="Times New Roman" w:hAnsi="Times New Roman"/>
          <w:position w:val="11"/>
          <w:sz w:val="16"/>
        </w:rPr>
        <w:t>5</w:t>
      </w:r>
      <w:r>
        <w:rPr>
          <w:rFonts w:ascii="Times New Roman" w:hAnsi="Times New Roman"/>
          <w:sz w:val="24"/>
        </w:rPr>
        <w:t>, y a la no necesidad </w:t>
      </w:r>
      <w:r>
        <w:rPr>
          <w:rFonts w:ascii="Times New Roman" w:hAnsi="Times New Roman"/>
          <w:spacing w:val="-3"/>
          <w:sz w:val="24"/>
        </w:rPr>
        <w:t>de </w:t>
      </w:r>
      <w:r>
        <w:rPr>
          <w:rFonts w:ascii="Times New Roman" w:hAnsi="Times New Roman"/>
          <w:sz w:val="24"/>
        </w:rPr>
        <w:t>procesos de</w:t>
      </w:r>
      <w:r>
        <w:rPr>
          <w:rFonts w:ascii="Times New Roman" w:hAnsi="Times New Roman"/>
          <w:spacing w:val="5"/>
          <w:sz w:val="24"/>
        </w:rPr>
        <w:t> </w:t>
      </w:r>
      <w:r>
        <w:rPr>
          <w:rFonts w:ascii="Times New Roman" w:hAnsi="Times New Roman"/>
          <w:sz w:val="24"/>
        </w:rPr>
        <w:t>revelado.</w:t>
      </w:r>
    </w:p>
    <w:p>
      <w:pPr>
        <w:spacing w:line="475" w:lineRule="auto" w:before="30"/>
        <w:ind w:left="104" w:right="227" w:firstLine="0"/>
        <w:jc w:val="both"/>
        <w:rPr>
          <w:rFonts w:ascii="Times New Roman" w:hAnsi="Times New Roman"/>
          <w:sz w:val="24"/>
        </w:rPr>
      </w:pPr>
      <w:r>
        <w:rPr>
          <w:rFonts w:ascii="Times New Roman" w:hAnsi="Times New Roman"/>
          <w:sz w:val="24"/>
        </w:rPr>
        <w:t>No hay un consenso universalmente aceptado acerca de una metodología única para llevar a cabo el control de calidad en tratamientos de IMRT, y las instituciones que imparten esta técnica adoptan distintos protocolos en función de los recursos de los que disponen, su conocimiento del tema y sus necesidades específicas. En particular, la comparación de las distribuciones de dosis medidas con aquellas calculadas por el sistema de planeación generalmente se hace a través del índice gamma, propuesto por </w:t>
      </w:r>
      <w:r>
        <w:rPr>
          <w:rFonts w:ascii="Times New Roman" w:hAnsi="Times New Roman"/>
          <w:i/>
          <w:sz w:val="24"/>
        </w:rPr>
        <w:t>Low et al, </w:t>
      </w:r>
      <w:r>
        <w:rPr>
          <w:rFonts w:ascii="Times New Roman" w:hAnsi="Times New Roman"/>
          <w:sz w:val="24"/>
        </w:rPr>
        <w:t>para unificar los criterios de diferencia de dosis y distancia en concordancia</w:t>
      </w:r>
      <w:r>
        <w:rPr>
          <w:rFonts w:ascii="Times New Roman" w:hAnsi="Times New Roman"/>
          <w:position w:val="11"/>
          <w:sz w:val="16"/>
        </w:rPr>
        <w:t>6</w:t>
      </w:r>
      <w:r>
        <w:rPr>
          <w:rFonts w:ascii="Times New Roman" w:hAnsi="Times New Roman"/>
          <w:sz w:val="24"/>
        </w:rPr>
        <w:t>. Sin embargo, es recomendable que cada centro de radioterapia desarrolle sus protocolos de control de calidad, ya que la elección de los criterios de aceptación y evaluación del índice gamma dependen de muchos factores como el equipo dosimétrico utilizado, el software de evaluación y la carga de trabajo</w:t>
      </w:r>
      <w:r>
        <w:rPr>
          <w:rFonts w:ascii="Times New Roman" w:hAnsi="Times New Roman"/>
          <w:position w:val="11"/>
          <w:sz w:val="16"/>
        </w:rPr>
        <w:t>7</w:t>
      </w:r>
      <w:r>
        <w:rPr>
          <w:rFonts w:ascii="Times New Roman" w:hAnsi="Times New Roman"/>
          <w:sz w:val="24"/>
        </w:rPr>
        <w:t>.</w:t>
      </w:r>
    </w:p>
    <w:p>
      <w:pPr>
        <w:spacing w:line="242" w:lineRule="exact" w:before="0"/>
        <w:ind w:left="104" w:right="0" w:firstLine="0"/>
        <w:jc w:val="both"/>
        <w:rPr>
          <w:rFonts w:ascii="Times New Roman" w:hAnsi="Times New Roman"/>
          <w:sz w:val="24"/>
        </w:rPr>
      </w:pPr>
      <w:r>
        <w:rPr>
          <w:rFonts w:ascii="Times New Roman" w:hAnsi="Times New Roman"/>
          <w:sz w:val="24"/>
        </w:rPr>
        <w:t>El control de calidad en tratamientos de IMRT en el Hospital General de México se hace</w:t>
      </w:r>
    </w:p>
    <w:p>
      <w:pPr>
        <w:pStyle w:val="BodyText"/>
        <w:rPr>
          <w:rFonts w:ascii="Times New Roman"/>
          <w:sz w:val="24"/>
        </w:rPr>
      </w:pPr>
    </w:p>
    <w:p>
      <w:pPr>
        <w:spacing w:before="0"/>
        <w:ind w:left="104" w:right="0" w:firstLine="0"/>
        <w:jc w:val="both"/>
        <w:rPr>
          <w:rFonts w:ascii="Times New Roman" w:hAnsi="Times New Roman"/>
          <w:sz w:val="24"/>
        </w:rPr>
      </w:pPr>
      <w:r>
        <w:rPr>
          <w:rFonts w:ascii="Times New Roman" w:hAnsi="Times New Roman"/>
          <w:sz w:val="24"/>
        </w:rPr>
        <w:t>actualmente con cámara de ionización y películas radiográficas. Por lo que, el objetivo de</w:t>
      </w:r>
    </w:p>
    <w:p>
      <w:pPr>
        <w:pStyle w:val="BodyText"/>
        <w:rPr>
          <w:rFonts w:ascii="Times New Roman"/>
          <w:sz w:val="18"/>
        </w:rPr>
      </w:pPr>
    </w:p>
    <w:p>
      <w:pPr>
        <w:tabs>
          <w:tab w:pos="8768" w:val="left" w:leader="none"/>
        </w:tabs>
        <w:spacing w:before="69"/>
        <w:ind w:left="104" w:right="92" w:firstLine="0"/>
        <w:jc w:val="left"/>
        <w:rPr>
          <w:rFonts w:ascii="Times New Roman" w:hAnsi="Times New Roman"/>
          <w:sz w:val="24"/>
        </w:rPr>
      </w:pPr>
      <w:r>
        <w:rPr>
          <w:rFonts w:ascii="Times New Roman" w:hAnsi="Times New Roman"/>
          <w:sz w:val="24"/>
        </w:rPr>
        <w:t>este  trabajo  es  evaluar  la  distribución  de  dosis  en  la  película</w:t>
      </w:r>
      <w:r>
        <w:rPr>
          <w:rFonts w:ascii="Times New Roman" w:hAnsi="Times New Roman"/>
          <w:spacing w:val="40"/>
          <w:sz w:val="24"/>
        </w:rPr>
        <w:t> </w:t>
      </w:r>
      <w:r>
        <w:rPr>
          <w:rFonts w:ascii="Times New Roman" w:hAnsi="Times New Roman"/>
          <w:sz w:val="24"/>
        </w:rPr>
        <w:t>radiocrómica  EBT3</w:t>
        <w:tab/>
        <w:t>y</w:t>
      </w:r>
    </w:p>
    <w:p>
      <w:pPr>
        <w:spacing w:before="200"/>
        <w:ind w:left="0" w:right="113" w:firstLine="0"/>
        <w:jc w:val="right"/>
        <w:rPr>
          <w:rFonts w:ascii="Times New Roman"/>
          <w:sz w:val="24"/>
        </w:rPr>
      </w:pPr>
      <w:r>
        <w:rPr>
          <w:rFonts w:ascii="Times New Roman"/>
          <w:w w:val="99"/>
          <w:sz w:val="24"/>
        </w:rPr>
        <w:t>V</w:t>
      </w:r>
    </w:p>
    <w:p>
      <w:pPr>
        <w:spacing w:after="0"/>
        <w:jc w:val="right"/>
        <w:rPr>
          <w:rFonts w:ascii="Times New Roman"/>
          <w:sz w:val="24"/>
        </w:rPr>
        <w:sectPr>
          <w:footerReference w:type="default" r:id="rId63"/>
          <w:pgSz w:w="12240" w:h="15840"/>
          <w:pgMar w:footer="0" w:header="0" w:top="1360" w:bottom="280" w:left="1600" w:right="1460"/>
        </w:sectPr>
      </w:pPr>
    </w:p>
    <w:p>
      <w:pPr>
        <w:spacing w:line="480" w:lineRule="auto" w:before="40"/>
        <w:ind w:left="104" w:right="242" w:firstLine="0"/>
        <w:jc w:val="both"/>
        <w:rPr>
          <w:rFonts w:ascii="Times New Roman" w:hAnsi="Times New Roman"/>
          <w:sz w:val="24"/>
        </w:rPr>
      </w:pPr>
      <w:r>
        <w:rPr>
          <w:rFonts w:ascii="Times New Roman" w:hAnsi="Times New Roman"/>
          <w:sz w:val="24"/>
        </w:rPr>
        <w:t>compararla con la película radiográfica EDR-2, para implementarla en los procesos de control de calidad en tratamientos de IMRT con acelerador lineal Varian 21EX con 6 MV en el Hospital General de México.</w:t>
      </w:r>
    </w:p>
    <w:p>
      <w:pPr>
        <w:pStyle w:val="BodyText"/>
        <w:rPr>
          <w:rFonts w:ascii="Times New Roman"/>
          <w:sz w:val="24"/>
        </w:rPr>
      </w:pPr>
    </w:p>
    <w:p>
      <w:pPr>
        <w:pStyle w:val="BodyText"/>
        <w:spacing w:before="7"/>
        <w:rPr>
          <w:rFonts w:ascii="Times New Roman"/>
          <w:sz w:val="26"/>
        </w:rPr>
      </w:pPr>
    </w:p>
    <w:p>
      <w:pPr>
        <w:pStyle w:val="ListParagraph"/>
        <w:numPr>
          <w:ilvl w:val="0"/>
          <w:numId w:val="12"/>
        </w:numPr>
        <w:tabs>
          <w:tab w:pos="465" w:val="left" w:leader="none"/>
        </w:tabs>
        <w:spacing w:line="240" w:lineRule="auto" w:before="1" w:after="0"/>
        <w:ind w:left="464" w:right="0" w:hanging="360"/>
        <w:jc w:val="both"/>
        <w:rPr>
          <w:rFonts w:ascii="Times New Roman" w:hAnsi="Times New Roman"/>
          <w:b/>
          <w:sz w:val="24"/>
        </w:rPr>
      </w:pPr>
      <w:r>
        <w:rPr>
          <w:rFonts w:ascii="Times New Roman" w:hAnsi="Times New Roman"/>
          <w:b/>
          <w:sz w:val="24"/>
        </w:rPr>
        <w:t>Material y</w:t>
      </w:r>
      <w:r>
        <w:rPr>
          <w:rFonts w:ascii="Times New Roman" w:hAnsi="Times New Roman"/>
          <w:b/>
          <w:spacing w:val="-10"/>
          <w:sz w:val="24"/>
        </w:rPr>
        <w:t> </w:t>
      </w:r>
      <w:r>
        <w:rPr>
          <w:rFonts w:ascii="Times New Roman" w:hAnsi="Times New Roman"/>
          <w:b/>
          <w:sz w:val="24"/>
        </w:rPr>
        <w:t>métodos</w:t>
      </w:r>
    </w:p>
    <w:p>
      <w:pPr>
        <w:pStyle w:val="BodyText"/>
        <w:spacing w:before="11"/>
        <w:rPr>
          <w:rFonts w:ascii="Times New Roman"/>
          <w:b/>
        </w:rPr>
      </w:pPr>
    </w:p>
    <w:p>
      <w:pPr>
        <w:spacing w:line="480" w:lineRule="auto" w:before="0"/>
        <w:ind w:left="104" w:right="243" w:firstLine="0"/>
        <w:jc w:val="both"/>
        <w:rPr>
          <w:rFonts w:ascii="Times New Roman" w:hAnsi="Times New Roman"/>
          <w:sz w:val="24"/>
        </w:rPr>
      </w:pPr>
      <w:r>
        <w:rPr>
          <w:rFonts w:ascii="Times New Roman" w:hAnsi="Times New Roman"/>
          <w:sz w:val="24"/>
        </w:rPr>
        <w:t>Se analizaron 9 planes de cabeza y cuello correspondientes a pacientes tratados en el Hospital General de México. La planeación de los tratamientos se llevó a cabo con el sistema Eclipse 1.0, de Varian.</w:t>
      </w:r>
    </w:p>
    <w:p>
      <w:pPr>
        <w:spacing w:line="480" w:lineRule="auto" w:before="22"/>
        <w:ind w:left="104" w:right="227" w:firstLine="0"/>
        <w:jc w:val="both"/>
        <w:rPr>
          <w:rFonts w:ascii="Times New Roman" w:hAnsi="Times New Roman"/>
          <w:sz w:val="24"/>
        </w:rPr>
      </w:pPr>
      <w:r>
        <w:rPr>
          <w:rFonts w:ascii="Times New Roman" w:hAnsi="Times New Roman"/>
          <w:sz w:val="24"/>
        </w:rPr>
        <w:t>Las mediciones de la distribución de dosis en un plano se realizaron con películas radiografías EDR2 y con películas radiocrómicas Gafchromic EBT3. Para generar la curva de calibración de las películas radiográficas se procedió a irradiar una placa con el método de campos monoisocentricos, con valores de dosis entre 0 y 269 centigrays (cGy), para un total </w:t>
      </w:r>
      <w:r>
        <w:rPr>
          <w:rFonts w:ascii="Times New Roman" w:hAnsi="Times New Roman"/>
          <w:spacing w:val="-3"/>
          <w:sz w:val="24"/>
        </w:rPr>
        <w:t>de </w:t>
      </w:r>
      <w:r>
        <w:rPr>
          <w:rFonts w:ascii="Times New Roman" w:hAnsi="Times New Roman"/>
          <w:sz w:val="24"/>
        </w:rPr>
        <w:t>13 puntos de medición. </w:t>
      </w:r>
      <w:r>
        <w:rPr>
          <w:rFonts w:ascii="Times New Roman" w:hAnsi="Times New Roman"/>
          <w:spacing w:val="-6"/>
          <w:sz w:val="24"/>
        </w:rPr>
        <w:t>La </w:t>
      </w:r>
      <w:r>
        <w:rPr>
          <w:rFonts w:ascii="Times New Roman" w:hAnsi="Times New Roman"/>
          <w:sz w:val="24"/>
        </w:rPr>
        <w:t>placa se posiciono en un maniquí de acrílico </w:t>
      </w:r>
      <w:r>
        <w:rPr>
          <w:rFonts w:ascii="Times New Roman" w:hAnsi="Times New Roman"/>
          <w:spacing w:val="-3"/>
          <w:sz w:val="24"/>
        </w:rPr>
        <w:t>de </w:t>
      </w:r>
      <w:r>
        <w:rPr>
          <w:rFonts w:ascii="Times New Roman" w:hAnsi="Times New Roman"/>
          <w:sz w:val="24"/>
        </w:rPr>
        <w:t>placas gruesas, a una profundidad de 5 cm, con una distancia fuente-superficie de 100 cm, </w:t>
      </w:r>
      <w:r>
        <w:rPr>
          <w:rFonts w:ascii="Times New Roman" w:hAnsi="Times New Roman"/>
          <w:spacing w:val="-3"/>
          <w:sz w:val="24"/>
        </w:rPr>
        <w:t>un </w:t>
      </w:r>
      <w:r>
        <w:rPr>
          <w:rFonts w:ascii="Times New Roman" w:hAnsi="Times New Roman"/>
          <w:sz w:val="24"/>
        </w:rPr>
        <w:t>campo </w:t>
      </w:r>
      <w:r>
        <w:rPr>
          <w:rFonts w:ascii="Times New Roman" w:hAnsi="Times New Roman"/>
          <w:spacing w:val="-3"/>
          <w:sz w:val="24"/>
        </w:rPr>
        <w:t>de </w:t>
      </w:r>
      <w:r>
        <w:rPr>
          <w:rFonts w:ascii="Times New Roman" w:hAnsi="Times New Roman"/>
          <w:sz w:val="24"/>
        </w:rPr>
        <w:t>10 x 10 cm y un ángulo del gantry y colimador de 0°. </w:t>
      </w:r>
      <w:r>
        <w:rPr>
          <w:rFonts w:ascii="Times New Roman" w:hAnsi="Times New Roman"/>
          <w:spacing w:val="-4"/>
          <w:sz w:val="24"/>
        </w:rPr>
        <w:t>Las </w:t>
      </w:r>
      <w:r>
        <w:rPr>
          <w:rFonts w:ascii="Times New Roman" w:hAnsi="Times New Roman"/>
          <w:sz w:val="24"/>
        </w:rPr>
        <w:t>películas se digitalizaron en el escáner Vidar Dosimetry Pro Advantage, y posteriormente se procesaron con el módulo Film Cal del software Mephysto. Para determinar la curva de calibración de las películas radiocrómicas se utilizó un maniquí de agua solida Scanditronix modelo SP34, y se cortaron muestras individuales de película de 2 x 2 cm, las cuales se posicionaron en  las mismas condiciones de referencia que en el caso de </w:t>
      </w:r>
      <w:r>
        <w:rPr>
          <w:rFonts w:ascii="Times New Roman" w:hAnsi="Times New Roman"/>
          <w:spacing w:val="4"/>
          <w:sz w:val="24"/>
        </w:rPr>
        <w:t>las </w:t>
      </w:r>
      <w:r>
        <w:rPr>
          <w:rFonts w:ascii="Times New Roman" w:hAnsi="Times New Roman"/>
          <w:sz w:val="24"/>
        </w:rPr>
        <w:t>películas radiográficas. El rango de dosis fue de 0 a 500 cGy, con intervalos de 50 cGy, con lo que se obtuvieron 14 puntos de medición. </w:t>
      </w:r>
      <w:r>
        <w:rPr>
          <w:rFonts w:ascii="Times New Roman" w:hAnsi="Times New Roman"/>
          <w:spacing w:val="-6"/>
          <w:sz w:val="24"/>
        </w:rPr>
        <w:t>La </w:t>
      </w:r>
      <w:r>
        <w:rPr>
          <w:rFonts w:ascii="Times New Roman" w:hAnsi="Times New Roman"/>
          <w:sz w:val="24"/>
        </w:rPr>
        <w:t>digitalización se llevó a cabo con el escáner Epson Expression 10000XL, en</w:t>
      </w:r>
      <w:r>
        <w:rPr>
          <w:rFonts w:ascii="Times New Roman" w:hAnsi="Times New Roman"/>
          <w:spacing w:val="23"/>
          <w:sz w:val="24"/>
        </w:rPr>
        <w:t> </w:t>
      </w:r>
      <w:r>
        <w:rPr>
          <w:rFonts w:ascii="Times New Roman" w:hAnsi="Times New Roman"/>
          <w:sz w:val="24"/>
        </w:rPr>
        <w:t>modo</w:t>
      </w:r>
      <w:r>
        <w:rPr>
          <w:rFonts w:ascii="Times New Roman" w:hAnsi="Times New Roman"/>
          <w:spacing w:val="19"/>
          <w:sz w:val="24"/>
        </w:rPr>
        <w:t> </w:t>
      </w:r>
      <w:r>
        <w:rPr>
          <w:rFonts w:ascii="Times New Roman" w:hAnsi="Times New Roman"/>
          <w:sz w:val="24"/>
        </w:rPr>
        <w:t>transmisión.</w:t>
      </w:r>
      <w:r>
        <w:rPr>
          <w:rFonts w:ascii="Times New Roman" w:hAnsi="Times New Roman"/>
          <w:spacing w:val="23"/>
          <w:sz w:val="24"/>
        </w:rPr>
        <w:t> </w:t>
      </w:r>
      <w:r>
        <w:rPr>
          <w:rFonts w:ascii="Times New Roman" w:hAnsi="Times New Roman"/>
          <w:spacing w:val="-4"/>
          <w:sz w:val="24"/>
        </w:rPr>
        <w:t>Las</w:t>
      </w:r>
      <w:r>
        <w:rPr>
          <w:rFonts w:ascii="Times New Roman" w:hAnsi="Times New Roman"/>
          <w:spacing w:val="22"/>
          <w:sz w:val="24"/>
        </w:rPr>
        <w:t> </w:t>
      </w:r>
      <w:r>
        <w:rPr>
          <w:rFonts w:ascii="Times New Roman" w:hAnsi="Times New Roman"/>
          <w:sz w:val="24"/>
        </w:rPr>
        <w:t>imágenes</w:t>
      </w:r>
      <w:r>
        <w:rPr>
          <w:rFonts w:ascii="Times New Roman" w:hAnsi="Times New Roman"/>
          <w:spacing w:val="22"/>
          <w:sz w:val="24"/>
        </w:rPr>
        <w:t> </w:t>
      </w:r>
      <w:r>
        <w:rPr>
          <w:rFonts w:ascii="Times New Roman" w:hAnsi="Times New Roman"/>
          <w:sz w:val="24"/>
        </w:rPr>
        <w:t>obtenidas</w:t>
      </w:r>
      <w:r>
        <w:rPr>
          <w:rFonts w:ascii="Times New Roman" w:hAnsi="Times New Roman"/>
          <w:spacing w:val="22"/>
          <w:sz w:val="24"/>
        </w:rPr>
        <w:t> </w:t>
      </w:r>
      <w:r>
        <w:rPr>
          <w:rFonts w:ascii="Times New Roman" w:hAnsi="Times New Roman"/>
          <w:sz w:val="24"/>
        </w:rPr>
        <w:t>fueron</w:t>
      </w:r>
      <w:r>
        <w:rPr>
          <w:rFonts w:ascii="Times New Roman" w:hAnsi="Times New Roman"/>
          <w:spacing w:val="19"/>
          <w:sz w:val="24"/>
        </w:rPr>
        <w:t> </w:t>
      </w:r>
      <w:r>
        <w:rPr>
          <w:rFonts w:ascii="Times New Roman" w:hAnsi="Times New Roman"/>
          <w:sz w:val="24"/>
        </w:rPr>
        <w:t>analizadas</w:t>
      </w:r>
      <w:r>
        <w:rPr>
          <w:rFonts w:ascii="Times New Roman" w:hAnsi="Times New Roman"/>
          <w:spacing w:val="22"/>
          <w:sz w:val="24"/>
        </w:rPr>
        <w:t> </w:t>
      </w:r>
      <w:r>
        <w:rPr>
          <w:rFonts w:ascii="Times New Roman" w:hAnsi="Times New Roman"/>
          <w:sz w:val="24"/>
        </w:rPr>
        <w:t>con</w:t>
      </w:r>
      <w:r>
        <w:rPr>
          <w:rFonts w:ascii="Times New Roman" w:hAnsi="Times New Roman"/>
          <w:spacing w:val="19"/>
          <w:sz w:val="24"/>
        </w:rPr>
        <w:t> </w:t>
      </w:r>
      <w:r>
        <w:rPr>
          <w:rFonts w:ascii="Times New Roman" w:hAnsi="Times New Roman"/>
          <w:sz w:val="24"/>
        </w:rPr>
        <w:t>el</w:t>
      </w:r>
      <w:r>
        <w:rPr>
          <w:rFonts w:ascii="Times New Roman" w:hAnsi="Times New Roman"/>
          <w:spacing w:val="21"/>
          <w:sz w:val="24"/>
        </w:rPr>
        <w:t> </w:t>
      </w:r>
      <w:r>
        <w:rPr>
          <w:rFonts w:ascii="Times New Roman" w:hAnsi="Times New Roman"/>
          <w:sz w:val="24"/>
        </w:rPr>
        <w:t>software</w:t>
      </w:r>
      <w:r>
        <w:rPr>
          <w:rFonts w:ascii="Times New Roman" w:hAnsi="Times New Roman"/>
          <w:spacing w:val="25"/>
          <w:sz w:val="24"/>
        </w:rPr>
        <w:t> </w:t>
      </w:r>
      <w:r>
        <w:rPr>
          <w:rFonts w:ascii="Times New Roman" w:hAnsi="Times New Roman"/>
          <w:sz w:val="24"/>
        </w:rPr>
        <w:t>Image</w:t>
      </w:r>
      <w:r>
        <w:rPr>
          <w:rFonts w:ascii="Times New Roman" w:hAnsi="Times New Roman"/>
          <w:spacing w:val="25"/>
          <w:sz w:val="24"/>
        </w:rPr>
        <w:t> </w:t>
      </w:r>
      <w:r>
        <w:rPr>
          <w:rFonts w:ascii="Times New Roman" w:hAnsi="Times New Roman"/>
          <w:sz w:val="24"/>
        </w:rPr>
        <w:t>J,</w:t>
      </w:r>
    </w:p>
    <w:p>
      <w:pPr>
        <w:spacing w:before="10"/>
        <w:ind w:left="104" w:right="0" w:firstLine="0"/>
        <w:jc w:val="both"/>
        <w:rPr>
          <w:rFonts w:ascii="Times New Roman" w:hAnsi="Times New Roman"/>
          <w:sz w:val="24"/>
        </w:rPr>
      </w:pPr>
      <w:r>
        <w:rPr>
          <w:rFonts w:ascii="Times New Roman" w:hAnsi="Times New Roman"/>
          <w:sz w:val="24"/>
        </w:rPr>
        <w:t>extrayendo información del canal rojo, verde y azul. Se ajustaron curvas polinómicas   para</w:t>
      </w:r>
    </w:p>
    <w:p>
      <w:pPr>
        <w:spacing w:before="172"/>
        <w:ind w:left="0" w:right="115" w:firstLine="0"/>
        <w:jc w:val="right"/>
        <w:rPr>
          <w:rFonts w:ascii="Times New Roman"/>
          <w:sz w:val="24"/>
        </w:rPr>
      </w:pPr>
      <w:r>
        <w:rPr>
          <w:rFonts w:ascii="Times New Roman"/>
          <w:sz w:val="24"/>
        </w:rPr>
        <w:t>VI</w:t>
      </w:r>
    </w:p>
    <w:p>
      <w:pPr>
        <w:spacing w:after="0"/>
        <w:jc w:val="right"/>
        <w:rPr>
          <w:rFonts w:ascii="Times New Roman"/>
          <w:sz w:val="24"/>
        </w:rPr>
        <w:sectPr>
          <w:footerReference w:type="default" r:id="rId64"/>
          <w:pgSz w:w="12240" w:h="15840"/>
          <w:pgMar w:footer="0" w:header="0" w:top="1360" w:bottom="280" w:left="1600" w:right="1460"/>
        </w:sectPr>
      </w:pPr>
    </w:p>
    <w:p>
      <w:pPr>
        <w:spacing w:line="480" w:lineRule="auto" w:before="65"/>
        <w:ind w:left="104" w:right="234" w:firstLine="0"/>
        <w:jc w:val="both"/>
        <w:rPr>
          <w:rFonts w:ascii="Times New Roman" w:hAnsi="Times New Roman"/>
          <w:sz w:val="24"/>
        </w:rPr>
      </w:pPr>
      <w:r>
        <w:rPr>
          <w:rFonts w:ascii="Times New Roman" w:hAnsi="Times New Roman"/>
          <w:sz w:val="24"/>
        </w:rPr>
        <w:t>cada canal de color, de acuerdo a recomendaciones </w:t>
      </w:r>
      <w:r>
        <w:rPr>
          <w:rFonts w:ascii="Times New Roman" w:hAnsi="Times New Roman"/>
          <w:spacing w:val="-3"/>
          <w:sz w:val="24"/>
        </w:rPr>
        <w:t>de </w:t>
      </w:r>
      <w:r>
        <w:rPr>
          <w:rFonts w:ascii="Times New Roman" w:hAnsi="Times New Roman"/>
          <w:sz w:val="24"/>
        </w:rPr>
        <w:t>diversos autores</w:t>
      </w:r>
      <w:r>
        <w:rPr>
          <w:rFonts w:ascii="Times New Roman" w:hAnsi="Times New Roman"/>
          <w:position w:val="11"/>
          <w:sz w:val="16"/>
        </w:rPr>
        <w:t>8,9</w:t>
      </w:r>
      <w:r>
        <w:rPr>
          <w:rFonts w:ascii="Times New Roman" w:hAnsi="Times New Roman"/>
          <w:sz w:val="24"/>
        </w:rPr>
        <w:t>, y se llevó a cabo un análisis de incertidumbre aplicado al mejor ajuste. Alternativamente, se  probaron  ajustes racionales con una menor cantidad de puntos, de la</w:t>
      </w:r>
      <w:r>
        <w:rPr>
          <w:rFonts w:ascii="Times New Roman" w:hAnsi="Times New Roman"/>
          <w:spacing w:val="-14"/>
          <w:sz w:val="24"/>
        </w:rPr>
        <w:t> </w:t>
      </w:r>
      <w:r>
        <w:rPr>
          <w:rFonts w:ascii="Times New Roman" w:hAnsi="Times New Roman"/>
          <w:sz w:val="24"/>
        </w:rPr>
        <w:t>forma</w:t>
      </w:r>
    </w:p>
    <w:p>
      <w:pPr>
        <w:tabs>
          <w:tab w:pos="8286" w:val="left" w:leader="none"/>
        </w:tabs>
        <w:spacing w:before="23"/>
        <w:ind w:left="3721" w:right="92" w:firstLine="0"/>
        <w:jc w:val="left"/>
        <w:rPr>
          <w:rFonts w:ascii="Times New Roman"/>
          <w:sz w:val="24"/>
        </w:rPr>
      </w:pPr>
      <w:r>
        <w:rPr>
          <w:rFonts w:ascii="Times New Roman"/>
          <w:i/>
          <w:sz w:val="24"/>
        </w:rPr>
        <w:t>X(D)=a+b/(D-C)</w:t>
        <w:tab/>
      </w:r>
      <w:r>
        <w:rPr>
          <w:rFonts w:ascii="Times New Roman"/>
          <w:sz w:val="24"/>
        </w:rPr>
        <w:t>[1]</w:t>
      </w:r>
    </w:p>
    <w:p>
      <w:pPr>
        <w:pStyle w:val="BodyText"/>
        <w:spacing w:before="6"/>
        <w:rPr>
          <w:rFonts w:ascii="Times New Roman"/>
          <w:sz w:val="20"/>
        </w:rPr>
      </w:pPr>
    </w:p>
    <w:p>
      <w:pPr>
        <w:spacing w:before="0"/>
        <w:ind w:left="104" w:right="0" w:firstLine="0"/>
        <w:jc w:val="both"/>
        <w:rPr>
          <w:rFonts w:ascii="Times New Roman" w:hAnsi="Times New Roman"/>
          <w:sz w:val="24"/>
        </w:rPr>
      </w:pPr>
      <w:r>
        <w:rPr>
          <w:rFonts w:ascii="Times New Roman" w:hAnsi="Times New Roman"/>
          <w:sz w:val="24"/>
        </w:rPr>
        <w:t>en donde </w:t>
      </w:r>
      <w:r>
        <w:rPr>
          <w:rFonts w:ascii="Times New Roman" w:hAnsi="Times New Roman"/>
          <w:i/>
          <w:sz w:val="24"/>
        </w:rPr>
        <w:t>X(D) </w:t>
      </w:r>
      <w:r>
        <w:rPr>
          <w:rFonts w:ascii="Times New Roman" w:hAnsi="Times New Roman"/>
          <w:sz w:val="24"/>
        </w:rPr>
        <w:t>representa la dosis y </w:t>
      </w:r>
      <w:r>
        <w:rPr>
          <w:rFonts w:ascii="Times New Roman" w:hAnsi="Times New Roman"/>
          <w:i/>
          <w:sz w:val="24"/>
        </w:rPr>
        <w:t>D </w:t>
      </w:r>
      <w:r>
        <w:rPr>
          <w:rFonts w:ascii="Times New Roman" w:hAnsi="Times New Roman"/>
          <w:sz w:val="24"/>
        </w:rPr>
        <w:t>la densidad óptica neta</w:t>
      </w:r>
      <w:r>
        <w:rPr>
          <w:rFonts w:ascii="Times New Roman" w:hAnsi="Times New Roman"/>
          <w:position w:val="11"/>
          <w:sz w:val="16"/>
        </w:rPr>
        <w:t>10</w:t>
      </w:r>
      <w:r>
        <w:rPr>
          <w:rFonts w:ascii="Times New Roman" w:hAnsi="Times New Roman"/>
          <w:sz w:val="24"/>
        </w:rPr>
        <w:t>.</w:t>
      </w:r>
    </w:p>
    <w:p>
      <w:pPr>
        <w:pStyle w:val="BodyText"/>
        <w:rPr>
          <w:rFonts w:ascii="Times New Roman"/>
          <w:sz w:val="24"/>
        </w:rPr>
      </w:pPr>
    </w:p>
    <w:p>
      <w:pPr>
        <w:spacing w:line="480" w:lineRule="auto" w:before="0"/>
        <w:ind w:left="104" w:right="229" w:firstLine="0"/>
        <w:jc w:val="both"/>
        <w:rPr>
          <w:rFonts w:ascii="Times New Roman" w:hAnsi="Times New Roman"/>
          <w:sz w:val="24"/>
        </w:rPr>
      </w:pPr>
      <w:r>
        <w:rPr>
          <w:rFonts w:ascii="Times New Roman" w:hAnsi="Times New Roman"/>
          <w:sz w:val="24"/>
        </w:rPr>
        <w:t>Las películas fueron irradiadas con los planes de tratamiento exportados a un maniquí virtual, el cual se integró al sistema de planeación a partir de imágenes tomográficas del maniquí de acrílico. El acelerador lineal utilizado es el modelo Varian Clinac 21EX, y las irradiaciones fueron realizadas en modo de energía de fotones de 6 MV. Se tomó en consideración el tratamiento completo. Tanto las películas radiocrómicas como las radiográficas se acomodaron una sobre la otra, a una profundidad de 5 cm en el maniquí de acrílico, y fueron irradiadas al mismo tiempo. Se tomaron mediciones con una cámara de ionización tipo Farmer modelo Scanditronix FC65-P durante cada irradiación para determinar la dosis en un punto.</w:t>
      </w:r>
    </w:p>
    <w:p>
      <w:pPr>
        <w:spacing w:line="480" w:lineRule="auto" w:before="22"/>
        <w:ind w:left="104" w:right="232" w:firstLine="0"/>
        <w:jc w:val="both"/>
        <w:rPr>
          <w:rFonts w:ascii="Times New Roman" w:hAnsi="Times New Roman"/>
          <w:sz w:val="24"/>
        </w:rPr>
      </w:pPr>
      <w:r>
        <w:rPr>
          <w:rFonts w:ascii="Times New Roman" w:hAnsi="Times New Roman"/>
          <w:sz w:val="24"/>
        </w:rPr>
        <w:t>El análisis de la distribución de dosis medidas con las películas radiocrómicas y radiográficas se llevó a cabo en el software Verisoft. Cada tipo de película se comparó con el plan calculado por el sistema de planeación, para lo cual se superpusieron los perfiles de dosis de la distribución medida y calculada, con el fin de hacer una inspección cualitativa, y posteriormente se llevó a cabo el análisis del índice gamma, lo cual arroja datos cuantitativos del grado de coincidencia entre ambas.</w:t>
      </w:r>
    </w:p>
    <w:p>
      <w:pPr>
        <w:spacing w:line="470" w:lineRule="auto" w:before="22"/>
        <w:ind w:left="104" w:right="227" w:firstLine="0"/>
        <w:jc w:val="both"/>
        <w:rPr>
          <w:rFonts w:ascii="Times New Roman" w:hAnsi="Times New Roman"/>
          <w:sz w:val="24"/>
        </w:rPr>
      </w:pPr>
      <w:r>
        <w:rPr>
          <w:rFonts w:ascii="Times New Roman" w:hAnsi="Times New Roman"/>
          <w:sz w:val="24"/>
        </w:rPr>
        <w:t>El criterio establecido para considerar que el plan cumple con los requisitos de seguridad y precisión para ser impartido al paciente son: 3 mm de distancia en concordancia y 3 % de diferencia de dosis. Se utilizó el método de dosis máxima</w:t>
      </w:r>
      <w:r>
        <w:rPr>
          <w:rFonts w:ascii="Times New Roman" w:hAnsi="Times New Roman"/>
          <w:position w:val="11"/>
          <w:sz w:val="16"/>
        </w:rPr>
        <w:t>11</w:t>
      </w:r>
      <w:r>
        <w:rPr>
          <w:rFonts w:ascii="Times New Roman" w:hAnsi="Times New Roman"/>
          <w:sz w:val="24"/>
        </w:rPr>
        <w:t>, y se consideró un umbral de</w:t>
      </w:r>
    </w:p>
    <w:p>
      <w:pPr>
        <w:spacing w:line="252" w:lineRule="exact" w:before="0"/>
        <w:ind w:left="104" w:right="0" w:firstLine="0"/>
        <w:jc w:val="both"/>
        <w:rPr>
          <w:rFonts w:ascii="Times New Roman" w:hAnsi="Times New Roman"/>
          <w:sz w:val="24"/>
        </w:rPr>
      </w:pPr>
      <w:r>
        <w:rPr>
          <w:rFonts w:ascii="Times New Roman" w:hAnsi="Times New Roman"/>
          <w:sz w:val="24"/>
        </w:rPr>
        <w:t>10% respecto de la dosis máxima, por lo cual los puntos cuya dosis se encuentren por</w:t>
      </w:r>
    </w:p>
    <w:p>
      <w:pPr>
        <w:spacing w:after="0" w:line="252" w:lineRule="exact"/>
        <w:jc w:val="both"/>
        <w:rPr>
          <w:rFonts w:ascii="Times New Roman" w:hAnsi="Times New Roman"/>
          <w:sz w:val="24"/>
        </w:rPr>
        <w:sectPr>
          <w:footerReference w:type="default" r:id="rId65"/>
          <w:pgSz w:w="12240" w:h="15840"/>
          <w:pgMar w:footer="1046" w:header="0" w:top="1300" w:bottom="1240" w:left="1600" w:right="1460"/>
          <w:pgNumType w:start="7"/>
        </w:sectPr>
      </w:pPr>
    </w:p>
    <w:p>
      <w:pPr>
        <w:spacing w:line="480" w:lineRule="auto" w:before="40"/>
        <w:ind w:left="104" w:right="247" w:firstLine="0"/>
        <w:jc w:val="both"/>
        <w:rPr>
          <w:rFonts w:ascii="Times New Roman" w:hAnsi="Times New Roman"/>
          <w:sz w:val="24"/>
        </w:rPr>
      </w:pPr>
      <w:r>
        <w:rPr>
          <w:rFonts w:ascii="Times New Roman" w:hAnsi="Times New Roman"/>
          <w:sz w:val="24"/>
        </w:rPr>
        <w:t>debajo de este umbral no se consideran en el cálculo del índice gamma. Adicionalmente, se analizaron diferentes criterios de aceptación (3%/4 mm y 3%/5 mm) variando la diferencia de dosis, para cada tipo de película.</w:t>
      </w:r>
    </w:p>
    <w:p>
      <w:pPr>
        <w:pStyle w:val="BodyText"/>
        <w:rPr>
          <w:rFonts w:ascii="Times New Roman"/>
          <w:sz w:val="24"/>
        </w:rPr>
      </w:pPr>
    </w:p>
    <w:p>
      <w:pPr>
        <w:pStyle w:val="BodyText"/>
        <w:spacing w:before="7"/>
        <w:rPr>
          <w:rFonts w:ascii="Times New Roman"/>
          <w:sz w:val="26"/>
        </w:rPr>
      </w:pPr>
    </w:p>
    <w:p>
      <w:pPr>
        <w:pStyle w:val="ListParagraph"/>
        <w:numPr>
          <w:ilvl w:val="0"/>
          <w:numId w:val="12"/>
        </w:numPr>
        <w:tabs>
          <w:tab w:pos="465" w:val="left" w:leader="none"/>
        </w:tabs>
        <w:spacing w:line="240" w:lineRule="auto" w:before="1" w:after="0"/>
        <w:ind w:left="464" w:right="0" w:hanging="360"/>
        <w:jc w:val="both"/>
        <w:rPr>
          <w:rFonts w:ascii="Times New Roman" w:hAnsi="Times New Roman"/>
          <w:b/>
          <w:sz w:val="24"/>
        </w:rPr>
      </w:pPr>
      <w:r>
        <w:rPr>
          <w:rFonts w:ascii="Times New Roman" w:hAnsi="Times New Roman"/>
          <w:b/>
          <w:sz w:val="24"/>
        </w:rPr>
        <w:t>Resultados y</w:t>
      </w:r>
      <w:r>
        <w:rPr>
          <w:rFonts w:ascii="Times New Roman" w:hAnsi="Times New Roman"/>
          <w:b/>
          <w:spacing w:val="-15"/>
          <w:sz w:val="24"/>
        </w:rPr>
        <w:t> </w:t>
      </w:r>
      <w:r>
        <w:rPr>
          <w:rFonts w:ascii="Times New Roman" w:hAnsi="Times New Roman"/>
          <w:b/>
          <w:sz w:val="24"/>
        </w:rPr>
        <w:t>discusión</w:t>
      </w:r>
    </w:p>
    <w:p>
      <w:pPr>
        <w:pStyle w:val="BodyText"/>
        <w:rPr>
          <w:rFonts w:ascii="Times New Roman"/>
          <w:b/>
          <w:sz w:val="24"/>
        </w:rPr>
      </w:pPr>
    </w:p>
    <w:p>
      <w:pPr>
        <w:pStyle w:val="ListParagraph"/>
        <w:numPr>
          <w:ilvl w:val="1"/>
          <w:numId w:val="12"/>
        </w:numPr>
        <w:tabs>
          <w:tab w:pos="893" w:val="left" w:leader="none"/>
        </w:tabs>
        <w:spacing w:line="240" w:lineRule="auto" w:before="0" w:after="0"/>
        <w:ind w:left="893" w:right="0" w:hanging="433"/>
        <w:jc w:val="left"/>
        <w:rPr>
          <w:rFonts w:ascii="Times New Roman" w:hAnsi="Times New Roman"/>
          <w:b/>
          <w:sz w:val="24"/>
        </w:rPr>
      </w:pPr>
      <w:r>
        <w:rPr>
          <w:rFonts w:ascii="Times New Roman" w:hAnsi="Times New Roman"/>
          <w:b/>
          <w:sz w:val="24"/>
        </w:rPr>
        <w:t>Curvas </w:t>
      </w:r>
      <w:r>
        <w:rPr>
          <w:rFonts w:ascii="Times New Roman" w:hAnsi="Times New Roman"/>
          <w:b/>
          <w:spacing w:val="-3"/>
          <w:sz w:val="24"/>
        </w:rPr>
        <w:t>de</w:t>
      </w:r>
      <w:r>
        <w:rPr>
          <w:rFonts w:ascii="Times New Roman" w:hAnsi="Times New Roman"/>
          <w:b/>
          <w:spacing w:val="-7"/>
          <w:sz w:val="24"/>
        </w:rPr>
        <w:t> </w:t>
      </w:r>
      <w:r>
        <w:rPr>
          <w:rFonts w:ascii="Times New Roman" w:hAnsi="Times New Roman"/>
          <w:b/>
          <w:sz w:val="24"/>
        </w:rPr>
        <w:t>calibración.</w:t>
      </w:r>
    </w:p>
    <w:p>
      <w:pPr>
        <w:pStyle w:val="BodyText"/>
        <w:spacing w:before="11"/>
        <w:rPr>
          <w:rFonts w:ascii="Times New Roman"/>
          <w:b/>
        </w:rPr>
      </w:pPr>
    </w:p>
    <w:p>
      <w:pPr>
        <w:spacing w:line="465" w:lineRule="auto" w:before="0"/>
        <w:ind w:left="104" w:right="234" w:firstLine="0"/>
        <w:jc w:val="both"/>
        <w:rPr>
          <w:rFonts w:ascii="Times New Roman" w:hAnsi="Times New Roman"/>
          <w:sz w:val="24"/>
        </w:rPr>
      </w:pPr>
      <w:r>
        <w:rPr>
          <w:rFonts w:ascii="Times New Roman" w:hAnsi="Times New Roman"/>
          <w:sz w:val="24"/>
        </w:rPr>
        <w:t>En la </w:t>
      </w:r>
      <w:hyperlink w:history="true" w:anchor="_bookmark101">
        <w:r>
          <w:rPr>
            <w:rFonts w:ascii="Times New Roman" w:hAnsi="Times New Roman"/>
            <w:b/>
            <w:sz w:val="24"/>
          </w:rPr>
          <w:t>Figura 1</w:t>
        </w:r>
      </w:hyperlink>
      <w:r>
        <w:rPr>
          <w:rFonts w:ascii="Times New Roman" w:hAnsi="Times New Roman"/>
          <w:b/>
          <w:sz w:val="24"/>
        </w:rPr>
        <w:t> </w:t>
      </w:r>
      <w:r>
        <w:rPr>
          <w:rFonts w:ascii="Times New Roman" w:hAnsi="Times New Roman"/>
          <w:sz w:val="24"/>
        </w:rPr>
        <w:t>se muestra la curva de calibración de las películas radiográficas. Se ajustó una curva de la forma </w:t>
      </w:r>
      <w:r>
        <w:rPr>
          <w:rFonts w:ascii="Times New Roman" w:hAnsi="Times New Roman"/>
          <w:i/>
          <w:sz w:val="24"/>
        </w:rPr>
        <w:t>y=2.876x+0.046</w:t>
      </w:r>
      <w:r>
        <w:rPr>
          <w:rFonts w:ascii="Times New Roman" w:hAnsi="Times New Roman"/>
          <w:sz w:val="24"/>
        </w:rPr>
        <w:t>, donde </w:t>
      </w:r>
      <w:r>
        <w:rPr>
          <w:rFonts w:ascii="Times New Roman" w:hAnsi="Times New Roman"/>
          <w:i/>
          <w:sz w:val="24"/>
        </w:rPr>
        <w:t>x </w:t>
      </w:r>
      <w:r>
        <w:rPr>
          <w:rFonts w:ascii="Times New Roman" w:hAnsi="Times New Roman"/>
          <w:sz w:val="24"/>
        </w:rPr>
        <w:t>es la densidad óptica neta y </w:t>
      </w:r>
      <w:r>
        <w:rPr>
          <w:rFonts w:ascii="Times New Roman" w:hAnsi="Times New Roman"/>
          <w:i/>
          <w:sz w:val="24"/>
        </w:rPr>
        <w:t>y </w:t>
      </w:r>
      <w:r>
        <w:rPr>
          <w:rFonts w:ascii="Times New Roman" w:hAnsi="Times New Roman"/>
          <w:sz w:val="24"/>
        </w:rPr>
        <w:t>la dosis. El comportamiento lineal en el rango de dosis analizado coincide con los datos reportados</w:t>
      </w:r>
      <w:r>
        <w:rPr>
          <w:rFonts w:ascii="Times New Roman" w:hAnsi="Times New Roman"/>
          <w:position w:val="11"/>
          <w:sz w:val="16"/>
        </w:rPr>
        <w:t>12</w:t>
      </w:r>
      <w:r>
        <w:rPr>
          <w:rFonts w:ascii="Times New Roman" w:hAnsi="Times New Roman"/>
          <w:sz w:val="24"/>
        </w:rPr>
        <w:t>.</w:t>
      </w:r>
    </w:p>
    <w:p>
      <w:pPr>
        <w:spacing w:line="246" w:lineRule="exact" w:before="0"/>
        <w:ind w:left="454" w:right="597" w:firstLine="0"/>
        <w:jc w:val="center"/>
        <w:rPr>
          <w:rFonts w:ascii="Times New Roman"/>
          <w:b/>
          <w:sz w:val="24"/>
        </w:rPr>
      </w:pPr>
      <w:r>
        <w:rPr>
          <w:rFonts w:ascii="Times New Roman"/>
          <w:b/>
          <w:sz w:val="24"/>
        </w:rPr>
        <w:t>INSERTAR FIGURA 1</w:t>
      </w:r>
    </w:p>
    <w:p>
      <w:pPr>
        <w:pStyle w:val="BodyText"/>
        <w:spacing w:before="4"/>
        <w:rPr>
          <w:rFonts w:ascii="Times New Roman"/>
          <w:b/>
          <w:sz w:val="23"/>
        </w:rPr>
      </w:pPr>
    </w:p>
    <w:p>
      <w:pPr>
        <w:spacing w:before="0"/>
        <w:ind w:left="454" w:right="592" w:firstLine="0"/>
        <w:jc w:val="center"/>
        <w:rPr>
          <w:rFonts w:ascii="Times New Roman" w:hAnsi="Times New Roman"/>
          <w:sz w:val="20"/>
        </w:rPr>
      </w:pPr>
      <w:bookmarkStart w:name="_bookmark101" w:id="155"/>
      <w:bookmarkEnd w:id="155"/>
      <w:r>
        <w:rPr/>
      </w:r>
      <w:r>
        <w:rPr>
          <w:rFonts w:ascii="Times New Roman" w:hAnsi="Times New Roman"/>
          <w:b/>
          <w:sz w:val="20"/>
        </w:rPr>
        <w:t>Figura 1</w:t>
      </w:r>
      <w:r>
        <w:rPr>
          <w:rFonts w:ascii="Times New Roman" w:hAnsi="Times New Roman"/>
          <w:sz w:val="20"/>
        </w:rPr>
        <w:t>. Curva de calibración de las películas radiográficas EDR2.</w:t>
      </w:r>
    </w:p>
    <w:p>
      <w:pPr>
        <w:pStyle w:val="BodyText"/>
        <w:spacing w:before="2"/>
        <w:rPr>
          <w:rFonts w:ascii="Times New Roman"/>
          <w:sz w:val="17"/>
        </w:rPr>
      </w:pPr>
    </w:p>
    <w:p>
      <w:pPr>
        <w:pStyle w:val="Heading5"/>
        <w:spacing w:line="480" w:lineRule="auto"/>
        <w:ind w:right="238"/>
      </w:pPr>
      <w:r>
        <w:rPr/>
        <w:t>En la </w:t>
      </w:r>
      <w:hyperlink w:history="true" w:anchor="_bookmark102">
        <w:r>
          <w:rPr>
            <w:b/>
          </w:rPr>
          <w:t>Tabla 1</w:t>
        </w:r>
      </w:hyperlink>
      <w:r>
        <w:rPr>
          <w:b/>
        </w:rPr>
        <w:t> </w:t>
      </w:r>
      <w:r>
        <w:rPr/>
        <w:t>se muestran los valores del coeficiente de determinación r</w:t>
      </w:r>
      <w:r>
        <w:rPr>
          <w:position w:val="11"/>
          <w:sz w:val="16"/>
        </w:rPr>
        <w:t>2 </w:t>
      </w:r>
      <w:r>
        <w:rPr/>
        <w:t>de las curvas de calibración de las películas radiocrómicas para cada canal de color.</w:t>
      </w:r>
    </w:p>
    <w:p>
      <w:pPr>
        <w:pStyle w:val="BodyText"/>
        <w:rPr>
          <w:rFonts w:ascii="Times New Roman"/>
          <w:sz w:val="24"/>
        </w:rPr>
      </w:pPr>
    </w:p>
    <w:p>
      <w:pPr>
        <w:pStyle w:val="BodyText"/>
        <w:spacing w:before="7"/>
        <w:rPr>
          <w:rFonts w:ascii="Times New Roman"/>
          <w:sz w:val="26"/>
        </w:rPr>
      </w:pPr>
    </w:p>
    <w:p>
      <w:pPr>
        <w:spacing w:before="0"/>
        <w:ind w:left="454" w:right="589" w:firstLine="0"/>
        <w:jc w:val="center"/>
        <w:rPr>
          <w:rFonts w:ascii="Times New Roman"/>
          <w:b/>
          <w:sz w:val="24"/>
        </w:rPr>
      </w:pPr>
      <w:r>
        <w:rPr>
          <w:rFonts w:ascii="Times New Roman"/>
          <w:b/>
          <w:sz w:val="24"/>
        </w:rPr>
        <w:t>INSERTAR TABLA 1</w:t>
      </w:r>
    </w:p>
    <w:p>
      <w:pPr>
        <w:pStyle w:val="BodyText"/>
        <w:spacing w:before="10"/>
        <w:rPr>
          <w:rFonts w:ascii="Times New Roman"/>
          <w:b/>
          <w:sz w:val="33"/>
        </w:rPr>
      </w:pPr>
    </w:p>
    <w:p>
      <w:pPr>
        <w:spacing w:before="0"/>
        <w:ind w:left="447" w:right="601" w:firstLine="0"/>
        <w:jc w:val="center"/>
        <w:rPr>
          <w:rFonts w:ascii="Times New Roman" w:hAnsi="Times New Roman"/>
          <w:sz w:val="20"/>
        </w:rPr>
      </w:pPr>
      <w:bookmarkStart w:name="_bookmark102" w:id="156"/>
      <w:bookmarkEnd w:id="156"/>
      <w:r>
        <w:rPr/>
      </w:r>
      <w:r>
        <w:rPr>
          <w:rFonts w:ascii="Times New Roman" w:hAnsi="Times New Roman"/>
          <w:b/>
          <w:sz w:val="20"/>
        </w:rPr>
        <w:t>Tabla 1</w:t>
      </w:r>
      <w:r>
        <w:rPr>
          <w:rFonts w:ascii="Times New Roman" w:hAnsi="Times New Roman"/>
          <w:sz w:val="20"/>
        </w:rPr>
        <w:t>. Coeficientes de determinación por canal de color y tipo de ajuste, películas radiocrómicas.</w:t>
      </w:r>
    </w:p>
    <w:p>
      <w:pPr>
        <w:pStyle w:val="BodyText"/>
        <w:spacing w:before="4"/>
        <w:rPr>
          <w:rFonts w:ascii="Times New Roman"/>
          <w:sz w:val="24"/>
        </w:rPr>
      </w:pPr>
    </w:p>
    <w:p>
      <w:pPr>
        <w:pStyle w:val="Heading5"/>
        <w:spacing w:line="468" w:lineRule="auto" w:before="1"/>
        <w:ind w:right="228"/>
      </w:pPr>
      <w:r>
        <w:rPr/>
        <w:t>El canal rojo arroja los mejores resultados para todas las funciones, lo que coincide con lo reportado en la literatura y por el fabricante. </w:t>
      </w:r>
      <w:r>
        <w:rPr>
          <w:spacing w:val="-6"/>
        </w:rPr>
        <w:t>La </w:t>
      </w:r>
      <w:r>
        <w:rPr/>
        <w:t>función polinómica de tercer grado es la  que mejor se ajusta a los datos, la cual es de la forma </w:t>
      </w:r>
      <w:r>
        <w:rPr>
          <w:i/>
        </w:rPr>
        <w:t>y=2.4875x</w:t>
      </w:r>
      <w:r>
        <w:rPr>
          <w:i/>
          <w:position w:val="11"/>
          <w:sz w:val="16"/>
        </w:rPr>
        <w:t>3</w:t>
      </w:r>
      <w:r>
        <w:rPr>
          <w:i/>
        </w:rPr>
        <w:t>+12.082x</w:t>
      </w:r>
      <w:r>
        <w:rPr>
          <w:i/>
          <w:position w:val="11"/>
          <w:sz w:val="16"/>
        </w:rPr>
        <w:t>2</w:t>
      </w:r>
      <w:r>
        <w:rPr>
          <w:i/>
        </w:rPr>
        <w:t>+6.2416x </w:t>
      </w:r>
      <w:r>
        <w:rPr/>
        <w:t>(</w:t>
      </w:r>
      <w:hyperlink w:history="true" w:anchor="_bookmark103">
        <w:r>
          <w:rPr>
            <w:b/>
          </w:rPr>
          <w:t>Figura 2</w:t>
        </w:r>
      </w:hyperlink>
      <w:r>
        <w:rPr/>
        <w:t>). El ajuste racional es de la forma </w:t>
      </w:r>
      <w:r>
        <w:rPr>
          <w:i/>
        </w:rPr>
        <w:t>y=-8.3071-9.2/(x-1.1133)</w:t>
      </w:r>
      <w:r>
        <w:rPr/>
        <w:t>, el cual es bastante preciso, y tiene la ventaja de que requiere un menor número de puntos para su caracterización, típicamente</w:t>
      </w:r>
      <w:r>
        <w:rPr>
          <w:position w:val="11"/>
          <w:sz w:val="16"/>
        </w:rPr>
        <w:t>10 </w:t>
      </w:r>
      <w:r>
        <w:rPr/>
        <w:t>entre 6 y</w:t>
      </w:r>
      <w:r>
        <w:rPr>
          <w:spacing w:val="-2"/>
        </w:rPr>
        <w:t> </w:t>
      </w:r>
      <w:r>
        <w:rPr/>
        <w:t>7.</w:t>
      </w:r>
    </w:p>
    <w:p>
      <w:pPr>
        <w:pStyle w:val="BodyText"/>
        <w:spacing w:before="10"/>
        <w:rPr>
          <w:rFonts w:ascii="Times New Roman"/>
          <w:sz w:val="23"/>
        </w:rPr>
      </w:pPr>
    </w:p>
    <w:p>
      <w:pPr>
        <w:spacing w:before="0"/>
        <w:ind w:left="454" w:right="597" w:firstLine="0"/>
        <w:jc w:val="center"/>
        <w:rPr>
          <w:rFonts w:ascii="Times New Roman"/>
          <w:b/>
          <w:sz w:val="24"/>
        </w:rPr>
      </w:pPr>
      <w:r>
        <w:rPr>
          <w:rFonts w:ascii="Times New Roman"/>
          <w:b/>
          <w:sz w:val="24"/>
        </w:rPr>
        <w:t>INSERTAR FIGURA 2</w:t>
      </w:r>
    </w:p>
    <w:p>
      <w:pPr>
        <w:spacing w:after="0"/>
        <w:jc w:val="center"/>
        <w:rPr>
          <w:rFonts w:ascii="Times New Roman"/>
          <w:sz w:val="24"/>
        </w:rPr>
        <w:sectPr>
          <w:pgSz w:w="12240" w:h="15840"/>
          <w:pgMar w:header="0" w:footer="1046" w:top="1360" w:bottom="1240" w:left="1600" w:right="1460"/>
        </w:sectPr>
      </w:pPr>
    </w:p>
    <w:p>
      <w:pPr>
        <w:spacing w:before="45"/>
        <w:ind w:left="278" w:right="400" w:firstLine="0"/>
        <w:jc w:val="center"/>
        <w:rPr>
          <w:rFonts w:ascii="Times New Roman" w:hAnsi="Times New Roman"/>
          <w:sz w:val="20"/>
        </w:rPr>
      </w:pPr>
      <w:bookmarkStart w:name="_bookmark103" w:id="157"/>
      <w:bookmarkEnd w:id="157"/>
      <w:r>
        <w:rPr/>
      </w:r>
      <w:r>
        <w:rPr>
          <w:rFonts w:ascii="Times New Roman" w:hAnsi="Times New Roman"/>
          <w:b/>
          <w:sz w:val="20"/>
        </w:rPr>
        <w:t>Figura 2</w:t>
      </w:r>
      <w:r>
        <w:rPr>
          <w:rFonts w:ascii="Times New Roman" w:hAnsi="Times New Roman"/>
          <w:sz w:val="20"/>
        </w:rPr>
        <w:t>. Curva de calibración de las películas radiocrómicas EBT3.</w:t>
      </w:r>
    </w:p>
    <w:p>
      <w:pPr>
        <w:pStyle w:val="BodyText"/>
        <w:spacing w:before="10"/>
        <w:rPr>
          <w:rFonts w:ascii="Times New Roman"/>
          <w:sz w:val="19"/>
        </w:rPr>
      </w:pPr>
    </w:p>
    <w:p>
      <w:pPr>
        <w:pStyle w:val="Heading5"/>
        <w:spacing w:line="458" w:lineRule="auto"/>
        <w:ind w:right="212" w:firstLine="240"/>
        <w:jc w:val="left"/>
      </w:pPr>
      <w:r>
        <w:rPr/>
        <w:t>El análisis de incertidumbre para la función de calibración de tercer grado se realizó de acuerdo al método propuesto por </w:t>
      </w:r>
      <w:r>
        <w:rPr>
          <w:i/>
        </w:rPr>
        <w:t>Devic et al</w:t>
      </w:r>
      <w:r>
        <w:rPr>
          <w:i/>
          <w:position w:val="11"/>
          <w:sz w:val="16"/>
        </w:rPr>
        <w:t>8</w:t>
      </w:r>
      <w:r>
        <w:rPr/>
        <w:t>, el cual considera que la incertidumbre total de la dosis tiene dos componentes; la incertidumbre experimental inherente </w:t>
      </w:r>
      <w:r>
        <w:rPr>
          <w:rFonts w:ascii="Symbol" w:hAnsi="Symbol"/>
          <w:i/>
          <w:position w:val="2"/>
          <w:sz w:val="27"/>
        </w:rPr>
        <w:t></w:t>
      </w:r>
      <w:r>
        <w:rPr>
          <w:i/>
          <w:position w:val="2"/>
          <w:sz w:val="27"/>
        </w:rPr>
        <w:t> </w:t>
      </w:r>
      <w:r>
        <w:rPr>
          <w:position w:val="-2"/>
          <w:sz w:val="14"/>
        </w:rPr>
        <w:t>exp </w:t>
      </w:r>
      <w:r>
        <w:rPr>
          <w:position w:val="1"/>
        </w:rPr>
        <w:t>y la incertidumbre debida a la función de ajuste y sus parámetros </w:t>
      </w:r>
      <w:r>
        <w:rPr>
          <w:rFonts w:ascii="Symbol" w:hAnsi="Symbol"/>
          <w:i/>
        </w:rPr>
        <w:t></w:t>
      </w:r>
      <w:r>
        <w:rPr>
          <w:i/>
        </w:rPr>
        <w:t> </w:t>
      </w:r>
      <w:r>
        <w:rPr>
          <w:i/>
          <w:position w:val="-3"/>
          <w:sz w:val="12"/>
        </w:rPr>
        <w:t>ajuste </w:t>
      </w:r>
      <w:r>
        <w:rPr>
          <w:position w:val="1"/>
        </w:rPr>
        <w:t>. </w:t>
      </w:r>
      <w:r>
        <w:rPr>
          <w:spacing w:val="-3"/>
          <w:position w:val="1"/>
        </w:rPr>
        <w:t>Los </w:t>
      </w:r>
      <w:r>
        <w:rPr>
          <w:position w:val="1"/>
        </w:rPr>
        <w:t>resultados para </w:t>
      </w:r>
      <w:r>
        <w:rPr>
          <w:spacing w:val="50"/>
          <w:position w:val="1"/>
        </w:rPr>
        <w:t> </w:t>
      </w:r>
      <w:r>
        <w:rPr>
          <w:position w:val="1"/>
        </w:rPr>
        <w:t>los</w:t>
      </w:r>
    </w:p>
    <w:p>
      <w:pPr>
        <w:spacing w:before="34"/>
        <w:ind w:left="104" w:right="0" w:firstLine="0"/>
        <w:jc w:val="both"/>
        <w:rPr>
          <w:rFonts w:ascii="Times New Roman"/>
          <w:b/>
          <w:sz w:val="24"/>
        </w:rPr>
      </w:pPr>
      <w:r>
        <w:rPr>
          <w:rFonts w:ascii="Times New Roman"/>
          <w:sz w:val="24"/>
        </w:rPr>
        <w:t>niveles de dosis impartidos se muestran en la </w:t>
      </w:r>
      <w:hyperlink w:history="true" w:anchor="_bookmark104">
        <w:r>
          <w:rPr>
            <w:rFonts w:ascii="Times New Roman"/>
            <w:b/>
            <w:sz w:val="24"/>
          </w:rPr>
          <w:t>Figura 3</w:t>
        </w:r>
      </w:hyperlink>
      <w:r>
        <w:rPr>
          <w:rFonts w:ascii="Times New Roman"/>
          <w:b/>
          <w:sz w:val="24"/>
        </w:rPr>
        <w:t>.</w:t>
      </w:r>
    </w:p>
    <w:p>
      <w:pPr>
        <w:pStyle w:val="BodyText"/>
        <w:spacing w:before="5"/>
        <w:rPr>
          <w:rFonts w:ascii="Times New Roman"/>
          <w:b/>
          <w:sz w:val="26"/>
        </w:rPr>
      </w:pPr>
    </w:p>
    <w:p>
      <w:pPr>
        <w:spacing w:before="0"/>
        <w:ind w:left="278" w:right="401" w:firstLine="0"/>
        <w:jc w:val="center"/>
        <w:rPr>
          <w:rFonts w:ascii="Times New Roman"/>
          <w:b/>
          <w:sz w:val="24"/>
        </w:rPr>
      </w:pPr>
      <w:r>
        <w:rPr>
          <w:rFonts w:ascii="Times New Roman"/>
          <w:b/>
          <w:sz w:val="24"/>
        </w:rPr>
        <w:t>INSERTAR FIGURA 3</w:t>
      </w:r>
    </w:p>
    <w:p>
      <w:pPr>
        <w:pStyle w:val="BodyText"/>
        <w:spacing w:before="1"/>
        <w:rPr>
          <w:rFonts w:ascii="Times New Roman"/>
          <w:b/>
          <w:sz w:val="23"/>
        </w:rPr>
      </w:pPr>
    </w:p>
    <w:p>
      <w:pPr>
        <w:spacing w:line="276" w:lineRule="auto" w:before="0"/>
        <w:ind w:left="278" w:right="404" w:firstLine="0"/>
        <w:jc w:val="center"/>
        <w:rPr>
          <w:rFonts w:ascii="Times New Roman" w:hAnsi="Times New Roman"/>
          <w:sz w:val="20"/>
        </w:rPr>
      </w:pPr>
      <w:bookmarkStart w:name="_bookmark104" w:id="158"/>
      <w:bookmarkEnd w:id="158"/>
      <w:r>
        <w:rPr/>
      </w:r>
      <w:r>
        <w:rPr>
          <w:rFonts w:ascii="Times New Roman" w:hAnsi="Times New Roman"/>
          <w:b/>
          <w:sz w:val="20"/>
        </w:rPr>
        <w:t>Figura 3</w:t>
      </w:r>
      <w:r>
        <w:rPr>
          <w:rFonts w:ascii="Times New Roman" w:hAnsi="Times New Roman"/>
          <w:sz w:val="20"/>
        </w:rPr>
        <w:t>. Incertidumbre experimental, del ajuste y total para la curva de calibración de las películas radiocrómicas EBT3.</w:t>
      </w:r>
    </w:p>
    <w:p>
      <w:pPr>
        <w:pStyle w:val="BodyText"/>
        <w:spacing w:before="11"/>
        <w:rPr>
          <w:rFonts w:ascii="Times New Roman"/>
          <w:sz w:val="16"/>
        </w:rPr>
      </w:pPr>
    </w:p>
    <w:p>
      <w:pPr>
        <w:pStyle w:val="Heading5"/>
        <w:spacing w:line="472" w:lineRule="auto"/>
        <w:ind w:right="210"/>
      </w:pPr>
      <w:r>
        <w:rPr>
          <w:spacing w:val="-4"/>
        </w:rPr>
        <w:t>La </w:t>
      </w:r>
      <w:r>
        <w:rPr/>
        <w:t>incertidumbre total aumenta con la dosis, siendo que la incertidumbre </w:t>
      </w:r>
      <w:r>
        <w:rPr>
          <w:spacing w:val="-3"/>
        </w:rPr>
        <w:t>del </w:t>
      </w:r>
      <w:r>
        <w:rPr/>
        <w:t>ajuste polinómico tiene una mayor influencia que el ajuste experimental. En promedio, por debajo de 2 Gy se obtuvo una incerteza total </w:t>
      </w:r>
      <w:r>
        <w:rPr>
          <w:spacing w:val="-3"/>
        </w:rPr>
        <w:t>de </w:t>
      </w:r>
      <w:r>
        <w:rPr/>
        <w:t>4.14 %, lo cual coincide con lo reportado por  </w:t>
      </w:r>
      <w:r>
        <w:rPr>
          <w:i/>
        </w:rPr>
        <w:t>Devic et al, </w:t>
      </w:r>
      <w:r>
        <w:rPr/>
        <w:t>en donde la inceteza total se encontró entre 3 y 5 % para peliculas radiocromicas</w:t>
      </w:r>
      <w:r>
        <w:rPr>
          <w:spacing w:val="-9"/>
        </w:rPr>
        <w:t> </w:t>
      </w:r>
      <w:r>
        <w:rPr/>
        <w:t>EBT</w:t>
      </w:r>
      <w:r>
        <w:rPr>
          <w:position w:val="11"/>
          <w:sz w:val="16"/>
        </w:rPr>
        <w:t>8</w:t>
      </w:r>
      <w:r>
        <w:rPr/>
        <w:t>.</w:t>
      </w:r>
    </w:p>
    <w:p>
      <w:pPr>
        <w:pStyle w:val="BodyText"/>
        <w:rPr>
          <w:rFonts w:ascii="Times New Roman"/>
          <w:sz w:val="28"/>
        </w:rPr>
      </w:pPr>
    </w:p>
    <w:p>
      <w:pPr>
        <w:pStyle w:val="ListParagraph"/>
        <w:numPr>
          <w:ilvl w:val="1"/>
          <w:numId w:val="12"/>
        </w:numPr>
        <w:tabs>
          <w:tab w:pos="893" w:val="left" w:leader="none"/>
        </w:tabs>
        <w:spacing w:line="240" w:lineRule="auto" w:before="191" w:after="0"/>
        <w:ind w:left="893" w:right="0" w:hanging="433"/>
        <w:jc w:val="left"/>
        <w:rPr>
          <w:rFonts w:ascii="Times New Roman" w:hAnsi="Times New Roman"/>
          <w:b/>
          <w:sz w:val="24"/>
        </w:rPr>
      </w:pPr>
      <w:r>
        <w:rPr>
          <w:rFonts w:ascii="Times New Roman" w:hAnsi="Times New Roman"/>
          <w:b/>
          <w:sz w:val="24"/>
        </w:rPr>
        <w:t>Verificación </w:t>
      </w:r>
      <w:r>
        <w:rPr>
          <w:rFonts w:ascii="Times New Roman" w:hAnsi="Times New Roman"/>
          <w:b/>
          <w:spacing w:val="-3"/>
          <w:sz w:val="24"/>
        </w:rPr>
        <w:t>de </w:t>
      </w:r>
      <w:r>
        <w:rPr>
          <w:rFonts w:ascii="Times New Roman" w:hAnsi="Times New Roman"/>
          <w:b/>
          <w:sz w:val="24"/>
        </w:rPr>
        <w:t>la dosis</w:t>
      </w:r>
      <w:r>
        <w:rPr>
          <w:rFonts w:ascii="Times New Roman" w:hAnsi="Times New Roman"/>
          <w:b/>
          <w:spacing w:val="-8"/>
          <w:sz w:val="24"/>
        </w:rPr>
        <w:t> </w:t>
      </w:r>
      <w:r>
        <w:rPr>
          <w:rFonts w:ascii="Times New Roman" w:hAnsi="Times New Roman"/>
          <w:b/>
          <w:sz w:val="24"/>
        </w:rPr>
        <w:t>puntual</w:t>
      </w:r>
    </w:p>
    <w:p>
      <w:pPr>
        <w:pStyle w:val="BodyText"/>
        <w:spacing w:before="3"/>
        <w:rPr>
          <w:rFonts w:ascii="Times New Roman"/>
          <w:b/>
          <w:sz w:val="23"/>
        </w:rPr>
      </w:pPr>
    </w:p>
    <w:p>
      <w:pPr>
        <w:spacing w:line="468" w:lineRule="auto" w:before="0"/>
        <w:ind w:left="104" w:right="217" w:firstLine="0"/>
        <w:jc w:val="both"/>
        <w:rPr>
          <w:rFonts w:ascii="Times New Roman" w:hAnsi="Times New Roman"/>
          <w:sz w:val="24"/>
        </w:rPr>
      </w:pPr>
      <w:r>
        <w:rPr>
          <w:rFonts w:ascii="Times New Roman" w:hAnsi="Times New Roman"/>
          <w:sz w:val="24"/>
        </w:rPr>
        <w:t>En la </w:t>
      </w:r>
      <w:hyperlink w:history="true" w:anchor="_bookmark105">
        <w:r>
          <w:rPr>
            <w:rFonts w:ascii="Times New Roman" w:hAnsi="Times New Roman"/>
            <w:b/>
            <w:sz w:val="24"/>
          </w:rPr>
          <w:t>Figura 4</w:t>
        </w:r>
      </w:hyperlink>
      <w:r>
        <w:rPr>
          <w:rFonts w:ascii="Times New Roman" w:hAnsi="Times New Roman"/>
          <w:b/>
          <w:sz w:val="24"/>
        </w:rPr>
        <w:t> </w:t>
      </w:r>
      <w:r>
        <w:rPr>
          <w:rFonts w:ascii="Times New Roman" w:hAnsi="Times New Roman"/>
          <w:sz w:val="24"/>
        </w:rPr>
        <w:t>se muestra la diferencia porcentual entre los valores de dosis en un punto calculados con el sistema de planeación y los medidos con la cámara de ionización. La diferencia promedio fue de -0.1 %, con una desviación estándar de ±3.09 %. En general se observan variaciones aceptables entre la dosis medida y la calculada, de acuerdo a lo observado por diversos autores</w:t>
      </w:r>
      <w:r>
        <w:rPr>
          <w:rFonts w:ascii="Times New Roman" w:hAnsi="Times New Roman"/>
          <w:position w:val="11"/>
          <w:sz w:val="16"/>
        </w:rPr>
        <w:t>13,14</w:t>
      </w:r>
      <w:r>
        <w:rPr>
          <w:rFonts w:ascii="Times New Roman" w:hAnsi="Times New Roman"/>
          <w:sz w:val="24"/>
        </w:rPr>
        <w:t>. Las diferencias mayores pueden deberse al volumen de la cámara y a su posicionamiento en regiones de penumbra y alto gradiente</w:t>
      </w:r>
      <w:r>
        <w:rPr>
          <w:rFonts w:ascii="Times New Roman" w:hAnsi="Times New Roman"/>
          <w:position w:val="11"/>
          <w:sz w:val="16"/>
        </w:rPr>
        <w:t>14,15</w:t>
      </w:r>
      <w:r>
        <w:rPr>
          <w:rFonts w:ascii="Times New Roman" w:hAnsi="Times New Roman"/>
          <w:sz w:val="24"/>
        </w:rPr>
        <w:t>.</w:t>
      </w:r>
    </w:p>
    <w:p>
      <w:pPr>
        <w:spacing w:line="243" w:lineRule="exact" w:before="0"/>
        <w:ind w:left="278" w:right="401" w:firstLine="0"/>
        <w:jc w:val="center"/>
        <w:rPr>
          <w:rFonts w:ascii="Times New Roman"/>
          <w:b/>
          <w:sz w:val="24"/>
        </w:rPr>
      </w:pPr>
      <w:r>
        <w:rPr>
          <w:rFonts w:ascii="Times New Roman"/>
          <w:b/>
          <w:sz w:val="24"/>
        </w:rPr>
        <w:t>INSERTAR FIGURA 4</w:t>
      </w:r>
    </w:p>
    <w:p>
      <w:pPr>
        <w:pStyle w:val="BodyText"/>
        <w:spacing w:before="9"/>
        <w:rPr>
          <w:rFonts w:ascii="Times New Roman"/>
          <w:b/>
          <w:sz w:val="23"/>
        </w:rPr>
      </w:pPr>
    </w:p>
    <w:p>
      <w:pPr>
        <w:spacing w:before="0"/>
        <w:ind w:left="278" w:right="410" w:firstLine="0"/>
        <w:jc w:val="center"/>
        <w:rPr>
          <w:rFonts w:ascii="Times New Roman" w:hAnsi="Times New Roman"/>
          <w:sz w:val="20"/>
        </w:rPr>
      </w:pPr>
      <w:bookmarkStart w:name="_bookmark105" w:id="159"/>
      <w:bookmarkEnd w:id="159"/>
      <w:r>
        <w:rPr/>
      </w:r>
      <w:r>
        <w:rPr>
          <w:rFonts w:ascii="Times New Roman" w:hAnsi="Times New Roman"/>
          <w:b/>
          <w:sz w:val="20"/>
        </w:rPr>
        <w:t>Figura 4</w:t>
      </w:r>
      <w:r>
        <w:rPr>
          <w:rFonts w:ascii="Times New Roman" w:hAnsi="Times New Roman"/>
          <w:sz w:val="20"/>
        </w:rPr>
        <w:t>. Porcentaje de diferencia entre la dosis calculada por el sistema de planeación y la dosis medida</w:t>
      </w:r>
    </w:p>
    <w:p>
      <w:pPr>
        <w:spacing w:after="0"/>
        <w:jc w:val="center"/>
        <w:rPr>
          <w:rFonts w:ascii="Times New Roman" w:hAnsi="Times New Roman"/>
          <w:sz w:val="20"/>
        </w:rPr>
        <w:sectPr>
          <w:footerReference w:type="default" r:id="rId66"/>
          <w:pgSz w:w="12240" w:h="15840"/>
          <w:pgMar w:footer="1046" w:header="0" w:top="1360" w:bottom="1240" w:left="1600" w:right="1480"/>
          <w:pgNumType w:start="9"/>
        </w:sectPr>
      </w:pPr>
    </w:p>
    <w:p>
      <w:pPr>
        <w:pStyle w:val="BodyText"/>
        <w:rPr>
          <w:rFonts w:ascii="Times New Roman"/>
          <w:sz w:val="20"/>
        </w:rPr>
      </w:pPr>
    </w:p>
    <w:p>
      <w:pPr>
        <w:pStyle w:val="BodyText"/>
        <w:spacing w:before="8"/>
        <w:rPr>
          <w:rFonts w:ascii="Times New Roman"/>
          <w:sz w:val="20"/>
        </w:rPr>
      </w:pPr>
    </w:p>
    <w:p>
      <w:pPr>
        <w:pStyle w:val="Heading4"/>
        <w:numPr>
          <w:ilvl w:val="0"/>
          <w:numId w:val="12"/>
        </w:numPr>
        <w:tabs>
          <w:tab w:pos="465" w:val="left" w:leader="none"/>
        </w:tabs>
        <w:spacing w:line="240" w:lineRule="auto" w:before="0" w:after="0"/>
        <w:ind w:left="464" w:right="0" w:hanging="360"/>
        <w:jc w:val="both"/>
      </w:pPr>
      <w:r>
        <w:rPr/>
        <w:t>Análisis </w:t>
      </w:r>
      <w:r>
        <w:rPr>
          <w:spacing w:val="-3"/>
        </w:rPr>
        <w:t>de </w:t>
      </w:r>
      <w:r>
        <w:rPr/>
        <w:t>distribución </w:t>
      </w:r>
      <w:r>
        <w:rPr>
          <w:spacing w:val="-3"/>
        </w:rPr>
        <w:t>de </w:t>
      </w:r>
      <w:r>
        <w:rPr/>
        <w:t>dosis; índice gamma</w:t>
      </w:r>
      <w:r>
        <w:rPr>
          <w:spacing w:val="-4"/>
        </w:rPr>
        <w:t> </w:t>
      </w:r>
      <w:r>
        <w:rPr/>
        <w:t>(</w:t>
      </w:r>
      <w:r>
        <w:rPr>
          <w:rFonts w:ascii="Calibri" w:hAnsi="Calibri"/>
        </w:rPr>
        <w:t>γ</w:t>
      </w:r>
      <w:r>
        <w:rPr/>
        <w:t>)</w:t>
      </w:r>
    </w:p>
    <w:p>
      <w:pPr>
        <w:pStyle w:val="BodyText"/>
        <w:spacing w:before="4"/>
        <w:rPr>
          <w:rFonts w:ascii="Times New Roman"/>
          <w:b/>
          <w:sz w:val="25"/>
        </w:rPr>
      </w:pPr>
    </w:p>
    <w:p>
      <w:pPr>
        <w:pStyle w:val="ListParagraph"/>
        <w:numPr>
          <w:ilvl w:val="1"/>
          <w:numId w:val="12"/>
        </w:numPr>
        <w:tabs>
          <w:tab w:pos="893" w:val="left" w:leader="none"/>
        </w:tabs>
        <w:spacing w:line="240" w:lineRule="auto" w:before="0" w:after="0"/>
        <w:ind w:left="893" w:right="0" w:hanging="433"/>
        <w:jc w:val="left"/>
        <w:rPr>
          <w:rFonts w:ascii="Times New Roman" w:hAnsi="Times New Roman"/>
          <w:b/>
          <w:sz w:val="24"/>
        </w:rPr>
      </w:pPr>
      <w:r>
        <w:rPr>
          <w:rFonts w:ascii="Times New Roman" w:hAnsi="Times New Roman"/>
          <w:b/>
          <w:sz w:val="24"/>
        </w:rPr>
        <w:t>Películas</w:t>
      </w:r>
      <w:r>
        <w:rPr>
          <w:rFonts w:ascii="Times New Roman" w:hAnsi="Times New Roman"/>
          <w:b/>
          <w:spacing w:val="-20"/>
          <w:sz w:val="24"/>
        </w:rPr>
        <w:t> </w:t>
      </w:r>
      <w:r>
        <w:rPr>
          <w:rFonts w:ascii="Times New Roman" w:hAnsi="Times New Roman"/>
          <w:b/>
          <w:sz w:val="24"/>
        </w:rPr>
        <w:t>radiocrómicas</w:t>
      </w:r>
    </w:p>
    <w:p>
      <w:pPr>
        <w:pStyle w:val="BodyText"/>
        <w:spacing w:before="3"/>
        <w:rPr>
          <w:rFonts w:ascii="Times New Roman"/>
          <w:b/>
          <w:sz w:val="23"/>
        </w:rPr>
      </w:pPr>
    </w:p>
    <w:p>
      <w:pPr>
        <w:pStyle w:val="Heading5"/>
        <w:spacing w:line="477" w:lineRule="auto" w:before="1"/>
        <w:ind w:right="247"/>
      </w:pPr>
      <w:r>
        <w:rPr/>
        <w:t>En la </w:t>
      </w:r>
      <w:hyperlink w:history="true" w:anchor="_bookmark106">
        <w:r>
          <w:rPr>
            <w:b/>
          </w:rPr>
          <w:t>Figura 5</w:t>
        </w:r>
      </w:hyperlink>
      <w:r>
        <w:rPr>
          <w:b/>
        </w:rPr>
        <w:t> </w:t>
      </w:r>
      <w:r>
        <w:rPr/>
        <w:t>se muestra una gráfica del porcentaje de puntos que cumplen con el criterio de aceptación, para los tres criterios del índice gamma analizados.</w:t>
      </w:r>
    </w:p>
    <w:p>
      <w:pPr>
        <w:spacing w:before="29"/>
        <w:ind w:left="454" w:right="597" w:firstLine="0"/>
        <w:jc w:val="center"/>
        <w:rPr>
          <w:rFonts w:ascii="Times New Roman"/>
          <w:b/>
          <w:sz w:val="24"/>
        </w:rPr>
      </w:pPr>
      <w:r>
        <w:rPr>
          <w:rFonts w:ascii="Times New Roman"/>
          <w:b/>
          <w:sz w:val="24"/>
        </w:rPr>
        <w:t>INSERTAR FIGURA 5</w:t>
      </w:r>
    </w:p>
    <w:p>
      <w:pPr>
        <w:pStyle w:val="BodyText"/>
        <w:spacing w:before="4"/>
        <w:rPr>
          <w:rFonts w:ascii="Times New Roman"/>
          <w:b/>
          <w:sz w:val="23"/>
        </w:rPr>
      </w:pPr>
    </w:p>
    <w:p>
      <w:pPr>
        <w:spacing w:line="280" w:lineRule="auto" w:before="1"/>
        <w:ind w:left="450" w:right="601" w:firstLine="0"/>
        <w:jc w:val="center"/>
        <w:rPr>
          <w:rFonts w:ascii="Times New Roman" w:hAnsi="Times New Roman"/>
          <w:sz w:val="20"/>
        </w:rPr>
      </w:pPr>
      <w:bookmarkStart w:name="_bookmark106" w:id="160"/>
      <w:bookmarkEnd w:id="160"/>
      <w:r>
        <w:rPr/>
      </w:r>
      <w:r>
        <w:rPr>
          <w:rFonts w:ascii="Times New Roman" w:hAnsi="Times New Roman"/>
          <w:b/>
          <w:sz w:val="20"/>
        </w:rPr>
        <w:t>Figura 5</w:t>
      </w:r>
      <w:r>
        <w:rPr>
          <w:rFonts w:ascii="Times New Roman" w:hAnsi="Times New Roman"/>
          <w:sz w:val="20"/>
        </w:rPr>
        <w:t>. Porcentaje de puntos con γ&lt;1 para criterios de 3%/3 mm, 4%/3 mm, y 5%/3 mm, películas radiocrómicas</w:t>
      </w:r>
    </w:p>
    <w:p>
      <w:pPr>
        <w:pStyle w:val="Heading5"/>
        <w:spacing w:line="465" w:lineRule="auto" w:before="156"/>
        <w:ind w:right="238"/>
      </w:pPr>
      <w:r>
        <w:rPr/>
        <w:t>Utilizando el criterio de aceptación de 3%/3 mm</w:t>
      </w:r>
      <w:r>
        <w:rPr>
          <w:position w:val="11"/>
          <w:sz w:val="16"/>
        </w:rPr>
        <w:t>6</w:t>
      </w:r>
      <w:r>
        <w:rPr/>
        <w:t>, se tienen resultados con un γ&lt;1 mayores al 90% de los puntos evaluados en todas las distribuciones, con un promedio de 97%. La bibliografía reporta resultados similares</w:t>
      </w:r>
      <w:r>
        <w:rPr>
          <w:position w:val="11"/>
          <w:sz w:val="16"/>
        </w:rPr>
        <w:t>11,16</w:t>
      </w:r>
      <w:r>
        <w:rPr/>
        <w:t>.</w:t>
      </w:r>
    </w:p>
    <w:p>
      <w:pPr>
        <w:spacing w:line="242" w:lineRule="exact" w:before="0"/>
        <w:ind w:left="104" w:right="0" w:firstLine="0"/>
        <w:jc w:val="both"/>
        <w:rPr>
          <w:rFonts w:ascii="Times New Roman" w:hAnsi="Times New Roman"/>
          <w:sz w:val="24"/>
        </w:rPr>
      </w:pPr>
      <w:r>
        <w:rPr>
          <w:rFonts w:ascii="Times New Roman" w:hAnsi="Times New Roman"/>
          <w:sz w:val="24"/>
        </w:rPr>
        <w:t>Criterios  de  aceptación  diferentes  del  índice  gamma</w:t>
      </w:r>
      <w:r>
        <w:rPr>
          <w:rFonts w:ascii="Times New Roman" w:hAnsi="Times New Roman"/>
          <w:position w:val="11"/>
          <w:sz w:val="16"/>
        </w:rPr>
        <w:t>17,18   </w:t>
      </w:r>
      <w:r>
        <w:rPr>
          <w:rFonts w:ascii="Times New Roman" w:hAnsi="Times New Roman"/>
          <w:sz w:val="24"/>
        </w:rPr>
        <w:t>también  son  utilizados  en  el</w:t>
      </w:r>
    </w:p>
    <w:p>
      <w:pPr>
        <w:pStyle w:val="BodyText"/>
        <w:spacing w:before="8"/>
        <w:rPr>
          <w:rFonts w:ascii="Times New Roman"/>
          <w:sz w:val="23"/>
        </w:rPr>
      </w:pPr>
    </w:p>
    <w:p>
      <w:pPr>
        <w:spacing w:line="480" w:lineRule="auto" w:before="0"/>
        <w:ind w:left="104" w:right="231" w:firstLine="0"/>
        <w:jc w:val="both"/>
        <w:rPr>
          <w:rFonts w:ascii="Times New Roman" w:hAnsi="Times New Roman"/>
          <w:sz w:val="24"/>
        </w:rPr>
      </w:pPr>
      <w:r>
        <w:rPr>
          <w:rFonts w:ascii="Times New Roman" w:hAnsi="Times New Roman"/>
          <w:sz w:val="24"/>
        </w:rPr>
        <w:t>análisis de distribución de dosis, tales como 5%/2-3 mm. Sin embargo, los resultados indican que con el criterio de 3%/3 mm se cumplen con los estándares aceptados internacionalmente.</w:t>
      </w:r>
    </w:p>
    <w:p>
      <w:pPr>
        <w:pStyle w:val="BodyText"/>
        <w:rPr>
          <w:rFonts w:ascii="Times New Roman"/>
          <w:sz w:val="24"/>
        </w:rPr>
      </w:pPr>
    </w:p>
    <w:p>
      <w:pPr>
        <w:pStyle w:val="BodyText"/>
        <w:spacing w:before="7"/>
        <w:rPr>
          <w:rFonts w:ascii="Times New Roman"/>
          <w:sz w:val="26"/>
        </w:rPr>
      </w:pPr>
    </w:p>
    <w:p>
      <w:pPr>
        <w:pStyle w:val="ListParagraph"/>
        <w:numPr>
          <w:ilvl w:val="1"/>
          <w:numId w:val="12"/>
        </w:numPr>
        <w:tabs>
          <w:tab w:pos="893" w:val="left" w:leader="none"/>
        </w:tabs>
        <w:spacing w:line="240" w:lineRule="auto" w:before="1" w:after="0"/>
        <w:ind w:left="893" w:right="0" w:hanging="433"/>
        <w:jc w:val="left"/>
        <w:rPr>
          <w:rFonts w:ascii="Times New Roman" w:hAnsi="Times New Roman"/>
          <w:b/>
          <w:sz w:val="24"/>
        </w:rPr>
      </w:pPr>
      <w:r>
        <w:rPr>
          <w:rFonts w:ascii="Times New Roman" w:hAnsi="Times New Roman"/>
          <w:b/>
          <w:sz w:val="24"/>
        </w:rPr>
        <w:t>Películas</w:t>
      </w:r>
      <w:r>
        <w:rPr>
          <w:rFonts w:ascii="Times New Roman" w:hAnsi="Times New Roman"/>
          <w:b/>
          <w:spacing w:val="-12"/>
          <w:sz w:val="24"/>
        </w:rPr>
        <w:t> </w:t>
      </w:r>
      <w:r>
        <w:rPr>
          <w:rFonts w:ascii="Times New Roman" w:hAnsi="Times New Roman"/>
          <w:b/>
          <w:sz w:val="24"/>
        </w:rPr>
        <w:t>radiográficas</w:t>
      </w:r>
    </w:p>
    <w:p>
      <w:pPr>
        <w:pStyle w:val="BodyText"/>
        <w:spacing w:before="10"/>
        <w:rPr>
          <w:rFonts w:ascii="Times New Roman"/>
          <w:b/>
        </w:rPr>
      </w:pPr>
    </w:p>
    <w:p>
      <w:pPr>
        <w:spacing w:line="480" w:lineRule="auto" w:before="1"/>
        <w:ind w:left="104" w:right="247" w:firstLine="0"/>
        <w:jc w:val="both"/>
        <w:rPr>
          <w:rFonts w:ascii="Times New Roman" w:hAnsi="Times New Roman"/>
          <w:sz w:val="24"/>
        </w:rPr>
      </w:pPr>
      <w:r>
        <w:rPr>
          <w:rFonts w:ascii="Times New Roman" w:hAnsi="Times New Roman"/>
          <w:sz w:val="24"/>
        </w:rPr>
        <w:t>En la </w:t>
      </w:r>
      <w:hyperlink w:history="true" w:anchor="_bookmark107">
        <w:r>
          <w:rPr>
            <w:rFonts w:ascii="Times New Roman" w:hAnsi="Times New Roman"/>
            <w:b/>
            <w:sz w:val="24"/>
          </w:rPr>
          <w:t>Figura 6</w:t>
        </w:r>
      </w:hyperlink>
      <w:r>
        <w:rPr>
          <w:rFonts w:ascii="Times New Roman" w:hAnsi="Times New Roman"/>
          <w:b/>
          <w:sz w:val="24"/>
        </w:rPr>
        <w:t> </w:t>
      </w:r>
      <w:r>
        <w:rPr>
          <w:rFonts w:ascii="Times New Roman" w:hAnsi="Times New Roman"/>
          <w:sz w:val="24"/>
        </w:rPr>
        <w:t>se muestran los resultados del análisis gamma para cada uno de los tres criterios en el caso de las películas radiográficas.</w:t>
      </w:r>
    </w:p>
    <w:p>
      <w:pPr>
        <w:spacing w:before="30"/>
        <w:ind w:left="454" w:right="597" w:firstLine="0"/>
        <w:jc w:val="center"/>
        <w:rPr>
          <w:rFonts w:ascii="Times New Roman"/>
          <w:b/>
          <w:sz w:val="24"/>
        </w:rPr>
      </w:pPr>
      <w:r>
        <w:rPr>
          <w:rFonts w:ascii="Times New Roman"/>
          <w:b/>
          <w:sz w:val="24"/>
        </w:rPr>
        <w:t>INSERTAR FIGURA 6</w:t>
      </w:r>
    </w:p>
    <w:p>
      <w:pPr>
        <w:pStyle w:val="BodyText"/>
        <w:spacing w:before="4"/>
        <w:rPr>
          <w:rFonts w:ascii="Times New Roman"/>
          <w:b/>
          <w:sz w:val="23"/>
        </w:rPr>
      </w:pPr>
    </w:p>
    <w:p>
      <w:pPr>
        <w:spacing w:line="280" w:lineRule="auto" w:before="1"/>
        <w:ind w:left="454" w:right="597" w:firstLine="0"/>
        <w:jc w:val="center"/>
        <w:rPr>
          <w:rFonts w:ascii="Times New Roman" w:hAnsi="Times New Roman"/>
          <w:sz w:val="20"/>
        </w:rPr>
      </w:pPr>
      <w:bookmarkStart w:name="_bookmark107" w:id="161"/>
      <w:bookmarkEnd w:id="161"/>
      <w:r>
        <w:rPr/>
      </w:r>
      <w:r>
        <w:rPr>
          <w:rFonts w:ascii="Times New Roman" w:hAnsi="Times New Roman"/>
          <w:b/>
          <w:sz w:val="20"/>
        </w:rPr>
        <w:t>Figura 6</w:t>
      </w:r>
      <w:r>
        <w:rPr>
          <w:rFonts w:ascii="Times New Roman" w:hAnsi="Times New Roman"/>
          <w:sz w:val="20"/>
        </w:rPr>
        <w:t>. Porcentaje de puntos con γ&lt;1 para criterios de 3%/3 mm, 4%/3 mm, y 5%/3 mm, películas radiográficas</w:t>
      </w:r>
    </w:p>
    <w:p>
      <w:pPr>
        <w:pStyle w:val="BodyText"/>
        <w:spacing w:before="7"/>
        <w:rPr>
          <w:rFonts w:ascii="Times New Roman"/>
          <w:sz w:val="16"/>
        </w:rPr>
      </w:pPr>
    </w:p>
    <w:p>
      <w:pPr>
        <w:pStyle w:val="Heading5"/>
        <w:spacing w:line="480" w:lineRule="auto"/>
        <w:ind w:right="246"/>
      </w:pPr>
      <w:r>
        <w:rPr/>
        <w:t>Cuando se utiliza el criterio de 3%/3 mm para el análisis gamma, se observa que en 6 de los planes  analizados  se  tiene  un  γ&lt;1  mayor  al  90%,  pero  en  tres  casos  el  porcentaje</w:t>
      </w:r>
      <w:r>
        <w:rPr>
          <w:spacing w:val="-28"/>
        </w:rPr>
        <w:t> </w:t>
      </w:r>
      <w:r>
        <w:rPr/>
        <w:t>de</w:t>
      </w:r>
    </w:p>
    <w:p>
      <w:pPr>
        <w:spacing w:after="0" w:line="480" w:lineRule="auto"/>
        <w:sectPr>
          <w:pgSz w:w="12240" w:h="15840"/>
          <w:pgMar w:header="0" w:footer="1046" w:top="1500" w:bottom="1240" w:left="1600" w:right="1460"/>
        </w:sectPr>
      </w:pPr>
    </w:p>
    <w:p>
      <w:pPr>
        <w:spacing w:line="480" w:lineRule="auto" w:before="40"/>
        <w:ind w:left="104" w:right="242" w:firstLine="0"/>
        <w:jc w:val="both"/>
        <w:rPr>
          <w:rFonts w:ascii="Times New Roman" w:hAnsi="Times New Roman"/>
          <w:sz w:val="24"/>
        </w:rPr>
      </w:pPr>
      <w:r>
        <w:rPr>
          <w:rFonts w:ascii="Times New Roman" w:hAnsi="Times New Roman"/>
          <w:sz w:val="24"/>
        </w:rPr>
        <w:t>aceptación es menor. En la </w:t>
      </w:r>
      <w:hyperlink w:history="true" w:anchor="_bookmark108">
        <w:r>
          <w:rPr>
            <w:rFonts w:ascii="Times New Roman" w:hAnsi="Times New Roman"/>
            <w:b/>
            <w:sz w:val="24"/>
          </w:rPr>
          <w:t>Figura 7</w:t>
        </w:r>
      </w:hyperlink>
      <w:r>
        <w:rPr>
          <w:rFonts w:ascii="Times New Roman" w:hAnsi="Times New Roman"/>
          <w:b/>
          <w:sz w:val="24"/>
        </w:rPr>
        <w:t> </w:t>
      </w:r>
      <w:r>
        <w:rPr>
          <w:rFonts w:ascii="Times New Roman" w:hAnsi="Times New Roman"/>
          <w:sz w:val="24"/>
        </w:rPr>
        <w:t>se muestran las gráficas de Verisoft del paciente 3 de los planes analizados con las películas radiográficas y con las radiocrómicas.</w:t>
      </w:r>
    </w:p>
    <w:p>
      <w:pPr>
        <w:spacing w:before="30"/>
        <w:ind w:left="454" w:right="597" w:firstLine="0"/>
        <w:jc w:val="center"/>
        <w:rPr>
          <w:rFonts w:ascii="Times New Roman"/>
          <w:b/>
          <w:sz w:val="24"/>
        </w:rPr>
      </w:pPr>
      <w:r>
        <w:rPr>
          <w:rFonts w:ascii="Times New Roman"/>
          <w:b/>
          <w:sz w:val="24"/>
        </w:rPr>
        <w:t>INSERTAR FIGURA 7</w:t>
      </w:r>
    </w:p>
    <w:p>
      <w:pPr>
        <w:pStyle w:val="BodyText"/>
        <w:spacing w:before="5"/>
        <w:rPr>
          <w:rFonts w:ascii="Times New Roman"/>
          <w:b/>
          <w:sz w:val="23"/>
        </w:rPr>
      </w:pPr>
    </w:p>
    <w:p>
      <w:pPr>
        <w:spacing w:line="276" w:lineRule="auto" w:before="0"/>
        <w:ind w:left="104" w:right="242" w:firstLine="0"/>
        <w:jc w:val="both"/>
        <w:rPr>
          <w:rFonts w:ascii="Times New Roman" w:hAnsi="Times New Roman"/>
          <w:sz w:val="20"/>
        </w:rPr>
      </w:pPr>
      <w:bookmarkStart w:name="_bookmark108" w:id="162"/>
      <w:bookmarkEnd w:id="162"/>
      <w:r>
        <w:rPr/>
      </w:r>
      <w:r>
        <w:rPr>
          <w:rFonts w:ascii="Times New Roman" w:hAnsi="Times New Roman"/>
          <w:b/>
          <w:sz w:val="20"/>
        </w:rPr>
        <w:t>Figura 7</w:t>
      </w:r>
      <w:r>
        <w:rPr>
          <w:rFonts w:ascii="Times New Roman" w:hAnsi="Times New Roman"/>
          <w:sz w:val="20"/>
        </w:rPr>
        <w:t>. Superposición de distribuciones de dosis medidas con las películas y calculadas con el sistema de planeación, paciente 3. a) película radiocrómica EBT3. b) película radiográfica EDR2. Las regiones en color verde corresponden a aquellas en las que el porcentaje de puntos con γ&lt;1 es mayor al 90%; el amarillo corresponde a zonas con un γ&lt;1 entre 75 y 90% y en rojo este porcentaje es &lt;75%</w:t>
      </w:r>
    </w:p>
    <w:p>
      <w:pPr>
        <w:pStyle w:val="BodyText"/>
        <w:rPr>
          <w:rFonts w:ascii="Times New Roman"/>
          <w:sz w:val="20"/>
        </w:rPr>
      </w:pPr>
    </w:p>
    <w:p>
      <w:pPr>
        <w:pStyle w:val="BodyText"/>
        <w:rPr>
          <w:rFonts w:ascii="Times New Roman"/>
        </w:rPr>
      </w:pPr>
    </w:p>
    <w:p>
      <w:pPr>
        <w:pStyle w:val="Heading5"/>
        <w:spacing w:line="480" w:lineRule="auto"/>
        <w:ind w:right="229"/>
      </w:pPr>
      <w:r>
        <w:rPr>
          <w:spacing w:val="-4"/>
        </w:rPr>
        <w:t>La </w:t>
      </w:r>
      <w:r>
        <w:rPr/>
        <w:t>inspección visual de las imágenes correspondientes a la superposición del plan calculado y las mediciones con películas radiográficas </w:t>
      </w:r>
      <w:hyperlink w:history="true" w:anchor="_bookmark108">
        <w:r>
          <w:rPr>
            <w:b/>
          </w:rPr>
          <w:t>(Figura 7</w:t>
        </w:r>
      </w:hyperlink>
      <w:r>
        <w:rPr>
          <w:b/>
        </w:rPr>
        <w:t>-a) </w:t>
      </w:r>
      <w:r>
        <w:rPr/>
        <w:t>muestra que existe una diferencia en los resultados del índice gamma en la zona central. En los planes en los cuales los porcentajes de aceptación del índice gamma fueron menores al 90%, se observa una sobreestimación </w:t>
      </w:r>
      <w:r>
        <w:rPr>
          <w:spacing w:val="-3"/>
        </w:rPr>
        <w:t>de </w:t>
      </w:r>
      <w:r>
        <w:rPr/>
        <w:t>la dosis medida con las películas radiográficas, evidente en las zonas de alto gradiente y altas dosis, a diferencia de la película radiocrómica </w:t>
      </w:r>
      <w:r>
        <w:rPr>
          <w:b/>
        </w:rPr>
        <w:t>(</w:t>
      </w:r>
      <w:hyperlink w:history="true" w:anchor="_bookmark108">
        <w:r>
          <w:rPr>
            <w:b/>
          </w:rPr>
          <w:t>Figura 7</w:t>
        </w:r>
      </w:hyperlink>
      <w:r>
        <w:rPr>
          <w:b/>
        </w:rPr>
        <w:t>-b)</w:t>
      </w:r>
      <w:r>
        <w:rPr/>
        <w:t>. Un factor que podría ocasionar esta sobreestimación de la dosis es la sensibilidad de las películas radiográficas a fotones dispersos de hasta 400 keV. Debido a esto, algunos autores</w:t>
      </w:r>
      <w:r>
        <w:rPr>
          <w:position w:val="11"/>
          <w:sz w:val="16"/>
        </w:rPr>
        <w:t>19 </w:t>
      </w:r>
      <w:r>
        <w:rPr/>
        <w:t>han recomendado la utilización de placas </w:t>
      </w:r>
      <w:r>
        <w:rPr>
          <w:spacing w:val="-3"/>
        </w:rPr>
        <w:t>de </w:t>
      </w:r>
      <w:r>
        <w:rPr/>
        <w:t>plomo por arriba y por debajo de la película radiográfica durante el proceso de calibración. En el presente trabajo no se dispuso </w:t>
      </w:r>
      <w:r>
        <w:rPr>
          <w:spacing w:val="-3"/>
        </w:rPr>
        <w:t>de </w:t>
      </w:r>
      <w:r>
        <w:rPr/>
        <w:t>esta adecuación, por lo que la dosis acumulada debido a los fotones dispersos de baja energía podría haber causado la sobrerespuesta </w:t>
      </w:r>
      <w:r>
        <w:rPr>
          <w:spacing w:val="-3"/>
        </w:rPr>
        <w:t>de </w:t>
      </w:r>
      <w:r>
        <w:rPr/>
        <w:t>la película en las regiones de altas dosis. Como  se aprecia en la </w:t>
      </w:r>
      <w:hyperlink w:history="true" w:anchor="_bookmark107">
        <w:r>
          <w:rPr>
            <w:b/>
          </w:rPr>
          <w:t>Figura 6</w:t>
        </w:r>
      </w:hyperlink>
      <w:r>
        <w:rPr>
          <w:b/>
        </w:rPr>
        <w:t>, </w:t>
      </w:r>
      <w:r>
        <w:rPr/>
        <w:t>utilizando los criterios de 4%/3 mm y 5%/3 mm los porcentajes de aceptación de índice gamma aumentan significativamente. Cuando se utiliza una tolerancia en la diferencia de dosis del 5%, el porcentaje de puntos con γ&lt;1 es mayor al  95% para todos los planes. Estos resultados indican que la diferencia </w:t>
      </w:r>
      <w:r>
        <w:rPr>
          <w:spacing w:val="-3"/>
        </w:rPr>
        <w:t>de </w:t>
      </w:r>
      <w:r>
        <w:rPr/>
        <w:t>dosis es el parámetro de mayor influencia en los valores de aceptación del índice gamma en el caso de los análisis realizados con películas</w:t>
      </w:r>
      <w:r>
        <w:rPr>
          <w:spacing w:val="-20"/>
        </w:rPr>
        <w:t> </w:t>
      </w:r>
      <w:r>
        <w:rPr/>
        <w:t>radiográficas.</w:t>
      </w:r>
    </w:p>
    <w:p>
      <w:pPr>
        <w:spacing w:after="0" w:line="480" w:lineRule="auto"/>
        <w:sectPr>
          <w:pgSz w:w="12240" w:h="15840"/>
          <w:pgMar w:header="0" w:footer="1046" w:top="1360" w:bottom="1240" w:left="1600" w:right="1460"/>
        </w:sectPr>
      </w:pPr>
    </w:p>
    <w:p>
      <w:pPr>
        <w:pStyle w:val="BodyText"/>
        <w:spacing w:before="2"/>
        <w:rPr>
          <w:rFonts w:ascii="Times New Roman"/>
          <w:sz w:val="14"/>
        </w:rPr>
      </w:pPr>
    </w:p>
    <w:p>
      <w:pPr>
        <w:pStyle w:val="ListParagraph"/>
        <w:numPr>
          <w:ilvl w:val="0"/>
          <w:numId w:val="12"/>
        </w:numPr>
        <w:tabs>
          <w:tab w:pos="465" w:val="left" w:leader="none"/>
        </w:tabs>
        <w:spacing w:line="240" w:lineRule="auto" w:before="69" w:after="0"/>
        <w:ind w:left="464" w:right="0" w:hanging="360"/>
        <w:jc w:val="both"/>
        <w:rPr>
          <w:rFonts w:ascii="Times New Roman"/>
          <w:b/>
          <w:sz w:val="24"/>
        </w:rPr>
      </w:pPr>
      <w:r>
        <w:rPr>
          <w:rFonts w:ascii="Times New Roman"/>
          <w:b/>
          <w:sz w:val="24"/>
        </w:rPr>
        <w:t>Conclusiones</w:t>
      </w:r>
    </w:p>
    <w:p>
      <w:pPr>
        <w:pStyle w:val="BodyText"/>
        <w:spacing w:before="11"/>
        <w:rPr>
          <w:rFonts w:ascii="Times New Roman"/>
          <w:b/>
        </w:rPr>
      </w:pPr>
    </w:p>
    <w:p>
      <w:pPr>
        <w:spacing w:line="480" w:lineRule="auto" w:before="0"/>
        <w:ind w:left="104" w:right="227" w:firstLine="0"/>
        <w:jc w:val="both"/>
        <w:rPr>
          <w:rFonts w:ascii="Times New Roman" w:hAnsi="Times New Roman"/>
          <w:sz w:val="24"/>
        </w:rPr>
      </w:pPr>
      <w:r>
        <w:rPr>
          <w:rFonts w:ascii="Times New Roman" w:hAnsi="Times New Roman"/>
          <w:sz w:val="24"/>
        </w:rPr>
        <w:t>El canal rojo es el más indicado para llevar a cabo la dosimetría con las películas radiocrómicas EBT3. El mejor ajuste es un polinomio de grado tres, aunque el ajuste racional tiene la ventaja de ser más rápido de implementar, con una precisión similar. Las mediciones de la dosis total en un punto con cámara de ionización muestran un margen de diferencia de dosis aceptable entre los registros de la cámara y los datos del sistema de planeación. El análisis gamma realizado con las películas radiográficas da como resultado que no todos los planes analizados cumplen con la condición de un γ&lt;1 para al menos un 90% de los puntos evaluados, con el criterio de 3%/3 mm, sin embargo, todos cumplen esta condición con el criterio de 5%/3 mm. Por otro lado, con la utilización de las películas radiocrómicas el 100% de los planes evaluados cumplen con la restricción de un γ&lt;1 mayor al 90% para el criterio de 3%/3 mm. Por tanto, puede concluirse que las películas radiocrómicas EBT3 son una mejor opción a las películas radiográficas en las condiciones evaluadas.</w:t>
      </w:r>
    </w:p>
    <w:p>
      <w:pPr>
        <w:spacing w:before="31"/>
        <w:ind w:left="104" w:right="0" w:firstLine="0"/>
        <w:jc w:val="both"/>
        <w:rPr>
          <w:rFonts w:ascii="Times New Roman" w:hAnsi="Times New Roman"/>
          <w:b/>
          <w:sz w:val="24"/>
        </w:rPr>
      </w:pPr>
      <w:r>
        <w:rPr>
          <w:rFonts w:ascii="Times New Roman" w:hAnsi="Times New Roman"/>
          <w:b/>
          <w:sz w:val="24"/>
        </w:rPr>
        <w:t>Conflicto de interés:</w:t>
      </w:r>
    </w:p>
    <w:p>
      <w:pPr>
        <w:pStyle w:val="BodyText"/>
        <w:spacing w:before="3"/>
        <w:rPr>
          <w:rFonts w:ascii="Times New Roman"/>
          <w:b/>
          <w:sz w:val="23"/>
        </w:rPr>
      </w:pPr>
    </w:p>
    <w:p>
      <w:pPr>
        <w:spacing w:before="0"/>
        <w:ind w:left="104" w:right="0" w:firstLine="0"/>
        <w:jc w:val="both"/>
        <w:rPr>
          <w:rFonts w:ascii="Times New Roman" w:hAnsi="Times New Roman"/>
          <w:sz w:val="24"/>
        </w:rPr>
      </w:pPr>
      <w:r>
        <w:rPr>
          <w:rFonts w:ascii="Times New Roman" w:hAnsi="Times New Roman"/>
          <w:sz w:val="24"/>
        </w:rPr>
        <w:t>No existe conflicto de interés</w:t>
      </w:r>
    </w:p>
    <w:p>
      <w:pPr>
        <w:pStyle w:val="BodyText"/>
        <w:rPr>
          <w:rFonts w:ascii="Times New Roman"/>
          <w:sz w:val="25"/>
        </w:rPr>
      </w:pPr>
    </w:p>
    <w:p>
      <w:pPr>
        <w:spacing w:before="0"/>
        <w:ind w:left="104" w:right="0" w:firstLine="0"/>
        <w:jc w:val="both"/>
        <w:rPr>
          <w:rFonts w:ascii="Times New Roman"/>
          <w:b/>
          <w:sz w:val="24"/>
        </w:rPr>
      </w:pPr>
      <w:r>
        <w:rPr>
          <w:rFonts w:ascii="Times New Roman"/>
          <w:b/>
          <w:sz w:val="24"/>
        </w:rPr>
        <w:t>Agradecimientos:</w:t>
      </w:r>
    </w:p>
    <w:p>
      <w:pPr>
        <w:pStyle w:val="BodyText"/>
        <w:spacing w:before="7"/>
        <w:rPr>
          <w:rFonts w:ascii="Times New Roman"/>
          <w:b/>
        </w:rPr>
      </w:pPr>
    </w:p>
    <w:p>
      <w:pPr>
        <w:spacing w:line="480" w:lineRule="auto" w:before="0"/>
        <w:ind w:left="104" w:right="92" w:firstLine="0"/>
        <w:jc w:val="left"/>
        <w:rPr>
          <w:rFonts w:ascii="Times New Roman" w:hAnsi="Times New Roman"/>
          <w:sz w:val="24"/>
        </w:rPr>
      </w:pPr>
      <w:r>
        <w:rPr>
          <w:rFonts w:ascii="Times New Roman" w:hAnsi="Times New Roman"/>
          <w:sz w:val="24"/>
        </w:rPr>
        <w:t>Al M.C. Jorge Omar Hernández Oviedo por su apoyo en el revelado de películas radiográficas y escaneo de películas radiocrómicas.</w:t>
      </w:r>
    </w:p>
    <w:p>
      <w:pPr>
        <w:spacing w:before="30"/>
        <w:ind w:left="104" w:right="0" w:firstLine="0"/>
        <w:jc w:val="both"/>
        <w:rPr>
          <w:rFonts w:ascii="Times New Roman" w:hAnsi="Times New Roman"/>
          <w:b/>
          <w:sz w:val="24"/>
        </w:rPr>
      </w:pPr>
      <w:r>
        <w:rPr>
          <w:rFonts w:ascii="Times New Roman" w:hAnsi="Times New Roman"/>
          <w:b/>
          <w:sz w:val="24"/>
        </w:rPr>
        <w:t>Financiación</w:t>
      </w:r>
    </w:p>
    <w:p>
      <w:pPr>
        <w:pStyle w:val="BodyText"/>
        <w:spacing w:before="3"/>
        <w:rPr>
          <w:rFonts w:ascii="Times New Roman"/>
          <w:b/>
          <w:sz w:val="23"/>
        </w:rPr>
      </w:pPr>
    </w:p>
    <w:p>
      <w:pPr>
        <w:spacing w:before="0"/>
        <w:ind w:left="104" w:right="0" w:firstLine="0"/>
        <w:jc w:val="both"/>
        <w:rPr>
          <w:rFonts w:ascii="Times New Roman"/>
          <w:sz w:val="24"/>
        </w:rPr>
      </w:pPr>
      <w:r>
        <w:rPr>
          <w:rFonts w:ascii="Times New Roman"/>
          <w:sz w:val="24"/>
        </w:rPr>
        <w:t>Sin financiamiento.</w:t>
      </w:r>
    </w:p>
    <w:p>
      <w:pPr>
        <w:pStyle w:val="BodyText"/>
        <w:rPr>
          <w:rFonts w:ascii="Times New Roman"/>
          <w:sz w:val="24"/>
        </w:rPr>
      </w:pPr>
    </w:p>
    <w:p>
      <w:pPr>
        <w:pStyle w:val="BodyText"/>
        <w:rPr>
          <w:rFonts w:ascii="Times New Roman"/>
          <w:sz w:val="24"/>
        </w:rPr>
      </w:pPr>
    </w:p>
    <w:p>
      <w:pPr>
        <w:pStyle w:val="BodyText"/>
        <w:spacing w:before="1"/>
        <w:rPr>
          <w:rFonts w:ascii="Times New Roman"/>
          <w:sz w:val="25"/>
        </w:rPr>
      </w:pPr>
    </w:p>
    <w:p>
      <w:pPr>
        <w:spacing w:before="0"/>
        <w:ind w:left="104" w:right="0" w:firstLine="0"/>
        <w:jc w:val="both"/>
        <w:rPr>
          <w:rFonts w:ascii="Times New Roman"/>
          <w:b/>
          <w:sz w:val="24"/>
        </w:rPr>
      </w:pPr>
      <w:r>
        <w:rPr>
          <w:rFonts w:ascii="Times New Roman"/>
          <w:b/>
          <w:sz w:val="24"/>
        </w:rPr>
        <w:t>Referencias</w:t>
      </w:r>
    </w:p>
    <w:p>
      <w:pPr>
        <w:spacing w:after="0"/>
        <w:jc w:val="both"/>
        <w:rPr>
          <w:rFonts w:ascii="Times New Roman"/>
          <w:sz w:val="24"/>
        </w:rPr>
        <w:sectPr>
          <w:pgSz w:w="12240" w:h="15840"/>
          <w:pgMar w:header="0" w:footer="1046" w:top="1500" w:bottom="1240" w:left="1600" w:right="1460"/>
        </w:sectPr>
      </w:pPr>
    </w:p>
    <w:p>
      <w:pPr>
        <w:spacing w:line="480" w:lineRule="auto" w:before="40"/>
        <w:ind w:left="104" w:right="235" w:firstLine="0"/>
        <w:jc w:val="both"/>
        <w:rPr>
          <w:rFonts w:ascii="Times New Roman"/>
          <w:sz w:val="24"/>
        </w:rPr>
      </w:pPr>
      <w:r>
        <w:rPr>
          <w:rFonts w:ascii="Times New Roman"/>
          <w:sz w:val="24"/>
        </w:rPr>
        <w:t>[1] Lee K, Chau M. Design of an in-expensive phantom for IMRT verification. Radiother Oncol. 2001; 61: 1-10.</w:t>
      </w:r>
    </w:p>
    <w:p>
      <w:pPr>
        <w:pStyle w:val="BodyText"/>
        <w:spacing w:before="5"/>
        <w:rPr>
          <w:rFonts w:ascii="Times New Roman"/>
        </w:rPr>
      </w:pPr>
    </w:p>
    <w:p>
      <w:pPr>
        <w:spacing w:line="480" w:lineRule="auto" w:before="0"/>
        <w:ind w:left="104" w:right="236" w:firstLine="0"/>
        <w:jc w:val="both"/>
        <w:rPr>
          <w:rFonts w:ascii="Times New Roman"/>
          <w:sz w:val="24"/>
        </w:rPr>
      </w:pPr>
      <w:r>
        <w:rPr>
          <w:rFonts w:ascii="Times New Roman"/>
          <w:sz w:val="24"/>
        </w:rPr>
        <w:t>[2] </w:t>
      </w:r>
      <w:r>
        <w:rPr>
          <w:rFonts w:ascii="Times New Roman"/>
          <w:spacing w:val="-3"/>
          <w:sz w:val="24"/>
        </w:rPr>
        <w:t>Low </w:t>
      </w:r>
      <w:r>
        <w:rPr>
          <w:rFonts w:ascii="Times New Roman"/>
          <w:sz w:val="24"/>
        </w:rPr>
        <w:t>DA, Moran JM, Dempsey JF, Dong </w:t>
      </w:r>
      <w:r>
        <w:rPr>
          <w:rFonts w:ascii="Times New Roman"/>
          <w:spacing w:val="-4"/>
          <w:sz w:val="24"/>
        </w:rPr>
        <w:t>L, </w:t>
      </w:r>
      <w:r>
        <w:rPr>
          <w:rFonts w:ascii="Times New Roman"/>
          <w:sz w:val="24"/>
        </w:rPr>
        <w:t>Oldham M. Dosimetry tools  and  techniques for IMRT. Med Phys. 2011; 3:</w:t>
      </w:r>
      <w:r>
        <w:rPr>
          <w:rFonts w:ascii="Times New Roman"/>
          <w:spacing w:val="-18"/>
          <w:sz w:val="24"/>
        </w:rPr>
        <w:t> </w:t>
      </w:r>
      <w:r>
        <w:rPr>
          <w:rFonts w:ascii="Times New Roman"/>
          <w:sz w:val="24"/>
        </w:rPr>
        <w:t>1313-38.</w:t>
      </w:r>
    </w:p>
    <w:p>
      <w:pPr>
        <w:pStyle w:val="BodyText"/>
        <w:spacing w:before="9"/>
        <w:rPr>
          <w:rFonts w:ascii="Times New Roman"/>
        </w:rPr>
      </w:pPr>
    </w:p>
    <w:p>
      <w:pPr>
        <w:spacing w:line="480" w:lineRule="auto" w:before="0"/>
        <w:ind w:left="104" w:right="244" w:firstLine="0"/>
        <w:jc w:val="both"/>
        <w:rPr>
          <w:rFonts w:ascii="Times New Roman"/>
          <w:sz w:val="24"/>
        </w:rPr>
      </w:pPr>
      <w:r>
        <w:rPr>
          <w:rFonts w:ascii="Times New Roman"/>
          <w:sz w:val="24"/>
        </w:rPr>
        <w:t>[3] Pai S, Das IJ, Dempsey JF, Lam KL, LoSasso TJ, Olch AJ, et al. Radiographic film for megavoltage beam dosimetry; Report of AAPM Task Group 69. Med Phys. 2007; 34: 2228-58.</w:t>
      </w:r>
    </w:p>
    <w:p>
      <w:pPr>
        <w:pStyle w:val="BodyText"/>
        <w:spacing w:before="5"/>
        <w:rPr>
          <w:rFonts w:ascii="Times New Roman"/>
        </w:rPr>
      </w:pPr>
    </w:p>
    <w:p>
      <w:pPr>
        <w:spacing w:line="480" w:lineRule="auto" w:before="0"/>
        <w:ind w:left="104" w:right="249" w:firstLine="60"/>
        <w:jc w:val="both"/>
        <w:rPr>
          <w:rFonts w:ascii="Times New Roman"/>
          <w:sz w:val="24"/>
        </w:rPr>
      </w:pPr>
      <w:r>
        <w:rPr>
          <w:rFonts w:ascii="Times New Roman"/>
          <w:sz w:val="24"/>
        </w:rPr>
        <w:t>[4] Butson M, Yu P, Cheung T, Alnawaf H. Energy response of the new EBT2 radiochromic film to x-ray radiation. Radiat Meas. 2010; 45: 836-39.</w:t>
      </w:r>
    </w:p>
    <w:p>
      <w:pPr>
        <w:pStyle w:val="BodyText"/>
        <w:spacing w:before="5"/>
        <w:rPr>
          <w:rFonts w:ascii="Times New Roman"/>
        </w:rPr>
      </w:pPr>
    </w:p>
    <w:p>
      <w:pPr>
        <w:spacing w:line="480" w:lineRule="auto" w:before="0"/>
        <w:ind w:left="104" w:right="244" w:firstLine="0"/>
        <w:jc w:val="both"/>
        <w:rPr>
          <w:rFonts w:ascii="Times New Roman"/>
          <w:sz w:val="24"/>
        </w:rPr>
      </w:pPr>
      <w:r>
        <w:rPr>
          <w:rFonts w:ascii="Times New Roman"/>
          <w:sz w:val="24"/>
        </w:rPr>
        <w:t>[5] Niroomand-Rad A, Blackwell CR, Coursey BM, Gall KP, Galvin JM, McLaughlin WL. Radiochromic film dosimetry: Recommendations of AAPM radiation therapy committee task group 55. Med Phys. 1998; 25: 2093-115.</w:t>
      </w:r>
    </w:p>
    <w:p>
      <w:pPr>
        <w:pStyle w:val="BodyText"/>
        <w:spacing w:before="9"/>
        <w:rPr>
          <w:rFonts w:ascii="Times New Roman"/>
        </w:rPr>
      </w:pPr>
    </w:p>
    <w:p>
      <w:pPr>
        <w:spacing w:line="480" w:lineRule="auto" w:before="0"/>
        <w:ind w:left="104" w:right="248" w:firstLine="60"/>
        <w:jc w:val="both"/>
        <w:rPr>
          <w:rFonts w:ascii="Times New Roman"/>
          <w:sz w:val="24"/>
        </w:rPr>
      </w:pPr>
      <w:r>
        <w:rPr>
          <w:rFonts w:ascii="Times New Roman"/>
          <w:sz w:val="24"/>
        </w:rPr>
        <w:t>[6] </w:t>
      </w:r>
      <w:r>
        <w:rPr>
          <w:rFonts w:ascii="Times New Roman"/>
          <w:spacing w:val="-3"/>
          <w:sz w:val="24"/>
        </w:rPr>
        <w:t>Low </w:t>
      </w:r>
      <w:r>
        <w:rPr>
          <w:rFonts w:ascii="Times New Roman"/>
          <w:sz w:val="24"/>
        </w:rPr>
        <w:t>DA, Harms WB, Mutic S, Purdy JA. A technique for the quantitative evaluation  of dose distribution. Med </w:t>
      </w:r>
      <w:r>
        <w:rPr>
          <w:rFonts w:ascii="Times New Roman"/>
          <w:spacing w:val="-3"/>
          <w:sz w:val="24"/>
        </w:rPr>
        <w:t>Phys. </w:t>
      </w:r>
      <w:r>
        <w:rPr>
          <w:rFonts w:ascii="Times New Roman"/>
          <w:sz w:val="24"/>
        </w:rPr>
        <w:t>1998; 25:</w:t>
      </w:r>
      <w:r>
        <w:rPr>
          <w:rFonts w:ascii="Times New Roman"/>
          <w:spacing w:val="3"/>
          <w:sz w:val="24"/>
        </w:rPr>
        <w:t> </w:t>
      </w:r>
      <w:r>
        <w:rPr>
          <w:rFonts w:ascii="Times New Roman"/>
          <w:sz w:val="24"/>
        </w:rPr>
        <w:t>656-61.</w:t>
      </w:r>
    </w:p>
    <w:p>
      <w:pPr>
        <w:pStyle w:val="BodyText"/>
        <w:spacing w:before="5"/>
        <w:rPr>
          <w:rFonts w:ascii="Times New Roman"/>
        </w:rPr>
      </w:pPr>
    </w:p>
    <w:p>
      <w:pPr>
        <w:spacing w:line="480" w:lineRule="auto" w:before="0"/>
        <w:ind w:left="104" w:right="246" w:firstLine="60"/>
        <w:jc w:val="both"/>
        <w:rPr>
          <w:rFonts w:ascii="Times New Roman" w:hAnsi="Times New Roman"/>
          <w:sz w:val="24"/>
        </w:rPr>
      </w:pPr>
      <w:r>
        <w:rPr>
          <w:rFonts w:ascii="Times New Roman" w:hAnsi="Times New Roman"/>
          <w:sz w:val="24"/>
        </w:rPr>
        <w:t>[7] Alber M, Broggi S, De Wagter C, Eichwurzel I, Engström P, Fiorino C, et al. Booklet no. 9: Guidelines for the verification of IMRT. Brussels, Belgium: ESTRO; 2008.</w:t>
      </w:r>
    </w:p>
    <w:p>
      <w:pPr>
        <w:pStyle w:val="BodyText"/>
        <w:spacing w:before="9"/>
        <w:rPr>
          <w:rFonts w:ascii="Times New Roman"/>
        </w:rPr>
      </w:pPr>
    </w:p>
    <w:p>
      <w:pPr>
        <w:spacing w:line="480" w:lineRule="auto" w:before="1"/>
        <w:ind w:left="104" w:right="293" w:firstLine="0"/>
        <w:jc w:val="both"/>
        <w:rPr>
          <w:rFonts w:ascii="Times New Roman"/>
          <w:sz w:val="24"/>
        </w:rPr>
      </w:pPr>
      <w:r>
        <w:rPr>
          <w:rFonts w:ascii="Times New Roman"/>
          <w:sz w:val="24"/>
        </w:rPr>
        <w:t>[8] Devic S, Seuntjens J, Sham E, Podgorsak EB, Schmidtlein CR, Kirov AS, et al. Precise radiochromic film dosimetry using a flat-bed document scanner. Med Phys. 2005; 32:</w:t>
      </w:r>
    </w:p>
    <w:p>
      <w:pPr>
        <w:spacing w:before="22"/>
        <w:ind w:left="104" w:right="0" w:firstLine="0"/>
        <w:jc w:val="both"/>
        <w:rPr>
          <w:rFonts w:ascii="Times New Roman"/>
          <w:sz w:val="24"/>
        </w:rPr>
      </w:pPr>
      <w:r>
        <w:rPr>
          <w:rFonts w:ascii="Times New Roman"/>
          <w:sz w:val="24"/>
        </w:rPr>
        <w:t>2245-53.</w:t>
      </w:r>
    </w:p>
    <w:p>
      <w:pPr>
        <w:spacing w:after="0"/>
        <w:jc w:val="both"/>
        <w:rPr>
          <w:rFonts w:ascii="Times New Roman"/>
          <w:sz w:val="24"/>
        </w:rPr>
        <w:sectPr>
          <w:pgSz w:w="12240" w:h="15840"/>
          <w:pgMar w:header="0" w:footer="1046" w:top="1360" w:bottom="1240" w:left="1600" w:right="1460"/>
        </w:sectPr>
      </w:pPr>
    </w:p>
    <w:p>
      <w:pPr>
        <w:spacing w:line="480" w:lineRule="auto" w:before="40"/>
        <w:ind w:left="104" w:right="247" w:firstLine="0"/>
        <w:jc w:val="both"/>
        <w:rPr>
          <w:rFonts w:ascii="Times New Roman"/>
          <w:sz w:val="24"/>
        </w:rPr>
      </w:pPr>
      <w:r>
        <w:rPr>
          <w:rFonts w:ascii="Times New Roman"/>
          <w:sz w:val="24"/>
        </w:rPr>
        <w:t>[9] Ferreira BC, Lopes MC, Capela M. Evaluation of an Epson flatbed scanner to read Gafchromic EBT films for radiation dosimetry. Phys Med Biol. 2008; 54: 1073-85.</w:t>
      </w:r>
    </w:p>
    <w:p>
      <w:pPr>
        <w:pStyle w:val="BodyText"/>
        <w:spacing w:before="5"/>
        <w:rPr>
          <w:rFonts w:ascii="Times New Roman"/>
        </w:rPr>
      </w:pPr>
    </w:p>
    <w:p>
      <w:pPr>
        <w:spacing w:line="480" w:lineRule="auto" w:before="0"/>
        <w:ind w:left="104" w:right="231" w:firstLine="0"/>
        <w:jc w:val="both"/>
        <w:rPr>
          <w:rFonts w:ascii="Times New Roman" w:hAnsi="Times New Roman"/>
          <w:sz w:val="24"/>
        </w:rPr>
      </w:pPr>
      <w:r>
        <w:rPr>
          <w:rFonts w:ascii="Times New Roman" w:hAnsi="Times New Roman"/>
          <w:sz w:val="24"/>
        </w:rPr>
        <w:t>[10] Lewis D, Micke A, Yu X, Chan MF. An efﬁcient protocol for radiochromic ﬁlm dosimetry combining calibration and measurement in a single scan. Med Phys. 2012; 39: 6339-50.</w:t>
      </w:r>
    </w:p>
    <w:p>
      <w:pPr>
        <w:pStyle w:val="BodyText"/>
        <w:spacing w:before="9"/>
        <w:rPr>
          <w:rFonts w:ascii="Times New Roman"/>
        </w:rPr>
      </w:pPr>
    </w:p>
    <w:p>
      <w:pPr>
        <w:spacing w:line="480" w:lineRule="auto" w:before="0"/>
        <w:ind w:left="104" w:right="234" w:firstLine="0"/>
        <w:jc w:val="both"/>
        <w:rPr>
          <w:rFonts w:ascii="Times New Roman"/>
          <w:sz w:val="24"/>
        </w:rPr>
      </w:pPr>
      <w:r>
        <w:rPr>
          <w:rFonts w:ascii="Times New Roman"/>
          <w:sz w:val="24"/>
        </w:rPr>
        <w:t>[11] Ezzell GA, Burmeister JW, Dogan N, Losasso TJ, Mechalakos GJ, Mihailidis D, et al. IMRT commissioning: multiple institution planning and dosimetry comparisons, a report from AAPM Task Group 119. Med Phys. 2009; 36: 5359-73.</w:t>
      </w:r>
    </w:p>
    <w:p>
      <w:pPr>
        <w:pStyle w:val="BodyText"/>
        <w:spacing w:before="5"/>
        <w:rPr>
          <w:rFonts w:ascii="Times New Roman"/>
        </w:rPr>
      </w:pPr>
    </w:p>
    <w:p>
      <w:pPr>
        <w:spacing w:line="480" w:lineRule="auto" w:before="0"/>
        <w:ind w:left="104" w:right="245" w:firstLine="0"/>
        <w:jc w:val="both"/>
        <w:rPr>
          <w:rFonts w:ascii="Times New Roman"/>
          <w:sz w:val="24"/>
        </w:rPr>
      </w:pPr>
      <w:r>
        <w:rPr>
          <w:rFonts w:ascii="Times New Roman"/>
          <w:sz w:val="24"/>
        </w:rPr>
        <w:t>[12] Dogan N, Leibovich LB, Sethi A. Comparative evaluation of Kodak EDR2 and XV2 films for verification of intensity modulated radiation therapy. Phys Med Biol. 2002; 47: 4121-30.</w:t>
      </w:r>
    </w:p>
    <w:p>
      <w:pPr>
        <w:pStyle w:val="BodyText"/>
        <w:spacing w:before="9"/>
        <w:rPr>
          <w:rFonts w:ascii="Times New Roman"/>
        </w:rPr>
      </w:pPr>
    </w:p>
    <w:p>
      <w:pPr>
        <w:spacing w:line="480" w:lineRule="auto" w:before="0"/>
        <w:ind w:left="104" w:right="222" w:firstLine="0"/>
        <w:jc w:val="both"/>
        <w:rPr>
          <w:rFonts w:ascii="Times New Roman" w:hAnsi="Times New Roman"/>
          <w:sz w:val="24"/>
        </w:rPr>
      </w:pPr>
      <w:r>
        <w:rPr>
          <w:rFonts w:ascii="Times New Roman" w:hAnsi="Times New Roman"/>
          <w:sz w:val="24"/>
        </w:rPr>
        <w:t>[13] Doong </w:t>
      </w:r>
      <w:r>
        <w:rPr>
          <w:rFonts w:ascii="Times New Roman" w:hAnsi="Times New Roman"/>
          <w:spacing w:val="-4"/>
          <w:sz w:val="24"/>
        </w:rPr>
        <w:t>L, </w:t>
      </w:r>
      <w:r>
        <w:rPr>
          <w:rFonts w:ascii="Times New Roman" w:hAnsi="Times New Roman"/>
          <w:sz w:val="24"/>
        </w:rPr>
        <w:t>Antolak J, Salehpour M, Forster </w:t>
      </w:r>
      <w:r>
        <w:rPr>
          <w:rFonts w:ascii="Times New Roman" w:hAnsi="Times New Roman"/>
          <w:spacing w:val="-3"/>
          <w:sz w:val="24"/>
        </w:rPr>
        <w:t>K, </w:t>
      </w:r>
      <w:r>
        <w:rPr>
          <w:rFonts w:ascii="Times New Roman" w:hAnsi="Times New Roman"/>
          <w:sz w:val="24"/>
        </w:rPr>
        <w:t>O´Neill </w:t>
      </w:r>
      <w:r>
        <w:rPr>
          <w:rFonts w:ascii="Times New Roman" w:hAnsi="Times New Roman"/>
          <w:spacing w:val="-6"/>
          <w:sz w:val="24"/>
        </w:rPr>
        <w:t>L, </w:t>
      </w:r>
      <w:r>
        <w:rPr>
          <w:rFonts w:ascii="Times New Roman" w:hAnsi="Times New Roman"/>
          <w:sz w:val="24"/>
        </w:rPr>
        <w:t>Kendall R, et al. Patient- specific point dose measurement for IMRT monitor unit verification. Int J Radiat Oncol Biol Phys. 2003; 56:</w:t>
      </w:r>
      <w:r>
        <w:rPr>
          <w:rFonts w:ascii="Times New Roman" w:hAnsi="Times New Roman"/>
          <w:spacing w:val="-11"/>
          <w:sz w:val="24"/>
        </w:rPr>
        <w:t> </w:t>
      </w:r>
      <w:r>
        <w:rPr>
          <w:rFonts w:ascii="Times New Roman" w:hAnsi="Times New Roman"/>
          <w:sz w:val="24"/>
        </w:rPr>
        <w:t>867-77.</w:t>
      </w:r>
    </w:p>
    <w:p>
      <w:pPr>
        <w:pStyle w:val="BodyText"/>
        <w:spacing w:before="5"/>
        <w:rPr>
          <w:rFonts w:ascii="Times New Roman"/>
        </w:rPr>
      </w:pPr>
    </w:p>
    <w:p>
      <w:pPr>
        <w:spacing w:line="480" w:lineRule="auto" w:before="0"/>
        <w:ind w:left="104" w:right="233" w:firstLine="0"/>
        <w:jc w:val="both"/>
        <w:rPr>
          <w:rFonts w:ascii="Times New Roman"/>
          <w:sz w:val="24"/>
        </w:rPr>
      </w:pPr>
      <w:r>
        <w:rPr>
          <w:rFonts w:ascii="Times New Roman"/>
          <w:sz w:val="24"/>
        </w:rPr>
        <w:t>[14] Syam-Kumar SA, Sukumar P, Sriram P, Rajasekaran, D, Aketi, S, Vivekanandan, N.  A patient-specific quality assurance study on absolute dose verification using ionization chambers of different volumes in RapidArc treatments. Med Dosim. 2012; 37:</w:t>
      </w:r>
      <w:r>
        <w:rPr>
          <w:rFonts w:ascii="Times New Roman"/>
          <w:spacing w:val="-18"/>
          <w:sz w:val="24"/>
        </w:rPr>
        <w:t> </w:t>
      </w:r>
      <w:r>
        <w:rPr>
          <w:rFonts w:ascii="Times New Roman"/>
          <w:sz w:val="24"/>
        </w:rPr>
        <w:t>436-41.</w:t>
      </w:r>
    </w:p>
    <w:p>
      <w:pPr>
        <w:pStyle w:val="BodyText"/>
        <w:spacing w:before="9"/>
        <w:rPr>
          <w:rFonts w:ascii="Times New Roman"/>
        </w:rPr>
      </w:pPr>
    </w:p>
    <w:p>
      <w:pPr>
        <w:spacing w:line="477" w:lineRule="auto" w:before="0"/>
        <w:ind w:left="104" w:right="234" w:firstLine="0"/>
        <w:jc w:val="both"/>
        <w:rPr>
          <w:rFonts w:ascii="Times New Roman" w:hAnsi="Times New Roman"/>
          <w:sz w:val="24"/>
        </w:rPr>
      </w:pPr>
      <w:r>
        <w:rPr>
          <w:rFonts w:ascii="Times New Roman" w:hAnsi="Times New Roman"/>
          <w:sz w:val="24"/>
        </w:rPr>
        <w:t>[15] Escudé L, Linero D, Mollá M, Maralbell R. Quality assurance for radiotherapy in prostate cancer: point dose measurements in intensity modulated fields with large dose gradients. Int J Radiat Oncol Biol Phys. 2006; 66: 136-40.</w:t>
      </w:r>
    </w:p>
    <w:p>
      <w:pPr>
        <w:spacing w:after="0" w:line="477" w:lineRule="auto"/>
        <w:jc w:val="both"/>
        <w:rPr>
          <w:rFonts w:ascii="Times New Roman" w:hAnsi="Times New Roman"/>
          <w:sz w:val="24"/>
        </w:rPr>
        <w:sectPr>
          <w:pgSz w:w="12240" w:h="15840"/>
          <w:pgMar w:header="0" w:footer="1046" w:top="1360" w:bottom="1240" w:left="1600" w:right="1460"/>
        </w:sectPr>
      </w:pPr>
    </w:p>
    <w:p>
      <w:pPr>
        <w:spacing w:line="480" w:lineRule="auto" w:before="40"/>
        <w:ind w:left="104" w:right="203" w:firstLine="0"/>
        <w:jc w:val="both"/>
        <w:rPr>
          <w:rFonts w:ascii="Times New Roman"/>
          <w:sz w:val="24"/>
        </w:rPr>
      </w:pPr>
      <w:r>
        <w:rPr>
          <w:rFonts w:ascii="Times New Roman"/>
          <w:sz w:val="24"/>
        </w:rPr>
        <w:t>[16] Anjum MN, Parker W, Ruo R, Afzal M. Evaluation criteria for film based intensity modulated radiation therapy quality assurance. Phys Med. 2010; 26: 38-43.</w:t>
      </w:r>
    </w:p>
    <w:p>
      <w:pPr>
        <w:pStyle w:val="BodyText"/>
        <w:spacing w:before="5"/>
        <w:rPr>
          <w:rFonts w:ascii="Times New Roman"/>
        </w:rPr>
      </w:pPr>
    </w:p>
    <w:p>
      <w:pPr>
        <w:spacing w:line="480" w:lineRule="auto" w:before="0"/>
        <w:ind w:left="104" w:right="203" w:firstLine="0"/>
        <w:jc w:val="both"/>
        <w:rPr>
          <w:rFonts w:ascii="Times New Roman"/>
          <w:sz w:val="24"/>
        </w:rPr>
      </w:pPr>
      <w:r>
        <w:rPr>
          <w:rFonts w:ascii="Times New Roman"/>
          <w:sz w:val="24"/>
        </w:rPr>
        <w:t>[17] Low DA, Dempsey JF. Evaluation of the gamma dose distribution  comparison method. Med Phys. 2003; 30: 2455-64.</w:t>
      </w:r>
    </w:p>
    <w:p>
      <w:pPr>
        <w:pStyle w:val="BodyText"/>
        <w:spacing w:before="9"/>
        <w:rPr>
          <w:rFonts w:ascii="Times New Roman"/>
        </w:rPr>
      </w:pPr>
    </w:p>
    <w:p>
      <w:pPr>
        <w:spacing w:line="480" w:lineRule="auto" w:before="0"/>
        <w:ind w:left="104" w:right="201" w:firstLine="0"/>
        <w:jc w:val="both"/>
        <w:rPr>
          <w:rFonts w:ascii="Times New Roman"/>
          <w:sz w:val="24"/>
        </w:rPr>
      </w:pPr>
      <w:r>
        <w:rPr>
          <w:rFonts w:ascii="Times New Roman"/>
          <w:sz w:val="24"/>
        </w:rPr>
        <w:t>[18] Childress NL, White RA, Bloch C, Salehpour M, Dong L, Rosen l. Retrospective analysis of 2D patient-specific IMRT verifications. Med Phys. 2005; 32: 838-50.</w:t>
      </w:r>
    </w:p>
    <w:p>
      <w:pPr>
        <w:pStyle w:val="BodyText"/>
        <w:spacing w:before="5"/>
        <w:rPr>
          <w:rFonts w:ascii="Times New Roman"/>
        </w:rPr>
      </w:pPr>
    </w:p>
    <w:p>
      <w:pPr>
        <w:spacing w:line="480" w:lineRule="auto" w:before="0"/>
        <w:ind w:left="104" w:right="196" w:firstLine="0"/>
        <w:jc w:val="both"/>
        <w:rPr>
          <w:rFonts w:ascii="Times New Roman"/>
          <w:sz w:val="24"/>
        </w:rPr>
      </w:pPr>
      <w:r>
        <w:rPr>
          <w:rFonts w:ascii="Times New Roman"/>
          <w:sz w:val="24"/>
        </w:rPr>
        <w:t>[19] Burch SE, Kearfott KJ, Trueblood JH, Sheils WC, Yeo JI, Wang CK. A new approach to film dosimetry for high energy photon beams: lateral scatter filtering. Med Phys. 1997; 24: 775-83.</w:t>
      </w:r>
    </w:p>
    <w:p>
      <w:pPr>
        <w:spacing w:after="0" w:line="480" w:lineRule="auto"/>
        <w:jc w:val="both"/>
        <w:rPr>
          <w:rFonts w:ascii="Times New Roman"/>
          <w:sz w:val="24"/>
        </w:rPr>
        <w:sectPr>
          <w:pgSz w:w="12240" w:h="15840"/>
          <w:pgMar w:header="0" w:footer="1046" w:top="1360" w:bottom="1240" w:left="1600" w:right="15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5"/>
        </w:rPr>
      </w:pPr>
    </w:p>
    <w:p>
      <w:pPr>
        <w:pStyle w:val="BodyText"/>
        <w:spacing w:before="76"/>
        <w:ind w:left="104"/>
      </w:pPr>
      <w:r>
        <w:rPr/>
        <w:t>Tabla 1</w:t>
      </w:r>
    </w:p>
    <w:p>
      <w:pPr>
        <w:pStyle w:val="BodyText"/>
        <w:spacing w:before="9"/>
        <w:rPr>
          <w:sz w:val="28"/>
        </w:rPr>
      </w:pPr>
    </w:p>
    <w:tbl>
      <w:tblPr>
        <w:tblW w:w="0" w:type="auto"/>
        <w:jc w:val="left"/>
        <w:tblInd w:w="132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01"/>
        <w:gridCol w:w="1620"/>
        <w:gridCol w:w="1620"/>
        <w:gridCol w:w="1621"/>
      </w:tblGrid>
      <w:tr>
        <w:trPr>
          <w:trHeight w:val="348" w:hRule="exact"/>
        </w:trPr>
        <w:tc>
          <w:tcPr>
            <w:tcW w:w="1501" w:type="dxa"/>
          </w:tcPr>
          <w:p>
            <w:pPr/>
          </w:p>
        </w:tc>
        <w:tc>
          <w:tcPr>
            <w:tcW w:w="1620" w:type="dxa"/>
          </w:tcPr>
          <w:p>
            <w:pPr>
              <w:pStyle w:val="TableParagraph"/>
              <w:spacing w:before="6"/>
              <w:ind w:left="104"/>
              <w:jc w:val="left"/>
              <w:rPr>
                <w:rFonts w:ascii="Calibri"/>
                <w:b/>
                <w:sz w:val="22"/>
              </w:rPr>
            </w:pPr>
            <w:r>
              <w:rPr>
                <w:rFonts w:ascii="Calibri"/>
                <w:b/>
                <w:sz w:val="22"/>
              </w:rPr>
              <w:t>Canal rojo</w:t>
            </w:r>
          </w:p>
        </w:tc>
        <w:tc>
          <w:tcPr>
            <w:tcW w:w="1620" w:type="dxa"/>
          </w:tcPr>
          <w:p>
            <w:pPr>
              <w:pStyle w:val="TableParagraph"/>
              <w:spacing w:before="6"/>
              <w:ind w:left="104"/>
              <w:jc w:val="left"/>
              <w:rPr>
                <w:rFonts w:ascii="Calibri"/>
                <w:b/>
                <w:sz w:val="22"/>
              </w:rPr>
            </w:pPr>
            <w:r>
              <w:rPr>
                <w:rFonts w:ascii="Calibri"/>
                <w:b/>
                <w:sz w:val="22"/>
              </w:rPr>
              <w:t>Canal verde</w:t>
            </w:r>
          </w:p>
        </w:tc>
        <w:tc>
          <w:tcPr>
            <w:tcW w:w="1621" w:type="dxa"/>
          </w:tcPr>
          <w:p>
            <w:pPr>
              <w:pStyle w:val="TableParagraph"/>
              <w:spacing w:before="6"/>
              <w:ind w:left="104"/>
              <w:jc w:val="left"/>
              <w:rPr>
                <w:rFonts w:ascii="Calibri"/>
                <w:b/>
                <w:sz w:val="22"/>
              </w:rPr>
            </w:pPr>
            <w:r>
              <w:rPr>
                <w:rFonts w:ascii="Calibri"/>
                <w:b/>
                <w:sz w:val="22"/>
              </w:rPr>
              <w:t>Canal azul</w:t>
            </w:r>
          </w:p>
        </w:tc>
      </w:tr>
      <w:tr>
        <w:trPr>
          <w:trHeight w:val="692" w:hRule="exact"/>
        </w:trPr>
        <w:tc>
          <w:tcPr>
            <w:tcW w:w="1501" w:type="dxa"/>
          </w:tcPr>
          <w:p>
            <w:pPr>
              <w:pStyle w:val="TableParagraph"/>
              <w:spacing w:before="2"/>
              <w:ind w:left="103" w:right="356"/>
              <w:jc w:val="left"/>
              <w:rPr>
                <w:rFonts w:ascii="Calibri" w:hAnsi="Calibri"/>
                <w:b/>
                <w:sz w:val="22"/>
              </w:rPr>
            </w:pPr>
            <w:r>
              <w:rPr>
                <w:rFonts w:ascii="Calibri" w:hAnsi="Calibri"/>
                <w:b/>
                <w:sz w:val="22"/>
              </w:rPr>
              <w:t>Polinómica 3er grado</w:t>
            </w:r>
          </w:p>
        </w:tc>
        <w:tc>
          <w:tcPr>
            <w:tcW w:w="1620" w:type="dxa"/>
          </w:tcPr>
          <w:p>
            <w:pPr>
              <w:pStyle w:val="TableParagraph"/>
              <w:spacing w:before="6"/>
              <w:ind w:left="104"/>
              <w:jc w:val="left"/>
              <w:rPr>
                <w:rFonts w:ascii="Calibri"/>
                <w:sz w:val="22"/>
              </w:rPr>
            </w:pPr>
            <w:r>
              <w:rPr>
                <w:rFonts w:ascii="Calibri"/>
                <w:sz w:val="22"/>
              </w:rPr>
              <w:t>.99992</w:t>
            </w:r>
          </w:p>
        </w:tc>
        <w:tc>
          <w:tcPr>
            <w:tcW w:w="1620" w:type="dxa"/>
          </w:tcPr>
          <w:p>
            <w:pPr>
              <w:pStyle w:val="TableParagraph"/>
              <w:spacing w:before="6"/>
              <w:ind w:left="104"/>
              <w:jc w:val="left"/>
              <w:rPr>
                <w:rFonts w:ascii="Calibri"/>
                <w:sz w:val="22"/>
              </w:rPr>
            </w:pPr>
            <w:r>
              <w:rPr>
                <w:rFonts w:ascii="Calibri"/>
                <w:sz w:val="22"/>
              </w:rPr>
              <w:t>.99902</w:t>
            </w:r>
          </w:p>
        </w:tc>
        <w:tc>
          <w:tcPr>
            <w:tcW w:w="1621" w:type="dxa"/>
          </w:tcPr>
          <w:p>
            <w:pPr>
              <w:pStyle w:val="TableParagraph"/>
              <w:spacing w:before="6"/>
              <w:ind w:left="151"/>
              <w:jc w:val="left"/>
              <w:rPr>
                <w:rFonts w:ascii="Calibri"/>
                <w:sz w:val="22"/>
              </w:rPr>
            </w:pPr>
            <w:r>
              <w:rPr>
                <w:rFonts w:ascii="Calibri"/>
                <w:sz w:val="22"/>
              </w:rPr>
              <w:t>.99897</w:t>
            </w:r>
          </w:p>
        </w:tc>
      </w:tr>
      <w:tr>
        <w:trPr>
          <w:trHeight w:val="689" w:hRule="exact"/>
        </w:trPr>
        <w:tc>
          <w:tcPr>
            <w:tcW w:w="1501" w:type="dxa"/>
          </w:tcPr>
          <w:p>
            <w:pPr>
              <w:pStyle w:val="TableParagraph"/>
              <w:spacing w:before="2"/>
              <w:ind w:left="103" w:right="356"/>
              <w:jc w:val="left"/>
              <w:rPr>
                <w:rFonts w:ascii="Calibri" w:hAnsi="Calibri"/>
                <w:b/>
                <w:sz w:val="22"/>
              </w:rPr>
            </w:pPr>
            <w:r>
              <w:rPr>
                <w:rFonts w:ascii="Calibri" w:hAnsi="Calibri"/>
                <w:b/>
                <w:sz w:val="22"/>
              </w:rPr>
              <w:t>Polinómica 2do grado</w:t>
            </w:r>
          </w:p>
        </w:tc>
        <w:tc>
          <w:tcPr>
            <w:tcW w:w="1620" w:type="dxa"/>
          </w:tcPr>
          <w:p>
            <w:pPr>
              <w:pStyle w:val="TableParagraph"/>
              <w:spacing w:before="6"/>
              <w:ind w:left="104"/>
              <w:jc w:val="left"/>
              <w:rPr>
                <w:rFonts w:ascii="Calibri"/>
                <w:sz w:val="22"/>
              </w:rPr>
            </w:pPr>
            <w:r>
              <w:rPr>
                <w:rFonts w:ascii="Calibri"/>
                <w:sz w:val="22"/>
              </w:rPr>
              <w:t>.99990</w:t>
            </w:r>
          </w:p>
        </w:tc>
        <w:tc>
          <w:tcPr>
            <w:tcW w:w="1620" w:type="dxa"/>
          </w:tcPr>
          <w:p>
            <w:pPr>
              <w:pStyle w:val="TableParagraph"/>
              <w:spacing w:before="6"/>
              <w:ind w:left="104"/>
              <w:jc w:val="left"/>
              <w:rPr>
                <w:rFonts w:ascii="Calibri"/>
                <w:sz w:val="22"/>
              </w:rPr>
            </w:pPr>
            <w:r>
              <w:rPr>
                <w:rFonts w:ascii="Calibri"/>
                <w:sz w:val="22"/>
              </w:rPr>
              <w:t>.99773</w:t>
            </w:r>
          </w:p>
        </w:tc>
        <w:tc>
          <w:tcPr>
            <w:tcW w:w="1621" w:type="dxa"/>
          </w:tcPr>
          <w:p>
            <w:pPr>
              <w:pStyle w:val="TableParagraph"/>
              <w:spacing w:before="6"/>
              <w:ind w:left="104"/>
              <w:jc w:val="left"/>
              <w:rPr>
                <w:rFonts w:ascii="Calibri"/>
                <w:sz w:val="22"/>
              </w:rPr>
            </w:pPr>
            <w:r>
              <w:rPr>
                <w:rFonts w:ascii="Calibri"/>
                <w:sz w:val="22"/>
              </w:rPr>
              <w:t>.99689</w:t>
            </w:r>
          </w:p>
        </w:tc>
      </w:tr>
      <w:tr>
        <w:trPr>
          <w:trHeight w:val="352" w:hRule="exact"/>
        </w:trPr>
        <w:tc>
          <w:tcPr>
            <w:tcW w:w="1501" w:type="dxa"/>
          </w:tcPr>
          <w:p>
            <w:pPr>
              <w:pStyle w:val="TableParagraph"/>
              <w:spacing w:before="6"/>
              <w:ind w:left="103" w:right="356"/>
              <w:jc w:val="left"/>
              <w:rPr>
                <w:rFonts w:ascii="Calibri"/>
                <w:b/>
                <w:sz w:val="22"/>
              </w:rPr>
            </w:pPr>
            <w:r>
              <w:rPr>
                <w:rFonts w:ascii="Calibri"/>
                <w:b/>
                <w:sz w:val="22"/>
              </w:rPr>
              <w:t>Racional</w:t>
            </w:r>
          </w:p>
        </w:tc>
        <w:tc>
          <w:tcPr>
            <w:tcW w:w="1620" w:type="dxa"/>
          </w:tcPr>
          <w:p>
            <w:pPr>
              <w:pStyle w:val="TableParagraph"/>
              <w:spacing w:before="6"/>
              <w:ind w:left="104"/>
              <w:jc w:val="left"/>
              <w:rPr>
                <w:rFonts w:ascii="Calibri"/>
                <w:sz w:val="22"/>
              </w:rPr>
            </w:pPr>
            <w:r>
              <w:rPr>
                <w:rFonts w:ascii="Calibri"/>
                <w:sz w:val="22"/>
              </w:rPr>
              <w:t>.99968</w:t>
            </w:r>
          </w:p>
        </w:tc>
        <w:tc>
          <w:tcPr>
            <w:tcW w:w="1620" w:type="dxa"/>
          </w:tcPr>
          <w:p>
            <w:pPr>
              <w:pStyle w:val="TableParagraph"/>
              <w:spacing w:before="6"/>
              <w:ind w:left="104"/>
              <w:jc w:val="left"/>
              <w:rPr>
                <w:rFonts w:ascii="Calibri"/>
                <w:sz w:val="22"/>
              </w:rPr>
            </w:pPr>
            <w:r>
              <w:rPr>
                <w:rFonts w:ascii="Calibri"/>
                <w:sz w:val="22"/>
              </w:rPr>
              <w:t>.99977</w:t>
            </w:r>
          </w:p>
        </w:tc>
        <w:tc>
          <w:tcPr>
            <w:tcW w:w="1621" w:type="dxa"/>
          </w:tcPr>
          <w:p>
            <w:pPr>
              <w:pStyle w:val="TableParagraph"/>
              <w:spacing w:before="6"/>
              <w:ind w:left="104"/>
              <w:jc w:val="left"/>
              <w:rPr>
                <w:rFonts w:ascii="Calibri"/>
                <w:sz w:val="22"/>
              </w:rPr>
            </w:pPr>
            <w:r>
              <w:rPr>
                <w:rFonts w:ascii="Calibri"/>
                <w:sz w:val="22"/>
              </w:rPr>
              <w:t>.99871</w:t>
            </w:r>
          </w:p>
        </w:tc>
      </w:tr>
      <w:tr>
        <w:trPr>
          <w:trHeight w:val="352" w:hRule="exact"/>
        </w:trPr>
        <w:tc>
          <w:tcPr>
            <w:tcW w:w="1501" w:type="dxa"/>
          </w:tcPr>
          <w:p>
            <w:pPr>
              <w:pStyle w:val="TableParagraph"/>
              <w:spacing w:before="2"/>
              <w:ind w:left="103" w:right="356"/>
              <w:jc w:val="left"/>
              <w:rPr>
                <w:rFonts w:ascii="Calibri"/>
                <w:b/>
                <w:sz w:val="22"/>
              </w:rPr>
            </w:pPr>
            <w:r>
              <w:rPr>
                <w:rFonts w:ascii="Calibri"/>
                <w:b/>
                <w:sz w:val="22"/>
              </w:rPr>
              <w:t>Racional</w:t>
            </w:r>
          </w:p>
        </w:tc>
        <w:tc>
          <w:tcPr>
            <w:tcW w:w="1620" w:type="dxa"/>
          </w:tcPr>
          <w:p>
            <w:pPr>
              <w:pStyle w:val="TableParagraph"/>
              <w:spacing w:before="2"/>
              <w:ind w:left="104"/>
              <w:jc w:val="left"/>
              <w:rPr>
                <w:rFonts w:ascii="Calibri"/>
                <w:sz w:val="22"/>
              </w:rPr>
            </w:pPr>
            <w:r>
              <w:rPr>
                <w:rFonts w:ascii="Calibri"/>
                <w:sz w:val="22"/>
              </w:rPr>
              <w:t>.99980</w:t>
            </w:r>
          </w:p>
        </w:tc>
        <w:tc>
          <w:tcPr>
            <w:tcW w:w="1620" w:type="dxa"/>
          </w:tcPr>
          <w:p>
            <w:pPr/>
          </w:p>
        </w:tc>
        <w:tc>
          <w:tcPr>
            <w:tcW w:w="1621" w:type="dxa"/>
          </w:tcPr>
          <w:p>
            <w:pPr/>
          </w:p>
        </w:tc>
      </w:tr>
    </w:tbl>
    <w:p>
      <w:pPr>
        <w:spacing w:after="0"/>
        <w:sectPr>
          <w:footerReference w:type="default" r:id="rId67"/>
          <w:pgSz w:w="12240" w:h="15840"/>
          <w:pgMar w:footer="1046" w:header="0" w:top="1500" w:bottom="1240" w:left="1600" w:right="1600"/>
          <w:pgNumType w:start="16"/>
        </w:sectPr>
      </w:pPr>
    </w:p>
    <w:p>
      <w:pPr>
        <w:spacing w:before="44"/>
        <w:ind w:left="100" w:right="0" w:firstLine="0"/>
        <w:jc w:val="left"/>
        <w:rPr>
          <w:rFonts w:ascii="Arial"/>
          <w:b/>
          <w:sz w:val="20"/>
        </w:rPr>
      </w:pPr>
      <w:r>
        <w:rPr>
          <w:rFonts w:ascii="Arial"/>
          <w:b/>
          <w:sz w:val="20"/>
        </w:rPr>
        <w:t>Figura (Figure) 1</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pStyle w:val="BodyText"/>
        <w:spacing w:before="1"/>
        <w:ind w:left="1704"/>
        <w:rPr>
          <w:rFonts w:ascii="Calibri"/>
        </w:rPr>
      </w:pPr>
      <w:r>
        <w:rPr>
          <w:rFonts w:ascii="Calibri"/>
        </w:rPr>
        <w:t>Figura 1</w:t>
      </w:r>
    </w:p>
    <w:p>
      <w:pPr>
        <w:pStyle w:val="BodyText"/>
        <w:rPr>
          <w:rFonts w:ascii="Calibri"/>
          <w:sz w:val="20"/>
        </w:rPr>
      </w:pPr>
    </w:p>
    <w:p>
      <w:pPr>
        <w:pStyle w:val="BodyText"/>
        <w:spacing w:before="11"/>
        <w:rPr>
          <w:rFonts w:ascii="Calibri"/>
          <w:sz w:val="28"/>
        </w:rPr>
      </w:pPr>
      <w:r>
        <w:rPr/>
        <w:drawing>
          <wp:anchor distT="0" distB="0" distL="0" distR="0" allowOverlap="1" layoutInCell="1" locked="0" behindDoc="0" simplePos="0" relativeHeight="3544">
            <wp:simplePos x="0" y="0"/>
            <wp:positionH relativeFrom="page">
              <wp:posOffset>1923414</wp:posOffset>
            </wp:positionH>
            <wp:positionV relativeFrom="paragraph">
              <wp:posOffset>249032</wp:posOffset>
            </wp:positionV>
            <wp:extent cx="3890169" cy="2221611"/>
            <wp:effectExtent l="0" t="0" r="0" b="0"/>
            <wp:wrapTopAndBottom/>
            <wp:docPr id="73" name="image47.png" descr=""/>
            <wp:cNvGraphicFramePr>
              <a:graphicFrameLocks noChangeAspect="1"/>
            </wp:cNvGraphicFramePr>
            <a:graphic>
              <a:graphicData uri="http://schemas.openxmlformats.org/drawingml/2006/picture">
                <pic:pic>
                  <pic:nvPicPr>
                    <pic:cNvPr id="74" name="image47.png"/>
                    <pic:cNvPicPr/>
                  </pic:nvPicPr>
                  <pic:blipFill>
                    <a:blip r:embed="rId68" cstate="print"/>
                    <a:stretch>
                      <a:fillRect/>
                    </a:stretch>
                  </pic:blipFill>
                  <pic:spPr>
                    <a:xfrm>
                      <a:off x="0" y="0"/>
                      <a:ext cx="3890169" cy="2221611"/>
                    </a:xfrm>
                    <a:prstGeom prst="rect">
                      <a:avLst/>
                    </a:prstGeom>
                  </pic:spPr>
                </pic:pic>
              </a:graphicData>
            </a:graphic>
          </wp:anchor>
        </w:drawing>
      </w:r>
    </w:p>
    <w:p>
      <w:pPr>
        <w:pStyle w:val="BodyText"/>
        <w:spacing w:before="7"/>
        <w:rPr>
          <w:rFonts w:ascii="Calibri"/>
          <w:sz w:val="6"/>
        </w:rPr>
      </w:pPr>
    </w:p>
    <w:p>
      <w:pPr>
        <w:spacing w:before="75"/>
        <w:ind w:left="3445" w:right="0" w:firstLine="0"/>
        <w:jc w:val="left"/>
        <w:rPr>
          <w:rFonts w:ascii="Times New Roman" w:hAnsi="Times New Roman"/>
          <w:sz w:val="20"/>
        </w:rPr>
      </w:pPr>
      <w:r>
        <w:rPr>
          <w:rFonts w:ascii="Times New Roman" w:hAnsi="Times New Roman"/>
          <w:sz w:val="20"/>
        </w:rPr>
        <w:t>Figura 1. Curva de calibración de las películas radiográficas EDR2</w:t>
      </w:r>
    </w:p>
    <w:p>
      <w:pPr>
        <w:spacing w:after="0"/>
        <w:jc w:val="left"/>
        <w:rPr>
          <w:rFonts w:ascii="Times New Roman" w:hAnsi="Times New Roman"/>
          <w:sz w:val="20"/>
        </w:rPr>
        <w:sectPr>
          <w:pgSz w:w="12240" w:h="15840"/>
          <w:pgMar w:header="0" w:footer="1046" w:top="0" w:bottom="1240" w:left="0" w:right="1600"/>
        </w:sectPr>
      </w:pPr>
    </w:p>
    <w:p>
      <w:pPr>
        <w:spacing w:before="44"/>
        <w:ind w:left="100" w:right="0" w:firstLine="0"/>
        <w:jc w:val="left"/>
        <w:rPr>
          <w:rFonts w:ascii="Arial"/>
          <w:b/>
          <w:sz w:val="20"/>
        </w:rPr>
      </w:pPr>
      <w:r>
        <w:rPr>
          <w:rFonts w:ascii="Arial"/>
          <w:b/>
          <w:sz w:val="20"/>
        </w:rPr>
        <w:t>Figura (Figure) 2</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pStyle w:val="BodyText"/>
        <w:spacing w:before="1"/>
        <w:ind w:left="1704"/>
        <w:rPr>
          <w:rFonts w:ascii="Calibri"/>
        </w:rPr>
      </w:pPr>
      <w:r>
        <w:rPr>
          <w:rFonts w:ascii="Calibri"/>
        </w:rPr>
        <w:t>Figura 2</w:t>
      </w:r>
    </w:p>
    <w:p>
      <w:pPr>
        <w:pStyle w:val="BodyText"/>
        <w:rPr>
          <w:rFonts w:ascii="Calibri"/>
          <w:sz w:val="20"/>
        </w:rPr>
      </w:pPr>
    </w:p>
    <w:p>
      <w:pPr>
        <w:pStyle w:val="BodyText"/>
        <w:spacing w:before="10"/>
        <w:rPr>
          <w:rFonts w:ascii="Calibri"/>
          <w:sz w:val="28"/>
        </w:rPr>
      </w:pPr>
      <w:r>
        <w:rPr/>
        <w:drawing>
          <wp:anchor distT="0" distB="0" distL="0" distR="0" allowOverlap="1" layoutInCell="1" locked="0" behindDoc="0" simplePos="0" relativeHeight="3568">
            <wp:simplePos x="0" y="0"/>
            <wp:positionH relativeFrom="page">
              <wp:posOffset>1940560</wp:posOffset>
            </wp:positionH>
            <wp:positionV relativeFrom="paragraph">
              <wp:posOffset>248397</wp:posOffset>
            </wp:positionV>
            <wp:extent cx="3920827" cy="2303716"/>
            <wp:effectExtent l="0" t="0" r="0" b="0"/>
            <wp:wrapTopAndBottom/>
            <wp:docPr id="75" name="image48.png" descr=""/>
            <wp:cNvGraphicFramePr>
              <a:graphicFrameLocks noChangeAspect="1"/>
            </wp:cNvGraphicFramePr>
            <a:graphic>
              <a:graphicData uri="http://schemas.openxmlformats.org/drawingml/2006/picture">
                <pic:pic>
                  <pic:nvPicPr>
                    <pic:cNvPr id="76" name="image48.png"/>
                    <pic:cNvPicPr/>
                  </pic:nvPicPr>
                  <pic:blipFill>
                    <a:blip r:embed="rId69" cstate="print"/>
                    <a:stretch>
                      <a:fillRect/>
                    </a:stretch>
                  </pic:blipFill>
                  <pic:spPr>
                    <a:xfrm>
                      <a:off x="0" y="0"/>
                      <a:ext cx="3920827" cy="2303716"/>
                    </a:xfrm>
                    <a:prstGeom prst="rect">
                      <a:avLst/>
                    </a:prstGeom>
                  </pic:spPr>
                </pic:pic>
              </a:graphicData>
            </a:graphic>
          </wp:anchor>
        </w:drawing>
      </w:r>
    </w:p>
    <w:p>
      <w:pPr>
        <w:spacing w:before="91"/>
        <w:ind w:left="3409" w:right="0" w:firstLine="0"/>
        <w:jc w:val="left"/>
        <w:rPr>
          <w:rFonts w:ascii="Times New Roman" w:hAnsi="Times New Roman"/>
          <w:sz w:val="20"/>
        </w:rPr>
      </w:pPr>
      <w:r>
        <w:rPr>
          <w:rFonts w:ascii="Times New Roman" w:hAnsi="Times New Roman"/>
          <w:sz w:val="20"/>
        </w:rPr>
        <w:t>Figura 1. Curva de calibración de las películas radiocrómicas EBT3</w:t>
      </w:r>
    </w:p>
    <w:p>
      <w:pPr>
        <w:spacing w:after="0"/>
        <w:jc w:val="left"/>
        <w:rPr>
          <w:rFonts w:ascii="Times New Roman" w:hAnsi="Times New Roman"/>
          <w:sz w:val="20"/>
        </w:rPr>
        <w:sectPr>
          <w:pgSz w:w="12240" w:h="15840"/>
          <w:pgMar w:header="0" w:footer="1046" w:top="0" w:bottom="1240" w:left="0" w:right="1600"/>
        </w:sectPr>
      </w:pPr>
    </w:p>
    <w:p>
      <w:pPr>
        <w:spacing w:before="44"/>
        <w:ind w:left="100" w:right="1080" w:firstLine="0"/>
        <w:jc w:val="left"/>
        <w:rPr>
          <w:rFonts w:ascii="Arial"/>
          <w:b/>
          <w:sz w:val="20"/>
        </w:rPr>
      </w:pPr>
      <w:r>
        <w:rPr>
          <w:rFonts w:ascii="Arial"/>
          <w:b/>
          <w:sz w:val="20"/>
        </w:rPr>
        <w:t>Figura (Figure) 3</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pStyle w:val="BodyText"/>
        <w:spacing w:before="1"/>
        <w:ind w:left="1704" w:right="1080"/>
        <w:rPr>
          <w:rFonts w:ascii="Calibri"/>
        </w:rPr>
      </w:pPr>
      <w:r>
        <w:rPr/>
        <w:pict>
          <v:group style="position:absolute;margin-left:173.050003pt;margin-top:56.133602pt;width:198.35pt;height:121.7pt;mso-position-horizontal-relative:page;mso-position-vertical-relative:paragraph;z-index:-103432" coordorigin="3461,1123" coordsize="3967,2434">
            <v:shape style="position:absolute;left:3540;top:1128;width:3809;height:1968" coordorigin="3540,1128" coordsize="3809,1968" path="m3540,3096l7349,3096m3540,2703l7349,2703m3540,2309l7349,2309m3540,1915l7349,1915m3540,1522l7349,1522m3540,1128l7349,1128e" filled="false" stroked="true" strokeweight=".48pt" strokecolor="#878787">
              <v:path arrowok="t"/>
              <v:stroke dashstyle="dash"/>
            </v:shape>
            <v:shape style="position:absolute;left:3478;top:1128;width:3871;height:2424" coordorigin="3478,1128" coordsize="3871,2424" path="m3540,3490l3540,1128m3478,3490l3540,3490m3478,3096l3540,3096m3478,2703l3540,2703m3478,2309l3540,2309m3478,1915l3540,1915m3478,1522l3540,1522m3478,1128l3540,1128m3540,3490l7349,3490m3540,3490l3540,3552m3833,3490l3833,3552m4126,3490l4126,3552m4421,3490l4421,3552m4714,3490l4714,3552m5006,3490l5006,3552m5299,3490l5299,3552m5592,3490l5592,3552m5885,3490l5885,3552m6178,3490l6178,3552m6470,3490l6470,3552m6763,3490l6763,3552m7056,3490l7056,3552m7349,3490l7349,3552e" filled="false" stroked="true" strokeweight=".48pt" strokecolor="#878787">
              <v:path arrowok="t"/>
            </v:shape>
            <v:shape style="position:absolute;left:3540;top:1524;width:3809;height:1966" coordorigin="3540,1524" coordsize="3809,1966" path="m3540,3490l3833,1524,4126,2431,4421,2429,4714,2866,5006,2880,5299,2974,5592,3003,5885,3024,6178,3036,6470,3060,6763,3075,7056,3079,7349,3079e" filled="false" stroked="true" strokeweight="1.44pt" strokecolor="#000000">
              <v:path arrowok="t"/>
              <v:stroke dashstyle="longDash"/>
            </v:shape>
            <v:shape style="position:absolute;left:3501;top:1524;width:3887;height:1966" coordorigin="3501,1524" coordsize="3887,1966" path="m3501,3490l3581,3490m3794,1524l3874,1524m4087,2433l4167,2433m4380,2429l4460,2429m4673,2868l4753,2868m4965,2882l5045,2882m5258,2974l5338,2974m5551,3003l5631,3003m5844,3025l5924,3025m6137,3036l6217,3036m6430,3062l6510,3062m6723,3075l6803,3075m7016,3081l7096,3081m7308,3081l7388,3081e" filled="false" stroked="true" strokeweight="4pt" strokecolor="#000000">
              <v:path arrowok="t"/>
            </v:shape>
            <v:shape style="position:absolute;left:3501;top:3450;width:40;height:80" coordorigin="3501,3450" coordsize="40,80" path="m3541,3490l3501,3530,3541,3530,3541,3490xm3541,3450l3501,3450,3541,3490,3541,3450xe" filled="true" fillcolor="#000000" stroked="false">
              <v:path arrowok="t"/>
              <v:fill type="solid"/>
            </v:shape>
            <v:shape style="position:absolute;left:3501;top:3450;width:80;height:80" coordorigin="3501,3450" coordsize="80,80" path="m3581,3530l3501,3450m3541,3450l3541,3530m3501,3530l3581,3450e" filled="false" stroked="true" strokeweight=".5pt" strokecolor="#000000">
              <v:path arrowok="t"/>
            </v:shape>
            <v:shape style="position:absolute;left:3794;top:1484;width:40;height:80" coordorigin="3794,1484" coordsize="40,80" path="m3834,1524l3794,1564,3834,1564,3834,1524xm3834,1484l3794,1484,3834,1524,3834,1484xe" filled="true" fillcolor="#000000" stroked="false">
              <v:path arrowok="t"/>
              <v:fill type="solid"/>
            </v:shape>
            <v:shape style="position:absolute;left:3794;top:1484;width:80;height:80" coordorigin="3794,1484" coordsize="80,80" path="m3874,1564l3794,1484m3834,1484l3834,1564m3794,1564l3874,1484e" filled="false" stroked="true" strokeweight=".5pt" strokecolor="#000000">
              <v:path arrowok="t"/>
            </v:shape>
            <v:shape style="position:absolute;left:4087;top:2393;width:40;height:80" coordorigin="4087,2393" coordsize="40,80" path="m4127,2433l4087,2473,4127,2473,4127,2433xm4127,2393l4087,2393,4127,2433,4127,2393xe" filled="true" fillcolor="#000000" stroked="false">
              <v:path arrowok="t"/>
              <v:fill type="solid"/>
            </v:shape>
            <v:shape style="position:absolute;left:4087;top:2393;width:80;height:80" coordorigin="4087,2393" coordsize="80,80" path="m4167,2473l4087,2393m4127,2393l4127,2473m4087,2473l4167,2393e" filled="false" stroked="true" strokeweight=".5pt" strokecolor="#000000">
              <v:path arrowok="t"/>
            </v:shape>
            <v:shape style="position:absolute;left:4380;top:2389;width:40;height:80" coordorigin="4380,2389" coordsize="40,80" path="m4420,2429l4380,2469,4420,2469,4420,2429xm4420,2389l4380,2389,4420,2429,4420,2389xe" filled="true" fillcolor="#000000" stroked="false">
              <v:path arrowok="t"/>
              <v:fill type="solid"/>
            </v:shape>
            <v:shape style="position:absolute;left:4380;top:2389;width:80;height:80" coordorigin="4380,2389" coordsize="80,80" path="m4460,2469l4380,2389m4420,2389l4420,2469m4380,2469l4460,2389e" filled="false" stroked="true" strokeweight=".5pt" strokecolor="#000000">
              <v:path arrowok="t"/>
            </v:shape>
            <v:shape style="position:absolute;left:4673;top:2828;width:40;height:80" coordorigin="4673,2828" coordsize="40,80" path="m4713,2868l4673,2908,4713,2908,4713,2868xm4713,2828l4673,2828,4713,2868,4713,2828xe" filled="true" fillcolor="#000000" stroked="false">
              <v:path arrowok="t"/>
              <v:fill type="solid"/>
            </v:shape>
            <v:shape style="position:absolute;left:4673;top:2828;width:80;height:80" coordorigin="4673,2828" coordsize="80,80" path="m4753,2908l4673,2828m4713,2828l4713,2908m4673,2908l4753,2828e" filled="false" stroked="true" strokeweight=".5pt" strokecolor="#000000">
              <v:path arrowok="t"/>
            </v:shape>
            <v:shape style="position:absolute;left:4965;top:2842;width:40;height:80" coordorigin="4965,2842" coordsize="40,80" path="m5005,2882l4965,2922,5005,2922,5005,2882xm5005,2842l4965,2842,5005,2882,5005,2842xe" filled="true" fillcolor="#000000" stroked="false">
              <v:path arrowok="t"/>
              <v:fill type="solid"/>
            </v:shape>
            <v:shape style="position:absolute;left:4965;top:2842;width:80;height:80" coordorigin="4965,2842" coordsize="80,80" path="m5045,2922l4965,2842m5005,2842l5005,2922m4965,2922l5045,2842e" filled="false" stroked="true" strokeweight=".5pt" strokecolor="#000000">
              <v:path arrowok="t"/>
            </v:shape>
            <v:shape style="position:absolute;left:5258;top:2934;width:40;height:80" coordorigin="5258,2934" coordsize="40,80" path="m5298,2974l5258,3014,5298,3014,5298,2974xm5298,2934l5258,2934,5298,2974,5298,2934xe" filled="true" fillcolor="#000000" stroked="false">
              <v:path arrowok="t"/>
              <v:fill type="solid"/>
            </v:shape>
            <v:shape style="position:absolute;left:5258;top:2934;width:80;height:80" coordorigin="5258,2934" coordsize="80,80" path="m5338,3014l5258,2934m5298,2934l5298,3014m5258,3014l5338,2934e" filled="false" stroked="true" strokeweight=".5pt" strokecolor="#000000">
              <v:path arrowok="t"/>
            </v:shape>
            <v:shape style="position:absolute;left:5551;top:2963;width:40;height:80" coordorigin="5551,2963" coordsize="40,80" path="m5591,3003l5551,3043,5591,3043,5591,3003xm5591,2963l5551,2963,5591,3003,5591,2963xe" filled="true" fillcolor="#000000" stroked="false">
              <v:path arrowok="t"/>
              <v:fill type="solid"/>
            </v:shape>
            <v:shape style="position:absolute;left:5551;top:2963;width:80;height:80" coordorigin="5551,2963" coordsize="80,80" path="m5631,3043l5551,2963m5591,2963l5591,3043m5551,3043l5631,2963e" filled="false" stroked="true" strokeweight=".5pt" strokecolor="#000000">
              <v:path arrowok="t"/>
            </v:shape>
            <v:shape style="position:absolute;left:5844;top:2985;width:40;height:80" coordorigin="5844,2985" coordsize="40,80" path="m5884,3025l5844,3065,5884,3065,5884,3025xm5884,2985l5844,2985,5884,3025,5884,2985xe" filled="true" fillcolor="#000000" stroked="false">
              <v:path arrowok="t"/>
              <v:fill type="solid"/>
            </v:shape>
            <v:shape style="position:absolute;left:5844;top:2985;width:80;height:80" coordorigin="5844,2985" coordsize="80,80" path="m5924,3065l5844,2985m5884,2985l5884,3065m5844,3065l5924,2985e" filled="false" stroked="true" strokeweight=".5pt" strokecolor="#000000">
              <v:path arrowok="t"/>
            </v:shape>
            <v:shape style="position:absolute;left:6137;top:2996;width:40;height:80" coordorigin="6137,2996" coordsize="40,80" path="m6177,3036l6137,3076,6177,3076,6177,3036xm6177,2996l6137,2996,6177,3036,6177,2996xe" filled="true" fillcolor="#000000" stroked="false">
              <v:path arrowok="t"/>
              <v:fill type="solid"/>
            </v:shape>
            <v:shape style="position:absolute;left:6137;top:2996;width:80;height:80" coordorigin="6137,2996" coordsize="80,80" path="m6217,3076l6137,2996m6177,2996l6177,3076m6137,3076l6217,2996e" filled="false" stroked="true" strokeweight=".5pt" strokecolor="#000000">
              <v:path arrowok="t"/>
            </v:shape>
            <v:shape style="position:absolute;left:6430;top:3022;width:40;height:80" coordorigin="6430,3022" coordsize="40,80" path="m6470,3062l6430,3102,6470,3102,6470,3062xm6470,3022l6430,3022,6470,3062,6470,3022xe" filled="true" fillcolor="#000000" stroked="false">
              <v:path arrowok="t"/>
              <v:fill type="solid"/>
            </v:shape>
            <v:shape style="position:absolute;left:6430;top:3022;width:80;height:80" coordorigin="6430,3022" coordsize="80,80" path="m6510,3102l6430,3022m6470,3022l6470,3102m6430,3102l6510,3022e" filled="false" stroked="true" strokeweight=".5pt" strokecolor="#000000">
              <v:path arrowok="t"/>
            </v:shape>
            <v:shape style="position:absolute;left:6723;top:3035;width:40;height:80" coordorigin="6723,3035" coordsize="40,80" path="m6763,3075l6723,3115,6763,3115,6763,3075xm6763,3035l6723,3035,6763,3075,6763,3035xe" filled="true" fillcolor="#000000" stroked="false">
              <v:path arrowok="t"/>
              <v:fill type="solid"/>
            </v:shape>
            <v:shape style="position:absolute;left:6723;top:3035;width:80;height:80" coordorigin="6723,3035" coordsize="80,80" path="m6803,3115l6723,3035m6763,3035l6763,3115m6723,3115l6803,3035e" filled="false" stroked="true" strokeweight=".5pt" strokecolor="#000000">
              <v:path arrowok="t"/>
            </v:shape>
            <v:shape style="position:absolute;left:7016;top:3041;width:40;height:80" coordorigin="7016,3041" coordsize="40,80" path="m7056,3081l7016,3121,7056,3121,7056,3081xm7056,3041l7016,3041,7056,3081,7056,3041xe" filled="true" fillcolor="#000000" stroked="false">
              <v:path arrowok="t"/>
              <v:fill type="solid"/>
            </v:shape>
            <v:shape style="position:absolute;left:7016;top:3041;width:80;height:80" coordorigin="7016,3041" coordsize="80,80" path="m7096,3121l7016,3041m7056,3041l7056,3121m7016,3121l7096,3041e" filled="false" stroked="true" strokeweight=".5pt" strokecolor="#000000">
              <v:path arrowok="t"/>
            </v:shape>
            <v:shape style="position:absolute;left:7308;top:3041;width:40;height:80" coordorigin="7308,3041" coordsize="40,80" path="m7348,3081l7308,3121,7348,3121,7348,3081xm7348,3041l7308,3041,7348,3081,7348,3041xe" filled="true" fillcolor="#000000" stroked="false">
              <v:path arrowok="t"/>
              <v:fill type="solid"/>
            </v:shape>
            <v:shape style="position:absolute;left:7308;top:3041;width:80;height:80" coordorigin="7308,3041" coordsize="80,80" path="m7388,3121l7308,3041m7348,3041l7348,3121m7308,3121l7388,3041e" filled="false" stroked="true" strokeweight=".5pt" strokecolor="#000000">
              <v:path arrowok="t"/>
            </v:shape>
            <v:shape style="position:absolute;left:3540;top:1301;width:3809;height:2189" coordorigin="3540,1301" coordsize="3809,2189" path="m3540,3490l3833,2427,4126,2393,4421,2297,4714,2218,5006,2136,5299,2026,5592,1939,5885,1865,6178,1757,6470,1635,6763,1529,7056,1409,7349,1301e" filled="false" stroked="true" strokeweight="1.2pt" strokecolor="#000000">
              <v:path arrowok="t"/>
            </v:shape>
            <v:shape style="position:absolute;left:3511;top:3460;width:60;height:60" coordorigin="3511,3460" coordsize="60,60" path="m3541,3460l3529,3463,3520,3469,3513,3479,3511,3490,3513,3502,3520,3512,3529,3518,3541,3520,3553,3518,3562,3512,3569,3502,3571,3490,3569,3479,3562,3469,3553,3463,3541,3460xe" filled="true" fillcolor="#000000" stroked="false">
              <v:path arrowok="t"/>
              <v:fill type="solid"/>
            </v:shape>
            <v:shape style="position:absolute;left:3511;top:3460;width:60;height:60" coordorigin="3511,3460" coordsize="60,60" path="m3571,3490l3569,3502,3562,3512,3553,3518,3541,3520,3529,3518,3520,3512,3513,3502,3511,3490,3513,3479,3520,3469,3529,3463,3541,3460,3553,3463,3562,3469,3569,3479,3571,3490xe" filled="false" stroked="true" strokeweight=".5pt" strokecolor="#000000">
              <v:path arrowok="t"/>
            </v:shape>
            <v:shape style="position:absolute;left:3804;top:2397;width:60;height:60" coordorigin="3804,2397" coordsize="60,60" path="m3834,2397l3822,2400,3813,2406,3806,2416,3804,2427,3806,2439,3813,2448,3822,2455,3834,2457,3845,2455,3855,2448,3861,2439,3864,2427,3861,2416,3855,2406,3845,2400,3834,2397xe" filled="true" fillcolor="#000000" stroked="false">
              <v:path arrowok="t"/>
              <v:fill type="solid"/>
            </v:shape>
            <v:shape style="position:absolute;left:3804;top:2397;width:60;height:60" coordorigin="3804,2397" coordsize="60,60" path="m3864,2427l3861,2439,3855,2448,3845,2455,3834,2457,3822,2455,3813,2448,3806,2439,3804,2427,3806,2416,3813,2406,3822,2400,3834,2397,3845,2400,3855,2406,3861,2416,3864,2427xe" filled="false" stroked="true" strokeweight=".5pt" strokecolor="#000000">
              <v:path arrowok="t"/>
            </v:shape>
            <v:shape style="position:absolute;left:4097;top:2363;width:60;height:60" coordorigin="4097,2363" coordsize="60,60" path="m4127,2363l4115,2366,4106,2372,4099,2382,4097,2393,4099,2405,4106,2414,4115,2421,4127,2423,4138,2421,4148,2414,4154,2405,4157,2393,4154,2382,4148,2372,4138,2366,4127,2363xe" filled="true" fillcolor="#000000" stroked="false">
              <v:path arrowok="t"/>
              <v:fill type="solid"/>
            </v:shape>
            <v:shape style="position:absolute;left:4097;top:2363;width:60;height:60" coordorigin="4097,2363" coordsize="60,60" path="m4157,2393l4154,2405,4148,2414,4138,2421,4127,2423,4115,2421,4106,2414,4099,2405,4097,2393,4099,2382,4106,2372,4115,2366,4127,2363,4138,2366,4148,2372,4154,2382,4157,2393xe" filled="false" stroked="true" strokeweight=".5pt" strokecolor="#000000">
              <v:path arrowok="t"/>
            </v:shape>
            <v:shape style="position:absolute;left:4390;top:2268;width:60;height:60" coordorigin="4390,2268" coordsize="60,60" path="m4420,2268l4408,2271,4398,2277,4392,2287,4390,2298,4392,2310,4398,2320,4408,2326,4420,2328,4431,2326,4441,2320,4447,2310,4450,2298,4447,2287,4441,2277,4431,2271,4420,2268xe" filled="true" fillcolor="#000000" stroked="false">
              <v:path arrowok="t"/>
              <v:fill type="solid"/>
            </v:shape>
            <v:shape style="position:absolute;left:4390;top:2268;width:60;height:60" coordorigin="4390,2268" coordsize="60,60" path="m4450,2298l4447,2310,4441,2320,4431,2326,4420,2328,4408,2326,4398,2320,4392,2310,4390,2298,4392,2287,4398,2277,4408,2271,4420,2268,4431,2271,4441,2277,4447,2287,4450,2298xe" filled="false" stroked="true" strokeweight=".5pt" strokecolor="#000000">
              <v:path arrowok="t"/>
            </v:shape>
            <v:shape style="position:absolute;left:4683;top:2188;width:60;height:60" coordorigin="4683,2188" coordsize="60,60" path="m4713,2188l4701,2190,4691,2197,4685,2206,4683,2218,4685,2230,4691,2239,4701,2246,4713,2248,4724,2246,4734,2239,4740,2230,4743,2218,4740,2206,4734,2197,4724,2190,4713,2188xe" filled="true" fillcolor="#000000" stroked="false">
              <v:path arrowok="t"/>
              <v:fill type="solid"/>
            </v:shape>
            <v:shape style="position:absolute;left:4683;top:2188;width:60;height:60" coordorigin="4683,2188" coordsize="60,60" path="m4743,2218l4740,2230,4734,2239,4724,2246,4713,2248,4701,2246,4691,2239,4685,2230,4683,2218,4685,2206,4691,2197,4701,2190,4713,2188,4724,2190,4734,2197,4740,2206,4743,2218xe" filled="false" stroked="true" strokeweight=".5pt" strokecolor="#000000">
              <v:path arrowok="t"/>
            </v:shape>
            <v:shape style="position:absolute;left:4975;top:2107;width:60;height:60" coordorigin="4975,2107" coordsize="60,60" path="m5005,2107l4994,2110,4984,2116,4978,2126,4975,2137,4978,2149,4984,2158,4994,2165,5005,2167,5017,2165,5027,2158,5033,2149,5035,2137,5033,2126,5027,2116,5017,2110,5005,2107xe" filled="true" fillcolor="#000000" stroked="false">
              <v:path arrowok="t"/>
              <v:fill type="solid"/>
            </v:shape>
            <v:shape style="position:absolute;left:4975;top:2107;width:60;height:60" coordorigin="4975,2107" coordsize="60,60" path="m5035,2137l5033,2149,5027,2158,5017,2165,5005,2167,4994,2165,4984,2158,4978,2149,4975,2137,4978,2126,4984,2116,4994,2110,5005,2107,5017,2110,5027,2116,5033,2126,5035,2137xe" filled="false" stroked="true" strokeweight=".5pt" strokecolor="#000000">
              <v:path arrowok="t"/>
            </v:shape>
            <v:shape style="position:absolute;left:5268;top:1996;width:60;height:60" coordorigin="5268,1996" coordsize="60,60" path="m5298,1996l5287,1998,5277,2004,5271,2014,5268,2026,5271,2037,5277,2047,5287,2053,5298,2056,5310,2053,5319,2047,5326,2037,5328,2026,5326,2014,5319,2004,5310,1998,5298,1996xe" filled="true" fillcolor="#000000" stroked="false">
              <v:path arrowok="t"/>
              <v:fill type="solid"/>
            </v:shape>
            <v:shape style="position:absolute;left:5268;top:1996;width:60;height:60" coordorigin="5268,1996" coordsize="60,60" path="m5328,2026l5326,2037,5319,2047,5310,2053,5298,2056,5287,2053,5277,2047,5271,2037,5268,2026,5271,2014,5277,2004,5287,1998,5298,1996,5310,1998,5319,2004,5326,2014,5328,2026xe" filled="false" stroked="true" strokeweight=".5pt" strokecolor="#000000">
              <v:path arrowok="t"/>
            </v:shape>
            <v:shape style="position:absolute;left:5561;top:1909;width:60;height:60" coordorigin="5561,1909" coordsize="60,60" path="m5591,1909l5580,1912,5570,1918,5564,1928,5561,1939,5564,1951,5570,1961,5580,1967,5591,1969,5603,1967,5612,1961,5619,1951,5621,1939,5619,1928,5612,1918,5603,1912,5591,1909xe" filled="true" fillcolor="#000000" stroked="false">
              <v:path arrowok="t"/>
              <v:fill type="solid"/>
            </v:shape>
            <v:shape style="position:absolute;left:5561;top:1909;width:60;height:60" coordorigin="5561,1909" coordsize="60,60" path="m5621,1939l5619,1951,5612,1961,5603,1967,5591,1969,5580,1967,5570,1961,5564,1951,5561,1939,5564,1928,5570,1918,5580,1912,5591,1909,5603,1912,5612,1918,5619,1928,5621,1939xe" filled="false" stroked="true" strokeweight=".5pt" strokecolor="#000000">
              <v:path arrowok="t"/>
            </v:shape>
            <v:shape style="position:absolute;left:5854;top:1836;width:60;height:60" coordorigin="5854,1836" coordsize="60,60" path="m5884,1836l5872,1838,5863,1845,5856,1854,5854,1866,5856,1878,5863,1887,5872,1894,5884,1896,5896,1894,5905,1887,5912,1878,5914,1866,5912,1854,5905,1845,5896,1838,5884,1836xe" filled="true" fillcolor="#000000" stroked="false">
              <v:path arrowok="t"/>
              <v:fill type="solid"/>
            </v:shape>
            <v:shape style="position:absolute;left:5854;top:1836;width:60;height:60" coordorigin="5854,1836" coordsize="60,60" path="m5914,1866l5912,1878,5905,1887,5896,1894,5884,1896,5872,1894,5863,1887,5856,1878,5854,1866,5856,1854,5863,1845,5872,1838,5884,1836,5896,1838,5905,1845,5912,1854,5914,1866xe" filled="false" stroked="true" strokeweight=".5pt" strokecolor="#000000">
              <v:path arrowok="t"/>
            </v:shape>
            <v:shape style="position:absolute;left:6147;top:1727;width:60;height:60" coordorigin="6147,1727" coordsize="60,60" path="m6177,1727l6165,1729,6156,1736,6149,1745,6147,1757,6149,1768,6156,1778,6165,1784,6177,1787,6189,1784,6198,1778,6205,1768,6207,1757,6205,1745,6198,1736,6189,1729,6177,1727xe" filled="true" fillcolor="#000000" stroked="false">
              <v:path arrowok="t"/>
              <v:fill type="solid"/>
            </v:shape>
            <v:shape style="position:absolute;left:6147;top:1727;width:60;height:60" coordorigin="6147,1727" coordsize="60,60" path="m6207,1757l6205,1768,6198,1778,6189,1784,6177,1787,6165,1784,6156,1778,6149,1768,6147,1757,6149,1745,6156,1736,6165,1729,6177,1727,6189,1729,6198,1736,6205,1745,6207,1757xe" filled="false" stroked="true" strokeweight=".5pt" strokecolor="#000000">
              <v:path arrowok="t"/>
            </v:shape>
            <v:shape style="position:absolute;left:6440;top:1606;width:60;height:60" coordorigin="6440,1606" coordsize="60,60" path="m6470,1606l6458,1608,6449,1615,6442,1624,6440,1636,6442,1647,6449,1657,6458,1663,6470,1666,6481,1663,6491,1657,6497,1647,6500,1636,6497,1624,6491,1615,6481,1608,6470,1606xe" filled="true" fillcolor="#000000" stroked="false">
              <v:path arrowok="t"/>
              <v:fill type="solid"/>
            </v:shape>
            <v:shape style="position:absolute;left:6440;top:1606;width:60;height:60" coordorigin="6440,1606" coordsize="60,60" path="m6500,1636l6497,1647,6491,1657,6481,1663,6470,1666,6458,1663,6449,1657,6442,1647,6440,1636,6442,1624,6449,1615,6458,1608,6470,1606,6481,1608,6491,1615,6497,1624,6500,1636xe" filled="false" stroked="true" strokeweight=".5pt" strokecolor="#000000">
              <v:path arrowok="t"/>
            </v:shape>
            <v:shape style="position:absolute;left:6733;top:1500;width:60;height:60" coordorigin="6733,1500" coordsize="60,60" path="m6763,1500l6751,1503,6741,1509,6735,1519,6733,1530,6735,1542,6741,1552,6751,1558,6763,1560,6774,1558,6784,1552,6790,1542,6793,1530,6790,1519,6784,1509,6774,1503,6763,1500xe" filled="true" fillcolor="#000000" stroked="false">
              <v:path arrowok="t"/>
              <v:fill type="solid"/>
            </v:shape>
            <v:shape style="position:absolute;left:6733;top:1500;width:60;height:60" coordorigin="6733,1500" coordsize="60,60" path="m6793,1530l6790,1542,6784,1552,6774,1558,6763,1560,6751,1558,6741,1552,6735,1542,6733,1530,6735,1519,6741,1509,6751,1503,6763,1500,6774,1503,6784,1509,6790,1519,6793,1530xe" filled="false" stroked="true" strokeweight=".5pt" strokecolor="#000000">
              <v:path arrowok="t"/>
            </v:shape>
            <v:shape style="position:absolute;left:7026;top:1380;width:60;height:60" coordorigin="7026,1380" coordsize="60,60" path="m7056,1380l7044,1383,7034,1389,7028,1399,7026,1410,7028,1422,7034,1432,7044,1438,7056,1440,7067,1438,7077,1432,7083,1422,7086,1410,7083,1399,7077,1389,7067,1383,7056,1380xe" filled="true" fillcolor="#000000" stroked="false">
              <v:path arrowok="t"/>
              <v:fill type="solid"/>
            </v:shape>
            <v:shape style="position:absolute;left:7026;top:1380;width:60;height:60" coordorigin="7026,1380" coordsize="60,60" path="m7086,1410l7083,1422,7077,1432,7067,1438,7056,1440,7044,1438,7034,1432,7028,1422,7026,1410,7028,1399,7034,1389,7044,1383,7056,1380,7067,1383,7077,1389,7083,1399,7086,1410xe" filled="false" stroked="true" strokeweight=".5pt" strokecolor="#000000">
              <v:path arrowok="t"/>
            </v:shape>
            <v:shape style="position:absolute;left:7318;top:1271;width:60;height:60" coordorigin="7318,1271" coordsize="60,60" path="m7348,1271l7337,1274,7327,1280,7321,1290,7318,1301,7321,1313,7327,1323,7337,1329,7348,1331,7360,1329,7370,1323,7376,1313,7378,1301,7376,1290,7370,1280,7360,1274,7348,1271xe" filled="true" fillcolor="#000000" stroked="false">
              <v:path arrowok="t"/>
              <v:fill type="solid"/>
            </v:shape>
            <v:shape style="position:absolute;left:7318;top:1271;width:60;height:60" coordorigin="7318,1271" coordsize="60,60" path="m7378,1301l7376,1313,7370,1323,7360,1329,7348,1331,7337,1329,7327,1323,7321,1313,7318,1301,7321,1290,7327,1280,7337,1274,7348,1271,7360,1274,7370,1280,7376,1290,7378,1301xe" filled="false" stroked="true" strokeweight=".5pt" strokecolor="#000000">
              <v:path arrowok="t"/>
            </v:shape>
            <v:shape style="position:absolute;left:3540;top:1255;width:3809;height:2235" coordorigin="3540,1255" coordsize="3809,2235" path="m3540,3490l3833,1255,4126,1966,4421,1894,4714,2074,5006,2007,5299,1937,5592,1865,5885,1800,6178,1697,6470,1587,6763,1486,7056,1371,7349,1263e" filled="false" stroked="true" strokeweight="1.44pt" strokecolor="#000000">
              <v:path arrowok="t"/>
              <v:stroke dashstyle="longDash"/>
            </v:shape>
            <v:shape style="position:absolute;left:3501;top:3450;width:80;height:80" coordorigin="3501,3450" coordsize="80,80" path="m3541,3450l3501,3530,3581,3530,3541,3450xe" filled="true" fillcolor="#000000" stroked="false">
              <v:path arrowok="t"/>
              <v:fill type="solid"/>
            </v:shape>
            <v:shape style="position:absolute;left:3501;top:3450;width:80;height:80" coordorigin="3501,3450" coordsize="80,80" path="m3541,3450l3581,3530,3501,3530,3541,3450xe" filled="false" stroked="true" strokeweight=".5pt" strokecolor="#000000">
              <v:path arrowok="t"/>
            </v:shape>
            <v:shape style="position:absolute;left:3794;top:1215;width:80;height:80" coordorigin="3794,1215" coordsize="80,80" path="m3834,1215l3794,1295,3874,1295,3834,1215xe" filled="true" fillcolor="#000000" stroked="false">
              <v:path arrowok="t"/>
              <v:fill type="solid"/>
            </v:shape>
            <v:shape style="position:absolute;left:3794;top:1215;width:80;height:80" coordorigin="3794,1215" coordsize="80,80" path="m3834,1215l3874,1295,3794,1295,3834,1215xe" filled="false" stroked="true" strokeweight=".5pt" strokecolor="#000000">
              <v:path arrowok="t"/>
            </v:shape>
            <v:shape style="position:absolute;left:4087;top:1926;width:80;height:80" coordorigin="4087,1926" coordsize="80,80" path="m4127,1926l4087,2006,4167,2006,4127,1926xe" filled="true" fillcolor="#000000" stroked="false">
              <v:path arrowok="t"/>
              <v:fill type="solid"/>
            </v:shape>
            <v:shape style="position:absolute;left:4087;top:1926;width:80;height:80" coordorigin="4087,1926" coordsize="80,80" path="m4127,1926l4167,2006,4087,2006,4127,1926xe" filled="false" stroked="true" strokeweight=".5pt" strokecolor="#000000">
              <v:path arrowok="t"/>
            </v:shape>
            <v:shape style="position:absolute;left:4380;top:1854;width:80;height:80" coordorigin="4380,1854" coordsize="80,80" path="m4420,1854l4380,1934,4460,1934,4420,1854xe" filled="true" fillcolor="#000000" stroked="false">
              <v:path arrowok="t"/>
              <v:fill type="solid"/>
            </v:shape>
            <v:shape style="position:absolute;left:4380;top:1854;width:80;height:80" coordorigin="4380,1854" coordsize="80,80" path="m4420,1854l4460,1934,4380,1934,4420,1854xe" filled="false" stroked="true" strokeweight=".5pt" strokecolor="#000000">
              <v:path arrowok="t"/>
            </v:shape>
            <v:shape style="position:absolute;left:4673;top:2034;width:80;height:80" coordorigin="4673,2034" coordsize="80,80" path="m4713,2034l4673,2114,4753,2114,4713,2034xe" filled="true" fillcolor="#000000" stroked="false">
              <v:path arrowok="t"/>
              <v:fill type="solid"/>
            </v:shape>
            <v:shape style="position:absolute;left:4673;top:2034;width:80;height:80" coordorigin="4673,2034" coordsize="80,80" path="m4713,2034l4753,2114,4673,2114,4713,2034xe" filled="false" stroked="true" strokeweight=".5pt" strokecolor="#000000">
              <v:path arrowok="t"/>
            </v:shape>
            <v:shape style="position:absolute;left:4965;top:1967;width:80;height:80" coordorigin="4965,1967" coordsize="80,80" path="m5005,1967l4965,2047,5045,2047,5005,1967xe" filled="true" fillcolor="#000000" stroked="false">
              <v:path arrowok="t"/>
              <v:fill type="solid"/>
            </v:shape>
            <v:shape style="position:absolute;left:4965;top:1967;width:80;height:80" coordorigin="4965,1967" coordsize="80,80" path="m5005,1967l5045,2047,4965,2047,5005,1967xe" filled="false" stroked="true" strokeweight=".5pt" strokecolor="#000000">
              <v:path arrowok="t"/>
            </v:shape>
            <v:shape style="position:absolute;left:5258;top:1897;width:80;height:80" coordorigin="5258,1897" coordsize="80,80" path="m5298,1897l5258,1977,5338,1977,5298,1897xe" filled="true" fillcolor="#000000" stroked="false">
              <v:path arrowok="t"/>
              <v:fill type="solid"/>
            </v:shape>
            <v:shape style="position:absolute;left:5258;top:1897;width:80;height:80" coordorigin="5258,1897" coordsize="80,80" path="m5298,1897l5338,1977,5258,1977,5298,1897xe" filled="false" stroked="true" strokeweight=".5pt" strokecolor="#000000">
              <v:path arrowok="t"/>
            </v:shape>
            <v:shape style="position:absolute;left:5551;top:1825;width:80;height:80" coordorigin="5551,1825" coordsize="80,80" path="m5591,1825l5551,1905,5631,1905,5591,1825xe" filled="true" fillcolor="#000000" stroked="false">
              <v:path arrowok="t"/>
              <v:fill type="solid"/>
            </v:shape>
            <v:shape style="position:absolute;left:5551;top:1825;width:80;height:80" coordorigin="5551,1825" coordsize="80,80" path="m5591,1825l5631,1905,5551,1905,5591,1825xe" filled="false" stroked="true" strokeweight=".5pt" strokecolor="#000000">
              <v:path arrowok="t"/>
            </v:shape>
            <v:shape style="position:absolute;left:5844;top:1760;width:80;height:80" coordorigin="5844,1760" coordsize="80,80" path="m5884,1760l5844,1840,5924,1840,5884,1760xe" filled="true" fillcolor="#000000" stroked="false">
              <v:path arrowok="t"/>
              <v:fill type="solid"/>
            </v:shape>
            <v:shape style="position:absolute;left:5844;top:1760;width:80;height:80" coordorigin="5844,1760" coordsize="80,80" path="m5884,1760l5924,1840,5844,1840,5884,1760xe" filled="false" stroked="true" strokeweight=".5pt" strokecolor="#000000">
              <v:path arrowok="t"/>
            </v:shape>
            <v:shape style="position:absolute;left:6137;top:1658;width:80;height:80" coordorigin="6137,1658" coordsize="80,80" path="m6177,1658l6137,1738,6217,1738,6177,1658xe" filled="true" fillcolor="#000000" stroked="false">
              <v:path arrowok="t"/>
              <v:fill type="solid"/>
            </v:shape>
            <v:shape style="position:absolute;left:6137;top:1658;width:80;height:80" coordorigin="6137,1658" coordsize="80,80" path="m6177,1658l6217,1738,6137,1738,6177,1658xe" filled="false" stroked="true" strokeweight=".5pt" strokecolor="#000000">
              <v:path arrowok="t"/>
            </v:shape>
            <v:shape style="position:absolute;left:6430;top:1547;width:80;height:80" coordorigin="6430,1547" coordsize="80,80" path="m6470,1547l6430,1627,6510,1627,6470,1547xe" filled="true" fillcolor="#000000" stroked="false">
              <v:path arrowok="t"/>
              <v:fill type="solid"/>
            </v:shape>
            <v:shape style="position:absolute;left:6430;top:1547;width:80;height:80" coordorigin="6430,1547" coordsize="80,80" path="m6470,1547l6510,1627,6430,1627,6470,1547xe" filled="false" stroked="true" strokeweight=".5pt" strokecolor="#000000">
              <v:path arrowok="t"/>
            </v:shape>
            <v:shape style="position:absolute;left:6723;top:1447;width:80;height:80" coordorigin="6723,1447" coordsize="80,80" path="m6763,1447l6723,1527,6803,1527,6763,1447xe" filled="true" fillcolor="#000000" stroked="false">
              <v:path arrowok="t"/>
              <v:fill type="solid"/>
            </v:shape>
            <v:shape style="position:absolute;left:6723;top:1447;width:80;height:80" coordorigin="6723,1447" coordsize="80,80" path="m6763,1447l6803,1527,6723,1527,6763,1447xe" filled="false" stroked="true" strokeweight=".5pt" strokecolor="#000000">
              <v:path arrowok="t"/>
            </v:shape>
            <v:shape style="position:absolute;left:7016;top:1330;width:80;height:80" coordorigin="7016,1330" coordsize="80,80" path="m7056,1330l7016,1410,7096,1410,7056,1330xe" filled="true" fillcolor="#000000" stroked="false">
              <v:path arrowok="t"/>
              <v:fill type="solid"/>
            </v:shape>
            <v:shape style="position:absolute;left:7016;top:1330;width:80;height:80" coordorigin="7016,1330" coordsize="80,80" path="m7056,1330l7096,1410,7016,1410,7056,1330xe" filled="false" stroked="true" strokeweight=".5pt" strokecolor="#000000">
              <v:path arrowok="t"/>
            </v:shape>
            <v:shape style="position:absolute;left:7308;top:1223;width:80;height:80" coordorigin="7308,1223" coordsize="80,80" path="m7348,1223l7308,1303,7388,1303,7348,1223xe" filled="true" fillcolor="#000000" stroked="false">
              <v:path arrowok="t"/>
              <v:fill type="solid"/>
            </v:shape>
            <v:shape style="position:absolute;left:7308;top:1223;width:80;height:80" coordorigin="7308,1223" coordsize="80,80" path="m7348,1223l7388,1303,7308,1303,7348,1223xe" filled="false" stroked="true" strokeweight=".5pt" strokecolor="#000000">
              <v:path arrowok="t"/>
            </v:shape>
            <w10:wrap type="none"/>
          </v:group>
        </w:pict>
      </w:r>
      <w:r>
        <w:rPr/>
        <w:pict>
          <v:group style="position:absolute;margin-left:134.75pt;margin-top:45.033604pt;width:341.75pt;height:176pt;mso-position-horizontal-relative:page;mso-position-vertical-relative:paragraph;z-index:-103384" coordorigin="2695,901" coordsize="6835,3520">
            <v:line style="position:absolute" from="7853,2299" to="8357,2299" stroked="true" strokeweight="1.44pt" strokecolor="#000000">
              <v:stroke dashstyle="longDash"/>
            </v:line>
            <v:line style="position:absolute" from="8066,2298" to="8146,2298" stroked="true" strokeweight="3.96pt" strokecolor="#000000"/>
            <v:shape style="position:absolute;left:8066;top:2259;width:40;height:79" coordorigin="8066,2259" coordsize="40,79" path="m8105,2299l8066,2338,8105,2338,8105,2299xm8105,2297l8105,2299,8106,2298,8105,2297xm8105,2259l8066,2259,8105,2297,8105,2259xe" filled="true" fillcolor="#000000" stroked="false">
              <v:path arrowok="t"/>
              <v:fill type="solid"/>
            </v:shape>
            <v:shape style="position:absolute;left:8066;top:2259;width:80;height:79" coordorigin="8066,2259" coordsize="80,79" path="m8146,2338l8066,2259m8105,2259l8105,2338m8066,2338l8146,2259e" filled="false" stroked="true" strokeweight=".48pt" strokecolor="#000000">
              <v:path arrowok="t"/>
            </v:shape>
            <v:line style="position:absolute" from="7853,2659" to="8357,2659" stroked="true" strokeweight="1.2pt" strokecolor="#000000"/>
            <v:shape style="position:absolute;left:8076;top:2631;width:60;height:60" coordorigin="8076,2631" coordsize="60,60" path="m8106,2631l8094,2633,8085,2639,8078,2649,8076,2661,8078,2672,8085,2682,8094,2688,8106,2691,8118,2688,8127,2682,8134,2672,8136,2661,8134,2649,8127,2639,8118,2633,8106,2631xe" filled="true" fillcolor="#000000" stroked="false">
              <v:path arrowok="t"/>
              <v:fill type="solid"/>
            </v:shape>
            <v:shape style="position:absolute;left:8076;top:2631;width:60;height:60" coordorigin="8076,2631" coordsize="60,60" path="m8136,2661l8134,2672,8127,2682,8118,2688,8106,2691,8094,2688,8085,2682,8078,2672,8076,2661,8078,2649,8085,2639,8094,2633,8106,2631,8118,2633,8127,2639,8134,2649,8136,2661xe" filled="false" stroked="true" strokeweight=".48pt" strokecolor="#000000">
              <v:path arrowok="t"/>
            </v:shape>
            <v:shape style="position:absolute;left:8064;top:2982;width:82;height:79" coordorigin="8064,2982" coordsize="82,79" path="m8105,2982l8064,3061,8146,3061,8105,2982xe" filled="true" fillcolor="#000000" stroked="false">
              <v:path arrowok="t"/>
              <v:fill type="solid"/>
            </v:shape>
            <v:shape style="position:absolute;left:8064;top:2982;width:82;height:79" coordorigin="8064,2982" coordsize="82,79" path="m8105,2982l8146,3061,8064,3061,8105,2982e" filled="false" stroked="true" strokeweight=".48pt" strokecolor="#000000">
              <v:path arrowok="t"/>
            </v:shape>
            <v:shape style="position:absolute;left:7852;top:2206;width:1468;height:924" type="#_x0000_t75" stroked="false">
              <v:imagedata r:id="rId71" o:title=""/>
            </v:shape>
            <v:shape style="position:absolute;left:2700;top:906;width:6825;height:3510" type="#_x0000_t202" filled="false" stroked="true" strokeweight=".5pt" strokecolor="#878787">
              <v:textbox inset="0,0,0,0">
                <w:txbxContent>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345" w:lineRule="auto" w:before="116"/>
                      <w:ind w:left="5713" w:right="182" w:firstLine="0"/>
                      <w:jc w:val="left"/>
                      <w:rPr>
                        <w:rFonts w:ascii="Calibri" w:hAnsi="Calibri"/>
                        <w:sz w:val="20"/>
                      </w:rPr>
                    </w:pPr>
                    <w:r>
                      <w:rPr>
                        <w:rFonts w:ascii="Calibri" w:hAnsi="Calibri"/>
                        <w:sz w:val="20"/>
                      </w:rPr>
                      <w:t>σexp (%) σajuste (%)</w:t>
                    </w:r>
                  </w:p>
                  <w:p>
                    <w:pPr>
                      <w:tabs>
                        <w:tab w:pos="5697" w:val="left" w:leader="none"/>
                      </w:tabs>
                      <w:spacing w:before="12"/>
                      <w:ind w:left="5147" w:right="182" w:firstLine="0"/>
                      <w:jc w:val="left"/>
                      <w:rPr>
                        <w:rFonts w:ascii="Calibri" w:hAnsi="Calibri"/>
                        <w:sz w:val="20"/>
                      </w:rPr>
                    </w:pPr>
                    <w:r>
                      <w:rPr>
                        <w:rFonts w:ascii="Times New Roman" w:hAnsi="Times New Roman"/>
                        <w:sz w:val="20"/>
                        <w:u w:val="thick"/>
                      </w:rPr>
                      <w:t> </w:t>
                      <w:tab/>
                    </w:r>
                    <w:r>
                      <w:rPr>
                        <w:rFonts w:ascii="Calibri" w:hAnsi="Calibri"/>
                        <w:sz w:val="20"/>
                      </w:rPr>
                      <w:t>σDtotal(%)</w:t>
                    </w:r>
                  </w:p>
                  <w:p>
                    <w:pPr>
                      <w:spacing w:line="240" w:lineRule="auto" w:before="0"/>
                      <w:rPr>
                        <w:rFonts w:ascii="Times New Roman"/>
                        <w:sz w:val="20"/>
                      </w:rPr>
                    </w:pPr>
                  </w:p>
                  <w:p>
                    <w:pPr>
                      <w:spacing w:line="240" w:lineRule="auto" w:before="9"/>
                      <w:rPr>
                        <w:rFonts w:ascii="Times New Roman"/>
                        <w:sz w:val="22"/>
                      </w:rPr>
                    </w:pPr>
                  </w:p>
                  <w:p>
                    <w:pPr>
                      <w:tabs>
                        <w:tab w:pos="1243" w:val="left" w:leader="none"/>
                        <w:tab w:pos="1832" w:val="left" w:leader="none"/>
                        <w:tab w:pos="2416" w:val="left" w:leader="none"/>
                        <w:tab w:pos="3004" w:val="left" w:leader="none"/>
                        <w:tab w:pos="3588" w:val="left" w:leader="none"/>
                      </w:tabs>
                      <w:spacing w:before="0"/>
                      <w:ind w:left="660" w:right="182" w:firstLine="0"/>
                      <w:jc w:val="left"/>
                      <w:rPr>
                        <w:rFonts w:ascii="Calibri"/>
                        <w:sz w:val="20"/>
                      </w:rPr>
                    </w:pPr>
                    <w:r>
                      <w:rPr>
                        <w:rFonts w:ascii="Calibri"/>
                        <w:sz w:val="20"/>
                      </w:rPr>
                      <w:t>0.00</w:t>
                      <w:tab/>
                      <w:t>0.60</w:t>
                      <w:tab/>
                      <w:t>1.30</w:t>
                      <w:tab/>
                      <w:t>2.00</w:t>
                      <w:tab/>
                      <w:t>2.60</w:t>
                      <w:tab/>
                      <w:t>3.50</w:t>
                    </w:r>
                  </w:p>
                  <w:p>
                    <w:pPr>
                      <w:spacing w:before="52"/>
                      <w:ind w:left="2308" w:right="3642" w:firstLine="0"/>
                      <w:jc w:val="center"/>
                      <w:rPr>
                        <w:rFonts w:ascii="Calibri"/>
                        <w:b/>
                        <w:sz w:val="20"/>
                      </w:rPr>
                    </w:pPr>
                    <w:r>
                      <w:rPr>
                        <w:rFonts w:ascii="Calibri"/>
                        <w:b/>
                        <w:sz w:val="20"/>
                      </w:rPr>
                      <w:t>Dosis (Gy)</w:t>
                    </w:r>
                  </w:p>
                </w:txbxContent>
              </v:textbox>
              <w10:wrap type="none"/>
            </v:shape>
            <w10:wrap type="none"/>
          </v:group>
        </w:pict>
      </w:r>
      <w:r>
        <w:rPr/>
        <w:pict>
          <v:shape style="position:absolute;margin-left:148.949997pt;margin-top:81.111496pt;width:12pt;height:70.05pt;mso-position-horizontal-relative:page;mso-position-vertical-relative:paragraph;z-index:3688" type="#_x0000_t202" filled="false" stroked="false">
            <v:textbox inset="0,0,0,0" style="layout-flow:vertical;mso-layout-flow-alt:bottom-to-top">
              <w:txbxContent>
                <w:p>
                  <w:pPr>
                    <w:spacing w:line="224" w:lineRule="exact" w:before="0"/>
                    <w:ind w:left="20" w:right="-970" w:firstLine="0"/>
                    <w:jc w:val="left"/>
                    <w:rPr>
                      <w:rFonts w:ascii="Calibri"/>
                      <w:b/>
                      <w:sz w:val="20"/>
                    </w:rPr>
                  </w:pPr>
                  <w:r>
                    <w:rPr>
                      <w:rFonts w:ascii="Calibri"/>
                      <w:b/>
                      <w:w w:val="96"/>
                      <w:sz w:val="20"/>
                    </w:rPr>
                    <w:t>%</w:t>
                  </w:r>
                  <w:r>
                    <w:rPr>
                      <w:rFonts w:ascii="Calibri"/>
                      <w:b/>
                      <w:spacing w:val="-2"/>
                      <w:sz w:val="20"/>
                    </w:rPr>
                    <w:t> </w:t>
                  </w:r>
                  <w:r>
                    <w:rPr>
                      <w:rFonts w:ascii="Calibri"/>
                      <w:b/>
                      <w:spacing w:val="4"/>
                      <w:w w:val="96"/>
                      <w:sz w:val="20"/>
                    </w:rPr>
                    <w:t>i</w:t>
                  </w:r>
                  <w:r>
                    <w:rPr>
                      <w:rFonts w:ascii="Calibri"/>
                      <w:b/>
                      <w:w w:val="96"/>
                      <w:sz w:val="20"/>
                    </w:rPr>
                    <w:t>n</w:t>
                  </w:r>
                  <w:r>
                    <w:rPr>
                      <w:rFonts w:ascii="Calibri"/>
                      <w:b/>
                      <w:spacing w:val="3"/>
                      <w:w w:val="96"/>
                      <w:sz w:val="20"/>
                    </w:rPr>
                    <w:t>c</w:t>
                  </w:r>
                  <w:r>
                    <w:rPr>
                      <w:rFonts w:ascii="Calibri"/>
                      <w:b/>
                      <w:spacing w:val="2"/>
                      <w:w w:val="96"/>
                      <w:sz w:val="20"/>
                    </w:rPr>
                    <w:t>e</w:t>
                  </w:r>
                  <w:r>
                    <w:rPr>
                      <w:rFonts w:ascii="Calibri"/>
                      <w:b/>
                      <w:spacing w:val="-1"/>
                      <w:w w:val="96"/>
                      <w:sz w:val="20"/>
                    </w:rPr>
                    <w:t>r</w:t>
                  </w:r>
                  <w:r>
                    <w:rPr>
                      <w:rFonts w:ascii="Calibri"/>
                      <w:b/>
                      <w:w w:val="96"/>
                      <w:sz w:val="20"/>
                    </w:rPr>
                    <w:t>t</w:t>
                  </w:r>
                  <w:r>
                    <w:rPr>
                      <w:rFonts w:ascii="Calibri"/>
                      <w:b/>
                      <w:spacing w:val="4"/>
                      <w:w w:val="96"/>
                      <w:sz w:val="20"/>
                    </w:rPr>
                    <w:t>i</w:t>
                  </w:r>
                  <w:r>
                    <w:rPr>
                      <w:rFonts w:ascii="Calibri"/>
                      <w:b/>
                      <w:spacing w:val="5"/>
                      <w:w w:val="96"/>
                      <w:sz w:val="20"/>
                    </w:rPr>
                    <w:t>d</w:t>
                  </w:r>
                  <w:r>
                    <w:rPr>
                      <w:rFonts w:ascii="Calibri"/>
                      <w:b/>
                      <w:spacing w:val="4"/>
                      <w:w w:val="96"/>
                      <w:sz w:val="20"/>
                    </w:rPr>
                    <w:t>u</w:t>
                  </w:r>
                  <w:r>
                    <w:rPr>
                      <w:rFonts w:ascii="Calibri"/>
                      <w:b/>
                      <w:spacing w:val="-1"/>
                      <w:w w:val="96"/>
                      <w:sz w:val="20"/>
                    </w:rPr>
                    <w:t>m</w:t>
                  </w:r>
                  <w:r>
                    <w:rPr>
                      <w:rFonts w:ascii="Calibri"/>
                      <w:b/>
                      <w:spacing w:val="4"/>
                      <w:w w:val="96"/>
                      <w:sz w:val="20"/>
                    </w:rPr>
                    <w:t>b</w:t>
                  </w:r>
                  <w:r>
                    <w:rPr>
                      <w:rFonts w:ascii="Calibri"/>
                      <w:b/>
                      <w:spacing w:val="3"/>
                      <w:w w:val="96"/>
                      <w:sz w:val="20"/>
                    </w:rPr>
                    <w:t>r</w:t>
                  </w:r>
                  <w:r>
                    <w:rPr>
                      <w:rFonts w:ascii="Calibri"/>
                      <w:b/>
                      <w:w w:val="96"/>
                      <w:sz w:val="20"/>
                    </w:rPr>
                    <w:t>e</w:t>
                  </w:r>
                </w:p>
              </w:txbxContent>
            </v:textbox>
            <w10:wrap type="none"/>
          </v:shape>
        </w:pict>
      </w:r>
      <w:r>
        <w:rPr>
          <w:rFonts w:ascii="Calibri"/>
        </w:rPr>
        <w:t>Figura 3</w:t>
      </w:r>
    </w:p>
    <w:p>
      <w:pPr>
        <w:pStyle w:val="BodyText"/>
        <w:rPr>
          <w:rFonts w:ascii="Calibri"/>
          <w:sz w:val="20"/>
        </w:rPr>
      </w:pPr>
    </w:p>
    <w:p>
      <w:pPr>
        <w:pStyle w:val="BodyText"/>
        <w:rPr>
          <w:rFonts w:ascii="Calibri"/>
          <w:sz w:val="20"/>
        </w:rPr>
      </w:pPr>
    </w:p>
    <w:p>
      <w:pPr>
        <w:pStyle w:val="BodyText"/>
        <w:spacing w:before="5"/>
        <w:rPr>
          <w:rFonts w:ascii="Calibri"/>
          <w:sz w:val="19"/>
        </w:rPr>
      </w:pPr>
      <w:r>
        <w:rPr/>
        <w:pict>
          <v:group style="position:absolute;margin-left:162.800003pt;margin-top:13.801806pt;width:199pt;height:156.4pt;mso-position-horizontal-relative:page;mso-position-vertical-relative:paragraph;z-index:3592;mso-wrap-distance-left:0;mso-wrap-distance-right:0" coordorigin="3256,276" coordsize="3980,3128">
            <v:shape style="position:absolute;left:3256;top:276;width:100;height:2564" type="#_x0000_t75" stroked="false">
              <v:imagedata r:id="rId72" o:title=""/>
            </v:shape>
            <v:shape style="position:absolute;left:3266;top:308;width:83;height:130" coordorigin="3266,308" coordsize="83,130" path="m3311,308l3305,309,3300,311,3294,313,3290,315,3286,319,3282,322,3279,326,3276,331,3274,335,3272,340,3270,345,3269,350,3268,356,3267,367,3266,385,3267,390,3267,395,3268,400,3268,405,3270,410,3271,414,3272,418,3274,421,3276,425,3279,428,3285,433,3288,435,3292,436,3296,437,3301,438,3313,438,3320,437,3325,434,3330,432,3335,429,3339,424,3304,424,3300,424,3297,422,3294,421,3291,418,3287,411,3286,407,3285,400,3284,395,3283,389,3283,380,3285,379,3287,378,3289,377,3293,375,3295,374,3297,373,3300,373,3304,372,3313,372,3343,372,3338,367,3283,367,3283,361,3283,358,3284,355,3285,349,3286,344,3289,339,3291,335,3294,331,3298,327,3302,325,3306,322,3311,321,3342,321,3342,316,3342,316,3342,315,3342,314,3341,314,3341,313,3341,313,3340,313,3340,312,3339,312,3338,311,3336,311,3334,310,3332,309,3330,309,3328,309,3326,308,3323,308,3311,308xm3343,372l3313,372,3317,372,3320,374,3323,375,3325,376,3329,381,3330,383,3331,386,3331,389,3331,401,3331,403,3330,407,3329,410,3328,413,3326,416,3324,418,3321,420,3315,424,3312,424,3339,424,3342,421,3344,416,3348,406,3348,401,3348,388,3348,385,3347,381,3345,376,3343,372,3343,372xm3319,358l3309,358,3306,359,3301,360,3298,360,3295,361,3293,362,3291,363,3289,364,3285,366,3283,367,3338,367,3338,366,3334,363,3329,361,3325,359,3319,358xm3342,321l3311,321,3323,321,3326,322,3331,323,3332,323,3334,324,3336,325,3338,325,3341,326,3341,325,3341,325,3342,325,3342,324,3342,324,3342,321xe" filled="true" fillcolor="#000000" stroked="false">
              <v:path arrowok="t"/>
              <v:fill type="solid"/>
            </v:shape>
            <v:shape style="position:absolute;left:3266;top:694;width:79;height:129" coordorigin="3266,694" coordsize="79,129" path="m3269,800l3268,800,3267,801,3267,801,3266,802,3266,804,3266,805,3266,810,3266,811,3266,811,3266,813,3267,814,3268,815,3271,817,3273,817,3275,818,3278,819,3280,820,3284,820,3291,822,3305,822,3311,821,3317,819,3323,817,3328,814,3335,808,3293,808,3289,808,3286,807,3279,805,3277,804,3273,802,3270,801,3269,800xm3338,756l3301,756,3306,757,3314,759,3317,760,3319,763,3322,765,3324,767,3325,770,3327,773,3327,777,3327,786,3326,790,3325,793,3323,797,3321,799,3316,804,3313,805,3306,807,3302,808,3335,808,3336,807,3339,803,3341,797,3344,792,3345,786,3345,773,3344,769,3342,764,3340,760,3338,756xm3276,694l3275,694,3273,696,3272,698,3272,754,3273,755,3274,757,3275,758,3282,757,3288,757,3301,756,3338,756,3338,756,3334,753,3331,750,3327,747,3321,746,3316,744,3315,744,3289,744,3289,708,3335,708,3335,708,3336,706,3337,705,3337,698,3336,696,3336,695,3336,695,3335,694,3335,694,3276,694xm3310,743l3293,743,3291,743,3289,744,3315,744,3310,743xe" filled="true" fillcolor="#000000" stroked="false">
              <v:path arrowok="t"/>
              <v:fill type="solid"/>
            </v:shape>
            <v:shape style="position:absolute;left:3261;top:1089;width:90;height:128" coordorigin="3261,1089" coordsize="90,128" path="m3317,1089l3312,1089,3311,1090,3310,1090,3310,1090,3309,1091,3308,1091,3308,1092,3308,1092,3263,1169,3262,1171,3261,1175,3261,1184,3261,1184,3261,1185,3262,1186,3262,1186,3263,1187,3316,1187,3316,1215,3317,1215,3317,1215,3317,1216,3318,1216,3319,1216,3327,1217,3330,1216,3332,1216,3332,1215,3332,1215,3333,1215,3333,1187,3348,1187,3349,1186,3350,1185,3350,1184,3350,1176,3350,1175,3349,1174,3348,1173,3276,1173,3316,1104,3333,1104,3333,1091,3332,1091,3332,1091,3331,1090,3330,1090,3329,1090,3328,1089,3317,1089xm3333,1104l3316,1104,3316,1173,3333,1173,3333,1104xe" filled="true" fillcolor="#000000" stroked="false">
              <v:path arrowok="t"/>
              <v:fill type="solid"/>
            </v:shape>
            <v:shape style="position:absolute;left:3266;top:1480;width:79;height:130" coordorigin="3266,1480" coordsize="79,130" path="m3269,1586l3268,1586,3267,1587,3267,1587,3266,1588,3266,1596,3266,1598,3267,1599,3267,1600,3267,1600,3268,1601,3268,1601,3269,1602,3270,1602,3272,1603,3274,1604,3276,1605,3279,1606,3282,1607,3285,1608,3289,1609,3292,1610,3307,1610,3313,1609,3319,1607,3324,1605,3329,1603,3333,1600,3337,1596,3337,1596,3296,1596,3292,1595,3289,1594,3285,1593,3282,1592,3279,1591,3276,1590,3274,1589,3272,1588,3270,1587,3269,1586xm3334,1494l3304,1494,3307,1494,3312,1496,3314,1498,3317,1501,3319,1503,3320,1506,3320,1508,3321,1510,3321,1517,3320,1520,3319,1523,3318,1526,3316,1528,3311,1532,3308,1534,3305,1535,3301,1536,3298,1537,3281,1537,3280,1537,3280,1538,3280,1538,3279,1539,3279,1540,3279,1542,3279,1545,3279,1547,3280,1548,3280,1549,3281,1549,3300,1550,3305,1550,3309,1552,3313,1553,3316,1554,3322,1558,3324,1561,3325,1564,3327,1567,3327,1570,3327,1578,3327,1580,3326,1582,3325,1585,3323,1588,3318,1592,3316,1593,3312,1594,3309,1595,3305,1596,3337,1596,3339,1592,3342,1586,3343,1583,3344,1578,3344,1568,3344,1564,3342,1561,3341,1557,3339,1554,3334,1549,3330,1547,3327,1545,3323,1543,3319,1542,3315,1542,3315,1542,3319,1541,3322,1540,3325,1538,3328,1536,3330,1534,3334,1528,3336,1525,3337,1522,3338,1518,3339,1515,3338,1506,3338,1502,3335,1494,3334,1494xm3309,1480l3299,1480,3296,1480,3288,1482,3285,1483,3283,1484,3280,1485,3277,1486,3276,1487,3274,1488,3273,1489,3272,1490,3271,1491,3271,1491,3270,1492,3270,1493,3270,1494,3270,1494,3270,1502,3270,1504,3271,1504,3273,1504,3274,1504,3276,1503,3277,1502,3282,1499,3287,1496,3290,1495,3293,1494,3297,1494,3334,1494,3333,1491,3327,1486,3323,1484,3319,1482,3314,1481,3309,1480xe" filled="true" fillcolor="#000000" stroked="false">
              <v:path arrowok="t"/>
              <v:fill type="solid"/>
            </v:shape>
            <v:shape style="position:absolute;left:3267;top:1872;width:79;height:129" coordorigin="3267,1872" coordsize="79,129" path="m3335,1887l3305,1887,3308,1887,3311,1888,3313,1889,3315,1891,3317,1893,3319,1895,3320,1897,3321,1899,3322,1902,3322,1913,3321,1919,3320,1923,3318,1927,3316,1931,3313,1935,3310,1940,3306,1945,3302,1950,3271,1982,3270,1983,3269,1984,3268,1986,3268,1987,3267,1987,3267,1989,3267,1995,3268,1997,3268,1998,3268,1999,3269,1999,3269,1999,3270,2000,3342,2000,3343,2000,3344,1999,3344,1999,3344,1998,3345,1998,3345,1995,3345,1994,3345,1992,3345,1991,3345,1989,3344,1988,3344,1986,3343,1986,3343,1986,3287,1986,3307,1965,3314,1957,3320,1951,3324,1945,3328,1939,3332,1934,3334,1930,3336,1925,3338,1921,3339,1917,3339,1913,3340,1909,3339,1899,3339,1896,3337,1891,3336,1888,3335,1887xm3310,1872l3300,1872,3296,1872,3289,1874,3286,1875,3283,1876,3280,1877,3278,1878,3276,1879,3274,1880,3273,1881,3272,1882,3271,1883,3270,1884,3270,1885,3270,1894,3270,1895,3270,1896,3270,1896,3271,1897,3271,1897,3273,1897,3274,1897,3276,1896,3278,1894,3282,1892,3284,1891,3287,1889,3290,1888,3294,1887,3297,1887,3335,1887,3334,1884,3328,1878,3324,1876,3319,1874,3315,1873,3310,1872xe" filled="true" fillcolor="#000000" stroked="false">
              <v:path arrowok="t"/>
              <v:fill type="solid"/>
            </v:shape>
            <v:shape style="position:absolute;left:3273;top:2269;width:73;height:127" coordorigin="3273,2269" coordsize="73,127" path="m3343,2383l3276,2383,3275,2383,3275,2383,3275,2384,3274,2384,3274,2385,3274,2386,3274,2392,3274,2394,3274,2395,3275,2395,3276,2396,3343,2396,3344,2395,3345,2395,3345,2394,3345,2393,3345,2392,3345,2386,3345,2385,3345,2384,3344,2384,3344,2383,3344,2383,3343,2383xm3320,2286l3303,2286,3303,2383,3320,2383,3320,2286xm3308,2269l3306,2269,3305,2270,3275,2289,3274,2290,3274,2291,3273,2291,3273,2294,3273,2297,3273,2299,3273,2301,3274,2302,3274,2302,3277,2302,3277,2302,3279,2301,3303,2286,3320,2286,3320,2271,3319,2270,3319,2270,3319,2270,3318,2269,3317,2269,3308,2269xe" filled="true" fillcolor="#000000" stroked="false">
              <v:path arrowok="t"/>
              <v:fill type="solid"/>
            </v:shape>
            <v:shape style="position:absolute;left:3263;top:2660;width:87;height:130" coordorigin="3263,2660" coordsize="87,130" path="m3315,2660l3299,2660,3292,2661,3287,2665,3281,2668,3276,2672,3273,2678,3269,2684,3267,2691,3265,2699,3264,2707,3263,2714,3263,2736,3264,2745,3266,2761,3269,2768,3272,2773,3275,2779,3280,2783,3290,2788,3297,2790,3313,2790,3320,2788,3326,2785,3332,2782,3336,2778,3337,2776,3301,2776,3297,2775,3294,2773,3291,2771,3288,2768,3286,2764,3284,2760,3282,2755,3280,2741,3280,2736,3280,2714,3280,2710,3281,2704,3282,2698,3283,2693,3287,2684,3290,2680,3297,2675,3301,2674,3339,2674,3337,2671,3333,2667,3322,2661,3315,2660xm3339,2674l3310,2674,3312,2674,3315,2675,3317,2676,3320,2677,3321,2679,3323,2680,3325,2683,3326,2686,3328,2688,3329,2692,3331,2699,3331,2704,3332,2714,3332,2736,3332,2739,3332,2744,3331,2748,3330,2755,3329,2758,3327,2761,3326,2764,3324,2767,3322,2769,3321,2771,3318,2773,3315,2774,3313,2775,3309,2776,3337,2776,3340,2772,3343,2766,3346,2759,3347,2751,3349,2743,3349,2736,3349,2714,3349,2705,3346,2689,3344,2682,3340,2677,3339,2674xe" filled="true" fillcolor="#000000" stroked="false">
              <v:path arrowok="t"/>
              <v:fill type="solid"/>
            </v:shape>
            <v:shape style="position:absolute;left:3364;top:2900;width:3872;height:504" type="#_x0000_t75" stroked="false">
              <v:imagedata r:id="rId73" o:title=""/>
            </v:shape>
            <v:shape style="position:absolute;left:6885;top:2932;width:325;height:130" type="#_x0000_t75" stroked="false">
              <v:imagedata r:id="rId74" o:title=""/>
            </v:shape>
            <w10:wrap type="topAndBottom"/>
          </v:group>
        </w:pict>
      </w:r>
    </w:p>
    <w:p>
      <w:pPr>
        <w:pStyle w:val="BodyText"/>
        <w:rPr>
          <w:rFonts w:ascii="Calibri"/>
        </w:rPr>
      </w:pPr>
    </w:p>
    <w:p>
      <w:pPr>
        <w:spacing w:line="276" w:lineRule="auto" w:before="157"/>
        <w:ind w:left="5293" w:right="1080" w:hanging="3173"/>
        <w:jc w:val="left"/>
        <w:rPr>
          <w:rFonts w:ascii="Times New Roman" w:hAnsi="Times New Roman"/>
          <w:sz w:val="20"/>
        </w:rPr>
      </w:pPr>
      <w:r>
        <w:rPr>
          <w:rFonts w:ascii="Times New Roman" w:hAnsi="Times New Roman"/>
          <w:b/>
          <w:sz w:val="20"/>
        </w:rPr>
        <w:t>Figura 1</w:t>
      </w:r>
      <w:r>
        <w:rPr>
          <w:rFonts w:ascii="Times New Roman" w:hAnsi="Times New Roman"/>
          <w:sz w:val="20"/>
        </w:rPr>
        <w:t>. Incertidumbre experimental, del ajuste y total para la curva de calibración de las películas radiocrómicas EBT3</w:t>
      </w:r>
    </w:p>
    <w:p>
      <w:pPr>
        <w:spacing w:after="0" w:line="276" w:lineRule="auto"/>
        <w:jc w:val="left"/>
        <w:rPr>
          <w:rFonts w:ascii="Times New Roman" w:hAnsi="Times New Roman"/>
          <w:sz w:val="20"/>
        </w:rPr>
        <w:sectPr>
          <w:footerReference w:type="default" r:id="rId70"/>
          <w:pgSz w:w="12240" w:h="15840"/>
          <w:pgMar w:footer="1046" w:header="0" w:top="0" w:bottom="1240" w:left="0" w:right="0"/>
        </w:sectPr>
      </w:pPr>
    </w:p>
    <w:p>
      <w:pPr>
        <w:spacing w:before="44"/>
        <w:ind w:left="100" w:right="1080" w:firstLine="0"/>
        <w:jc w:val="left"/>
        <w:rPr>
          <w:rFonts w:ascii="Arial"/>
          <w:b/>
          <w:sz w:val="20"/>
        </w:rPr>
      </w:pPr>
      <w:r>
        <w:rPr>
          <w:rFonts w:ascii="Arial"/>
          <w:b/>
          <w:sz w:val="20"/>
        </w:rPr>
        <w:t>Figura (Figure) 4</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pStyle w:val="BodyText"/>
        <w:spacing w:before="1"/>
        <w:ind w:left="1704" w:right="1080"/>
        <w:rPr>
          <w:rFonts w:ascii="Calibri"/>
        </w:rPr>
      </w:pPr>
      <w:r>
        <w:rPr>
          <w:rFonts w:ascii="Calibri"/>
        </w:rPr>
        <w:t>Figura 4</w:t>
      </w:r>
    </w:p>
    <w:p>
      <w:pPr>
        <w:pStyle w:val="BodyText"/>
        <w:rPr>
          <w:rFonts w:ascii="Calibri"/>
          <w:sz w:val="20"/>
        </w:rPr>
      </w:pPr>
    </w:p>
    <w:p>
      <w:pPr>
        <w:pStyle w:val="BodyText"/>
        <w:rPr>
          <w:rFonts w:ascii="Calibri"/>
          <w:sz w:val="20"/>
        </w:rPr>
      </w:pPr>
    </w:p>
    <w:p>
      <w:pPr>
        <w:pStyle w:val="BodyText"/>
        <w:spacing w:before="6"/>
        <w:rPr>
          <w:rFonts w:ascii="Calibri"/>
          <w:sz w:val="16"/>
        </w:rPr>
      </w:pPr>
    </w:p>
    <w:p>
      <w:pPr>
        <w:spacing w:before="1"/>
        <w:ind w:left="3233" w:right="0" w:firstLine="0"/>
        <w:jc w:val="left"/>
        <w:rPr>
          <w:rFonts w:ascii="Calibri"/>
          <w:sz w:val="20"/>
        </w:rPr>
      </w:pPr>
      <w:r>
        <w:rPr/>
        <w:pict>
          <v:group style="position:absolute;margin-left:172.550003pt;margin-top:6.291455pt;width:283.350pt;height:156.950pt;mso-position-horizontal-relative:page;mso-position-vertical-relative:paragraph;z-index:3712" coordorigin="3451,126" coordsize="5667,3139">
            <v:shape style="position:absolute;left:3456;top:131;width:5657;height:3129" coordorigin="3456,131" coordsize="5657,3129" path="m3518,3260l9113,3260m3518,2737l9113,2737m3518,1696l9113,1696m3518,1175l9113,1175m3518,652l9113,652m3518,131l9113,131m3518,3260l3518,131m3456,3260l3518,3260m3456,2737l3518,2737m3456,2216l3518,2216m3456,1696l3518,1696m3456,1175l3518,1175m3456,652l3518,652m3456,131l3518,131m3518,2216l9113,2216m3518,2216l3518,2279m4140,2216l4140,2279m4762,2216l4762,2279m5383,2216l5383,2279m6005,2216l6005,2279m6626,2216l6626,2279m7248,2216l7248,2279m7870,2216l7870,2279m8491,2216l8491,2279m9113,2216l9113,2279e" filled="false" stroked="true" strokeweight=".48pt" strokecolor="#878787">
              <v:path arrowok="t"/>
            </v:shape>
            <v:shape style="position:absolute;left:3830;top:522;width:4973;height:2455" coordorigin="3830,522" coordsize="4973,2455" path="m3830,1494l4452,2963,5074,1672,5695,522,6317,2178,6938,2831,7560,2977,8182,2888,8803,2658e" filled="false" stroked="true" strokeweight="1.44pt" strokecolor="#000000">
              <v:path arrowok="t"/>
              <v:stroke dashstyle="longDash"/>
            </v:shape>
            <v:shape style="position:absolute;left:3790;top:1455;width:80;height:80" coordorigin="3790,1455" coordsize="80,80" path="m3830,1455l3814,1458,3801,1466,3793,1479,3790,1495,3793,1510,3801,1523,3814,1532,3830,1535,3845,1532,3858,1523,3866,1510,3870,1495,3866,1479,3858,1466,3845,1458,3830,1455xe" filled="true" fillcolor="#000000" stroked="false">
              <v:path arrowok="t"/>
              <v:fill type="solid"/>
            </v:shape>
            <v:shape style="position:absolute;left:3790;top:1455;width:80;height:80" coordorigin="3790,1455" coordsize="80,80" path="m3870,1495l3866,1510,3858,1523,3845,1532,3830,1535,3814,1532,3801,1523,3793,1510,3790,1495,3793,1479,3801,1466,3814,1458,3830,1455,3845,1458,3858,1466,3866,1479,3870,1495xe" filled="false" stroked="true" strokeweight=".5pt" strokecolor="#000000">
              <v:path arrowok="t"/>
            </v:shape>
            <v:shape style="position:absolute;left:4411;top:2924;width:80;height:80" coordorigin="4411,2924" coordsize="80,80" path="m4451,2924l4436,2927,4423,2936,4414,2948,4411,2964,4414,2979,4423,2992,4436,3001,4451,3004,4467,3001,4479,2992,4488,2979,4491,2964,4488,2948,4479,2936,4467,2927,4451,2924xe" filled="true" fillcolor="#000000" stroked="false">
              <v:path arrowok="t"/>
              <v:fill type="solid"/>
            </v:shape>
            <v:shape style="position:absolute;left:4411;top:2924;width:80;height:80" coordorigin="4411,2924" coordsize="80,80" path="m4491,2964l4488,2979,4479,2992,4467,3001,4451,3004,4436,3001,4423,2992,4414,2979,4411,2964,4414,2948,4423,2936,4436,2927,4451,2924,4467,2927,4479,2936,4488,2948,4491,2964xe" filled="false" stroked="true" strokeweight=".5pt" strokecolor="#000000">
              <v:path arrowok="t"/>
            </v:shape>
            <v:shape style="position:absolute;left:5033;top:1633;width:80;height:80" coordorigin="5033,1633" coordsize="80,80" path="m5073,1633l5057,1636,5044,1645,5036,1657,5033,1673,5036,1688,5044,1701,5057,1710,5073,1713,5088,1710,5101,1701,5109,1688,5113,1673,5109,1657,5101,1645,5088,1636,5073,1633xe" filled="true" fillcolor="#000000" stroked="false">
              <v:path arrowok="t"/>
              <v:fill type="solid"/>
            </v:shape>
            <v:shape style="position:absolute;left:5033;top:1633;width:80;height:80" coordorigin="5033,1633" coordsize="80,80" path="m5113,1673l5109,1688,5101,1701,5088,1710,5073,1713,5057,1710,5044,1701,5036,1688,5033,1673,5036,1657,5044,1645,5057,1636,5073,1633,5088,1636,5101,1645,5109,1657,5113,1673xe" filled="false" stroked="true" strokeweight=".5pt" strokecolor="#000000">
              <v:path arrowok="t"/>
            </v:shape>
            <v:shape style="position:absolute;left:5654;top:484;width:80;height:80" coordorigin="5654,484" coordsize="80,80" path="m5694,484l5679,487,5666,496,5657,508,5654,524,5657,539,5666,552,5679,561,5694,564,5710,561,5723,552,5731,539,5734,524,5731,508,5723,496,5710,487,5694,484xe" filled="true" fillcolor="#000000" stroked="false">
              <v:path arrowok="t"/>
              <v:fill type="solid"/>
            </v:shape>
            <v:shape style="position:absolute;left:5654;top:484;width:80;height:80" coordorigin="5654,484" coordsize="80,80" path="m5734,524l5731,539,5723,552,5710,561,5694,564,5679,561,5666,552,5657,539,5654,524,5657,508,5666,496,5679,487,5694,484,5710,487,5723,496,5731,508,5734,524xe" filled="false" stroked="true" strokeweight=".5pt" strokecolor="#000000">
              <v:path arrowok="t"/>
            </v:shape>
            <v:shape style="position:absolute;left:6276;top:2138;width:80;height:80" coordorigin="6276,2138" coordsize="80,80" path="m6316,2138l6300,2141,6287,2150,6279,2162,6276,2178,6279,2194,6287,2206,6300,2215,6316,2218,6331,2215,6344,2206,6353,2194,6356,2178,6353,2162,6344,2150,6331,2141,6316,2138xe" filled="true" fillcolor="#000000" stroked="false">
              <v:path arrowok="t"/>
              <v:fill type="solid"/>
            </v:shape>
            <v:shape style="position:absolute;left:6276;top:2138;width:80;height:80" coordorigin="6276,2138" coordsize="80,80" path="m6356,2178l6353,2194,6344,2206,6331,2215,6316,2218,6300,2215,6287,2206,6279,2194,6276,2178,6279,2162,6287,2150,6300,2141,6316,2138,6331,2141,6344,2150,6353,2162,6356,2178xe" filled="false" stroked="true" strokeweight=".5pt" strokecolor="#000000">
              <v:path arrowok="t"/>
            </v:shape>
            <v:shape style="position:absolute;left:6897;top:2793;width:80;height:80" coordorigin="6897,2793" coordsize="80,80" path="m6937,2793l6922,2796,6909,2804,6901,2817,6897,2833,6901,2848,6909,2861,6922,2869,6937,2873,6953,2869,6966,2861,6974,2848,6977,2833,6974,2817,6966,2804,6953,2796,6937,2793xe" filled="true" fillcolor="#000000" stroked="false">
              <v:path arrowok="t"/>
              <v:fill type="solid"/>
            </v:shape>
            <v:shape style="position:absolute;left:6897;top:2793;width:80;height:80" coordorigin="6897,2793" coordsize="80,80" path="m6977,2833l6974,2848,6966,2861,6953,2869,6937,2873,6922,2869,6909,2861,6901,2848,6897,2833,6901,2817,6909,2804,6922,2796,6937,2793,6953,2796,6966,2804,6974,2817,6977,2833xe" filled="false" stroked="true" strokeweight=".5pt" strokecolor="#000000">
              <v:path arrowok="t"/>
            </v:shape>
            <v:shape style="position:absolute;left:7519;top:2937;width:80;height:80" coordorigin="7519,2937" coordsize="80,80" path="m7559,2937l7543,2941,7531,2949,7522,2962,7519,2977,7522,2993,7531,3006,7543,3014,7559,3017,7574,3014,7587,3006,7596,2993,7599,2977,7596,2962,7587,2949,7574,2941,7559,2937xe" filled="true" fillcolor="#000000" stroked="false">
              <v:path arrowok="t"/>
              <v:fill type="solid"/>
            </v:shape>
            <v:shape style="position:absolute;left:7519;top:2937;width:80;height:80" coordorigin="7519,2937" coordsize="80,80" path="m7599,2977l7596,2993,7587,3006,7574,3014,7559,3017,7543,3014,7531,3006,7522,2993,7519,2977,7522,2962,7531,2949,7543,2941,7559,2937,7574,2941,7587,2949,7596,2962,7599,2977xe" filled="false" stroked="true" strokeweight=".5pt" strokecolor="#000000">
              <v:path arrowok="t"/>
            </v:shape>
            <v:shape style="position:absolute;left:8140;top:2850;width:80;height:80" coordorigin="8140,2850" coordsize="80,80" path="m8180,2850l8165,2853,8152,2862,8144,2874,8140,2890,8144,2905,8152,2918,8165,2927,8180,2930,8196,2927,8209,2918,8217,2905,8220,2890,8217,2874,8209,2862,8196,2853,8180,2850xe" filled="true" fillcolor="#000000" stroked="false">
              <v:path arrowok="t"/>
              <v:fill type="solid"/>
            </v:shape>
            <v:shape style="position:absolute;left:8140;top:2850;width:80;height:80" coordorigin="8140,2850" coordsize="80,80" path="m8220,2890l8217,2905,8209,2918,8196,2927,8180,2930,8165,2927,8152,2918,8144,2905,8140,2890,8144,2874,8152,2862,8165,2853,8180,2850,8196,2853,8209,2862,8217,2874,8220,2890xe" filled="false" stroked="true" strokeweight=".5pt" strokecolor="#000000">
              <v:path arrowok="t"/>
            </v:shape>
            <v:shape style="position:absolute;left:8762;top:2619;width:80;height:80" coordorigin="8762,2619" coordsize="80,80" path="m8802,2619l8786,2623,8774,2631,8765,2644,8762,2659,8765,2675,8774,2688,8786,2696,8802,2699,8818,2696,8830,2688,8839,2675,8842,2659,8839,2644,8830,2631,8818,2623,8802,2619xe" filled="true" fillcolor="#000000" stroked="false">
              <v:path arrowok="t"/>
              <v:fill type="solid"/>
            </v:shape>
            <v:shape style="position:absolute;left:8762;top:2619;width:80;height:80" coordorigin="8762,2619" coordsize="80,80" path="m8842,2659l8839,2675,8830,2688,8818,2696,8802,2699,8786,2696,8774,2688,8765,2675,8762,2659,8765,2644,8774,2631,8786,2623,8802,2619,8818,2623,8830,2631,8839,2644,8842,2659xe" filled="false" stroked="true" strokeweight=".5pt" strokecolor="#000000">
              <v:path arrowok="t"/>
            </v:shape>
            <v:shape style="position:absolute;left:3780;top:2387;width:100;height:200" type="#_x0000_t75" stroked="false">
              <v:imagedata r:id="rId76" o:title=""/>
            </v:shape>
            <v:shape style="position:absolute;left:3797;top:2412;width:73;height:127" coordorigin="3797,2412" coordsize="73,127" path="m3867,2525l3800,2525,3799,2526,3799,2526,3799,2526,3798,2527,3798,2528,3798,2528,3797,2534,3798,2536,3798,2537,3798,2537,3799,2538,3867,2539,3868,2538,3869,2537,3869,2537,3869,2536,3870,2532,3870,2530,3869,2528,3869,2527,3868,2526,3868,2526,3868,2526,3867,2525xm3844,2429l3827,2429,3827,2525,3844,2525,3844,2429xm3832,2412l3830,2412,3830,2412,3829,2412,3799,2432,3798,2433,3798,2433,3797,2434,3797,2435,3797,2442,3797,2443,3798,2445,3798,2445,3801,2445,3801,2444,3803,2444,3827,2429,3844,2429,3844,2414,3843,2414,3843,2413,3843,2413,3842,2412,3841,2412,3832,2412xe" filled="true" fillcolor="#000000" stroked="false">
              <v:path arrowok="t"/>
              <v:fill type="solid"/>
            </v:shape>
            <v:shape style="position:absolute;left:4400;top:2387;width:104;height:200" type="#_x0000_t75" stroked="false">
              <v:imagedata r:id="rId77" o:title=""/>
            </v:shape>
            <v:shape style="position:absolute;left:4411;top:2411;width:79;height:129" coordorigin="4411,2411" coordsize="79,129" path="m4479,2425l4449,2425,4452,2426,4455,2427,4457,2428,4459,2430,4461,2432,4463,2433,4464,2436,4465,2438,4466,2441,4467,2443,4466,2451,4466,2452,4465,2458,4464,2462,4462,2466,4460,2470,4457,2474,4454,2479,4450,2483,4446,2489,4415,2521,4414,2522,4413,2523,4412,2525,4412,2525,4411,2526,4411,2528,4411,2534,4412,2536,4412,2537,4412,2537,4413,2538,4413,2538,4414,2538,4486,2539,4487,2538,4488,2538,4488,2538,4488,2537,4489,2536,4489,2535,4489,2534,4489,2529,4489,2528,4489,2528,4488,2526,4488,2525,4487,2525,4487,2525,4431,2525,4451,2504,4458,2496,4464,2490,4468,2484,4472,2478,4476,2473,4478,2468,4480,2464,4482,2459,4483,2455,4483,2451,4483,2449,4483,2438,4483,2435,4481,2429,4480,2427,4479,2425xm4454,2411l4444,2411,4440,2411,4433,2413,4430,2413,4427,2415,4424,2416,4422,2417,4420,2418,4418,2419,4417,2420,4416,2421,4415,2422,4414,2423,4414,2424,4414,2425,4414,2432,4414,2433,4414,2434,4414,2435,4415,2435,4415,2436,4417,2436,4418,2435,4420,2434,4422,2433,4426,2431,4428,2429,4431,2428,4434,2427,4438,2426,4441,2425,4479,2425,4478,2423,4472,2417,4468,2415,4463,2413,4459,2411,4454,2411xe" filled="true" fillcolor="#000000" stroked="false">
              <v:path arrowok="t"/>
              <v:fill type="solid"/>
            </v:shape>
            <v:shape style="position:absolute;left:5024;top:2387;width:100;height:200" type="#_x0000_t75" stroked="false">
              <v:imagedata r:id="rId76" o:title=""/>
            </v:shape>
            <v:shape style="position:absolute;left:5034;top:2411;width:79;height:130" coordorigin="5034,2411" coordsize="79,130" path="m5037,2517l5036,2517,5035,2517,5035,2518,5034,2519,5034,2526,5034,2528,5035,2530,5035,2531,5035,2531,5036,2532,5036,2532,5037,2533,5038,2533,5040,2534,5042,2535,5044,2536,5047,2537,5050,2538,5053,2539,5057,2540,5060,2540,5075,2541,5081,2540,5087,2538,5092,2536,5097,2534,5101,2530,5105,2527,5105,2527,5064,2527,5060,2526,5057,2525,5053,2524,5050,2523,5047,2522,5044,2521,5042,2520,5040,2518,5038,2517,5037,2517xm5102,2424l5072,2424,5075,2425,5080,2427,5082,2428,5085,2432,5087,2434,5088,2436,5088,2439,5089,2441,5089,2447,5088,2451,5087,2453,5086,2456,5084,2459,5079,2463,5076,2465,5073,2466,5069,2467,5066,2467,5049,2468,5048,2468,5048,2468,5048,2469,5047,2469,5047,2471,5047,2472,5047,2476,5047,2478,5048,2479,5048,2480,5049,2480,5068,2481,5073,2481,5077,2482,5081,2483,5084,2485,5090,2489,5092,2492,5093,2495,5095,2497,5095,2501,5095,2508,5095,2510,5094,2513,5093,2516,5091,2518,5086,2522,5084,2524,5080,2525,5077,2526,5073,2527,5105,2527,5107,2523,5110,2517,5111,2514,5112,2508,5112,2499,5112,2495,5110,2491,5109,2488,5107,2485,5102,2480,5098,2478,5095,2476,5091,2474,5087,2473,5083,2473,5083,2472,5087,2472,5090,2470,5093,2469,5096,2467,5098,2464,5102,2459,5104,2456,5105,2453,5106,2449,5107,2446,5106,2436,5106,2433,5103,2425,5102,2424xm5077,2411l5067,2411,5064,2411,5056,2413,5053,2413,5051,2415,5048,2416,5045,2417,5044,2418,5042,2419,5041,2420,5040,2421,5039,2421,5039,2422,5038,2423,5038,2424,5038,2424,5038,2426,5038,2432,5038,2433,5038,2434,5038,2434,5039,2435,5041,2435,5042,2435,5044,2433,5045,2432,5050,2430,5055,2427,5058,2426,5061,2425,5065,2424,5102,2424,5101,2422,5095,2416,5091,2414,5087,2413,5082,2411,5077,2411xe" filled="true" fillcolor="#000000" stroked="false">
              <v:path arrowok="t"/>
              <v:fill type="solid"/>
            </v:shape>
            <v:shape style="position:absolute;left:5644;top:2387;width:100;height:200" type="#_x0000_t75" stroked="false">
              <v:imagedata r:id="rId76" o:title=""/>
            </v:shape>
            <v:shape style="position:absolute;left:5649;top:2412;width:90;height:128" coordorigin="5649,2412" coordsize="90,128" path="m5714,2412l5702,2412,5700,2412,5699,2413,5698,2413,5698,2413,5697,2414,5696,2414,5696,2414,5696,2415,5651,2492,5650,2494,5649,2497,5649,2504,5649,2507,5649,2508,5650,2508,5650,2509,5651,2509,5651,2510,5704,2510,5704,2537,5704,2537,5705,2538,5705,2538,5707,2539,5716,2539,5718,2539,5720,2538,5720,2538,5720,2538,5721,2537,5721,2510,5736,2510,5737,2509,5738,2508,5738,2507,5738,2499,5738,2498,5737,2496,5736,2496,5664,2496,5704,2427,5721,2427,5721,2414,5721,2414,5720,2414,5720,2413,5719,2413,5718,2413,5717,2412,5716,2412,5714,2412xm5721,2427l5704,2427,5704,2496,5721,2496,5721,2427xe" filled="true" fillcolor="#000000" stroked="false">
              <v:path arrowok="t"/>
              <v:fill type="solid"/>
            </v:shape>
            <v:shape style="position:absolute;left:6264;top:2387;width:104;height:200" type="#_x0000_t75" stroked="false">
              <v:imagedata r:id="rId77" o:title=""/>
            </v:shape>
            <v:shape style="position:absolute;left:6274;top:2412;width:79;height:129" coordorigin="6274,2412" coordsize="79,129" path="m6277,2519l6276,2519,6275,2520,6275,2520,6274,2521,6274,2523,6274,2529,6274,2531,6274,2531,6275,2533,6276,2534,6279,2535,6281,2536,6283,2537,6286,2538,6288,2539,6292,2539,6299,2540,6313,2541,6319,2540,6325,2538,6331,2536,6336,2533,6343,2527,6301,2527,6297,2526,6294,2526,6287,2524,6285,2523,6281,2521,6278,2519,6277,2519xm6346,2475l6309,2475,6314,2476,6322,2478,6325,2479,6327,2481,6330,2483,6332,2486,6333,2489,6335,2492,6335,2496,6335,2505,6334,2509,6333,2512,6331,2515,6329,2518,6324,2523,6321,2524,6314,2526,6310,2527,6343,2527,6344,2526,6347,2522,6349,2516,6352,2511,6353,2505,6353,2492,6352,2488,6350,2483,6348,2479,6346,2475xm6284,2412l6283,2413,6281,2415,6280,2416,6280,2473,6281,2474,6282,2476,6283,2476,6290,2476,6296,2475,6309,2475,6346,2475,6346,2475,6342,2472,6339,2469,6335,2466,6329,2464,6324,2463,6323,2463,6297,2463,6297,2427,6343,2427,6343,2426,6344,2425,6345,2424,6345,2416,6344,2415,6344,2414,6344,2414,6343,2413,6343,2413,6284,2412xm6318,2462l6301,2462,6299,2462,6297,2463,6323,2463,6318,2462xe" filled="true" fillcolor="#000000" stroked="false">
              <v:path arrowok="t"/>
              <v:fill type="solid"/>
            </v:shape>
            <v:shape style="position:absolute;left:6888;top:2387;width:100;height:200" type="#_x0000_t75" stroked="false">
              <v:imagedata r:id="rId76" o:title=""/>
            </v:shape>
            <v:shape style="position:absolute;left:6899;top:2411;width:82;height:130" coordorigin="6899,2411" coordsize="82,130" path="m6943,2411l6937,2412,6932,2414,6926,2416,6922,2418,6918,2422,6914,2425,6911,2429,6908,2434,6906,2438,6904,2443,6902,2448,6901,2453,6900,2458,6899,2468,6899,2493,6899,2497,6900,2503,6900,2508,6902,2513,6903,2517,6904,2521,6906,2524,6908,2528,6911,2531,6917,2536,6920,2537,6924,2539,6928,2540,6933,2541,6945,2541,6952,2539,6957,2537,6962,2535,6967,2532,6971,2527,6936,2527,6932,2526,6929,2525,6926,2523,6923,2521,6919,2514,6918,2510,6917,2503,6916,2498,6915,2492,6915,2483,6917,2482,6919,2481,6921,2480,6925,2478,6927,2477,6929,2476,6932,2476,6936,2475,6945,2475,6975,2475,6970,2469,6915,2469,6915,2463,6916,2458,6917,2452,6918,2447,6921,2442,6923,2438,6926,2434,6930,2430,6934,2428,6938,2425,6943,2424,6974,2424,6974,2420,6974,2420,6974,2418,6974,2417,6973,2416,6973,2416,6972,2415,6972,2415,6971,2414,6970,2414,6968,2413,6966,2413,6964,2412,6962,2412,6960,2411,6958,2411,6955,2411,6943,2411xm6975,2475l6945,2475,6949,2475,6952,2476,6955,2477,6957,2479,6961,2483,6962,2486,6963,2489,6963,2492,6964,2496,6964,2503,6963,2506,6962,2510,6961,2513,6960,2516,6958,2518,6956,2521,6953,2523,6947,2526,6944,2527,6971,2527,6974,2524,6976,2519,6980,2509,6980,2504,6980,2491,6980,2488,6979,2483,6977,2479,6975,2475,6975,2475xm6951,2461l6941,2461,6938,2462,6933,2462,6930,2463,6927,2464,6925,2465,6923,2466,6921,2467,6917,2468,6915,2469,6970,2469,6970,2468,6966,2466,6961,2464,6957,2462,6951,2461xm6974,2424l6943,2424,6955,2424,6958,2425,6963,2426,6964,2426,6966,2427,6968,2427,6970,2428,6973,2428,6973,2428,6973,2428,6974,2427,6974,2426,6974,2424,6974,2424xe" filled="true" fillcolor="#000000" stroked="false">
              <v:path arrowok="t"/>
              <v:fill type="solid"/>
            </v:shape>
            <v:shape style="position:absolute;left:7508;top:2387;width:104;height:200" type="#_x0000_t75" stroked="false">
              <v:imagedata r:id="rId77" o:title=""/>
            </v:shape>
            <v:shape style="position:absolute;left:7518;top:2412;width:82;height:127" coordorigin="7518,2412" coordsize="82,127" path="m7521,2412l7520,2413,7519,2414,7519,2414,7518,2415,7518,2416,7518,2424,7518,2425,7519,2427,7520,2427,7581,2427,7534,2534,7533,2536,7533,2538,7535,2539,7537,2539,7545,2539,7548,2539,7549,2539,7550,2538,7550,2538,7551,2537,7551,2537,7552,2536,7552,2536,7597,2431,7597,2430,7598,2429,7598,2428,7599,2425,7599,2424,7599,2420,7599,2418,7598,2414,7598,2414,7598,2413,7597,2413,7597,2413,7521,2412xe" filled="true" fillcolor="#000000" stroked="false">
              <v:path arrowok="t"/>
              <v:fill type="solid"/>
            </v:shape>
            <v:shape style="position:absolute;left:8132;top:2387;width:100;height:200" type="#_x0000_t75" stroked="false">
              <v:imagedata r:id="rId76" o:title=""/>
            </v:shape>
            <v:shape style="position:absolute;left:8140;top:2411;width:85;height:130" coordorigin="8140,2411" coordsize="85,130" path="m8190,2411l8177,2411,8171,2411,8166,2413,8161,2415,8157,2417,8154,2420,8151,2423,8148,2426,8147,2430,8145,2434,8144,2438,8144,2446,8145,2449,8146,2452,8147,2455,8148,2458,8151,2461,8153,2463,8155,2466,8158,2468,8161,2470,8164,2472,8168,2474,8164,2477,8160,2479,8156,2481,8153,2484,8150,2486,8145,2492,8143,2495,8142,2498,8141,2502,8140,2505,8140,2514,8141,2519,8143,2523,8145,2527,8147,2530,8151,2533,8154,2535,8159,2537,8169,2540,8175,2541,8188,2541,8194,2540,8199,2538,8205,2537,8209,2535,8213,2532,8217,2529,8218,2528,8174,2528,8167,2526,8163,2522,8159,2519,8157,2514,8157,2505,8157,2502,8158,2500,8159,2498,8161,2495,8163,2493,8165,2491,8167,2489,8173,2485,8177,2483,8181,2481,8210,2481,8204,2477,8200,2475,8196,2473,8199,2471,8203,2468,8205,2466,8183,2466,8179,2464,8176,2462,8173,2461,8170,2459,8168,2457,8164,2453,8163,2451,8162,2449,8161,2446,8161,2444,8161,2436,8163,2432,8170,2425,8175,2424,8215,2424,8214,2422,8211,2419,8208,2416,8204,2414,8200,2413,8195,2411,8190,2411xm8210,2481l8181,2481,8185,2483,8189,2485,8192,2487,8196,2489,8199,2491,8201,2493,8203,2495,8205,2498,8206,2500,8207,2502,8207,2503,8207,2505,8207,2514,8205,2519,8201,2522,8197,2526,8191,2528,8218,2528,8219,2525,8221,2521,8223,2517,8224,2512,8224,2502,8224,2499,8222,2496,8221,2493,8219,2490,8214,2485,8211,2482,8210,2481xm8215,2424l8185,2424,8188,2424,8191,2425,8194,2426,8196,2427,8200,2430,8201,2432,8202,2434,8203,2436,8203,2438,8203,2446,8202,2451,8198,2455,8195,2459,8190,2463,8183,2466,8205,2466,8206,2466,8209,2464,8211,2461,8214,2458,8216,2455,8217,2453,8219,2449,8219,2446,8220,2444,8220,2436,8219,2432,8216,2425,8215,2424xe" filled="true" fillcolor="#000000" stroked="false">
              <v:path arrowok="t"/>
              <v:fill type="solid"/>
            </v:shape>
            <v:shape style="position:absolute;left:8752;top:2387;width:100;height:200" type="#_x0000_t75" stroked="false">
              <v:imagedata r:id="rId76" o:title=""/>
            </v:shape>
            <v:shape style="position:absolute;left:8760;top:2411;width:82;height:130" coordorigin="8760,2411" coordsize="82,130" path="m8765,2522l8765,2523,8764,2523,8764,2524,8764,2532,8764,2533,8764,2534,8765,2535,8765,2535,8766,2536,8767,2537,8770,2538,8772,2538,8774,2539,8776,2539,8781,2540,8796,2541,8802,2540,8808,2538,8813,2536,8818,2533,8825,2527,8796,2527,8784,2527,8781,2526,8778,2526,8776,2525,8774,2525,8769,2523,8768,2523,8765,2522xm8842,2482l8826,2482,8825,2489,8825,2494,8822,2505,8820,2510,8817,2514,8814,2518,8810,2521,8802,2526,8796,2527,8825,2527,8826,2526,8829,2522,8832,2518,8834,2513,8836,2509,8840,2498,8841,2493,8841,2487,8842,2482xm8807,2411l8795,2411,8788,2412,8783,2414,8778,2416,8773,2419,8769,2424,8766,2427,8764,2431,8762,2438,8761,2441,8761,2442,8760,2444,8760,2459,8761,2463,8763,2472,8765,2476,8768,2479,8771,2483,8775,2485,8779,2487,8784,2489,8790,2490,8803,2490,8809,2489,8818,2486,8822,2484,8826,2482,8842,2482,8842,2477,8795,2477,8792,2476,8789,2475,8786,2474,8784,2472,8780,2468,8779,2465,8777,2459,8777,2455,8777,2447,8777,2444,8778,2441,8779,2438,8780,2435,8782,2432,8784,2430,8787,2428,8790,2426,8793,2425,8796,2424,8832,2424,8832,2424,8829,2421,8826,2418,8823,2416,8820,2414,8812,2411,8807,2411xm8832,2424l8804,2424,8808,2425,8811,2426,8814,2428,8817,2430,8819,2434,8821,2437,8823,2442,8824,2448,8825,2453,8825,2459,8825,2469,8822,2471,8818,2473,8814,2475,8809,2476,8804,2477,8842,2477,8842,2459,8841,2453,8841,2449,8840,2444,8838,2435,8836,2431,8832,2424xe" filled="true" fillcolor="#000000" stroked="false">
              <v:path arrowok="t"/>
              <v:fill type="solid"/>
            </v:shape>
            <w10:wrap type="none"/>
          </v:group>
        </w:pict>
      </w:r>
      <w:r>
        <w:rPr>
          <w:rFonts w:ascii="Calibri"/>
          <w:w w:val="96"/>
          <w:sz w:val="20"/>
        </w:rPr>
        <w:t>8</w:t>
      </w:r>
    </w:p>
    <w:p>
      <w:pPr>
        <w:pStyle w:val="BodyText"/>
        <w:spacing w:before="3"/>
        <w:rPr>
          <w:rFonts w:ascii="Calibri"/>
        </w:rPr>
      </w:pPr>
    </w:p>
    <w:p>
      <w:pPr>
        <w:spacing w:before="0"/>
        <w:ind w:left="3233" w:right="0" w:firstLine="0"/>
        <w:jc w:val="left"/>
        <w:rPr>
          <w:rFonts w:ascii="Calibri"/>
          <w:sz w:val="20"/>
        </w:rPr>
      </w:pPr>
      <w:r>
        <w:rPr>
          <w:rFonts w:ascii="Calibri"/>
          <w:w w:val="96"/>
          <w:sz w:val="20"/>
        </w:rPr>
        <w:t>6</w:t>
      </w:r>
    </w:p>
    <w:p>
      <w:pPr>
        <w:pStyle w:val="BodyText"/>
        <w:spacing w:before="11"/>
        <w:rPr>
          <w:rFonts w:ascii="Calibri"/>
        </w:rPr>
      </w:pPr>
    </w:p>
    <w:p>
      <w:pPr>
        <w:spacing w:before="0"/>
        <w:ind w:left="3233" w:right="0" w:firstLine="0"/>
        <w:jc w:val="left"/>
        <w:rPr>
          <w:rFonts w:ascii="Calibri"/>
          <w:sz w:val="20"/>
        </w:rPr>
      </w:pPr>
      <w:r>
        <w:rPr/>
        <w:pict>
          <v:shape style="position:absolute;margin-left:149.550003pt;margin-top:3.52165pt;width:12pt;height:59.4pt;mso-position-horizontal-relative:page;mso-position-vertical-relative:paragraph;z-index:3736" type="#_x0000_t202" filled="false" stroked="false">
            <v:textbox inset="0,0,0,0" style="layout-flow:vertical;mso-layout-flow-alt:bottom-to-top">
              <w:txbxContent>
                <w:p>
                  <w:pPr>
                    <w:spacing w:line="224" w:lineRule="exact" w:before="0"/>
                    <w:ind w:left="20" w:right="-627" w:firstLine="0"/>
                    <w:jc w:val="left"/>
                    <w:rPr>
                      <w:rFonts w:ascii="Calibri"/>
                      <w:b/>
                      <w:sz w:val="20"/>
                    </w:rPr>
                  </w:pPr>
                  <w:r>
                    <w:rPr>
                      <w:rFonts w:ascii="Calibri"/>
                      <w:b/>
                      <w:spacing w:val="2"/>
                      <w:w w:val="96"/>
                      <w:sz w:val="20"/>
                    </w:rPr>
                    <w:t>D</w:t>
                  </w:r>
                  <w:r>
                    <w:rPr>
                      <w:rFonts w:ascii="Calibri"/>
                      <w:b/>
                      <w:w w:val="96"/>
                      <w:sz w:val="20"/>
                    </w:rPr>
                    <w:t>i</w:t>
                  </w:r>
                  <w:r>
                    <w:rPr>
                      <w:rFonts w:ascii="Calibri"/>
                      <w:b/>
                      <w:spacing w:val="-1"/>
                      <w:w w:val="96"/>
                      <w:sz w:val="20"/>
                    </w:rPr>
                    <w:t>f</w:t>
                  </w:r>
                  <w:r>
                    <w:rPr>
                      <w:rFonts w:ascii="Calibri"/>
                      <w:b/>
                      <w:spacing w:val="3"/>
                      <w:w w:val="96"/>
                      <w:sz w:val="20"/>
                    </w:rPr>
                    <w:t>er</w:t>
                  </w:r>
                  <w:r>
                    <w:rPr>
                      <w:rFonts w:ascii="Calibri"/>
                      <w:b/>
                      <w:spacing w:val="-2"/>
                      <w:w w:val="96"/>
                      <w:sz w:val="20"/>
                    </w:rPr>
                    <w:t>e</w:t>
                  </w:r>
                  <w:r>
                    <w:rPr>
                      <w:rFonts w:ascii="Calibri"/>
                      <w:b/>
                      <w:spacing w:val="4"/>
                      <w:w w:val="96"/>
                      <w:sz w:val="20"/>
                    </w:rPr>
                    <w:t>n</w:t>
                  </w:r>
                  <w:r>
                    <w:rPr>
                      <w:rFonts w:ascii="Calibri"/>
                      <w:b/>
                      <w:spacing w:val="-1"/>
                      <w:w w:val="96"/>
                      <w:sz w:val="20"/>
                    </w:rPr>
                    <w:t>c</w:t>
                  </w:r>
                  <w:r>
                    <w:rPr>
                      <w:rFonts w:ascii="Calibri"/>
                      <w:b/>
                      <w:w w:val="96"/>
                      <w:sz w:val="20"/>
                    </w:rPr>
                    <w:t>ia</w:t>
                  </w:r>
                  <w:r>
                    <w:rPr>
                      <w:rFonts w:ascii="Calibri"/>
                      <w:b/>
                      <w:spacing w:val="3"/>
                      <w:sz w:val="20"/>
                    </w:rPr>
                    <w:t> </w:t>
                  </w:r>
                  <w:r>
                    <w:rPr>
                      <w:rFonts w:ascii="Calibri"/>
                      <w:b/>
                      <w:spacing w:val="4"/>
                      <w:w w:val="96"/>
                      <w:sz w:val="20"/>
                    </w:rPr>
                    <w:t>(</w:t>
                  </w:r>
                  <w:r>
                    <w:rPr>
                      <w:rFonts w:ascii="Calibri"/>
                      <w:b/>
                      <w:spacing w:val="3"/>
                      <w:w w:val="96"/>
                      <w:sz w:val="20"/>
                    </w:rPr>
                    <w:t>%</w:t>
                  </w:r>
                  <w:r>
                    <w:rPr>
                      <w:rFonts w:ascii="Calibri"/>
                      <w:b/>
                      <w:w w:val="96"/>
                      <w:sz w:val="20"/>
                    </w:rPr>
                    <w:t>)</w:t>
                  </w:r>
                </w:p>
              </w:txbxContent>
            </v:textbox>
            <w10:wrap type="none"/>
          </v:shape>
        </w:pict>
      </w:r>
      <w:r>
        <w:rPr>
          <w:rFonts w:ascii="Calibri"/>
          <w:w w:val="96"/>
          <w:sz w:val="20"/>
        </w:rPr>
        <w:t>4</w:t>
      </w:r>
    </w:p>
    <w:p>
      <w:pPr>
        <w:pStyle w:val="BodyText"/>
        <w:spacing w:before="7"/>
        <w:rPr>
          <w:rFonts w:ascii="Calibri"/>
        </w:rPr>
      </w:pPr>
    </w:p>
    <w:p>
      <w:pPr>
        <w:spacing w:before="0"/>
        <w:ind w:left="3233" w:right="0" w:firstLine="0"/>
        <w:jc w:val="left"/>
        <w:rPr>
          <w:rFonts w:ascii="Calibri"/>
          <w:sz w:val="20"/>
        </w:rPr>
      </w:pPr>
      <w:r>
        <w:rPr>
          <w:rFonts w:ascii="Calibri"/>
          <w:w w:val="96"/>
          <w:sz w:val="20"/>
        </w:rPr>
        <w:t>2</w:t>
      </w:r>
    </w:p>
    <w:p>
      <w:pPr>
        <w:pStyle w:val="BodyText"/>
        <w:spacing w:before="11"/>
        <w:rPr>
          <w:rFonts w:ascii="Calibri"/>
        </w:rPr>
      </w:pPr>
    </w:p>
    <w:p>
      <w:pPr>
        <w:spacing w:before="0"/>
        <w:ind w:left="3233" w:right="0" w:firstLine="0"/>
        <w:jc w:val="left"/>
        <w:rPr>
          <w:rFonts w:ascii="Calibri"/>
          <w:sz w:val="20"/>
        </w:rPr>
      </w:pPr>
      <w:r>
        <w:rPr>
          <w:rFonts w:ascii="Calibri"/>
          <w:w w:val="96"/>
          <w:sz w:val="20"/>
        </w:rPr>
        <w:t>0</w:t>
      </w:r>
    </w:p>
    <w:p>
      <w:pPr>
        <w:pStyle w:val="BodyText"/>
        <w:spacing w:before="3"/>
        <w:rPr>
          <w:rFonts w:ascii="Calibri"/>
        </w:rPr>
      </w:pPr>
    </w:p>
    <w:p>
      <w:pPr>
        <w:spacing w:before="0"/>
        <w:ind w:left="3173" w:right="1080" w:firstLine="0"/>
        <w:jc w:val="left"/>
        <w:rPr>
          <w:rFonts w:ascii="Calibri"/>
          <w:sz w:val="20"/>
        </w:rPr>
      </w:pPr>
      <w:r>
        <w:rPr>
          <w:rFonts w:ascii="Calibri"/>
          <w:sz w:val="20"/>
        </w:rPr>
        <w:t>-2</w:t>
      </w:r>
    </w:p>
    <w:p>
      <w:pPr>
        <w:pStyle w:val="BodyText"/>
        <w:spacing w:before="1"/>
        <w:rPr>
          <w:rFonts w:ascii="Calibri"/>
          <w:sz w:val="15"/>
        </w:rPr>
      </w:pPr>
    </w:p>
    <w:p>
      <w:pPr>
        <w:spacing w:line="220" w:lineRule="exact" w:before="60"/>
        <w:ind w:left="3173" w:right="1080" w:firstLine="0"/>
        <w:jc w:val="left"/>
        <w:rPr>
          <w:rFonts w:ascii="Calibri"/>
          <w:sz w:val="20"/>
        </w:rPr>
      </w:pPr>
      <w:r>
        <w:rPr>
          <w:rFonts w:ascii="Calibri"/>
          <w:sz w:val="20"/>
        </w:rPr>
        <w:t>-4</w:t>
      </w:r>
    </w:p>
    <w:p>
      <w:pPr>
        <w:spacing w:line="220" w:lineRule="exact" w:before="0"/>
        <w:ind w:left="2751" w:right="2360" w:firstLine="0"/>
        <w:jc w:val="center"/>
        <w:rPr>
          <w:rFonts w:ascii="Calibri"/>
          <w:b/>
          <w:sz w:val="20"/>
        </w:rPr>
      </w:pPr>
      <w:r>
        <w:rPr>
          <w:rFonts w:ascii="Calibri"/>
          <w:b/>
          <w:sz w:val="20"/>
        </w:rPr>
        <w:t>Pacientes</w:t>
      </w:r>
    </w:p>
    <w:p>
      <w:pPr>
        <w:pStyle w:val="BodyText"/>
        <w:spacing w:before="11"/>
        <w:rPr>
          <w:rFonts w:ascii="Calibri"/>
          <w:b/>
          <w:sz w:val="8"/>
        </w:rPr>
      </w:pPr>
    </w:p>
    <w:p>
      <w:pPr>
        <w:spacing w:before="75"/>
        <w:ind w:left="1932" w:right="1080" w:firstLine="0"/>
        <w:jc w:val="left"/>
        <w:rPr>
          <w:rFonts w:ascii="Times New Roman" w:hAnsi="Times New Roman"/>
          <w:sz w:val="20"/>
        </w:rPr>
      </w:pPr>
      <w:r>
        <w:rPr>
          <w:rFonts w:ascii="Times New Roman" w:hAnsi="Times New Roman"/>
          <w:sz w:val="20"/>
        </w:rPr>
        <w:t>Figura 1. Porcentaje de diferencia entre la dosis calculada por el sistema de planeación y la dosis medida</w:t>
      </w:r>
    </w:p>
    <w:p>
      <w:pPr>
        <w:spacing w:after="0"/>
        <w:jc w:val="left"/>
        <w:rPr>
          <w:rFonts w:ascii="Times New Roman" w:hAnsi="Times New Roman"/>
          <w:sz w:val="20"/>
        </w:rPr>
        <w:sectPr>
          <w:footerReference w:type="default" r:id="rId75"/>
          <w:pgSz w:w="12240" w:h="15840"/>
          <w:pgMar w:footer="1046" w:header="0" w:top="0" w:bottom="1240" w:left="0" w:right="0"/>
          <w:pgNumType w:start="20"/>
        </w:sectPr>
      </w:pPr>
    </w:p>
    <w:p>
      <w:pPr>
        <w:spacing w:before="44"/>
        <w:ind w:left="100" w:right="1080" w:firstLine="0"/>
        <w:jc w:val="left"/>
        <w:rPr>
          <w:rFonts w:ascii="Arial"/>
          <w:b/>
          <w:sz w:val="20"/>
        </w:rPr>
      </w:pPr>
      <w:r>
        <w:rPr>
          <w:rFonts w:ascii="Arial"/>
          <w:b/>
          <w:sz w:val="20"/>
        </w:rPr>
        <w:t>Figura (Figure) 5</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pStyle w:val="BodyText"/>
        <w:spacing w:before="1"/>
        <w:ind w:left="1704" w:right="1080"/>
        <w:rPr>
          <w:rFonts w:ascii="Calibri"/>
        </w:rPr>
      </w:pPr>
      <w:r>
        <w:rPr>
          <w:rFonts w:ascii="Calibri"/>
        </w:rPr>
        <w:t>Figura 5</w:t>
      </w:r>
    </w:p>
    <w:p>
      <w:pPr>
        <w:pStyle w:val="BodyText"/>
        <w:rPr>
          <w:rFonts w:ascii="Calibri"/>
          <w:sz w:val="20"/>
        </w:rPr>
      </w:pPr>
    </w:p>
    <w:p>
      <w:pPr>
        <w:pStyle w:val="BodyText"/>
        <w:spacing w:before="3"/>
        <w:rPr>
          <w:rFonts w:ascii="Calibri"/>
          <w:sz w:val="17"/>
        </w:rPr>
      </w:pPr>
    </w:p>
    <w:p>
      <w:pPr>
        <w:spacing w:before="59"/>
        <w:ind w:left="2877" w:right="1080" w:firstLine="0"/>
        <w:jc w:val="left"/>
        <w:rPr>
          <w:rFonts w:ascii="Calibri"/>
          <w:sz w:val="20"/>
        </w:rPr>
      </w:pPr>
      <w:r>
        <w:rPr/>
        <w:pict>
          <v:group style="position:absolute;margin-left:159.699997pt;margin-top:-5.148486pt;width:247.6pt;height:162.950pt;mso-position-horizontal-relative:page;mso-position-vertical-relative:paragraph;z-index:-103264" coordorigin="3194,-103" coordsize="4952,3259">
            <v:shape style="position:absolute;left:3199;top:-46;width:4942;height:3197" coordorigin="3199,-46" coordsize="4942,3197" path="m3264,2606l8141,2606m3264,2123l8141,2123m3264,1641l8141,1641m3264,1159l8141,1159m3264,676l3495,676m3264,194l8141,194m3264,3088l3264,-46m3199,3088l3264,3088m3199,2606l3264,2606m3199,2123l3264,2123m3199,1641l3264,1641m3199,1159l3264,1159m3199,676l3264,676m3199,194l3264,194m3264,3088l8141,3088m3264,3088l3264,3151m3806,3088l3806,3151m4346,3088l4346,3151m4889,3088l4889,3151m5431,3088l5431,3151m5974,3088l5974,3151m6516,3088l6516,3151m7056,3088l7056,3151m7598,3088l7598,3151m8141,3088l8141,3151m3575,676l8141,676e" filled="false" stroked="true" strokeweight=".48pt" strokecolor="#878787">
              <v:path arrowok="t"/>
            </v:shape>
            <v:shape style="position:absolute;left:3535;top:2;width:4335;height:2169" coordorigin="3535,2" coordsize="4335,2169" path="m3535,1521l4078,2171,4618,194,5160,170,5702,604,6245,652,6785,2,7327,628,7870,74e" filled="false" stroked="true" strokeweight="1.2pt" strokecolor="#000000">
              <v:path arrowok="t"/>
            </v:shape>
            <v:shape style="position:absolute;left:3495;top:1480;width:80;height:80" coordorigin="3495,1480" coordsize="80,80" path="m3535,1480l3519,1483,3506,1492,3498,1504,3495,1520,3498,1536,3506,1548,3519,1557,3535,1560,3550,1557,3563,1548,3571,1536,3575,1520,3571,1504,3563,1492,3550,1483,3535,1480xe" filled="true" fillcolor="#000000" stroked="false">
              <v:path arrowok="t"/>
              <v:fill type="solid"/>
            </v:shape>
            <v:shape style="position:absolute;left:3495;top:1480;width:80;height:80" coordorigin="3495,1480" coordsize="80,80" path="m3575,1520l3571,1536,3563,1548,3550,1557,3535,1560,3519,1557,3506,1548,3498,1536,3495,1520,3498,1504,3506,1492,3519,1483,3535,1480,3550,1483,3563,1492,3571,1504,3575,1520xe" filled="false" stroked="true" strokeweight=".5pt" strokecolor="#000000">
              <v:path arrowok="t"/>
            </v:shape>
            <v:shape style="position:absolute;left:4036;top:2131;width:80;height:80" coordorigin="4036,2131" coordsize="80,80" path="m4076,2131l4061,2134,4048,2143,4040,2156,4036,2171,4040,2187,4048,2199,4061,2208,4076,2211,4092,2208,4105,2199,4113,2187,4116,2171,4113,2156,4105,2143,4092,2134,4076,2131xe" filled="true" fillcolor="#000000" stroked="false">
              <v:path arrowok="t"/>
              <v:fill type="solid"/>
            </v:shape>
            <v:shape style="position:absolute;left:4036;top:2131;width:80;height:80" coordorigin="4036,2131" coordsize="80,80" path="m4116,2171l4113,2187,4105,2199,4092,2208,4076,2211,4061,2208,4048,2199,4040,2187,4036,2171,4040,2156,4048,2143,4061,2134,4076,2131,4092,2134,4105,2143,4113,2156,4116,2171xe" filled="false" stroked="true" strokeweight=".5pt" strokecolor="#000000">
              <v:path arrowok="t"/>
            </v:shape>
            <v:shape style="position:absolute;left:4578;top:153;width:80;height:80" coordorigin="4578,153" coordsize="80,80" path="m4618,153l4603,157,4590,165,4581,178,4578,193,4581,209,4590,222,4603,230,4618,233,4634,230,4647,222,4655,209,4658,193,4655,178,4647,165,4634,157,4618,153xe" filled="true" fillcolor="#000000" stroked="false">
              <v:path arrowok="t"/>
              <v:fill type="solid"/>
            </v:shape>
            <v:shape style="position:absolute;left:4578;top:153;width:80;height:80" coordorigin="4578,153" coordsize="80,80" path="m4658,193l4655,209,4647,222,4634,230,4618,233,4603,230,4590,222,4581,209,4578,193,4581,178,4590,165,4603,157,4618,153,4634,157,4647,165,4655,178,4658,193xe" filled="false" stroked="true" strokeweight=".5pt" strokecolor="#000000">
              <v:path arrowok="t"/>
            </v:shape>
            <v:shape style="position:absolute;left:5120;top:129;width:80;height:80" coordorigin="5120,129" coordsize="80,80" path="m5160,129l5145,133,5132,141,5123,154,5120,169,5123,185,5132,198,5145,206,5160,209,5176,206,5188,198,5197,185,5200,169,5197,154,5188,141,5176,133,5160,129xe" filled="true" fillcolor="#000000" stroked="false">
              <v:path arrowok="t"/>
              <v:fill type="solid"/>
            </v:shape>
            <v:shape style="position:absolute;left:5120;top:129;width:80;height:80" coordorigin="5120,129" coordsize="80,80" path="m5200,169l5197,185,5188,198,5176,206,5160,209,5145,206,5132,198,5123,185,5120,169,5123,154,5132,141,5145,133,5160,129,5176,133,5188,141,5197,154,5200,169xe" filled="false" stroked="true" strokeweight=".5pt" strokecolor="#000000">
              <v:path arrowok="t"/>
            </v:shape>
            <v:shape style="position:absolute;left:5662;top:563;width:80;height:80" coordorigin="5662,563" coordsize="80,80" path="m5702,563l5686,567,5674,575,5665,588,5662,603,5665,619,5674,632,5686,640,5702,643,5718,640,5730,632,5739,619,5742,603,5739,588,5730,575,5718,567,5702,563xe" filled="true" fillcolor="#000000" stroked="false">
              <v:path arrowok="t"/>
              <v:fill type="solid"/>
            </v:shape>
            <v:shape style="position:absolute;left:5662;top:563;width:80;height:80" coordorigin="5662,563" coordsize="80,80" path="m5742,603l5739,619,5730,632,5718,640,5702,643,5686,640,5674,632,5665,619,5662,603,5665,588,5674,575,5686,567,5702,563,5718,567,5730,575,5739,588,5742,603xe" filled="false" stroked="true" strokeweight=".5pt" strokecolor="#000000">
              <v:path arrowok="t"/>
            </v:shape>
            <v:shape style="position:absolute;left:6204;top:612;width:80;height:80" coordorigin="6204,612" coordsize="80,80" path="m6244,612l6228,615,6216,624,6207,636,6204,652,6207,667,6216,680,6228,689,6244,692,6259,689,6272,680,6281,667,6284,652,6281,636,6272,624,6259,615,6244,612xe" filled="true" fillcolor="#000000" stroked="false">
              <v:path arrowok="t"/>
              <v:fill type="solid"/>
            </v:shape>
            <v:shape style="position:absolute;left:6204;top:612;width:80;height:80" coordorigin="6204,612" coordsize="80,80" path="m6284,652l6281,667,6272,680,6259,689,6244,692,6228,689,6216,680,6207,667,6204,652,6207,636,6216,624,6228,615,6244,612,6259,615,6272,624,6281,636,6284,652xe" filled="false" stroked="true" strokeweight=".5pt" strokecolor="#000000">
              <v:path arrowok="t"/>
            </v:shape>
            <v:shape style="position:absolute;left:6746;top:-39;width:80;height:80" coordorigin="6746,-39" coordsize="80,80" path="m6786,-39l6770,-36,6757,-28,6749,-15,6746,1,6749,16,6757,29,6770,37,6786,41,6801,37,6814,29,6823,16,6826,1,6823,-15,6814,-28,6801,-36,6786,-39xe" filled="true" fillcolor="#000000" stroked="false">
              <v:path arrowok="t"/>
              <v:fill type="solid"/>
            </v:shape>
            <v:shape style="position:absolute;left:6746;top:-39;width:80;height:80" coordorigin="6746,-39" coordsize="80,80" path="m6826,1l6823,16,6814,29,6801,37,6786,41,6770,37,6757,29,6749,16,6746,1,6749,-15,6757,-28,6770,-36,6786,-39,6801,-36,6814,-28,6823,-15,6826,1xe" filled="false" stroked="true" strokeweight=".5pt" strokecolor="#000000">
              <v:path arrowok="t"/>
            </v:shape>
            <v:shape style="position:absolute;left:7288;top:588;width:80;height:80" coordorigin="7288,588" coordsize="80,80" path="m7328,588l7312,591,7299,599,7291,612,7288,628,7291,643,7299,656,7312,664,7328,668,7343,664,7356,656,7364,643,7368,628,7364,612,7356,599,7343,591,7328,588xe" filled="true" fillcolor="#000000" stroked="false">
              <v:path arrowok="t"/>
              <v:fill type="solid"/>
            </v:shape>
            <v:shape style="position:absolute;left:7288;top:588;width:80;height:80" coordorigin="7288,588" coordsize="80,80" path="m7368,628l7364,643,7356,656,7343,664,7328,668,7312,664,7299,656,7291,643,7288,628,7291,612,7299,599,7312,591,7328,588,7343,591,7356,599,7364,612,7368,628xe" filled="false" stroked="true" strokeweight=".5pt" strokecolor="#000000">
              <v:path arrowok="t"/>
            </v:shape>
            <v:shape style="position:absolute;left:7829;top:33;width:80;height:80" coordorigin="7829,33" coordsize="80,80" path="m7869,33l7854,36,7841,45,7833,57,7829,73,7833,88,7841,101,7854,110,7869,113,7885,110,7898,101,7906,88,7909,73,7906,57,7898,45,7885,36,7869,33xe" filled="true" fillcolor="#000000" stroked="false">
              <v:path arrowok="t"/>
              <v:fill type="solid"/>
            </v:shape>
            <v:shape style="position:absolute;left:7829;top:33;width:80;height:80" coordorigin="7829,33" coordsize="80,80" path="m7909,73l7906,88,7898,101,7885,110,7869,113,7854,110,7841,101,7833,88,7829,73,7833,57,7841,45,7854,36,7869,33,7885,36,7898,45,7906,57,7909,73xe" filled="false" stroked="true" strokeweight=".5pt" strokecolor="#000000">
              <v:path arrowok="t"/>
            </v:shape>
            <v:shape style="position:absolute;left:3535;top:-22;width:4335;height:1037" coordorigin="3535,-22" coordsize="4335,1037" path="m3535,676l4078,1015,4618,2,5160,-22,5702,170,6245,26,6785,-22,7327,50,7870,-22e" filled="false" stroked="true" strokeweight="1.2pt" strokecolor="#000000">
              <v:path arrowok="t"/>
              <v:stroke dashstyle="longDash"/>
            </v:shape>
            <v:line style="position:absolute" from="3495,676" to="3575,676" stroked="true" strokeweight="4pt" strokecolor="#000000"/>
            <v:rect style="position:absolute;left:3495;top:636;width:80;height:80" filled="false" stroked="true" strokeweight=".5pt" strokecolor="#000000"/>
            <v:line style="position:absolute" from="4036,1013" to="4116,1013" stroked="true" strokeweight="4pt" strokecolor="#000000"/>
            <v:rect style="position:absolute;left:4036;top:973;width:80;height:80" filled="false" stroked="true" strokeweight=".5pt" strokecolor="#000000"/>
            <v:line style="position:absolute" from="4578,1" to="4658,1" stroked="true" strokeweight="4pt" strokecolor="#000000"/>
            <v:rect style="position:absolute;left:4578;top:-39;width:80;height:80" filled="false" stroked="true" strokeweight=".5pt" strokecolor="#000000"/>
            <v:line style="position:absolute" from="5120,-24" to="5200,-24" stroked="true" strokeweight="4pt" strokecolor="#000000"/>
            <v:rect style="position:absolute;left:5120;top:-64;width:80;height:80" filled="false" stroked="true" strokeweight=".5pt" strokecolor="#000000"/>
            <v:line style="position:absolute" from="5662,169" to="5742,169" stroked="true" strokeweight="4pt" strokecolor="#000000"/>
            <v:rect style="position:absolute;left:5662;top:129;width:80;height:80" filled="false" stroked="true" strokeweight=".5pt" strokecolor="#000000"/>
            <v:line style="position:absolute" from="6204,25" to="6284,25" stroked="true" strokeweight="4pt" strokecolor="#000000"/>
            <v:rect style="position:absolute;left:6204;top:-15;width:80;height:80" filled="false" stroked="true" strokeweight=".5pt" strokecolor="#000000"/>
            <v:line style="position:absolute" from="6746,-24" to="6826,-24" stroked="true" strokeweight="4pt" strokecolor="#000000"/>
            <v:rect style="position:absolute;left:6746;top:-64;width:80;height:80" filled="false" stroked="true" strokeweight=".5pt" strokecolor="#000000"/>
            <v:line style="position:absolute" from="7288,49" to="7368,49" stroked="true" strokeweight="4pt" strokecolor="#000000"/>
            <v:rect style="position:absolute;left:7288;top:9;width:80;height:80" filled="false" stroked="true" strokeweight=".5pt" strokecolor="#000000"/>
            <v:line style="position:absolute" from="7829,-24" to="7909,-24" stroked="true" strokeweight="4pt" strokecolor="#000000"/>
            <v:rect style="position:absolute;left:7829;top:-64;width:80;height:80" filled="false" stroked="true" strokeweight=".5pt" strokecolor="#000000"/>
            <v:shape style="position:absolute;left:3535;top:-46;width:4335;height:432" coordorigin="3535,-46" coordsize="4335,432" path="m3535,266l4078,386,4618,-46,5160,-46,5702,50,6245,-46,6785,-22,7327,-22,7870,-46e" filled="false" stroked="true" strokeweight="1.2pt" strokecolor="#000000">
              <v:path arrowok="t"/>
              <v:stroke dashstyle="longDash"/>
            </v:shape>
            <v:shape style="position:absolute;left:3480;top:211;width:110;height:110" type="#_x0000_t75" stroked="false">
              <v:imagedata r:id="rId78" o:title=""/>
            </v:shape>
            <v:shape style="position:absolute;left:4021;top:331;width:110;height:110" type="#_x0000_t75" stroked="false">
              <v:imagedata r:id="rId78" o:title=""/>
            </v:shape>
            <v:shape style="position:absolute;left:4563;top:-103;width:110;height:110" type="#_x0000_t75" stroked="false">
              <v:imagedata r:id="rId78" o:title=""/>
            </v:shape>
            <v:shape style="position:absolute;left:5105;top:-103;width:110;height:110" type="#_x0000_t75" stroked="false">
              <v:imagedata r:id="rId79" o:title=""/>
            </v:shape>
            <v:shape style="position:absolute;left:5647;top:-6;width:110;height:110" type="#_x0000_t75" stroked="false">
              <v:imagedata r:id="rId78" o:title=""/>
            </v:shape>
            <v:shape style="position:absolute;left:6189;top:-103;width:110;height:110" type="#_x0000_t75" stroked="false">
              <v:imagedata r:id="rId78" o:title=""/>
            </v:shape>
            <v:shape style="position:absolute;left:6731;top:-79;width:110;height:110" type="#_x0000_t75" stroked="false">
              <v:imagedata r:id="rId78" o:title=""/>
            </v:shape>
            <v:shape style="position:absolute;left:7273;top:-79;width:110;height:110" type="#_x0000_t75" stroked="false">
              <v:imagedata r:id="rId79" o:title=""/>
            </v:shape>
            <v:shape style="position:absolute;left:7814;top:-103;width:110;height:110" type="#_x0000_t75" stroked="false">
              <v:imagedata r:id="rId78" o:title=""/>
            </v:shape>
            <w10:wrap type="none"/>
          </v:group>
        </w:pict>
      </w:r>
      <w:r>
        <w:rPr>
          <w:rFonts w:ascii="Calibri"/>
          <w:sz w:val="20"/>
        </w:rPr>
        <w:t>99</w:t>
      </w:r>
    </w:p>
    <w:p>
      <w:pPr>
        <w:pStyle w:val="BodyText"/>
        <w:spacing w:before="7"/>
        <w:rPr>
          <w:rFonts w:ascii="Calibri"/>
          <w:sz w:val="19"/>
        </w:rPr>
      </w:pPr>
    </w:p>
    <w:p>
      <w:pPr>
        <w:spacing w:before="1"/>
        <w:ind w:left="2877" w:right="1080" w:firstLine="0"/>
        <w:jc w:val="left"/>
        <w:rPr>
          <w:rFonts w:ascii="Calibri"/>
          <w:sz w:val="20"/>
        </w:rPr>
      </w:pPr>
      <w:r>
        <w:rPr/>
        <w:pict>
          <v:shape style="position:absolute;margin-left:125.150002pt;margin-top:6.490873pt;width:12pt;height:86.15pt;mso-position-horizontal-relative:page;mso-position-vertical-relative:paragraph;z-index:3856"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w w:val="96"/>
                      <w:sz w:val="20"/>
                    </w:rPr>
                    <w:t>%</w:t>
                  </w:r>
                  <w:r>
                    <w:rPr>
                      <w:rFonts w:ascii="Calibri" w:hAnsi="Calibri"/>
                      <w:b/>
                      <w:spacing w:val="2"/>
                      <w:sz w:val="20"/>
                    </w:rPr>
                    <w:t> </w:t>
                  </w:r>
                  <w:r>
                    <w:rPr>
                      <w:rFonts w:ascii="Calibri" w:hAnsi="Calibri"/>
                      <w:b/>
                      <w:spacing w:val="4"/>
                      <w:w w:val="96"/>
                      <w:sz w:val="20"/>
                    </w:rPr>
                    <w:t>d</w:t>
                  </w:r>
                  <w:r>
                    <w:rPr>
                      <w:rFonts w:ascii="Calibri" w:hAnsi="Calibri"/>
                      <w:b/>
                      <w:w w:val="96"/>
                      <w:sz w:val="20"/>
                    </w:rPr>
                    <w:t>e</w:t>
                  </w:r>
                  <w:r>
                    <w:rPr>
                      <w:rFonts w:ascii="Calibri" w:hAnsi="Calibri"/>
                      <w:b/>
                      <w:spacing w:val="-3"/>
                      <w:sz w:val="20"/>
                    </w:rPr>
                    <w:t> </w:t>
                  </w:r>
                  <w:r>
                    <w:rPr>
                      <w:rFonts w:ascii="Calibri" w:hAnsi="Calibri"/>
                      <w:b/>
                      <w:spacing w:val="4"/>
                      <w:w w:val="96"/>
                      <w:sz w:val="20"/>
                    </w:rPr>
                    <w:t>p</w:t>
                  </w:r>
                  <w:r>
                    <w:rPr>
                      <w:rFonts w:ascii="Calibri" w:hAnsi="Calibri"/>
                      <w:b/>
                      <w:w w:val="96"/>
                      <w:sz w:val="20"/>
                    </w:rPr>
                    <w:t>un</w:t>
                  </w:r>
                  <w:r>
                    <w:rPr>
                      <w:rFonts w:ascii="Calibri" w:hAnsi="Calibri"/>
                      <w:b/>
                      <w:spacing w:val="5"/>
                      <w:w w:val="96"/>
                      <w:sz w:val="20"/>
                    </w:rPr>
                    <w:t>t</w:t>
                  </w:r>
                  <w:r>
                    <w:rPr>
                      <w:rFonts w:ascii="Calibri" w:hAnsi="Calibri"/>
                      <w:b/>
                      <w:spacing w:val="4"/>
                      <w:w w:val="96"/>
                      <w:sz w:val="20"/>
                    </w:rPr>
                    <w:t>o</w:t>
                  </w:r>
                  <w:r>
                    <w:rPr>
                      <w:rFonts w:ascii="Calibri" w:hAnsi="Calibri"/>
                      <w:b/>
                      <w:w w:val="96"/>
                      <w:sz w:val="20"/>
                    </w:rPr>
                    <w:t>s</w:t>
                  </w:r>
                  <w:r>
                    <w:rPr>
                      <w:rFonts w:ascii="Calibri" w:hAnsi="Calibri"/>
                      <w:b/>
                      <w:spacing w:val="-3"/>
                      <w:sz w:val="20"/>
                    </w:rPr>
                    <w:t> </w:t>
                  </w:r>
                  <w:r>
                    <w:rPr>
                      <w:rFonts w:ascii="Calibri" w:hAnsi="Calibri"/>
                      <w:b/>
                      <w:spacing w:val="3"/>
                      <w:w w:val="96"/>
                      <w:sz w:val="20"/>
                    </w:rPr>
                    <w:t>c</w:t>
                  </w:r>
                  <w:r>
                    <w:rPr>
                      <w:rFonts w:ascii="Calibri" w:hAnsi="Calibri"/>
                      <w:b/>
                      <w:w w:val="96"/>
                      <w:sz w:val="20"/>
                    </w:rPr>
                    <w:t>on</w:t>
                  </w:r>
                  <w:r>
                    <w:rPr>
                      <w:rFonts w:ascii="Calibri" w:hAnsi="Calibri"/>
                      <w:b/>
                      <w:spacing w:val="4"/>
                      <w:sz w:val="20"/>
                    </w:rPr>
                    <w:t> </w:t>
                  </w:r>
                  <w:r>
                    <w:rPr>
                      <w:rFonts w:ascii="Calibri" w:hAnsi="Calibri"/>
                      <w:b/>
                      <w:spacing w:val="2"/>
                      <w:w w:val="96"/>
                      <w:sz w:val="20"/>
                    </w:rPr>
                    <w:t>γ</w:t>
                  </w:r>
                  <w:r>
                    <w:rPr>
                      <w:rFonts w:ascii="Calibri" w:hAnsi="Calibri"/>
                      <w:b/>
                      <w:spacing w:val="4"/>
                      <w:w w:val="96"/>
                      <w:sz w:val="20"/>
                    </w:rPr>
                    <w:t>&lt;</w:t>
                  </w:r>
                  <w:r>
                    <w:rPr>
                      <w:rFonts w:ascii="Calibri" w:hAnsi="Calibri"/>
                      <w:b/>
                      <w:w w:val="96"/>
                      <w:sz w:val="20"/>
                    </w:rPr>
                    <w:t>1</w:t>
                  </w:r>
                </w:p>
              </w:txbxContent>
            </v:textbox>
            <w10:wrap type="none"/>
          </v:shape>
        </w:pict>
      </w:r>
      <w:r>
        <w:rPr>
          <w:rFonts w:ascii="Calibri"/>
          <w:sz w:val="20"/>
        </w:rPr>
        <w:t>97</w:t>
      </w:r>
    </w:p>
    <w:p>
      <w:pPr>
        <w:pStyle w:val="BodyText"/>
        <w:spacing w:before="4"/>
        <w:rPr>
          <w:rFonts w:ascii="Calibri"/>
          <w:sz w:val="19"/>
        </w:rPr>
      </w:pPr>
    </w:p>
    <w:p>
      <w:pPr>
        <w:spacing w:before="0"/>
        <w:ind w:left="2877" w:right="1080" w:firstLine="0"/>
        <w:jc w:val="left"/>
        <w:rPr>
          <w:rFonts w:ascii="Calibri"/>
          <w:sz w:val="20"/>
        </w:rPr>
      </w:pPr>
      <w:r>
        <w:rPr>
          <w:rFonts w:ascii="Calibri"/>
          <w:sz w:val="20"/>
        </w:rPr>
        <w:t>95</w:t>
      </w:r>
    </w:p>
    <w:p>
      <w:pPr>
        <w:pStyle w:val="BodyText"/>
        <w:spacing w:before="11"/>
        <w:rPr>
          <w:rFonts w:ascii="Calibri"/>
          <w:sz w:val="12"/>
        </w:rPr>
      </w:pPr>
      <w:r>
        <w:rPr/>
        <w:pict>
          <v:group style="position:absolute;margin-left:422.899994pt;margin-top:9.834441pt;width:26.4pt;height:4.45pt;mso-position-horizontal-relative:page;mso-position-vertical-relative:paragraph;z-index:3760;mso-wrap-distance-left:0;mso-wrap-distance-right:0" coordorigin="8458,197" coordsize="528,89">
            <v:line style="position:absolute" from="8470,243" to="8974,243" stroked="true" strokeweight="1.2pt" strokecolor="#000000"/>
            <v:shape style="position:absolute;left:8681;top:202;width:79;height:79" coordorigin="8681,202" coordsize="79,79" path="m8720,202l8705,205,8692,214,8684,226,8681,242,8684,257,8692,270,8705,278,8720,281,8736,278,8748,270,8757,257,8760,242,8757,226,8748,214,8736,205,8720,202xe" filled="true" fillcolor="#000000" stroked="false">
              <v:path arrowok="t"/>
              <v:fill type="solid"/>
            </v:shape>
            <v:shape style="position:absolute;left:8681;top:202;width:79;height:79" coordorigin="8681,202" coordsize="79,79" path="m8760,242l8757,257,8748,270,8736,278,8720,281,8705,278,8692,270,8684,257,8681,242,8684,226,8692,214,8705,205,8720,202,8736,205,8748,214,8757,226,8760,242xe" filled="false" stroked="true" strokeweight=".48pt" strokecolor="#000000">
              <v:path arrowok="t"/>
            </v:shape>
            <w10:wrap type="topAndBottom"/>
          </v:group>
        </w:pict>
      </w:r>
    </w:p>
    <w:p>
      <w:pPr>
        <w:tabs>
          <w:tab w:pos="9030" w:val="left" w:leader="none"/>
        </w:tabs>
        <w:spacing w:line="211" w:lineRule="exact" w:before="0"/>
        <w:ind w:left="2877" w:right="1080" w:firstLine="0"/>
        <w:jc w:val="left"/>
        <w:rPr>
          <w:rFonts w:ascii="Calibri"/>
          <w:sz w:val="20"/>
        </w:rPr>
      </w:pPr>
      <w:r>
        <w:rPr>
          <w:rFonts w:ascii="Calibri"/>
          <w:position w:val="-11"/>
          <w:sz w:val="20"/>
        </w:rPr>
        <w:t>93</w:t>
        <w:tab/>
      </w:r>
      <w:r>
        <w:rPr>
          <w:rFonts w:ascii="Calibri"/>
          <w:sz w:val="20"/>
        </w:rPr>
        <w:t>3%/3</w:t>
      </w:r>
      <w:r>
        <w:rPr>
          <w:rFonts w:ascii="Calibri"/>
          <w:spacing w:val="-11"/>
          <w:sz w:val="20"/>
        </w:rPr>
        <w:t> </w:t>
      </w:r>
      <w:r>
        <w:rPr>
          <w:rFonts w:ascii="Calibri"/>
          <w:sz w:val="20"/>
        </w:rPr>
        <w:t>mm</w:t>
      </w:r>
    </w:p>
    <w:p>
      <w:pPr>
        <w:spacing w:line="194" w:lineRule="exact" w:before="0"/>
        <w:ind w:left="0" w:right="2423" w:firstLine="0"/>
        <w:jc w:val="right"/>
        <w:rPr>
          <w:rFonts w:ascii="Calibri"/>
          <w:sz w:val="20"/>
        </w:rPr>
      </w:pPr>
      <w:r>
        <w:rPr/>
        <w:pict>
          <v:group style="position:absolute;margin-left:422.899994pt;margin-top:19.187963pt;width:26.4pt;height:5.5pt;mso-position-horizontal-relative:page;mso-position-vertical-relative:paragraph;z-index:-103240" coordorigin="8458,384" coordsize="528,110">
            <v:line style="position:absolute" from="8470,439" to="8974,439" stroked="true" strokeweight="1.2pt" strokecolor="#000000">
              <v:stroke dashstyle="longDash"/>
            </v:line>
            <v:shape style="position:absolute;left:8668;top:384;width:108;height:110" type="#_x0000_t75" stroked="false">
              <v:imagedata r:id="rId80" o:title=""/>
            </v:shape>
            <w10:wrap type="none"/>
          </v:group>
        </w:pict>
      </w:r>
      <w:r>
        <w:rPr/>
        <w:pict>
          <v:group style="position:absolute;margin-left:422.899994pt;margin-top:1.687963pt;width:26.4pt;height:4.45pt;mso-position-horizontal-relative:page;mso-position-vertical-relative:paragraph;z-index:3832" coordorigin="8458,34" coordsize="528,89">
            <v:line style="position:absolute" from="8470,77" to="8974,77" stroked="true" strokeweight="1.2pt" strokecolor="#000000">
              <v:stroke dashstyle="longDash"/>
            </v:line>
            <v:line style="position:absolute" from="8681,78" to="8760,78" stroked="true" strokeweight="3.96pt" strokecolor="#000000"/>
            <v:rect style="position:absolute;left:8681;top:39;width:79;height:79" filled="false" stroked="true" strokeweight=".48pt" strokecolor="#000000"/>
            <w10:wrap type="none"/>
          </v:group>
        </w:pict>
      </w:r>
      <w:r>
        <w:rPr>
          <w:rFonts w:ascii="Calibri"/>
          <w:sz w:val="20"/>
        </w:rPr>
        <w:t>4%/3 mm</w:t>
      </w:r>
    </w:p>
    <w:p>
      <w:pPr>
        <w:spacing w:after="0" w:line="194" w:lineRule="exact"/>
        <w:jc w:val="right"/>
        <w:rPr>
          <w:rFonts w:ascii="Calibri"/>
          <w:sz w:val="20"/>
        </w:rPr>
        <w:sectPr>
          <w:pgSz w:w="12240" w:h="15840"/>
          <w:pgMar w:header="0" w:footer="1046" w:top="0" w:bottom="1240" w:left="0" w:right="0"/>
        </w:sectPr>
      </w:pPr>
    </w:p>
    <w:p>
      <w:pPr>
        <w:spacing w:before="0"/>
        <w:ind w:left="2857" w:right="4824" w:firstLine="0"/>
        <w:jc w:val="center"/>
        <w:rPr>
          <w:rFonts w:ascii="Calibri"/>
          <w:sz w:val="20"/>
        </w:rPr>
      </w:pPr>
      <w:r>
        <w:rPr>
          <w:rFonts w:ascii="Calibri"/>
          <w:sz w:val="20"/>
        </w:rPr>
        <w:t>91</w:t>
      </w:r>
    </w:p>
    <w:p>
      <w:pPr>
        <w:pStyle w:val="BodyText"/>
        <w:spacing w:before="7"/>
        <w:rPr>
          <w:rFonts w:ascii="Calibri"/>
          <w:sz w:val="19"/>
        </w:rPr>
      </w:pPr>
    </w:p>
    <w:p>
      <w:pPr>
        <w:spacing w:before="1"/>
        <w:ind w:left="2857" w:right="4824" w:firstLine="0"/>
        <w:jc w:val="center"/>
        <w:rPr>
          <w:rFonts w:ascii="Calibri"/>
          <w:sz w:val="20"/>
        </w:rPr>
      </w:pPr>
      <w:r>
        <w:rPr>
          <w:rFonts w:ascii="Calibri"/>
          <w:sz w:val="20"/>
        </w:rPr>
        <w:t>89</w:t>
      </w:r>
    </w:p>
    <w:p>
      <w:pPr>
        <w:pStyle w:val="BodyText"/>
        <w:spacing w:before="4"/>
        <w:rPr>
          <w:rFonts w:ascii="Calibri"/>
          <w:sz w:val="19"/>
        </w:rPr>
      </w:pPr>
    </w:p>
    <w:p>
      <w:pPr>
        <w:spacing w:before="0"/>
        <w:ind w:left="2857" w:right="4824" w:firstLine="0"/>
        <w:jc w:val="center"/>
        <w:rPr>
          <w:rFonts w:ascii="Calibri"/>
          <w:sz w:val="20"/>
        </w:rPr>
      </w:pPr>
      <w:r>
        <w:rPr>
          <w:rFonts w:ascii="Calibri"/>
          <w:sz w:val="20"/>
        </w:rPr>
        <w:t>87</w:t>
      </w:r>
    </w:p>
    <w:p>
      <w:pPr>
        <w:tabs>
          <w:tab w:pos="4029" w:val="left" w:leader="none"/>
          <w:tab w:pos="4569" w:val="left" w:leader="none"/>
          <w:tab w:pos="5113" w:val="left" w:leader="none"/>
          <w:tab w:pos="5653" w:val="left" w:leader="none"/>
          <w:tab w:pos="6197" w:val="left" w:leader="none"/>
          <w:tab w:pos="6737" w:val="left" w:leader="none"/>
          <w:tab w:pos="7278" w:val="left" w:leader="none"/>
          <w:tab w:pos="7822" w:val="left" w:leader="none"/>
        </w:tabs>
        <w:spacing w:before="20"/>
        <w:ind w:left="3485" w:right="0" w:firstLine="0"/>
        <w:jc w:val="center"/>
        <w:rPr>
          <w:rFonts w:ascii="Calibri"/>
          <w:sz w:val="20"/>
        </w:rPr>
      </w:pPr>
      <w:r>
        <w:rPr>
          <w:rFonts w:ascii="Calibri"/>
          <w:sz w:val="20"/>
        </w:rPr>
        <w:t>1</w:t>
        <w:tab/>
        <w:t>2</w:t>
        <w:tab/>
        <w:t>3</w:t>
        <w:tab/>
        <w:t>4</w:t>
        <w:tab/>
        <w:t>5</w:t>
        <w:tab/>
        <w:t>6</w:t>
        <w:tab/>
        <w:t>7</w:t>
        <w:tab/>
        <w:t>8</w:t>
        <w:tab/>
        <w:t>9</w:t>
      </w:r>
    </w:p>
    <w:p>
      <w:pPr>
        <w:spacing w:before="59"/>
        <w:ind w:left="0" w:right="1821" w:firstLine="0"/>
        <w:jc w:val="right"/>
        <w:rPr>
          <w:rFonts w:ascii="Calibri"/>
          <w:b/>
          <w:sz w:val="20"/>
        </w:rPr>
      </w:pPr>
      <w:r>
        <w:rPr>
          <w:rFonts w:ascii="Calibri"/>
          <w:b/>
          <w:sz w:val="20"/>
        </w:rPr>
        <w:t>Pacientes</w:t>
      </w:r>
    </w:p>
    <w:p>
      <w:pPr>
        <w:tabs>
          <w:tab w:pos="1066" w:val="left" w:leader="none"/>
        </w:tabs>
        <w:spacing w:before="112"/>
        <w:ind w:left="506" w:right="0" w:firstLine="0"/>
        <w:jc w:val="left"/>
        <w:rPr>
          <w:rFonts w:ascii="Calibri"/>
          <w:sz w:val="20"/>
        </w:rPr>
      </w:pPr>
      <w:r>
        <w:rPr/>
        <w:br w:type="column"/>
      </w:r>
      <w:r>
        <w:rPr>
          <w:rFonts w:ascii="Calibri"/>
          <w:sz w:val="20"/>
        </w:rPr>
        <w:t> </w:t>
        <w:tab/>
        <w:t>5%/3</w:t>
      </w:r>
      <w:r>
        <w:rPr>
          <w:rFonts w:ascii="Calibri"/>
          <w:spacing w:val="-11"/>
          <w:sz w:val="20"/>
        </w:rPr>
        <w:t> </w:t>
      </w:r>
      <w:r>
        <w:rPr>
          <w:rFonts w:ascii="Calibri"/>
          <w:sz w:val="20"/>
        </w:rPr>
        <w:t>mm</w:t>
      </w:r>
    </w:p>
    <w:p>
      <w:pPr>
        <w:spacing w:after="0"/>
        <w:jc w:val="left"/>
        <w:rPr>
          <w:rFonts w:ascii="Calibri"/>
          <w:sz w:val="20"/>
        </w:rPr>
        <w:sectPr>
          <w:type w:val="continuous"/>
          <w:pgSz w:w="12240" w:h="15840"/>
          <w:pgMar w:top="1380" w:bottom="280" w:left="0" w:right="0"/>
          <w:cols w:num="2" w:equalWidth="0">
            <w:col w:w="7924" w:space="40"/>
            <w:col w:w="4276"/>
          </w:cols>
        </w:sectPr>
      </w:pPr>
    </w:p>
    <w:p>
      <w:pPr>
        <w:pStyle w:val="BodyText"/>
        <w:spacing w:before="7"/>
        <w:rPr>
          <w:rFonts w:ascii="Calibri"/>
          <w:sz w:val="28"/>
        </w:rPr>
      </w:pPr>
    </w:p>
    <w:p>
      <w:pPr>
        <w:spacing w:line="280" w:lineRule="auto" w:before="74"/>
        <w:ind w:left="5553" w:right="1080" w:hanging="3445"/>
        <w:jc w:val="left"/>
        <w:rPr>
          <w:rFonts w:ascii="Times New Roman" w:hAnsi="Times New Roman"/>
          <w:sz w:val="20"/>
        </w:rPr>
      </w:pPr>
      <w:r>
        <w:rPr>
          <w:rFonts w:ascii="Times New Roman" w:hAnsi="Times New Roman"/>
          <w:sz w:val="20"/>
        </w:rPr>
        <w:t>Figura 1. Porcentaje de puntos con γ&lt;1 para criterios de 3%/3 mm, 4%/3 mm, y 5%/3 mm, películas radiocrómicas</w:t>
      </w:r>
    </w:p>
    <w:p>
      <w:pPr>
        <w:spacing w:after="0" w:line="280" w:lineRule="auto"/>
        <w:jc w:val="left"/>
        <w:rPr>
          <w:rFonts w:ascii="Times New Roman" w:hAnsi="Times New Roman"/>
          <w:sz w:val="20"/>
        </w:rPr>
        <w:sectPr>
          <w:type w:val="continuous"/>
          <w:pgSz w:w="12240" w:h="15840"/>
          <w:pgMar w:top="1380" w:bottom="280" w:left="0" w:right="0"/>
        </w:sectPr>
      </w:pPr>
    </w:p>
    <w:p>
      <w:pPr>
        <w:spacing w:before="44"/>
        <w:ind w:left="100" w:right="1080" w:firstLine="0"/>
        <w:jc w:val="left"/>
        <w:rPr>
          <w:rFonts w:ascii="Arial"/>
          <w:b/>
          <w:sz w:val="20"/>
        </w:rPr>
      </w:pPr>
      <w:r>
        <w:rPr>
          <w:rFonts w:ascii="Arial"/>
          <w:b/>
          <w:sz w:val="20"/>
        </w:rPr>
        <w:t>Figura (Figure) 6</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pStyle w:val="BodyText"/>
        <w:spacing w:before="1"/>
        <w:ind w:left="1704" w:right="1080"/>
        <w:rPr>
          <w:rFonts w:ascii="Calibri"/>
        </w:rPr>
      </w:pPr>
      <w:r>
        <w:rPr>
          <w:rFonts w:ascii="Calibri"/>
        </w:rPr>
        <w:t>Figura 6</w:t>
      </w:r>
    </w:p>
    <w:p>
      <w:pPr>
        <w:pStyle w:val="BodyText"/>
        <w:rPr>
          <w:rFonts w:ascii="Calibri"/>
          <w:sz w:val="20"/>
        </w:rPr>
      </w:pPr>
    </w:p>
    <w:p>
      <w:pPr>
        <w:pStyle w:val="BodyText"/>
        <w:rPr>
          <w:rFonts w:ascii="Calibri"/>
          <w:sz w:val="20"/>
        </w:rPr>
      </w:pPr>
    </w:p>
    <w:p>
      <w:pPr>
        <w:pStyle w:val="BodyText"/>
        <w:spacing w:before="6"/>
        <w:rPr>
          <w:rFonts w:ascii="Calibri"/>
          <w:sz w:val="19"/>
        </w:rPr>
      </w:pPr>
    </w:p>
    <w:p>
      <w:pPr>
        <w:spacing w:before="0"/>
        <w:ind w:left="2751" w:right="9144" w:firstLine="0"/>
        <w:jc w:val="center"/>
        <w:rPr>
          <w:rFonts w:ascii="Calibri"/>
          <w:sz w:val="20"/>
        </w:rPr>
      </w:pPr>
      <w:r>
        <w:rPr/>
        <w:pict>
          <v:group style="position:absolute;margin-left:159.699997pt;margin-top:4.321467pt;width:247.7pt;height:162.25pt;mso-position-horizontal-relative:page;mso-position-vertical-relative:paragraph;z-index:-103168" coordorigin="3194,86" coordsize="4954,3245">
            <v:shape style="position:absolute;left:3199;top:131;width:4944;height:3195" coordorigin="3199,131" coordsize="4944,3195" path="m3264,2740l8143,2740m3264,2219l8143,2219m3264,1696l8143,1696m3264,1175l8143,1175m3264,652l8143,652m3264,131l8143,131m3264,3263l3264,131m3199,3263l3264,3263m3199,2740l3264,2740m3199,2219l3264,2219m3199,1696l3264,1696m3199,1175l3264,1175m3199,652l3264,652m3199,131l3264,131m3264,3263l8143,3263m3264,3263l3264,3326m3806,3263l3806,3326m4349,3263l4349,3326m4891,3263l4891,3326m5434,3263l5434,3326m5974,3263l5974,3326m6516,3263l6516,3326m7058,3263l7058,3326m7601,3263l7601,3326m8143,3263l8143,3326e" filled="false" stroked="true" strokeweight=".48pt" strokecolor="#878787">
              <v:path arrowok="t"/>
            </v:shape>
            <v:shape style="position:absolute;left:3535;top:150;width:4337;height:2832" coordorigin="3535,150" coordsize="4337,2832" path="m3535,203l4078,150,4620,2082,5162,590,5702,2730,6245,892,6787,518,7330,2982,7872,851e" filled="false" stroked="true" strokeweight="1.2pt" strokecolor="#000000">
              <v:path arrowok="t"/>
            </v:shape>
            <v:shape style="position:absolute;left:3494;top:164;width:80;height:80" coordorigin="3494,164" coordsize="80,80" path="m3534,164l3519,167,3506,176,3498,188,3494,204,3498,219,3506,232,3519,241,3534,244,3550,241,3563,232,3571,219,3574,204,3571,188,3563,176,3550,167,3534,164xe" filled="true" fillcolor="#000000" stroked="false">
              <v:path arrowok="t"/>
              <v:fill type="solid"/>
            </v:shape>
            <v:shape style="position:absolute;left:3494;top:164;width:80;height:80" coordorigin="3494,164" coordsize="80,80" path="m3574,204l3571,219,3563,232,3550,241,3534,244,3519,241,3506,232,3498,219,3494,204,3498,188,3506,176,3519,167,3534,164,3550,167,3563,176,3571,188,3574,204xe" filled="false" stroked="true" strokeweight=".5pt" strokecolor="#000000">
              <v:path arrowok="t"/>
            </v:shape>
            <v:shape style="position:absolute;left:4037;top:112;width:80;height:80" coordorigin="4037,112" coordsize="80,80" path="m4077,112l4061,115,4048,123,4040,136,4037,152,4040,167,4048,180,4061,188,4077,192,4092,188,4105,180,4113,167,4117,152,4113,136,4105,123,4092,115,4077,112xe" filled="true" fillcolor="#000000" stroked="false">
              <v:path arrowok="t"/>
              <v:fill type="solid"/>
            </v:shape>
            <v:shape style="position:absolute;left:4037;top:112;width:80;height:80" coordorigin="4037,112" coordsize="80,80" path="m4117,152l4113,167,4105,180,4092,188,4077,192,4061,188,4048,180,4040,167,4037,152,4040,136,4048,123,4061,115,4077,112,4092,115,4105,123,4113,136,4117,152xe" filled="false" stroked="true" strokeweight=".5pt" strokecolor="#000000">
              <v:path arrowok="t"/>
            </v:shape>
            <v:shape style="position:absolute;left:4579;top:2044;width:80;height:80" coordorigin="4579,2044" coordsize="80,80" path="m4619,2044l4603,2047,4590,2055,4582,2068,4579,2084,4582,2099,4590,2112,4603,2121,4619,2124,4634,2121,4647,2112,4656,2099,4659,2084,4656,2068,4647,2055,4634,2047,4619,2044xe" filled="true" fillcolor="#000000" stroked="false">
              <v:path arrowok="t"/>
              <v:fill type="solid"/>
            </v:shape>
            <v:shape style="position:absolute;left:4579;top:2044;width:80;height:80" coordorigin="4579,2044" coordsize="80,80" path="m4659,2084l4656,2099,4647,2112,4634,2121,4619,2124,4603,2121,4590,2112,4582,2099,4579,2084,4582,2068,4590,2055,4603,2047,4619,2044,4634,2047,4647,2055,4656,2068,4659,2084xe" filled="false" stroked="true" strokeweight=".5pt" strokecolor="#000000">
              <v:path arrowok="t"/>
            </v:shape>
            <v:shape style="position:absolute;left:5121;top:550;width:80;height:80" coordorigin="5121,550" coordsize="80,80" path="m5161,550l5145,553,5133,562,5124,575,5121,590,5124,606,5133,618,5145,627,5161,630,5176,627,5189,618,5198,606,5201,590,5198,575,5189,562,5176,553,5161,550xe" filled="true" fillcolor="#000000" stroked="false">
              <v:path arrowok="t"/>
              <v:fill type="solid"/>
            </v:shape>
            <v:shape style="position:absolute;left:5121;top:550;width:80;height:80" coordorigin="5121,550" coordsize="80,80" path="m5201,590l5198,606,5189,618,5176,627,5161,630,5145,627,5133,618,5124,606,5121,590,5124,575,5133,562,5145,553,5161,550,5176,553,5189,562,5198,575,5201,590xe" filled="false" stroked="true" strokeweight=".5pt" strokecolor="#000000">
              <v:path arrowok="t"/>
            </v:shape>
            <v:shape style="position:absolute;left:5663;top:2691;width:80;height:80" coordorigin="5663,2691" coordsize="80,80" path="m5703,2691l5687,2694,5675,2703,5666,2716,5663,2731,5666,2747,5675,2759,5687,2768,5703,2771,5719,2768,5731,2759,5740,2747,5743,2731,5740,2716,5731,2703,5719,2694,5703,2691xe" filled="true" fillcolor="#000000" stroked="false">
              <v:path arrowok="t"/>
              <v:fill type="solid"/>
            </v:shape>
            <v:shape style="position:absolute;left:5663;top:2691;width:80;height:80" coordorigin="5663,2691" coordsize="80,80" path="m5743,2731l5740,2747,5731,2759,5719,2768,5703,2771,5687,2768,5675,2759,5666,2747,5663,2731,5666,2716,5675,2703,5687,2694,5703,2691,5719,2694,5731,2703,5740,2716,5743,2731xe" filled="false" stroked="true" strokeweight=".5pt" strokecolor="#000000">
              <v:path arrowok="t"/>
            </v:shape>
            <v:shape style="position:absolute;left:6205;top:853;width:80;height:80" coordorigin="6205,853" coordsize="80,80" path="m6245,853l6230,856,6217,865,6208,877,6205,893,6208,909,6217,921,6230,930,6245,933,6261,930,6273,921,6282,909,6285,893,6282,877,6273,865,6261,856,6245,853xe" filled="true" fillcolor="#000000" stroked="false">
              <v:path arrowok="t"/>
              <v:fill type="solid"/>
            </v:shape>
            <v:shape style="position:absolute;left:6205;top:853;width:80;height:80" coordorigin="6205,853" coordsize="80,80" path="m6285,893l6282,909,6273,921,6261,930,6245,933,6230,930,6217,921,6208,909,6205,893,6208,877,6217,865,6230,856,6245,853,6261,856,6273,865,6282,877,6285,893xe" filled="false" stroked="true" strokeweight=".5pt" strokecolor="#000000">
              <v:path arrowok="t"/>
            </v:shape>
            <v:shape style="position:absolute;left:6747;top:477;width:80;height:80" coordorigin="6747,477" coordsize="80,80" path="m6787,477l6772,480,6759,489,6751,501,6747,517,6751,533,6759,545,6772,554,6787,557,6803,554,6816,545,6824,533,6827,517,6824,501,6816,489,6803,480,6787,477xe" filled="true" fillcolor="#000000" stroked="false">
              <v:path arrowok="t"/>
              <v:fill type="solid"/>
            </v:shape>
            <v:shape style="position:absolute;left:6747;top:477;width:80;height:80" coordorigin="6747,477" coordsize="80,80" path="m6827,517l6824,533,6816,545,6803,554,6787,557,6772,554,6759,545,6751,533,6747,517,6751,501,6759,489,6772,480,6787,477,6803,480,6816,489,6824,501,6827,517xe" filled="false" stroked="true" strokeweight=".5pt" strokecolor="#000000">
              <v:path arrowok="t"/>
            </v:shape>
            <v:shape style="position:absolute;left:7289;top:2942;width:80;height:80" coordorigin="7289,2942" coordsize="80,80" path="m7329,2942l7314,2945,7301,2954,7293,2966,7289,2982,7293,2997,7301,3010,7314,3019,7329,3022,7345,3019,7358,3010,7366,2997,7369,2982,7366,2966,7358,2954,7345,2945,7329,2942xe" filled="true" fillcolor="#000000" stroked="false">
              <v:path arrowok="t"/>
              <v:fill type="solid"/>
            </v:shape>
            <v:shape style="position:absolute;left:7289;top:2942;width:80;height:80" coordorigin="7289,2942" coordsize="80,80" path="m7369,2982l7366,2997,7358,3010,7345,3019,7329,3022,7314,3019,7301,3010,7293,2997,7289,2982,7293,2966,7301,2954,7314,2945,7329,2942,7345,2945,7358,2954,7366,2966,7369,2982xe" filled="false" stroked="true" strokeweight=".5pt" strokecolor="#000000">
              <v:path arrowok="t"/>
            </v:shape>
            <v:shape style="position:absolute;left:7832;top:811;width:80;height:80" coordorigin="7832,811" coordsize="80,80" path="m7872,811l7856,815,7843,823,7835,836,7832,851,7835,867,7843,880,7856,888,7872,891,7887,888,7900,880,7908,867,7912,851,7908,836,7900,823,7887,815,7872,811xe" filled="true" fillcolor="#000000" stroked="false">
              <v:path arrowok="t"/>
              <v:fill type="solid"/>
            </v:shape>
            <v:shape style="position:absolute;left:7832;top:811;width:80;height:80" coordorigin="7832,811" coordsize="80,80" path="m7912,851l7908,867,7900,880,7887,888,7872,891,7856,888,7843,880,7835,867,7832,851,7835,836,7843,823,7856,815,7872,811,7887,815,7900,823,7908,836,7912,851xe" filled="false" stroked="true" strokeweight=".5pt" strokecolor="#000000">
              <v:path arrowok="t"/>
            </v:shape>
            <v:shape style="position:absolute;left:3535;top:131;width:4337;height:1241" coordorigin="3535,131" coordsize="4337,1241" path="m3535,162l4078,131,4620,830,5162,131,5702,1372,6245,287,6787,213,7330,1331,7872,297e" filled="false" stroked="true" strokeweight="1.2pt" strokecolor="#000000">
              <v:path arrowok="t"/>
              <v:stroke dashstyle="longDash"/>
            </v:shape>
            <v:line style="position:absolute" from="3494,162" to="3574,162" stroked="true" strokeweight="4pt" strokecolor="#000000"/>
            <v:rect style="position:absolute;left:3494;top:122;width:80;height:80" filled="false" stroked="true" strokeweight=".5pt" strokecolor="#000000"/>
            <v:line style="position:absolute" from="4037,131" to="4117,131" stroked="true" strokeweight="4pt" strokecolor="#000000"/>
            <v:rect style="position:absolute;left:4037;top:91;width:80;height:80" filled="false" stroked="true" strokeweight=".5pt" strokecolor="#000000"/>
            <v:line style="position:absolute" from="4579,830" to="4659,830" stroked="true" strokeweight="4pt" strokecolor="#000000"/>
            <v:rect style="position:absolute;left:4579;top:790;width:80;height:80" filled="false" stroked="true" strokeweight=".5pt" strokecolor="#000000"/>
            <v:line style="position:absolute" from="5121,131" to="5201,131" stroked="true" strokeweight="4pt" strokecolor="#000000"/>
            <v:rect style="position:absolute;left:5121;top:91;width:80;height:80" filled="false" stroked="true" strokeweight=".5pt" strokecolor="#000000"/>
            <v:line style="position:absolute" from="5663,1373" to="5743,1373" stroked="true" strokeweight="4pt" strokecolor="#000000"/>
            <v:rect style="position:absolute;left:5663;top:1333;width:80;height:80" filled="false" stroked="true" strokeweight=".5pt" strokecolor="#000000"/>
            <v:line style="position:absolute" from="6205,287" to="6285,287" stroked="true" strokeweight="4pt" strokecolor="#000000"/>
            <v:rect style="position:absolute;left:6205;top:247;width:80;height:80" filled="false" stroked="true" strokeweight=".5pt" strokecolor="#000000"/>
            <v:line style="position:absolute" from="6747,214" to="6827,214" stroked="true" strokeweight="4pt" strokecolor="#000000"/>
            <v:rect style="position:absolute;left:6747;top:174;width:80;height:80" filled="false" stroked="true" strokeweight=".5pt" strokecolor="#000000"/>
            <v:line style="position:absolute" from="7289,1332" to="7369,1332" stroked="true" strokeweight="4pt" strokecolor="#000000"/>
            <v:rect style="position:absolute;left:7289;top:1292;width:80;height:80" filled="false" stroked="true" strokeweight=".5pt" strokecolor="#000000"/>
            <v:line style="position:absolute" from="7832,298" to="7912,298" stroked="true" strokeweight="4pt" strokecolor="#000000"/>
            <v:rect style="position:absolute;left:7832;top:258;width:80;height:80" filled="false" stroked="true" strokeweight=".5pt" strokecolor="#000000"/>
            <v:shape style="position:absolute;left:3535;top:131;width:4337;height:468" coordorigin="3535,131" coordsize="4337,468" path="m3535,141l4078,131,4620,244,5162,131,5702,599,6245,131,6787,150,7330,297,7872,162e" filled="false" stroked="true" strokeweight="1.2pt" strokecolor="#000000">
              <v:path arrowok="t"/>
              <v:stroke dashstyle="longDash"/>
            </v:shape>
            <v:shape style="position:absolute;left:3494;top:101;width:80;height:80" coordorigin="3494,101" coordsize="80,80" path="m3534,101l3494,181,3574,181,3534,101xe" filled="true" fillcolor="#000000" stroked="false">
              <v:path arrowok="t"/>
              <v:fill type="solid"/>
            </v:shape>
            <v:shape style="position:absolute;left:3494;top:101;width:80;height:80" coordorigin="3494,101" coordsize="80,80" path="m3534,101l3574,181,3494,181,3534,101xe" filled="false" stroked="true" strokeweight=".5pt" strokecolor="#000000">
              <v:path arrowok="t"/>
            </v:shape>
            <v:shape style="position:absolute;left:4037;top:91;width:80;height:80" coordorigin="4037,91" coordsize="80,80" path="m4077,91l4037,171,4117,171,4077,91xe" filled="true" fillcolor="#000000" stroked="false">
              <v:path arrowok="t"/>
              <v:fill type="solid"/>
            </v:shape>
            <v:shape style="position:absolute;left:4037;top:91;width:80;height:80" coordorigin="4037,91" coordsize="80,80" path="m4077,91l4117,171,4037,171,4077,91xe" filled="false" stroked="true" strokeweight=".5pt" strokecolor="#000000">
              <v:path arrowok="t"/>
            </v:shape>
            <v:shape style="position:absolute;left:4579;top:206;width:80;height:80" coordorigin="4579,206" coordsize="80,80" path="m4619,206l4579,286,4659,286,4619,206xe" filled="true" fillcolor="#000000" stroked="false">
              <v:path arrowok="t"/>
              <v:fill type="solid"/>
            </v:shape>
            <v:shape style="position:absolute;left:4579;top:206;width:80;height:80" coordorigin="4579,206" coordsize="80,80" path="m4619,206l4659,286,4579,286,4619,206xe" filled="false" stroked="true" strokeweight=".5pt" strokecolor="#000000">
              <v:path arrowok="t"/>
            </v:shape>
            <v:shape style="position:absolute;left:5121;top:91;width:80;height:80" coordorigin="5121,91" coordsize="80,80" path="m5161,91l5121,171,5201,171,5161,91xe" filled="true" fillcolor="#000000" stroked="false">
              <v:path arrowok="t"/>
              <v:fill type="solid"/>
            </v:shape>
            <v:shape style="position:absolute;left:5121;top:91;width:80;height:80" coordorigin="5121,91" coordsize="80,80" path="m5161,91l5201,171,5121,171,5161,91xe" filled="false" stroked="true" strokeweight=".5pt" strokecolor="#000000">
              <v:path arrowok="t"/>
            </v:shape>
            <v:shape style="position:absolute;left:5663;top:561;width:80;height:80" coordorigin="5663,561" coordsize="80,80" path="m5703,561l5663,641,5743,641,5703,561xe" filled="true" fillcolor="#000000" stroked="false">
              <v:path arrowok="t"/>
              <v:fill type="solid"/>
            </v:shape>
            <v:shape style="position:absolute;left:5663;top:561;width:80;height:80" coordorigin="5663,561" coordsize="80,80" path="m5703,561l5743,641,5663,641,5703,561xe" filled="false" stroked="true" strokeweight=".5pt" strokecolor="#000000">
              <v:path arrowok="t"/>
            </v:shape>
            <v:shape style="position:absolute;left:6205;top:91;width:80;height:80" coordorigin="6205,91" coordsize="80,80" path="m6245,91l6205,171,6285,171,6245,91xe" filled="true" fillcolor="#000000" stroked="false">
              <v:path arrowok="t"/>
              <v:fill type="solid"/>
            </v:shape>
            <v:shape style="position:absolute;left:6205;top:91;width:80;height:80" coordorigin="6205,91" coordsize="80,80" path="m6245,91l6285,171,6205,171,6245,91xe" filled="false" stroked="true" strokeweight=".5pt" strokecolor="#000000">
              <v:path arrowok="t"/>
            </v:shape>
            <v:shape style="position:absolute;left:6747;top:112;width:80;height:80" coordorigin="6747,112" coordsize="80,80" path="m6787,112l6747,192,6827,192,6787,112xe" filled="true" fillcolor="#000000" stroked="false">
              <v:path arrowok="t"/>
              <v:fill type="solid"/>
            </v:shape>
            <v:shape style="position:absolute;left:6747;top:112;width:80;height:80" coordorigin="6747,112" coordsize="80,80" path="m6787,112l6827,192,6747,192,6787,112xe" filled="false" stroked="true" strokeweight=".5pt" strokecolor="#000000">
              <v:path arrowok="t"/>
            </v:shape>
            <v:shape style="position:absolute;left:7289;top:258;width:80;height:80" coordorigin="7289,258" coordsize="80,80" path="m7329,258l7289,338,7369,338,7329,258xe" filled="true" fillcolor="#000000" stroked="false">
              <v:path arrowok="t"/>
              <v:fill type="solid"/>
            </v:shape>
            <v:shape style="position:absolute;left:7289;top:258;width:80;height:80" coordorigin="7289,258" coordsize="80,80" path="m7329,258l7369,338,7289,338,7329,258xe" filled="false" stroked="true" strokeweight=".5pt" strokecolor="#000000">
              <v:path arrowok="t"/>
            </v:shape>
            <v:shape style="position:absolute;left:7832;top:122;width:80;height:80" coordorigin="7832,122" coordsize="80,80" path="m7872,122l7832,202,7912,202,7872,122xe" filled="true" fillcolor="#000000" stroked="false">
              <v:path arrowok="t"/>
              <v:fill type="solid"/>
            </v:shape>
            <v:shape style="position:absolute;left:7832;top:122;width:80;height:80" coordorigin="7832,122" coordsize="80,80" path="m7872,122l7912,202,7832,202,7872,122xe" filled="false" stroked="true" strokeweight=".5pt" strokecolor="#000000">
              <v:path arrowok="t"/>
            </v:shape>
            <w10:wrap type="none"/>
          </v:group>
        </w:pict>
      </w:r>
      <w:r>
        <w:rPr>
          <w:rFonts w:ascii="Calibri"/>
          <w:sz w:val="20"/>
        </w:rPr>
        <w:t>100</w:t>
      </w:r>
    </w:p>
    <w:p>
      <w:pPr>
        <w:pStyle w:val="BodyText"/>
        <w:spacing w:before="7"/>
        <w:rPr>
          <w:rFonts w:ascii="Calibri"/>
        </w:rPr>
      </w:pPr>
    </w:p>
    <w:p>
      <w:pPr>
        <w:spacing w:before="0"/>
        <w:ind w:left="2877" w:right="1080" w:firstLine="0"/>
        <w:jc w:val="left"/>
        <w:rPr>
          <w:rFonts w:ascii="Calibri"/>
          <w:sz w:val="20"/>
        </w:rPr>
      </w:pPr>
      <w:r>
        <w:rPr>
          <w:rFonts w:ascii="Calibri"/>
          <w:sz w:val="20"/>
        </w:rPr>
        <w:t>95</w:t>
      </w:r>
    </w:p>
    <w:p>
      <w:pPr>
        <w:pStyle w:val="BodyText"/>
        <w:spacing w:before="7"/>
        <w:rPr>
          <w:rFonts w:ascii="Calibri"/>
        </w:rPr>
      </w:pPr>
    </w:p>
    <w:p>
      <w:pPr>
        <w:spacing w:before="0"/>
        <w:ind w:left="2877" w:right="1080" w:firstLine="0"/>
        <w:jc w:val="left"/>
        <w:rPr>
          <w:rFonts w:ascii="Calibri"/>
          <w:sz w:val="20"/>
        </w:rPr>
      </w:pPr>
      <w:r>
        <w:rPr/>
        <w:pict>
          <v:shape style="position:absolute;margin-left:125.150002pt;margin-top:-4.363107pt;width:12pt;height:75.7pt;mso-position-horizontal-relative:page;mso-position-vertical-relative:paragraph;z-index:3976" type="#_x0000_t202" filled="false" stroked="false">
            <v:textbox inset="0,0,0,0" style="layout-flow:vertical;mso-layout-flow-alt:bottom-to-top">
              <w:txbxContent>
                <w:p>
                  <w:pPr>
                    <w:spacing w:line="224" w:lineRule="exact" w:before="0"/>
                    <w:ind w:left="20" w:right="-359" w:firstLine="0"/>
                    <w:jc w:val="left"/>
                    <w:rPr>
                      <w:rFonts w:ascii="Calibri" w:hAnsi="Calibri"/>
                      <w:b/>
                      <w:sz w:val="20"/>
                    </w:rPr>
                  </w:pPr>
                  <w:r>
                    <w:rPr>
                      <w:rFonts w:ascii="Calibri" w:hAnsi="Calibri"/>
                      <w:b/>
                      <w:w w:val="96"/>
                      <w:sz w:val="20"/>
                    </w:rPr>
                    <w:t>%</w:t>
                  </w:r>
                  <w:r>
                    <w:rPr>
                      <w:rFonts w:ascii="Calibri" w:hAnsi="Calibri"/>
                      <w:b/>
                      <w:sz w:val="20"/>
                    </w:rPr>
                    <w:t> </w:t>
                  </w:r>
                  <w:r>
                    <w:rPr>
                      <w:rFonts w:ascii="Calibri" w:hAnsi="Calibri"/>
                      <w:b/>
                      <w:spacing w:val="1"/>
                      <w:sz w:val="20"/>
                    </w:rPr>
                    <w:t> </w:t>
                  </w:r>
                  <w:r>
                    <w:rPr>
                      <w:rFonts w:ascii="Calibri" w:hAnsi="Calibri"/>
                      <w:b/>
                      <w:spacing w:val="4"/>
                      <w:w w:val="96"/>
                      <w:sz w:val="20"/>
                    </w:rPr>
                    <w:t>p</w:t>
                  </w:r>
                  <w:r>
                    <w:rPr>
                      <w:rFonts w:ascii="Calibri" w:hAnsi="Calibri"/>
                      <w:b/>
                      <w:w w:val="96"/>
                      <w:sz w:val="20"/>
                    </w:rPr>
                    <w:t>un</w:t>
                  </w:r>
                  <w:r>
                    <w:rPr>
                      <w:rFonts w:ascii="Calibri" w:hAnsi="Calibri"/>
                      <w:b/>
                      <w:spacing w:val="5"/>
                      <w:w w:val="96"/>
                      <w:sz w:val="20"/>
                    </w:rPr>
                    <w:t>t</w:t>
                  </w:r>
                  <w:r>
                    <w:rPr>
                      <w:rFonts w:ascii="Calibri" w:hAnsi="Calibri"/>
                      <w:b/>
                      <w:spacing w:val="4"/>
                      <w:w w:val="96"/>
                      <w:sz w:val="20"/>
                    </w:rPr>
                    <w:t>o</w:t>
                  </w:r>
                  <w:r>
                    <w:rPr>
                      <w:rFonts w:ascii="Calibri" w:hAnsi="Calibri"/>
                      <w:b/>
                      <w:w w:val="96"/>
                      <w:sz w:val="20"/>
                    </w:rPr>
                    <w:t>s</w:t>
                  </w:r>
                  <w:r>
                    <w:rPr>
                      <w:rFonts w:ascii="Calibri" w:hAnsi="Calibri"/>
                      <w:b/>
                      <w:spacing w:val="-3"/>
                      <w:sz w:val="20"/>
                    </w:rPr>
                    <w:t> </w:t>
                  </w:r>
                  <w:r>
                    <w:rPr>
                      <w:rFonts w:ascii="Calibri" w:hAnsi="Calibri"/>
                      <w:b/>
                      <w:spacing w:val="-1"/>
                      <w:w w:val="96"/>
                      <w:sz w:val="20"/>
                    </w:rPr>
                    <w:t>c</w:t>
                  </w:r>
                  <w:r>
                    <w:rPr>
                      <w:rFonts w:ascii="Calibri" w:hAnsi="Calibri"/>
                      <w:b/>
                      <w:spacing w:val="3"/>
                      <w:w w:val="96"/>
                      <w:sz w:val="20"/>
                    </w:rPr>
                    <w:t>o</w:t>
                  </w:r>
                  <w:r>
                    <w:rPr>
                      <w:rFonts w:ascii="Calibri" w:hAnsi="Calibri"/>
                      <w:b/>
                      <w:w w:val="96"/>
                      <w:sz w:val="20"/>
                    </w:rPr>
                    <w:t>n</w:t>
                  </w:r>
                  <w:r>
                    <w:rPr>
                      <w:rFonts w:ascii="Calibri" w:hAnsi="Calibri"/>
                      <w:b/>
                      <w:spacing w:val="-1"/>
                      <w:sz w:val="20"/>
                    </w:rPr>
                    <w:t> </w:t>
                  </w:r>
                  <w:r>
                    <w:rPr>
                      <w:rFonts w:ascii="Calibri" w:hAnsi="Calibri"/>
                      <w:b/>
                      <w:spacing w:val="6"/>
                      <w:w w:val="96"/>
                      <w:sz w:val="20"/>
                    </w:rPr>
                    <w:t>γ</w:t>
                  </w:r>
                  <w:r>
                    <w:rPr>
                      <w:rFonts w:ascii="Calibri" w:hAnsi="Calibri"/>
                      <w:b/>
                      <w:w w:val="96"/>
                      <w:sz w:val="20"/>
                    </w:rPr>
                    <w:t>&lt;1</w:t>
                  </w:r>
                </w:p>
              </w:txbxContent>
            </v:textbox>
            <w10:wrap type="none"/>
          </v:shape>
        </w:pict>
      </w:r>
      <w:r>
        <w:rPr>
          <w:rFonts w:ascii="Calibri"/>
          <w:sz w:val="20"/>
        </w:rPr>
        <w:t>90</w:t>
      </w:r>
    </w:p>
    <w:p>
      <w:pPr>
        <w:pStyle w:val="BodyText"/>
        <w:spacing w:before="1"/>
        <w:rPr>
          <w:rFonts w:ascii="Calibri"/>
        </w:rPr>
      </w:pPr>
    </w:p>
    <w:p>
      <w:pPr>
        <w:tabs>
          <w:tab w:pos="9034" w:val="left" w:leader="none"/>
        </w:tabs>
        <w:spacing w:before="0"/>
        <w:ind w:left="2877" w:right="1080" w:firstLine="0"/>
        <w:jc w:val="left"/>
        <w:rPr>
          <w:rFonts w:ascii="Calibri"/>
          <w:sz w:val="20"/>
        </w:rPr>
      </w:pPr>
      <w:r>
        <w:rPr/>
        <w:pict>
          <v:group style="position:absolute;margin-left:423pt;margin-top:4.251497pt;width:26.4pt;height:4.6pt;mso-position-horizontal-relative:page;mso-position-vertical-relative:paragraph;z-index:-103144" coordorigin="8460,85" coordsize="528,92">
            <v:line style="position:absolute" from="8472,131" to="8976,131" stroked="true" strokeweight="1.2pt" strokecolor="#000000"/>
            <v:shape style="position:absolute;left:8683;top:90;width:79;height:82" coordorigin="8683,90" coordsize="79,82" path="m8723,90l8707,94,8695,102,8686,115,8683,131,8686,147,8695,160,8707,169,8723,172,8738,169,8751,160,8759,147,8762,131,8759,115,8751,102,8738,94,8723,90xe" filled="true" fillcolor="#000000" stroked="false">
              <v:path arrowok="t"/>
              <v:fill type="solid"/>
            </v:shape>
            <v:shape style="position:absolute;left:8683;top:90;width:79;height:82" coordorigin="8683,90" coordsize="79,82" path="m8762,131l8759,147,8751,160,8738,169,8723,172,8707,169,8695,160,8686,147,8683,131,8686,115,8695,102,8707,94,8723,90,8738,94,8751,102,8759,115,8762,131xe" filled="false" stroked="true" strokeweight=".48pt" strokecolor="#000000">
              <v:path arrowok="t"/>
            </v:shape>
            <w10:wrap type="none"/>
          </v:group>
        </w:pict>
      </w:r>
      <w:r>
        <w:rPr>
          <w:rFonts w:ascii="Calibri"/>
          <w:sz w:val="20"/>
        </w:rPr>
        <w:t>85</w:t>
        <w:tab/>
      </w:r>
      <w:r>
        <w:rPr>
          <w:rFonts w:ascii="Calibri"/>
          <w:position w:val="1"/>
          <w:sz w:val="20"/>
        </w:rPr>
        <w:t>3%/3</w:t>
      </w:r>
      <w:r>
        <w:rPr>
          <w:rFonts w:ascii="Calibri"/>
          <w:spacing w:val="-11"/>
          <w:position w:val="1"/>
          <w:sz w:val="20"/>
        </w:rPr>
        <w:t> </w:t>
      </w:r>
      <w:r>
        <w:rPr>
          <w:rFonts w:ascii="Calibri"/>
          <w:position w:val="1"/>
          <w:sz w:val="20"/>
        </w:rPr>
        <w:t>mm</w:t>
      </w:r>
    </w:p>
    <w:p>
      <w:pPr>
        <w:spacing w:line="228" w:lineRule="exact" w:before="80"/>
        <w:ind w:left="0" w:right="2423" w:firstLine="0"/>
        <w:jc w:val="right"/>
        <w:rPr>
          <w:rFonts w:ascii="Calibri"/>
          <w:sz w:val="20"/>
        </w:rPr>
      </w:pPr>
      <w:r>
        <w:rPr/>
        <w:pict>
          <v:group style="position:absolute;margin-left:423pt;margin-top:9.661485pt;width:26.4pt;height:4.45pt;mso-position-horizontal-relative:page;mso-position-vertical-relative:paragraph;z-index:3952" coordorigin="8460,193" coordsize="528,89">
            <v:line style="position:absolute" from="8472,239" to="8976,239" stroked="true" strokeweight="1.2pt" strokecolor="#000000">
              <v:stroke dashstyle="longDash"/>
            </v:line>
            <v:line style="position:absolute" from="8683,238" to="8762,238" stroked="true" strokeweight="3.96pt" strokecolor="#000000"/>
            <v:rect style="position:absolute;left:8683;top:198;width:79;height:79" filled="false" stroked="true" strokeweight=".48pt" strokecolor="#000000"/>
            <w10:wrap type="none"/>
          </v:group>
        </w:pict>
      </w:r>
      <w:r>
        <w:rPr>
          <w:rFonts w:ascii="Calibri"/>
          <w:sz w:val="20"/>
        </w:rPr>
        <w:t>4%/3 mm</w:t>
      </w:r>
    </w:p>
    <w:p>
      <w:pPr>
        <w:spacing w:after="0" w:line="228" w:lineRule="exact"/>
        <w:jc w:val="right"/>
        <w:rPr>
          <w:rFonts w:ascii="Calibri"/>
          <w:sz w:val="20"/>
        </w:rPr>
        <w:sectPr>
          <w:pgSz w:w="12240" w:h="15840"/>
          <w:pgMar w:header="0" w:footer="1046" w:top="0" w:bottom="1240" w:left="0" w:right="0"/>
        </w:sectPr>
      </w:pPr>
    </w:p>
    <w:p>
      <w:pPr>
        <w:spacing w:line="204" w:lineRule="exact" w:before="0"/>
        <w:ind w:left="2857" w:right="4828" w:firstLine="0"/>
        <w:jc w:val="center"/>
        <w:rPr>
          <w:rFonts w:ascii="Calibri"/>
          <w:sz w:val="20"/>
        </w:rPr>
      </w:pPr>
      <w:r>
        <w:rPr/>
        <w:pict>
          <v:group style="position:absolute;margin-left:423pt;margin-top:12.24pt;width:26.4pt;height:4.6pt;mso-position-horizontal-relative:page;mso-position-vertical-relative:paragraph;z-index:-103120" coordorigin="8460,245" coordsize="528,92">
            <v:line style="position:absolute" from="8472,291" to="8976,291" stroked="true" strokeweight="1.2pt" strokecolor="#000000">
              <v:stroke dashstyle="longDash"/>
            </v:line>
            <v:shape style="position:absolute;left:8684;top:250;width:80;height:82" coordorigin="8684,250" coordsize="80,82" path="m8724,250l8684,332,8764,332,8724,250xe" filled="true" fillcolor="#000000" stroked="false">
              <v:path arrowok="t"/>
              <v:fill type="solid"/>
            </v:shape>
            <v:shape style="position:absolute;left:8684;top:250;width:80;height:82" coordorigin="8684,250" coordsize="80,82" path="m8724,250l8764,332,8684,332,8724,250e" filled="false" stroked="true" strokeweight=".48pt" strokecolor="#000000">
              <v:path arrowok="t"/>
            </v:shape>
            <w10:wrap type="none"/>
          </v:group>
        </w:pict>
      </w:r>
      <w:r>
        <w:rPr>
          <w:rFonts w:ascii="Calibri"/>
          <w:sz w:val="20"/>
        </w:rPr>
        <w:t>80</w:t>
      </w:r>
    </w:p>
    <w:p>
      <w:pPr>
        <w:pStyle w:val="BodyText"/>
        <w:spacing w:before="7"/>
        <w:rPr>
          <w:rFonts w:ascii="Calibri"/>
          <w:sz w:val="23"/>
        </w:rPr>
      </w:pPr>
    </w:p>
    <w:p>
      <w:pPr>
        <w:spacing w:before="0"/>
        <w:ind w:left="2857" w:right="4828" w:firstLine="0"/>
        <w:jc w:val="center"/>
        <w:rPr>
          <w:rFonts w:ascii="Calibri"/>
          <w:sz w:val="20"/>
        </w:rPr>
      </w:pPr>
      <w:r>
        <w:rPr>
          <w:rFonts w:ascii="Calibri"/>
          <w:sz w:val="20"/>
        </w:rPr>
        <w:t>75</w:t>
      </w:r>
    </w:p>
    <w:p>
      <w:pPr>
        <w:pStyle w:val="BodyText"/>
        <w:spacing w:before="7"/>
        <w:rPr>
          <w:rFonts w:ascii="Calibri"/>
        </w:rPr>
      </w:pPr>
    </w:p>
    <w:p>
      <w:pPr>
        <w:spacing w:before="0"/>
        <w:ind w:left="2857" w:right="4828" w:firstLine="0"/>
        <w:jc w:val="center"/>
        <w:rPr>
          <w:rFonts w:ascii="Calibri"/>
          <w:sz w:val="20"/>
        </w:rPr>
      </w:pPr>
      <w:r>
        <w:rPr>
          <w:rFonts w:ascii="Calibri"/>
          <w:sz w:val="20"/>
        </w:rPr>
        <w:t>70</w:t>
      </w:r>
    </w:p>
    <w:p>
      <w:pPr>
        <w:tabs>
          <w:tab w:pos="4033" w:val="left" w:leader="none"/>
          <w:tab w:pos="4573" w:val="left" w:leader="none"/>
          <w:tab w:pos="5117" w:val="left" w:leader="none"/>
          <w:tab w:pos="5657" w:val="left" w:leader="none"/>
          <w:tab w:pos="6201" w:val="left" w:leader="none"/>
          <w:tab w:pos="6741" w:val="left" w:leader="none"/>
          <w:tab w:pos="7286" w:val="left" w:leader="none"/>
          <w:tab w:pos="7826" w:val="left" w:leader="none"/>
        </w:tabs>
        <w:spacing w:before="16"/>
        <w:ind w:left="3489" w:right="0" w:firstLine="0"/>
        <w:jc w:val="center"/>
        <w:rPr>
          <w:rFonts w:ascii="Calibri"/>
          <w:sz w:val="20"/>
        </w:rPr>
      </w:pPr>
      <w:r>
        <w:rPr>
          <w:rFonts w:ascii="Calibri"/>
          <w:sz w:val="20"/>
        </w:rPr>
        <w:t>1</w:t>
        <w:tab/>
        <w:t>2</w:t>
        <w:tab/>
        <w:t>3</w:t>
        <w:tab/>
        <w:t>4</w:t>
        <w:tab/>
        <w:t>5</w:t>
        <w:tab/>
        <w:t>6</w:t>
        <w:tab/>
        <w:t>7</w:t>
        <w:tab/>
        <w:t>8</w:t>
        <w:tab/>
        <w:t>9</w:t>
      </w:r>
    </w:p>
    <w:p>
      <w:pPr>
        <w:spacing w:before="64"/>
        <w:ind w:left="0" w:right="1825" w:firstLine="0"/>
        <w:jc w:val="right"/>
        <w:rPr>
          <w:rFonts w:ascii="Calibri"/>
          <w:b/>
          <w:sz w:val="20"/>
        </w:rPr>
      </w:pPr>
      <w:r>
        <w:rPr>
          <w:rFonts w:ascii="Calibri"/>
          <w:b/>
          <w:sz w:val="20"/>
        </w:rPr>
        <w:t>Pacientes</w:t>
      </w:r>
    </w:p>
    <w:p>
      <w:pPr>
        <w:tabs>
          <w:tab w:pos="1066" w:val="left" w:leader="none"/>
        </w:tabs>
        <w:spacing w:before="167"/>
        <w:ind w:left="504" w:right="0" w:firstLine="0"/>
        <w:jc w:val="left"/>
        <w:rPr>
          <w:rFonts w:ascii="Calibri"/>
          <w:sz w:val="20"/>
        </w:rPr>
      </w:pPr>
      <w:r>
        <w:rPr/>
        <w:br w:type="column"/>
      </w:r>
      <w:r>
        <w:rPr>
          <w:rFonts w:ascii="Calibri"/>
          <w:sz w:val="20"/>
        </w:rPr>
        <w:t> </w:t>
        <w:tab/>
        <w:t>5%/3</w:t>
      </w:r>
      <w:r>
        <w:rPr>
          <w:rFonts w:ascii="Calibri"/>
          <w:spacing w:val="-11"/>
          <w:sz w:val="20"/>
        </w:rPr>
        <w:t> </w:t>
      </w:r>
      <w:r>
        <w:rPr>
          <w:rFonts w:ascii="Calibri"/>
          <w:sz w:val="20"/>
        </w:rPr>
        <w:t>mm</w:t>
      </w:r>
    </w:p>
    <w:p>
      <w:pPr>
        <w:spacing w:after="0"/>
        <w:jc w:val="left"/>
        <w:rPr>
          <w:rFonts w:ascii="Calibri"/>
          <w:sz w:val="20"/>
        </w:rPr>
        <w:sectPr>
          <w:type w:val="continuous"/>
          <w:pgSz w:w="12240" w:h="15840"/>
          <w:pgMar w:top="1380" w:bottom="280" w:left="0" w:right="0"/>
          <w:cols w:num="2" w:equalWidth="0">
            <w:col w:w="7928" w:space="40"/>
            <w:col w:w="4272"/>
          </w:cols>
        </w:sectPr>
      </w:pPr>
    </w:p>
    <w:p>
      <w:pPr>
        <w:pStyle w:val="BodyText"/>
        <w:spacing w:before="11"/>
        <w:rPr>
          <w:rFonts w:ascii="Calibri"/>
          <w:sz w:val="28"/>
        </w:rPr>
      </w:pPr>
    </w:p>
    <w:p>
      <w:pPr>
        <w:spacing w:line="280" w:lineRule="auto" w:before="74"/>
        <w:ind w:left="5597" w:right="1080" w:hanging="3489"/>
        <w:jc w:val="left"/>
        <w:rPr>
          <w:rFonts w:ascii="Times New Roman" w:hAnsi="Times New Roman"/>
          <w:sz w:val="20"/>
        </w:rPr>
      </w:pPr>
      <w:r>
        <w:rPr>
          <w:rFonts w:ascii="Times New Roman" w:hAnsi="Times New Roman"/>
          <w:sz w:val="20"/>
        </w:rPr>
        <w:t>Figura 1. Porcentaje de puntos con γ&lt;1 para criterios de 3%/3 mm, 4%/3 mm, y 5%/3 mm, películas radiográficas</w:t>
      </w:r>
    </w:p>
    <w:p>
      <w:pPr>
        <w:spacing w:after="0" w:line="280" w:lineRule="auto"/>
        <w:jc w:val="left"/>
        <w:rPr>
          <w:rFonts w:ascii="Times New Roman" w:hAnsi="Times New Roman"/>
          <w:sz w:val="20"/>
        </w:rPr>
        <w:sectPr>
          <w:type w:val="continuous"/>
          <w:pgSz w:w="12240" w:h="15840"/>
          <w:pgMar w:top="1380" w:bottom="280" w:left="0" w:right="0"/>
        </w:sectPr>
      </w:pPr>
    </w:p>
    <w:p>
      <w:pPr>
        <w:spacing w:before="44"/>
        <w:ind w:left="100" w:right="0" w:firstLine="0"/>
        <w:jc w:val="left"/>
        <w:rPr>
          <w:rFonts w:ascii="Arial"/>
          <w:b/>
          <w:sz w:val="20"/>
        </w:rPr>
      </w:pPr>
      <w:r>
        <w:rPr>
          <w:rFonts w:ascii="Arial"/>
          <w:b/>
          <w:sz w:val="20"/>
        </w:rPr>
        <w:t>Figura (Figure) 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pStyle w:val="BodyText"/>
        <w:spacing w:before="1"/>
        <w:ind w:left="1704"/>
        <w:jc w:val="both"/>
        <w:rPr>
          <w:rFonts w:ascii="Calibri"/>
        </w:rPr>
      </w:pPr>
      <w:r>
        <w:rPr>
          <w:rFonts w:ascii="Calibri"/>
        </w:rPr>
        <w:t>Figura 7</w:t>
      </w:r>
    </w:p>
    <w:p>
      <w:pPr>
        <w:pStyle w:val="BodyText"/>
        <w:spacing w:before="6"/>
        <w:rPr>
          <w:rFonts w:ascii="Calibri"/>
          <w:sz w:val="21"/>
        </w:rPr>
      </w:pPr>
      <w:r>
        <w:rPr/>
        <w:pict>
          <v:group style="position:absolute;margin-left:85.050003pt;margin-top:15.11587pt;width:439.5pt;height:177.75pt;mso-position-horizontal-relative:page;mso-position-vertical-relative:paragraph;z-index:4048;mso-wrap-distance-left:0;mso-wrap-distance-right:0" coordorigin="1701,302" coordsize="8790,3555">
            <v:shape style="position:absolute;left:1701;top:302;width:8790;height:3555" type="#_x0000_t75" stroked="false">
              <v:imagedata r:id="rId82" o:title=""/>
            </v:shape>
            <v:shape style="position:absolute;left:2716;top:324;width:172;height:224" type="#_x0000_t75" stroked="false">
              <v:imagedata r:id="rId83" o:title=""/>
            </v:shape>
            <v:shape style="position:absolute;left:7216;top:312;width:184;height:220" type="#_x0000_t75" stroked="false">
              <v:imagedata r:id="rId84" o:title=""/>
            </v:shape>
            <v:shape style="position:absolute;left:2717;top:336;width:170;height:220" type="#_x0000_t202" filled="false" stroked="false">
              <v:textbox inset="0,0,0,0">
                <w:txbxContent>
                  <w:p>
                    <w:pPr>
                      <w:spacing w:line="220" w:lineRule="exact" w:before="0"/>
                      <w:ind w:left="0" w:right="-19" w:firstLine="0"/>
                      <w:jc w:val="left"/>
                      <w:rPr>
                        <w:rFonts w:ascii="Calibri"/>
                        <w:sz w:val="22"/>
                      </w:rPr>
                    </w:pPr>
                    <w:r>
                      <w:rPr>
                        <w:rFonts w:ascii="Calibri"/>
                        <w:spacing w:val="-2"/>
                        <w:sz w:val="22"/>
                      </w:rPr>
                      <w:t>a)</w:t>
                    </w:r>
                  </w:p>
                </w:txbxContent>
              </v:textbox>
              <w10:wrap type="none"/>
            </v:shape>
            <v:shape style="position:absolute;left:7219;top:324;width:184;height:220" type="#_x0000_t202" filled="false" stroked="false">
              <v:textbox inset="0,0,0,0">
                <w:txbxContent>
                  <w:p>
                    <w:pPr>
                      <w:spacing w:line="220" w:lineRule="exact" w:before="0"/>
                      <w:ind w:left="0" w:right="-19" w:firstLine="0"/>
                      <w:jc w:val="left"/>
                      <w:rPr>
                        <w:rFonts w:ascii="Calibri"/>
                        <w:sz w:val="22"/>
                      </w:rPr>
                    </w:pPr>
                    <w:r>
                      <w:rPr>
                        <w:rFonts w:ascii="Calibri"/>
                        <w:sz w:val="22"/>
                      </w:rPr>
                      <w:t>b)</w:t>
                    </w:r>
                  </w:p>
                </w:txbxContent>
              </v:textbox>
              <w10:wrap type="none"/>
            </v:shape>
            <w10:wrap type="topAndBottom"/>
          </v:group>
        </w:pict>
      </w:r>
    </w:p>
    <w:p>
      <w:pPr>
        <w:pStyle w:val="BodyText"/>
        <w:spacing w:before="7"/>
        <w:rPr>
          <w:rFonts w:ascii="Calibri"/>
          <w:sz w:val="26"/>
        </w:rPr>
      </w:pPr>
    </w:p>
    <w:p>
      <w:pPr>
        <w:spacing w:line="276" w:lineRule="auto" w:before="0"/>
        <w:ind w:left="1704" w:right="222" w:firstLine="0"/>
        <w:jc w:val="both"/>
        <w:rPr>
          <w:rFonts w:ascii="Times New Roman" w:hAnsi="Times New Roman"/>
          <w:sz w:val="20"/>
        </w:rPr>
      </w:pPr>
      <w:r>
        <w:rPr>
          <w:rFonts w:ascii="Times New Roman" w:hAnsi="Times New Roman"/>
          <w:sz w:val="20"/>
        </w:rPr>
        <w:t>Figura 1. Superposición de distribuciones de dosis medidas con las películas y calculadas con el sistema de planeación, paciente 3. a) película radiocrómica EBT3. b) película radiográfica EDR2. Las regiones en color verde corresponden a aquellas en las que el porcentaje de puntos con γ&lt;1 es mayor al 90%; el amarillo corresponde    a    zonas    con    un    γ&lt;1    entre    75    y    90%    y    en    rojo    este    porcentaje    es    &lt;75</w:t>
      </w:r>
    </w:p>
    <w:p>
      <w:pPr>
        <w:spacing w:after="0" w:line="276" w:lineRule="auto"/>
        <w:jc w:val="both"/>
        <w:rPr>
          <w:rFonts w:ascii="Times New Roman" w:hAnsi="Times New Roman"/>
          <w:sz w:val="20"/>
        </w:rPr>
        <w:sectPr>
          <w:footerReference w:type="default" r:id="rId81"/>
          <w:pgSz w:w="12240" w:h="15840"/>
          <w:pgMar w:footer="986" w:header="0" w:top="0" w:bottom="1180" w:left="0" w:right="1480"/>
          <w:pgNumType w:start="23"/>
        </w:sectPr>
      </w:pPr>
    </w:p>
    <w:p>
      <w:pPr>
        <w:pStyle w:val="BodyText"/>
        <w:spacing w:before="4"/>
        <w:rPr>
          <w:rFonts w:ascii="Times New Roman"/>
          <w:sz w:val="17"/>
        </w:rPr>
      </w:pPr>
    </w:p>
    <w:sectPr>
      <w:pgSz w:w="12240" w:h="15840"/>
      <w:pgMar w:header="0" w:footer="986" w:top="1500" w:bottom="1180" w:left="172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evenim MT">
    <w:altName w:val="Levenim MT"/>
    <w:charset w:val="0"/>
    <w:family w:val="auto"/>
    <w:pitch w:val="variable"/>
  </w:font>
  <w:font w:name="Verdana">
    <w:altName w:val="Verdana"/>
    <w:charset w:val="0"/>
    <w:family w:val="swiss"/>
    <w:pitch w:val="variable"/>
  </w:font>
  <w:font w:name="Georgia">
    <w:altName w:val="Georgia"/>
    <w:charset w:val="0"/>
    <w:family w:val="roman"/>
    <w:pitch w:val="variable"/>
  </w:font>
  <w:font w:name="Calibri">
    <w:altName w:val="Calibri"/>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8.349976pt;margin-top:729.318909pt;width:10.85pt;height:14pt;mso-position-horizontal-relative:page;mso-position-vertical-relative:page;z-index:-106024"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5pt;margin-top:728.718933pt;width:25.5pt;height:14pt;mso-position-horizontal-relative:page;mso-position-vertical-relative:page;z-index:-105856"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 ROMAN </w:instrText>
                </w:r>
                <w:r>
                  <w:rPr/>
                  <w:fldChar w:fldCharType="separate"/>
                </w:r>
                <w:r>
                  <w:rPr/>
                  <w:t>XIV</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75pt;margin-top:728.718933pt;width:33.4pt;height:14pt;mso-position-horizontal-relative:page;mso-position-vertical-relative:page;z-index:-105832"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 ROMAN </w:instrText>
                </w:r>
                <w:r>
                  <w:rPr/>
                  <w:fldChar w:fldCharType="separate"/>
                </w:r>
                <w:r>
                  <w:rPr/>
                  <w:t>XVIII</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9.780029pt;margin-top:728.718933pt;width:23.3pt;height:14pt;mso-position-horizontal-relative:page;mso-position-vertical-relative:page;z-index:-105808" type="#_x0000_t202" filled="false" stroked="false">
          <v:textbox inset="0,0,0,0">
            <w:txbxContent>
              <w:p>
                <w:pPr>
                  <w:spacing w:line="265" w:lineRule="exact" w:before="0"/>
                  <w:ind w:left="20" w:right="-1" w:firstLine="0"/>
                  <w:jc w:val="left"/>
                  <w:rPr>
                    <w:rFonts w:ascii="Times New Roman"/>
                    <w:sz w:val="24"/>
                  </w:rPr>
                </w:pPr>
                <w:r>
                  <w:rPr>
                    <w:rFonts w:ascii="Times New Roman"/>
                    <w:sz w:val="24"/>
                  </w:rPr>
                  <w:t>XIX</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4.770020pt;margin-top:728.718933pt;width:29.4pt;height:14pt;mso-position-horizontal-relative:page;mso-position-vertical-relative:page;z-index:-105784"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 ROMAN </w:instrText>
                </w:r>
                <w:r>
                  <w:rPr/>
                  <w:fldChar w:fldCharType="separate"/>
                </w:r>
                <w:r>
                  <w:rPr/>
                  <w:t>XXII</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149994pt;margin-top:728.718933pt;width:40pt;height:14pt;mso-position-horizontal-relative:page;mso-position-vertical-relative:page;z-index:-105760"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 ROMAN </w:instrText>
                </w:r>
                <w:r>
                  <w:rPr/>
                  <w:fldChar w:fldCharType="separate"/>
                </w:r>
                <w:r>
                  <w:rPr/>
                  <w:t>XXIV</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950012pt;margin-top:729.318909pt;width:20.25pt;height:14pt;mso-position-horizontal-relative:page;mso-position-vertical-relative:page;z-index:-106000"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 roman </w:instrText>
                </w:r>
                <w:r>
                  <w:rPr/>
                  <w:fldChar w:fldCharType="separate"/>
                </w:r>
                <w:r>
                  <w:rPr/>
                  <w:t>viii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549988pt;margin-top:729.318909pt;width:13.5pt;height:14pt;mso-position-horizontal-relative:page;mso-position-vertical-relative:page;z-index:-105976"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 roman </w:instrText>
                </w:r>
                <w:r>
                  <w:rPr/>
                  <w:fldChar w:fldCharType="separate"/>
                </w:r>
                <w:r>
                  <w:rPr/>
                  <w:t>ix</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50012pt;margin-top:729.318909pt;width:16.05pt;height:14pt;mso-position-horizontal-relative:page;mso-position-vertical-relative:page;z-index:-105952"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780029pt;margin-top:778.718933pt;width:6pt;height:14pt;mso-position-horizontal-relative:page;mso-position-vertical-relative:page;z-index:-105928" type="#_x0000_t202" filled="false" stroked="false">
          <v:textbox inset="0,0,0,0">
            <w:txbxContent>
              <w:p>
                <w:pPr>
                  <w:spacing w:line="265" w:lineRule="exact" w:before="0"/>
                  <w:ind w:left="20" w:right="0" w:firstLine="0"/>
                  <w:jc w:val="left"/>
                  <w:rPr>
                    <w:rFonts w:ascii="Times New Roman"/>
                    <w:sz w:val="24"/>
                  </w:rPr>
                </w:pPr>
                <w:r>
                  <w:rPr>
                    <w:rFonts w:ascii="Times New Roman"/>
                    <w:w w:val="99"/>
                    <w:sz w:val="24"/>
                  </w:rPr>
                  <w:t>I</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580017pt;margin-top:728.718933pt;width:16.6pt;height:14pt;mso-position-horizontal-relative:page;mso-position-vertical-relative:page;z-index:-105904"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 ROMAN </w:instrText>
                </w:r>
                <w:r>
                  <w:rPr/>
                  <w:fldChar w:fldCharType="separate"/>
                </w:r>
                <w:r>
                  <w:rPr/>
                  <w:t>IV</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728.718933pt;width:24.6pt;height:14pt;mso-position-horizontal-relative:page;mso-position-vertical-relative:page;z-index:-105880"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 ROMAN </w:instrText>
                </w:r>
                <w:r>
                  <w:rPr/>
                  <w:fldChar w:fldCharType="separate"/>
                </w:r>
                <w:r>
                  <w:rPr/>
                  <w:t>VIII</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decimal"/>
      <w:lvlText w:val="%1."/>
      <w:lvlJc w:val="left"/>
      <w:pPr>
        <w:ind w:left="464" w:hanging="360"/>
        <w:jc w:val="left"/>
      </w:pPr>
      <w:rPr>
        <w:rFonts w:hint="default" w:ascii="Times New Roman" w:hAnsi="Times New Roman" w:eastAsia="Times New Roman" w:cs="Times New Roman"/>
        <w:b/>
        <w:bCs/>
        <w:w w:val="96"/>
        <w:sz w:val="24"/>
        <w:szCs w:val="24"/>
      </w:rPr>
    </w:lvl>
    <w:lvl w:ilvl="1">
      <w:start w:val="1"/>
      <w:numFmt w:val="decimal"/>
      <w:lvlText w:val="%1.%2."/>
      <w:lvlJc w:val="left"/>
      <w:pPr>
        <w:ind w:left="893" w:hanging="433"/>
        <w:jc w:val="left"/>
      </w:pPr>
      <w:rPr>
        <w:rFonts w:hint="default" w:ascii="Times New Roman" w:hAnsi="Times New Roman" w:eastAsia="Times New Roman" w:cs="Times New Roman"/>
        <w:b/>
        <w:bCs/>
        <w:w w:val="100"/>
        <w:sz w:val="24"/>
        <w:szCs w:val="24"/>
      </w:rPr>
    </w:lvl>
    <w:lvl w:ilvl="2">
      <w:start w:val="1"/>
      <w:numFmt w:val="bullet"/>
      <w:lvlText w:val="•"/>
      <w:lvlJc w:val="left"/>
      <w:pPr>
        <w:ind w:left="1817" w:hanging="433"/>
      </w:pPr>
      <w:rPr>
        <w:rFonts w:hint="default"/>
      </w:rPr>
    </w:lvl>
    <w:lvl w:ilvl="3">
      <w:start w:val="1"/>
      <w:numFmt w:val="bullet"/>
      <w:lvlText w:val="•"/>
      <w:lvlJc w:val="left"/>
      <w:pPr>
        <w:ind w:left="2735" w:hanging="433"/>
      </w:pPr>
      <w:rPr>
        <w:rFonts w:hint="default"/>
      </w:rPr>
    </w:lvl>
    <w:lvl w:ilvl="4">
      <w:start w:val="1"/>
      <w:numFmt w:val="bullet"/>
      <w:lvlText w:val="•"/>
      <w:lvlJc w:val="left"/>
      <w:pPr>
        <w:ind w:left="3653" w:hanging="433"/>
      </w:pPr>
      <w:rPr>
        <w:rFonts w:hint="default"/>
      </w:rPr>
    </w:lvl>
    <w:lvl w:ilvl="5">
      <w:start w:val="1"/>
      <w:numFmt w:val="bullet"/>
      <w:lvlText w:val="•"/>
      <w:lvlJc w:val="left"/>
      <w:pPr>
        <w:ind w:left="4571" w:hanging="433"/>
      </w:pPr>
      <w:rPr>
        <w:rFonts w:hint="default"/>
      </w:rPr>
    </w:lvl>
    <w:lvl w:ilvl="6">
      <w:start w:val="1"/>
      <w:numFmt w:val="bullet"/>
      <w:lvlText w:val="•"/>
      <w:lvlJc w:val="left"/>
      <w:pPr>
        <w:ind w:left="5488" w:hanging="433"/>
      </w:pPr>
      <w:rPr>
        <w:rFonts w:hint="default"/>
      </w:rPr>
    </w:lvl>
    <w:lvl w:ilvl="7">
      <w:start w:val="1"/>
      <w:numFmt w:val="bullet"/>
      <w:lvlText w:val="•"/>
      <w:lvlJc w:val="left"/>
      <w:pPr>
        <w:ind w:left="6406" w:hanging="433"/>
      </w:pPr>
      <w:rPr>
        <w:rFonts w:hint="default"/>
      </w:rPr>
    </w:lvl>
    <w:lvl w:ilvl="8">
      <w:start w:val="1"/>
      <w:numFmt w:val="bullet"/>
      <w:lvlText w:val="•"/>
      <w:lvlJc w:val="left"/>
      <w:pPr>
        <w:ind w:left="7324" w:hanging="433"/>
      </w:pPr>
      <w:rPr>
        <w:rFonts w:hint="default"/>
      </w:rPr>
    </w:lvl>
  </w:abstractNum>
  <w:abstractNum w:abstractNumId="10">
    <w:multiLevelType w:val="hybridMultilevel"/>
    <w:lvl w:ilvl="0">
      <w:start w:val="1"/>
      <w:numFmt w:val="bullet"/>
      <w:lvlText w:val=""/>
      <w:lvlJc w:val="left"/>
      <w:pPr>
        <w:ind w:left="203" w:hanging="204"/>
      </w:pPr>
      <w:rPr>
        <w:rFonts w:hint="default" w:ascii="Symbol" w:hAnsi="Symbol" w:eastAsia="Symbol" w:cs="Symbol"/>
        <w:w w:val="104"/>
        <w:sz w:val="27"/>
        <w:szCs w:val="27"/>
      </w:rPr>
    </w:lvl>
    <w:lvl w:ilvl="1">
      <w:start w:val="1"/>
      <w:numFmt w:val="bullet"/>
      <w:lvlText w:val="•"/>
      <w:lvlJc w:val="left"/>
      <w:pPr>
        <w:ind w:left="251" w:hanging="204"/>
      </w:pPr>
      <w:rPr>
        <w:rFonts w:hint="default"/>
      </w:rPr>
    </w:lvl>
    <w:lvl w:ilvl="2">
      <w:start w:val="1"/>
      <w:numFmt w:val="bullet"/>
      <w:lvlText w:val="•"/>
      <w:lvlJc w:val="left"/>
      <w:pPr>
        <w:ind w:left="303" w:hanging="204"/>
      </w:pPr>
      <w:rPr>
        <w:rFonts w:hint="default"/>
      </w:rPr>
    </w:lvl>
    <w:lvl w:ilvl="3">
      <w:start w:val="1"/>
      <w:numFmt w:val="bullet"/>
      <w:lvlText w:val="•"/>
      <w:lvlJc w:val="left"/>
      <w:pPr>
        <w:ind w:left="355" w:hanging="204"/>
      </w:pPr>
      <w:rPr>
        <w:rFonts w:hint="default"/>
      </w:rPr>
    </w:lvl>
    <w:lvl w:ilvl="4">
      <w:start w:val="1"/>
      <w:numFmt w:val="bullet"/>
      <w:lvlText w:val="•"/>
      <w:lvlJc w:val="left"/>
      <w:pPr>
        <w:ind w:left="407" w:hanging="204"/>
      </w:pPr>
      <w:rPr>
        <w:rFonts w:hint="default"/>
      </w:rPr>
    </w:lvl>
    <w:lvl w:ilvl="5">
      <w:start w:val="1"/>
      <w:numFmt w:val="bullet"/>
      <w:lvlText w:val="•"/>
      <w:lvlJc w:val="left"/>
      <w:pPr>
        <w:ind w:left="458" w:hanging="204"/>
      </w:pPr>
      <w:rPr>
        <w:rFonts w:hint="default"/>
      </w:rPr>
    </w:lvl>
    <w:lvl w:ilvl="6">
      <w:start w:val="1"/>
      <w:numFmt w:val="bullet"/>
      <w:lvlText w:val="•"/>
      <w:lvlJc w:val="left"/>
      <w:pPr>
        <w:ind w:left="510" w:hanging="204"/>
      </w:pPr>
      <w:rPr>
        <w:rFonts w:hint="default"/>
      </w:rPr>
    </w:lvl>
    <w:lvl w:ilvl="7">
      <w:start w:val="1"/>
      <w:numFmt w:val="bullet"/>
      <w:lvlText w:val="•"/>
      <w:lvlJc w:val="left"/>
      <w:pPr>
        <w:ind w:left="562" w:hanging="204"/>
      </w:pPr>
      <w:rPr>
        <w:rFonts w:hint="default"/>
      </w:rPr>
    </w:lvl>
    <w:lvl w:ilvl="8">
      <w:start w:val="1"/>
      <w:numFmt w:val="bullet"/>
      <w:lvlText w:val="•"/>
      <w:lvlJc w:val="left"/>
      <w:pPr>
        <w:ind w:left="614" w:hanging="204"/>
      </w:pPr>
      <w:rPr>
        <w:rFonts w:hint="default"/>
      </w:rPr>
    </w:lvl>
  </w:abstractNum>
  <w:abstractNum w:abstractNumId="8">
    <w:multiLevelType w:val="hybridMultilevel"/>
    <w:lvl w:ilvl="0">
      <w:start w:val="1"/>
      <w:numFmt w:val="bullet"/>
      <w:lvlText w:val=""/>
      <w:lvlJc w:val="left"/>
      <w:pPr>
        <w:ind w:left="209" w:hanging="210"/>
      </w:pPr>
      <w:rPr>
        <w:rFonts w:hint="default" w:ascii="Symbol" w:hAnsi="Symbol" w:eastAsia="Symbol" w:cs="Symbol"/>
        <w:w w:val="107"/>
        <w:position w:val="1"/>
        <w:sz w:val="27"/>
        <w:szCs w:val="27"/>
      </w:rPr>
    </w:lvl>
    <w:lvl w:ilvl="1">
      <w:start w:val="1"/>
      <w:numFmt w:val="bullet"/>
      <w:lvlText w:val="•"/>
      <w:lvlJc w:val="left"/>
      <w:pPr>
        <w:ind w:left="412" w:hanging="210"/>
      </w:pPr>
      <w:rPr>
        <w:rFonts w:hint="default"/>
      </w:rPr>
    </w:lvl>
    <w:lvl w:ilvl="2">
      <w:start w:val="1"/>
      <w:numFmt w:val="bullet"/>
      <w:lvlText w:val="•"/>
      <w:lvlJc w:val="left"/>
      <w:pPr>
        <w:ind w:left="624" w:hanging="210"/>
      </w:pPr>
      <w:rPr>
        <w:rFonts w:hint="default"/>
      </w:rPr>
    </w:lvl>
    <w:lvl w:ilvl="3">
      <w:start w:val="1"/>
      <w:numFmt w:val="bullet"/>
      <w:lvlText w:val="•"/>
      <w:lvlJc w:val="left"/>
      <w:pPr>
        <w:ind w:left="837" w:hanging="210"/>
      </w:pPr>
      <w:rPr>
        <w:rFonts w:hint="default"/>
      </w:rPr>
    </w:lvl>
    <w:lvl w:ilvl="4">
      <w:start w:val="1"/>
      <w:numFmt w:val="bullet"/>
      <w:lvlText w:val="•"/>
      <w:lvlJc w:val="left"/>
      <w:pPr>
        <w:ind w:left="1049" w:hanging="210"/>
      </w:pPr>
      <w:rPr>
        <w:rFonts w:hint="default"/>
      </w:rPr>
    </w:lvl>
    <w:lvl w:ilvl="5">
      <w:start w:val="1"/>
      <w:numFmt w:val="bullet"/>
      <w:lvlText w:val="•"/>
      <w:lvlJc w:val="left"/>
      <w:pPr>
        <w:ind w:left="1262" w:hanging="210"/>
      </w:pPr>
      <w:rPr>
        <w:rFonts w:hint="default"/>
      </w:rPr>
    </w:lvl>
    <w:lvl w:ilvl="6">
      <w:start w:val="1"/>
      <w:numFmt w:val="bullet"/>
      <w:lvlText w:val="•"/>
      <w:lvlJc w:val="left"/>
      <w:pPr>
        <w:ind w:left="1474" w:hanging="210"/>
      </w:pPr>
      <w:rPr>
        <w:rFonts w:hint="default"/>
      </w:rPr>
    </w:lvl>
    <w:lvl w:ilvl="7">
      <w:start w:val="1"/>
      <w:numFmt w:val="bullet"/>
      <w:lvlText w:val="•"/>
      <w:lvlJc w:val="left"/>
      <w:pPr>
        <w:ind w:left="1686" w:hanging="210"/>
      </w:pPr>
      <w:rPr>
        <w:rFonts w:hint="default"/>
      </w:rPr>
    </w:lvl>
    <w:lvl w:ilvl="8">
      <w:start w:val="1"/>
      <w:numFmt w:val="bullet"/>
      <w:lvlText w:val="•"/>
      <w:lvlJc w:val="left"/>
      <w:pPr>
        <w:ind w:left="1899" w:hanging="210"/>
      </w:pPr>
      <w:rPr>
        <w:rFonts w:hint="default"/>
      </w:rPr>
    </w:lvl>
  </w:abstractNum>
  <w:abstractNum w:abstractNumId="9">
    <w:multiLevelType w:val="hybridMultilevel"/>
    <w:lvl w:ilvl="0">
      <w:start w:val="1"/>
      <w:numFmt w:val="bullet"/>
      <w:lvlText w:val=""/>
      <w:lvlJc w:val="left"/>
      <w:pPr>
        <w:ind w:left="319" w:hanging="219"/>
      </w:pPr>
      <w:rPr>
        <w:rFonts w:hint="default"/>
        <w:i/>
        <w:w w:val="97"/>
      </w:rPr>
    </w:lvl>
    <w:lvl w:ilvl="1">
      <w:start w:val="1"/>
      <w:numFmt w:val="bullet"/>
      <w:lvlText w:val="•"/>
      <w:lvlJc w:val="left"/>
      <w:pPr>
        <w:ind w:left="2280" w:hanging="219"/>
      </w:pPr>
      <w:rPr>
        <w:rFonts w:hint="default"/>
      </w:rPr>
    </w:lvl>
    <w:lvl w:ilvl="2">
      <w:start w:val="1"/>
      <w:numFmt w:val="bullet"/>
      <w:lvlText w:val="•"/>
      <w:lvlJc w:val="left"/>
      <w:pPr>
        <w:ind w:left="2085" w:hanging="219"/>
      </w:pPr>
      <w:rPr>
        <w:rFonts w:hint="default"/>
      </w:rPr>
    </w:lvl>
    <w:lvl w:ilvl="3">
      <w:start w:val="1"/>
      <w:numFmt w:val="bullet"/>
      <w:lvlText w:val="•"/>
      <w:lvlJc w:val="left"/>
      <w:pPr>
        <w:ind w:left="1891" w:hanging="219"/>
      </w:pPr>
      <w:rPr>
        <w:rFonts w:hint="default"/>
      </w:rPr>
    </w:lvl>
    <w:lvl w:ilvl="4">
      <w:start w:val="1"/>
      <w:numFmt w:val="bullet"/>
      <w:lvlText w:val="•"/>
      <w:lvlJc w:val="left"/>
      <w:pPr>
        <w:ind w:left="1696" w:hanging="219"/>
      </w:pPr>
      <w:rPr>
        <w:rFonts w:hint="default"/>
      </w:rPr>
    </w:lvl>
    <w:lvl w:ilvl="5">
      <w:start w:val="1"/>
      <w:numFmt w:val="bullet"/>
      <w:lvlText w:val="•"/>
      <w:lvlJc w:val="left"/>
      <w:pPr>
        <w:ind w:left="1501" w:hanging="219"/>
      </w:pPr>
      <w:rPr>
        <w:rFonts w:hint="default"/>
      </w:rPr>
    </w:lvl>
    <w:lvl w:ilvl="6">
      <w:start w:val="1"/>
      <w:numFmt w:val="bullet"/>
      <w:lvlText w:val="•"/>
      <w:lvlJc w:val="left"/>
      <w:pPr>
        <w:ind w:left="1307" w:hanging="219"/>
      </w:pPr>
      <w:rPr>
        <w:rFonts w:hint="default"/>
      </w:rPr>
    </w:lvl>
    <w:lvl w:ilvl="7">
      <w:start w:val="1"/>
      <w:numFmt w:val="bullet"/>
      <w:lvlText w:val="•"/>
      <w:lvlJc w:val="left"/>
      <w:pPr>
        <w:ind w:left="1112" w:hanging="219"/>
      </w:pPr>
      <w:rPr>
        <w:rFonts w:hint="default"/>
      </w:rPr>
    </w:lvl>
    <w:lvl w:ilvl="8">
      <w:start w:val="1"/>
      <w:numFmt w:val="bullet"/>
      <w:lvlText w:val="•"/>
      <w:lvlJc w:val="left"/>
      <w:pPr>
        <w:ind w:left="918" w:hanging="219"/>
      </w:pPr>
      <w:rPr>
        <w:rFonts w:hint="default"/>
      </w:rPr>
    </w:lvl>
  </w:abstractNum>
  <w:abstractNum w:abstractNumId="7">
    <w:multiLevelType w:val="hybridMultilevel"/>
    <w:lvl w:ilvl="0">
      <w:start w:val="6"/>
      <w:numFmt w:val="decimal"/>
      <w:lvlText w:val="%1"/>
      <w:lvlJc w:val="left"/>
      <w:pPr>
        <w:ind w:left="893" w:hanging="433"/>
        <w:jc w:val="left"/>
      </w:pPr>
      <w:rPr>
        <w:rFonts w:hint="default"/>
      </w:rPr>
    </w:lvl>
    <w:lvl w:ilvl="1">
      <w:start w:val="2"/>
      <w:numFmt w:val="decimal"/>
      <w:lvlText w:val="%1.%2."/>
      <w:lvlJc w:val="left"/>
      <w:pPr>
        <w:ind w:left="893" w:hanging="433"/>
        <w:jc w:val="left"/>
      </w:pPr>
      <w:rPr>
        <w:rFonts w:hint="default" w:ascii="Georgia" w:hAnsi="Georgia" w:eastAsia="Georgia" w:cs="Georgia"/>
        <w:b/>
        <w:bCs/>
        <w:spacing w:val="-3"/>
        <w:w w:val="100"/>
        <w:sz w:val="22"/>
        <w:szCs w:val="22"/>
      </w:rPr>
    </w:lvl>
    <w:lvl w:ilvl="2">
      <w:start w:val="1"/>
      <w:numFmt w:val="decimal"/>
      <w:lvlText w:val="%1.%2.%3."/>
      <w:lvlJc w:val="left"/>
      <w:pPr>
        <w:ind w:left="1517" w:hanging="696"/>
        <w:jc w:val="left"/>
      </w:pPr>
      <w:rPr>
        <w:rFonts w:hint="default" w:ascii="Georgia" w:hAnsi="Georgia" w:eastAsia="Georgia" w:cs="Georgia"/>
        <w:b/>
        <w:bCs/>
        <w:spacing w:val="-16"/>
        <w:w w:val="100"/>
        <w:sz w:val="22"/>
        <w:szCs w:val="22"/>
      </w:rPr>
    </w:lvl>
    <w:lvl w:ilvl="3">
      <w:start w:val="1"/>
      <w:numFmt w:val="bullet"/>
      <w:lvlText w:val="•"/>
      <w:lvlJc w:val="left"/>
      <w:pPr>
        <w:ind w:left="3195" w:hanging="696"/>
      </w:pPr>
      <w:rPr>
        <w:rFonts w:hint="default"/>
      </w:rPr>
    </w:lvl>
    <w:lvl w:ilvl="4">
      <w:start w:val="1"/>
      <w:numFmt w:val="bullet"/>
      <w:lvlText w:val="•"/>
      <w:lvlJc w:val="left"/>
      <w:pPr>
        <w:ind w:left="4033" w:hanging="696"/>
      </w:pPr>
      <w:rPr>
        <w:rFonts w:hint="default"/>
      </w:rPr>
    </w:lvl>
    <w:lvl w:ilvl="5">
      <w:start w:val="1"/>
      <w:numFmt w:val="bullet"/>
      <w:lvlText w:val="•"/>
      <w:lvlJc w:val="left"/>
      <w:pPr>
        <w:ind w:left="4871" w:hanging="696"/>
      </w:pPr>
      <w:rPr>
        <w:rFonts w:hint="default"/>
      </w:rPr>
    </w:lvl>
    <w:lvl w:ilvl="6">
      <w:start w:val="1"/>
      <w:numFmt w:val="bullet"/>
      <w:lvlText w:val="•"/>
      <w:lvlJc w:val="left"/>
      <w:pPr>
        <w:ind w:left="5708" w:hanging="696"/>
      </w:pPr>
      <w:rPr>
        <w:rFonts w:hint="default"/>
      </w:rPr>
    </w:lvl>
    <w:lvl w:ilvl="7">
      <w:start w:val="1"/>
      <w:numFmt w:val="bullet"/>
      <w:lvlText w:val="•"/>
      <w:lvlJc w:val="left"/>
      <w:pPr>
        <w:ind w:left="6546" w:hanging="696"/>
      </w:pPr>
      <w:rPr>
        <w:rFonts w:hint="default"/>
      </w:rPr>
    </w:lvl>
    <w:lvl w:ilvl="8">
      <w:start w:val="1"/>
      <w:numFmt w:val="bullet"/>
      <w:lvlText w:val="•"/>
      <w:lvlJc w:val="left"/>
      <w:pPr>
        <w:ind w:left="7384" w:hanging="696"/>
      </w:pPr>
      <w:rPr>
        <w:rFonts w:hint="default"/>
      </w:rPr>
    </w:lvl>
  </w:abstractNum>
  <w:abstractNum w:abstractNumId="6">
    <w:multiLevelType w:val="hybridMultilevel"/>
    <w:lvl w:ilvl="0">
      <w:start w:val="1"/>
      <w:numFmt w:val="lowerLetter"/>
      <w:lvlText w:val="%1)"/>
      <w:lvlJc w:val="left"/>
      <w:pPr>
        <w:ind w:left="100" w:hanging="248"/>
        <w:jc w:val="left"/>
      </w:pPr>
      <w:rPr>
        <w:rFonts w:hint="default" w:ascii="Georgia" w:hAnsi="Georgia" w:eastAsia="Georgia" w:cs="Georgia"/>
        <w:spacing w:val="-4"/>
        <w:w w:val="100"/>
        <w:sz w:val="22"/>
        <w:szCs w:val="22"/>
      </w:rPr>
    </w:lvl>
    <w:lvl w:ilvl="1">
      <w:start w:val="1"/>
      <w:numFmt w:val="bullet"/>
      <w:lvlText w:val="•"/>
      <w:lvlJc w:val="left"/>
      <w:pPr>
        <w:ind w:left="994" w:hanging="248"/>
      </w:pPr>
      <w:rPr>
        <w:rFonts w:hint="default"/>
      </w:rPr>
    </w:lvl>
    <w:lvl w:ilvl="2">
      <w:start w:val="1"/>
      <w:numFmt w:val="bullet"/>
      <w:lvlText w:val="•"/>
      <w:lvlJc w:val="left"/>
      <w:pPr>
        <w:ind w:left="1888" w:hanging="248"/>
      </w:pPr>
      <w:rPr>
        <w:rFonts w:hint="default"/>
      </w:rPr>
    </w:lvl>
    <w:lvl w:ilvl="3">
      <w:start w:val="1"/>
      <w:numFmt w:val="bullet"/>
      <w:lvlText w:val="•"/>
      <w:lvlJc w:val="left"/>
      <w:pPr>
        <w:ind w:left="2782" w:hanging="248"/>
      </w:pPr>
      <w:rPr>
        <w:rFonts w:hint="default"/>
      </w:rPr>
    </w:lvl>
    <w:lvl w:ilvl="4">
      <w:start w:val="1"/>
      <w:numFmt w:val="bullet"/>
      <w:lvlText w:val="•"/>
      <w:lvlJc w:val="left"/>
      <w:pPr>
        <w:ind w:left="3676" w:hanging="248"/>
      </w:pPr>
      <w:rPr>
        <w:rFonts w:hint="default"/>
      </w:rPr>
    </w:lvl>
    <w:lvl w:ilvl="5">
      <w:start w:val="1"/>
      <w:numFmt w:val="bullet"/>
      <w:lvlText w:val="•"/>
      <w:lvlJc w:val="left"/>
      <w:pPr>
        <w:ind w:left="4570" w:hanging="248"/>
      </w:pPr>
      <w:rPr>
        <w:rFonts w:hint="default"/>
      </w:rPr>
    </w:lvl>
    <w:lvl w:ilvl="6">
      <w:start w:val="1"/>
      <w:numFmt w:val="bullet"/>
      <w:lvlText w:val="•"/>
      <w:lvlJc w:val="left"/>
      <w:pPr>
        <w:ind w:left="5464" w:hanging="248"/>
      </w:pPr>
      <w:rPr>
        <w:rFonts w:hint="default"/>
      </w:rPr>
    </w:lvl>
    <w:lvl w:ilvl="7">
      <w:start w:val="1"/>
      <w:numFmt w:val="bullet"/>
      <w:lvlText w:val="•"/>
      <w:lvlJc w:val="left"/>
      <w:pPr>
        <w:ind w:left="6358" w:hanging="248"/>
      </w:pPr>
      <w:rPr>
        <w:rFonts w:hint="default"/>
      </w:rPr>
    </w:lvl>
    <w:lvl w:ilvl="8">
      <w:start w:val="1"/>
      <w:numFmt w:val="bullet"/>
      <w:lvlText w:val="•"/>
      <w:lvlJc w:val="left"/>
      <w:pPr>
        <w:ind w:left="7252" w:hanging="248"/>
      </w:pPr>
      <w:rPr>
        <w:rFonts w:hint="default"/>
      </w:rPr>
    </w:lvl>
  </w:abstractNum>
  <w:abstractNum w:abstractNumId="5">
    <w:multiLevelType w:val="hybridMultilevel"/>
    <w:lvl w:ilvl="0">
      <w:start w:val="1"/>
      <w:numFmt w:val="bullet"/>
      <w:lvlText w:val=""/>
      <w:lvlJc w:val="left"/>
      <w:pPr>
        <w:ind w:left="693" w:hanging="357"/>
      </w:pPr>
      <w:rPr>
        <w:rFonts w:hint="default" w:ascii="Symbol" w:hAnsi="Symbol" w:eastAsia="Symbol" w:cs="Symbol"/>
        <w:w w:val="100"/>
        <w:sz w:val="22"/>
        <w:szCs w:val="22"/>
      </w:rPr>
    </w:lvl>
    <w:lvl w:ilvl="1">
      <w:start w:val="1"/>
      <w:numFmt w:val="bullet"/>
      <w:lvlText w:val="•"/>
      <w:lvlJc w:val="left"/>
      <w:pPr>
        <w:ind w:left="1524" w:hanging="357"/>
      </w:pPr>
      <w:rPr>
        <w:rFonts w:hint="default"/>
      </w:rPr>
    </w:lvl>
    <w:lvl w:ilvl="2">
      <w:start w:val="1"/>
      <w:numFmt w:val="bullet"/>
      <w:lvlText w:val="•"/>
      <w:lvlJc w:val="left"/>
      <w:pPr>
        <w:ind w:left="2348" w:hanging="357"/>
      </w:pPr>
      <w:rPr>
        <w:rFonts w:hint="default"/>
      </w:rPr>
    </w:lvl>
    <w:lvl w:ilvl="3">
      <w:start w:val="1"/>
      <w:numFmt w:val="bullet"/>
      <w:lvlText w:val="•"/>
      <w:lvlJc w:val="left"/>
      <w:pPr>
        <w:ind w:left="3172" w:hanging="357"/>
      </w:pPr>
      <w:rPr>
        <w:rFonts w:hint="default"/>
      </w:rPr>
    </w:lvl>
    <w:lvl w:ilvl="4">
      <w:start w:val="1"/>
      <w:numFmt w:val="bullet"/>
      <w:lvlText w:val="•"/>
      <w:lvlJc w:val="left"/>
      <w:pPr>
        <w:ind w:left="3996" w:hanging="357"/>
      </w:pPr>
      <w:rPr>
        <w:rFonts w:hint="default"/>
      </w:rPr>
    </w:lvl>
    <w:lvl w:ilvl="5">
      <w:start w:val="1"/>
      <w:numFmt w:val="bullet"/>
      <w:lvlText w:val="•"/>
      <w:lvlJc w:val="left"/>
      <w:pPr>
        <w:ind w:left="4820" w:hanging="357"/>
      </w:pPr>
      <w:rPr>
        <w:rFonts w:hint="default"/>
      </w:rPr>
    </w:lvl>
    <w:lvl w:ilvl="6">
      <w:start w:val="1"/>
      <w:numFmt w:val="bullet"/>
      <w:lvlText w:val="•"/>
      <w:lvlJc w:val="left"/>
      <w:pPr>
        <w:ind w:left="5644" w:hanging="357"/>
      </w:pPr>
      <w:rPr>
        <w:rFonts w:hint="default"/>
      </w:rPr>
    </w:lvl>
    <w:lvl w:ilvl="7">
      <w:start w:val="1"/>
      <w:numFmt w:val="bullet"/>
      <w:lvlText w:val="•"/>
      <w:lvlJc w:val="left"/>
      <w:pPr>
        <w:ind w:left="6468" w:hanging="357"/>
      </w:pPr>
      <w:rPr>
        <w:rFonts w:hint="default"/>
      </w:rPr>
    </w:lvl>
    <w:lvl w:ilvl="8">
      <w:start w:val="1"/>
      <w:numFmt w:val="bullet"/>
      <w:lvlText w:val="•"/>
      <w:lvlJc w:val="left"/>
      <w:pPr>
        <w:ind w:left="7292" w:hanging="357"/>
      </w:pPr>
      <w:rPr>
        <w:rFonts w:hint="default"/>
      </w:rPr>
    </w:lvl>
  </w:abstractNum>
  <w:abstractNum w:abstractNumId="4">
    <w:multiLevelType w:val="hybridMultilevel"/>
    <w:lvl w:ilvl="0">
      <w:start w:val="1"/>
      <w:numFmt w:val="lowerLetter"/>
      <w:lvlText w:val="%1)"/>
      <w:lvlJc w:val="left"/>
      <w:pPr>
        <w:ind w:left="100" w:hanging="248"/>
        <w:jc w:val="left"/>
      </w:pPr>
      <w:rPr>
        <w:rFonts w:hint="default" w:ascii="Georgia" w:hAnsi="Georgia" w:eastAsia="Georgia" w:cs="Georgia"/>
        <w:spacing w:val="-4"/>
        <w:w w:val="100"/>
        <w:sz w:val="22"/>
        <w:szCs w:val="22"/>
      </w:rPr>
    </w:lvl>
    <w:lvl w:ilvl="1">
      <w:start w:val="1"/>
      <w:numFmt w:val="bullet"/>
      <w:lvlText w:val="•"/>
      <w:lvlJc w:val="left"/>
      <w:pPr>
        <w:ind w:left="996" w:hanging="248"/>
      </w:pPr>
      <w:rPr>
        <w:rFonts w:hint="default"/>
      </w:rPr>
    </w:lvl>
    <w:lvl w:ilvl="2">
      <w:start w:val="1"/>
      <w:numFmt w:val="bullet"/>
      <w:lvlText w:val="•"/>
      <w:lvlJc w:val="left"/>
      <w:pPr>
        <w:ind w:left="1892" w:hanging="248"/>
      </w:pPr>
      <w:rPr>
        <w:rFonts w:hint="default"/>
      </w:rPr>
    </w:lvl>
    <w:lvl w:ilvl="3">
      <w:start w:val="1"/>
      <w:numFmt w:val="bullet"/>
      <w:lvlText w:val="•"/>
      <w:lvlJc w:val="left"/>
      <w:pPr>
        <w:ind w:left="2788" w:hanging="248"/>
      </w:pPr>
      <w:rPr>
        <w:rFonts w:hint="default"/>
      </w:rPr>
    </w:lvl>
    <w:lvl w:ilvl="4">
      <w:start w:val="1"/>
      <w:numFmt w:val="bullet"/>
      <w:lvlText w:val="•"/>
      <w:lvlJc w:val="left"/>
      <w:pPr>
        <w:ind w:left="3684" w:hanging="248"/>
      </w:pPr>
      <w:rPr>
        <w:rFonts w:hint="default"/>
      </w:rPr>
    </w:lvl>
    <w:lvl w:ilvl="5">
      <w:start w:val="1"/>
      <w:numFmt w:val="bullet"/>
      <w:lvlText w:val="•"/>
      <w:lvlJc w:val="left"/>
      <w:pPr>
        <w:ind w:left="4580" w:hanging="248"/>
      </w:pPr>
      <w:rPr>
        <w:rFonts w:hint="default"/>
      </w:rPr>
    </w:lvl>
    <w:lvl w:ilvl="6">
      <w:start w:val="1"/>
      <w:numFmt w:val="bullet"/>
      <w:lvlText w:val="•"/>
      <w:lvlJc w:val="left"/>
      <w:pPr>
        <w:ind w:left="5476" w:hanging="248"/>
      </w:pPr>
      <w:rPr>
        <w:rFonts w:hint="default"/>
      </w:rPr>
    </w:lvl>
    <w:lvl w:ilvl="7">
      <w:start w:val="1"/>
      <w:numFmt w:val="bullet"/>
      <w:lvlText w:val="•"/>
      <w:lvlJc w:val="left"/>
      <w:pPr>
        <w:ind w:left="6372" w:hanging="248"/>
      </w:pPr>
      <w:rPr>
        <w:rFonts w:hint="default"/>
      </w:rPr>
    </w:lvl>
    <w:lvl w:ilvl="8">
      <w:start w:val="1"/>
      <w:numFmt w:val="bullet"/>
      <w:lvlText w:val="•"/>
      <w:lvlJc w:val="left"/>
      <w:pPr>
        <w:ind w:left="7268" w:hanging="248"/>
      </w:pPr>
      <w:rPr>
        <w:rFonts w:hint="default"/>
      </w:rPr>
    </w:lvl>
  </w:abstractNum>
  <w:abstractNum w:abstractNumId="3">
    <w:multiLevelType w:val="hybridMultilevel"/>
    <w:lvl w:ilvl="0">
      <w:start w:val="2"/>
      <w:numFmt w:val="decimal"/>
      <w:lvlText w:val="%1"/>
      <w:lvlJc w:val="left"/>
      <w:pPr>
        <w:ind w:left="1517" w:hanging="696"/>
        <w:jc w:val="left"/>
      </w:pPr>
      <w:rPr>
        <w:rFonts w:hint="default"/>
      </w:rPr>
    </w:lvl>
    <w:lvl w:ilvl="1">
      <w:start w:val="3"/>
      <w:numFmt w:val="decimal"/>
      <w:lvlText w:val="%1.%2"/>
      <w:lvlJc w:val="left"/>
      <w:pPr>
        <w:ind w:left="1517" w:hanging="696"/>
        <w:jc w:val="left"/>
      </w:pPr>
      <w:rPr>
        <w:rFonts w:hint="default"/>
      </w:rPr>
    </w:lvl>
    <w:lvl w:ilvl="2">
      <w:start w:val="1"/>
      <w:numFmt w:val="decimal"/>
      <w:lvlText w:val="%1.%2.%3."/>
      <w:lvlJc w:val="left"/>
      <w:pPr>
        <w:ind w:left="1517" w:hanging="696"/>
        <w:jc w:val="left"/>
      </w:pPr>
      <w:rPr>
        <w:rFonts w:hint="default" w:ascii="Georgia" w:hAnsi="Georgia" w:eastAsia="Georgia" w:cs="Georgia"/>
        <w:b/>
        <w:bCs/>
        <w:spacing w:val="-12"/>
        <w:w w:val="100"/>
        <w:sz w:val="22"/>
        <w:szCs w:val="22"/>
      </w:rPr>
    </w:lvl>
    <w:lvl w:ilvl="3">
      <w:start w:val="1"/>
      <w:numFmt w:val="bullet"/>
      <w:lvlText w:val="•"/>
      <w:lvlJc w:val="left"/>
      <w:pPr>
        <w:ind w:left="4580" w:hanging="696"/>
      </w:pPr>
      <w:rPr>
        <w:rFonts w:hint="default"/>
      </w:rPr>
    </w:lvl>
    <w:lvl w:ilvl="4">
      <w:start w:val="1"/>
      <w:numFmt w:val="bullet"/>
      <w:lvlText w:val="•"/>
      <w:lvlJc w:val="left"/>
      <w:pPr>
        <w:ind w:left="5220" w:hanging="696"/>
      </w:pPr>
      <w:rPr>
        <w:rFonts w:hint="default"/>
      </w:rPr>
    </w:lvl>
    <w:lvl w:ilvl="5">
      <w:start w:val="1"/>
      <w:numFmt w:val="bullet"/>
      <w:lvlText w:val="•"/>
      <w:lvlJc w:val="left"/>
      <w:pPr>
        <w:ind w:left="5860" w:hanging="696"/>
      </w:pPr>
      <w:rPr>
        <w:rFonts w:hint="default"/>
      </w:rPr>
    </w:lvl>
    <w:lvl w:ilvl="6">
      <w:start w:val="1"/>
      <w:numFmt w:val="bullet"/>
      <w:lvlText w:val="•"/>
      <w:lvlJc w:val="left"/>
      <w:pPr>
        <w:ind w:left="6500" w:hanging="696"/>
      </w:pPr>
      <w:rPr>
        <w:rFonts w:hint="default"/>
      </w:rPr>
    </w:lvl>
    <w:lvl w:ilvl="7">
      <w:start w:val="1"/>
      <w:numFmt w:val="bullet"/>
      <w:lvlText w:val="•"/>
      <w:lvlJc w:val="left"/>
      <w:pPr>
        <w:ind w:left="7140" w:hanging="696"/>
      </w:pPr>
      <w:rPr>
        <w:rFonts w:hint="default"/>
      </w:rPr>
    </w:lvl>
    <w:lvl w:ilvl="8">
      <w:start w:val="1"/>
      <w:numFmt w:val="bullet"/>
      <w:lvlText w:val="•"/>
      <w:lvlJc w:val="left"/>
      <w:pPr>
        <w:ind w:left="7780" w:hanging="696"/>
      </w:pPr>
      <w:rPr>
        <w:rFonts w:hint="default"/>
      </w:rPr>
    </w:lvl>
  </w:abstractNum>
  <w:abstractNum w:abstractNumId="2">
    <w:multiLevelType w:val="hybridMultilevel"/>
    <w:lvl w:ilvl="0">
      <w:start w:val="1"/>
      <w:numFmt w:val="lowerLetter"/>
      <w:lvlText w:val="%1)"/>
      <w:lvlJc w:val="left"/>
      <w:pPr>
        <w:ind w:left="100" w:hanging="276"/>
        <w:jc w:val="left"/>
      </w:pPr>
      <w:rPr>
        <w:rFonts w:hint="default" w:ascii="Georgia" w:hAnsi="Georgia" w:eastAsia="Georgia" w:cs="Georgia"/>
        <w:spacing w:val="-26"/>
        <w:w w:val="100"/>
        <w:sz w:val="22"/>
        <w:szCs w:val="22"/>
      </w:rPr>
    </w:lvl>
    <w:lvl w:ilvl="1">
      <w:start w:val="1"/>
      <w:numFmt w:val="bullet"/>
      <w:lvlText w:val="•"/>
      <w:lvlJc w:val="left"/>
      <w:pPr>
        <w:ind w:left="996" w:hanging="276"/>
      </w:pPr>
      <w:rPr>
        <w:rFonts w:hint="default"/>
      </w:rPr>
    </w:lvl>
    <w:lvl w:ilvl="2">
      <w:start w:val="1"/>
      <w:numFmt w:val="bullet"/>
      <w:lvlText w:val="•"/>
      <w:lvlJc w:val="left"/>
      <w:pPr>
        <w:ind w:left="1892" w:hanging="276"/>
      </w:pPr>
      <w:rPr>
        <w:rFonts w:hint="default"/>
      </w:rPr>
    </w:lvl>
    <w:lvl w:ilvl="3">
      <w:start w:val="1"/>
      <w:numFmt w:val="bullet"/>
      <w:lvlText w:val="•"/>
      <w:lvlJc w:val="left"/>
      <w:pPr>
        <w:ind w:left="2788" w:hanging="276"/>
      </w:pPr>
      <w:rPr>
        <w:rFonts w:hint="default"/>
      </w:rPr>
    </w:lvl>
    <w:lvl w:ilvl="4">
      <w:start w:val="1"/>
      <w:numFmt w:val="bullet"/>
      <w:lvlText w:val="•"/>
      <w:lvlJc w:val="left"/>
      <w:pPr>
        <w:ind w:left="3684" w:hanging="276"/>
      </w:pPr>
      <w:rPr>
        <w:rFonts w:hint="default"/>
      </w:rPr>
    </w:lvl>
    <w:lvl w:ilvl="5">
      <w:start w:val="1"/>
      <w:numFmt w:val="bullet"/>
      <w:lvlText w:val="•"/>
      <w:lvlJc w:val="left"/>
      <w:pPr>
        <w:ind w:left="4580" w:hanging="276"/>
      </w:pPr>
      <w:rPr>
        <w:rFonts w:hint="default"/>
      </w:rPr>
    </w:lvl>
    <w:lvl w:ilvl="6">
      <w:start w:val="1"/>
      <w:numFmt w:val="bullet"/>
      <w:lvlText w:val="•"/>
      <w:lvlJc w:val="left"/>
      <w:pPr>
        <w:ind w:left="5476" w:hanging="276"/>
      </w:pPr>
      <w:rPr>
        <w:rFonts w:hint="default"/>
      </w:rPr>
    </w:lvl>
    <w:lvl w:ilvl="7">
      <w:start w:val="1"/>
      <w:numFmt w:val="bullet"/>
      <w:lvlText w:val="•"/>
      <w:lvlJc w:val="left"/>
      <w:pPr>
        <w:ind w:left="6372" w:hanging="276"/>
      </w:pPr>
      <w:rPr>
        <w:rFonts w:hint="default"/>
      </w:rPr>
    </w:lvl>
    <w:lvl w:ilvl="8">
      <w:start w:val="1"/>
      <w:numFmt w:val="bullet"/>
      <w:lvlText w:val="•"/>
      <w:lvlJc w:val="left"/>
      <w:pPr>
        <w:ind w:left="7268" w:hanging="276"/>
      </w:pPr>
      <w:rPr>
        <w:rFonts w:hint="default"/>
      </w:rPr>
    </w:lvl>
  </w:abstractNum>
  <w:abstractNum w:abstractNumId="1">
    <w:multiLevelType w:val="hybridMultilevel"/>
    <w:lvl w:ilvl="0">
      <w:start w:val="1"/>
      <w:numFmt w:val="decimal"/>
      <w:lvlText w:val="%1."/>
      <w:lvlJc w:val="left"/>
      <w:pPr>
        <w:ind w:left="460" w:hanging="360"/>
        <w:jc w:val="left"/>
      </w:pPr>
      <w:rPr>
        <w:rFonts w:hint="default"/>
        <w:b/>
        <w:bCs/>
        <w:spacing w:val="-1"/>
        <w:w w:val="100"/>
      </w:rPr>
    </w:lvl>
    <w:lvl w:ilvl="1">
      <w:start w:val="1"/>
      <w:numFmt w:val="decimal"/>
      <w:lvlText w:val="%1.%2."/>
      <w:lvlJc w:val="left"/>
      <w:pPr>
        <w:ind w:left="893" w:hanging="433"/>
        <w:jc w:val="left"/>
      </w:pPr>
      <w:rPr>
        <w:rFonts w:hint="default" w:ascii="Georgia" w:hAnsi="Georgia" w:eastAsia="Georgia" w:cs="Georgia"/>
        <w:b/>
        <w:bCs/>
        <w:spacing w:val="-2"/>
        <w:w w:val="100"/>
        <w:sz w:val="22"/>
        <w:szCs w:val="22"/>
      </w:rPr>
    </w:lvl>
    <w:lvl w:ilvl="2">
      <w:start w:val="1"/>
      <w:numFmt w:val="decimal"/>
      <w:lvlText w:val="%1.%2.%3."/>
      <w:lvlJc w:val="left"/>
      <w:pPr>
        <w:ind w:left="1517" w:hanging="696"/>
        <w:jc w:val="left"/>
      </w:pPr>
      <w:rPr>
        <w:rFonts w:hint="default" w:ascii="Georgia" w:hAnsi="Georgia" w:eastAsia="Georgia" w:cs="Georgia"/>
        <w:b/>
        <w:bCs/>
        <w:spacing w:val="-20"/>
        <w:w w:val="100"/>
        <w:sz w:val="22"/>
        <w:szCs w:val="22"/>
      </w:rPr>
    </w:lvl>
    <w:lvl w:ilvl="3">
      <w:start w:val="1"/>
      <w:numFmt w:val="bullet"/>
      <w:lvlText w:val="•"/>
      <w:lvlJc w:val="left"/>
      <w:pPr>
        <w:ind w:left="2460" w:hanging="696"/>
      </w:pPr>
      <w:rPr>
        <w:rFonts w:hint="default"/>
      </w:rPr>
    </w:lvl>
    <w:lvl w:ilvl="4">
      <w:start w:val="1"/>
      <w:numFmt w:val="bullet"/>
      <w:lvlText w:val="•"/>
      <w:lvlJc w:val="left"/>
      <w:pPr>
        <w:ind w:left="3400" w:hanging="696"/>
      </w:pPr>
      <w:rPr>
        <w:rFonts w:hint="default"/>
      </w:rPr>
    </w:lvl>
    <w:lvl w:ilvl="5">
      <w:start w:val="1"/>
      <w:numFmt w:val="bullet"/>
      <w:lvlText w:val="•"/>
      <w:lvlJc w:val="left"/>
      <w:pPr>
        <w:ind w:left="4340" w:hanging="696"/>
      </w:pPr>
      <w:rPr>
        <w:rFonts w:hint="default"/>
      </w:rPr>
    </w:lvl>
    <w:lvl w:ilvl="6">
      <w:start w:val="1"/>
      <w:numFmt w:val="bullet"/>
      <w:lvlText w:val="•"/>
      <w:lvlJc w:val="left"/>
      <w:pPr>
        <w:ind w:left="5280" w:hanging="696"/>
      </w:pPr>
      <w:rPr>
        <w:rFonts w:hint="default"/>
      </w:rPr>
    </w:lvl>
    <w:lvl w:ilvl="7">
      <w:start w:val="1"/>
      <w:numFmt w:val="bullet"/>
      <w:lvlText w:val="•"/>
      <w:lvlJc w:val="left"/>
      <w:pPr>
        <w:ind w:left="6220" w:hanging="696"/>
      </w:pPr>
      <w:rPr>
        <w:rFonts w:hint="default"/>
      </w:rPr>
    </w:lvl>
    <w:lvl w:ilvl="8">
      <w:start w:val="1"/>
      <w:numFmt w:val="bullet"/>
      <w:lvlText w:val="•"/>
      <w:lvlJc w:val="left"/>
      <w:pPr>
        <w:ind w:left="7160" w:hanging="696"/>
      </w:pPr>
      <w:rPr>
        <w:rFonts w:hint="default"/>
      </w:rPr>
    </w:lvl>
  </w:abstractNum>
  <w:abstractNum w:abstractNumId="0">
    <w:multiLevelType w:val="hybridMultilevel"/>
    <w:lvl w:ilvl="0">
      <w:start w:val="1"/>
      <w:numFmt w:val="decimal"/>
      <w:lvlText w:val="%1."/>
      <w:lvlJc w:val="left"/>
      <w:pPr>
        <w:ind w:left="580" w:hanging="480"/>
        <w:jc w:val="left"/>
      </w:pPr>
      <w:rPr>
        <w:rFonts w:hint="default" w:ascii="Georgia" w:hAnsi="Georgia" w:eastAsia="Georgia" w:cs="Georgia"/>
        <w:spacing w:val="-2"/>
        <w:w w:val="100"/>
        <w:sz w:val="22"/>
        <w:szCs w:val="22"/>
      </w:rPr>
    </w:lvl>
    <w:lvl w:ilvl="1">
      <w:start w:val="1"/>
      <w:numFmt w:val="decimal"/>
      <w:lvlText w:val="%1.%2."/>
      <w:lvlJc w:val="left"/>
      <w:pPr>
        <w:ind w:left="340" w:hanging="641"/>
        <w:jc w:val="left"/>
      </w:pPr>
      <w:rPr>
        <w:rFonts w:hint="default" w:ascii="Georgia" w:hAnsi="Georgia" w:eastAsia="Georgia" w:cs="Georgia"/>
        <w:spacing w:val="-5"/>
        <w:w w:val="100"/>
        <w:sz w:val="22"/>
        <w:szCs w:val="22"/>
      </w:rPr>
    </w:lvl>
    <w:lvl w:ilvl="2">
      <w:start w:val="1"/>
      <w:numFmt w:val="decimal"/>
      <w:lvlText w:val="%1.%2.%3."/>
      <w:lvlJc w:val="left"/>
      <w:pPr>
        <w:ind w:left="1421" w:hanging="837"/>
        <w:jc w:val="left"/>
      </w:pPr>
      <w:rPr>
        <w:rFonts w:hint="default" w:ascii="Georgia" w:hAnsi="Georgia" w:eastAsia="Georgia" w:cs="Georgia"/>
        <w:spacing w:val="-4"/>
        <w:w w:val="100"/>
        <w:sz w:val="22"/>
        <w:szCs w:val="22"/>
      </w:rPr>
    </w:lvl>
    <w:lvl w:ilvl="3">
      <w:start w:val="1"/>
      <w:numFmt w:val="bullet"/>
      <w:lvlText w:val="•"/>
      <w:lvlJc w:val="left"/>
      <w:pPr>
        <w:ind w:left="1420" w:hanging="837"/>
      </w:pPr>
      <w:rPr>
        <w:rFonts w:hint="default"/>
      </w:rPr>
    </w:lvl>
    <w:lvl w:ilvl="4">
      <w:start w:val="1"/>
      <w:numFmt w:val="bullet"/>
      <w:lvlText w:val="•"/>
      <w:lvlJc w:val="left"/>
      <w:pPr>
        <w:ind w:left="2508" w:hanging="837"/>
      </w:pPr>
      <w:rPr>
        <w:rFonts w:hint="default"/>
      </w:rPr>
    </w:lvl>
    <w:lvl w:ilvl="5">
      <w:start w:val="1"/>
      <w:numFmt w:val="bullet"/>
      <w:lvlText w:val="•"/>
      <w:lvlJc w:val="left"/>
      <w:pPr>
        <w:ind w:left="3597" w:hanging="837"/>
      </w:pPr>
      <w:rPr>
        <w:rFonts w:hint="default"/>
      </w:rPr>
    </w:lvl>
    <w:lvl w:ilvl="6">
      <w:start w:val="1"/>
      <w:numFmt w:val="bullet"/>
      <w:lvlText w:val="•"/>
      <w:lvlJc w:val="left"/>
      <w:pPr>
        <w:ind w:left="4685" w:hanging="837"/>
      </w:pPr>
      <w:rPr>
        <w:rFonts w:hint="default"/>
      </w:rPr>
    </w:lvl>
    <w:lvl w:ilvl="7">
      <w:start w:val="1"/>
      <w:numFmt w:val="bullet"/>
      <w:lvlText w:val="•"/>
      <w:lvlJc w:val="left"/>
      <w:pPr>
        <w:ind w:left="5774" w:hanging="837"/>
      </w:pPr>
      <w:rPr>
        <w:rFonts w:hint="default"/>
      </w:rPr>
    </w:lvl>
    <w:lvl w:ilvl="8">
      <w:start w:val="1"/>
      <w:numFmt w:val="bullet"/>
      <w:lvlText w:val="•"/>
      <w:lvlJc w:val="left"/>
      <w:pPr>
        <w:ind w:left="6862" w:hanging="837"/>
      </w:pPr>
      <w:rPr>
        <w:rFonts w:hint="default"/>
      </w:rPr>
    </w:lvl>
  </w:abstractNum>
  <w:num w:numId="12">
    <w:abstractNumId w:val="11"/>
  </w:num>
  <w:num w:numId="11">
    <w:abstractNumId w:val="10"/>
  </w:num>
  <w:num w:numId="9">
    <w:abstractNumId w:val="8"/>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rPr>
  </w:style>
  <w:style w:styleId="TOC1" w:type="paragraph">
    <w:name w:val="TOC 1"/>
    <w:basedOn w:val="Normal"/>
    <w:uiPriority w:val="1"/>
    <w:qFormat/>
    <w:pPr>
      <w:spacing w:before="158"/>
      <w:ind w:left="580" w:hanging="480"/>
    </w:pPr>
    <w:rPr>
      <w:rFonts w:ascii="Georgia" w:hAnsi="Georgia" w:eastAsia="Georgia" w:cs="Georgia"/>
      <w:sz w:val="22"/>
      <w:szCs w:val="22"/>
    </w:rPr>
  </w:style>
  <w:style w:styleId="TOC2" w:type="paragraph">
    <w:name w:val="TOC 2"/>
    <w:basedOn w:val="Normal"/>
    <w:uiPriority w:val="1"/>
    <w:qFormat/>
    <w:pPr>
      <w:spacing w:before="158"/>
      <w:ind w:left="981" w:hanging="641"/>
    </w:pPr>
    <w:rPr>
      <w:rFonts w:ascii="Georgia" w:hAnsi="Georgia" w:eastAsia="Georgia" w:cs="Georgia"/>
      <w:sz w:val="22"/>
      <w:szCs w:val="22"/>
    </w:rPr>
  </w:style>
  <w:style w:styleId="TOC3" w:type="paragraph">
    <w:name w:val="TOC 3"/>
    <w:basedOn w:val="Normal"/>
    <w:uiPriority w:val="1"/>
    <w:qFormat/>
    <w:pPr>
      <w:spacing w:before="158"/>
      <w:ind w:left="1421" w:hanging="837"/>
    </w:pPr>
    <w:rPr>
      <w:rFonts w:ascii="Georgia" w:hAnsi="Georgia" w:eastAsia="Georgia" w:cs="Georgia"/>
      <w:sz w:val="22"/>
      <w:szCs w:val="22"/>
    </w:rPr>
  </w:style>
  <w:style w:styleId="BodyText" w:type="paragraph">
    <w:name w:val="Body Text"/>
    <w:basedOn w:val="Normal"/>
    <w:uiPriority w:val="1"/>
    <w:qFormat/>
    <w:pPr/>
    <w:rPr>
      <w:rFonts w:ascii="Georgia" w:hAnsi="Georgia" w:eastAsia="Georgia" w:cs="Georgia"/>
      <w:sz w:val="22"/>
      <w:szCs w:val="22"/>
    </w:rPr>
  </w:style>
  <w:style w:styleId="Heading1" w:type="paragraph">
    <w:name w:val="Heading 1"/>
    <w:basedOn w:val="Normal"/>
    <w:uiPriority w:val="1"/>
    <w:qFormat/>
    <w:pPr>
      <w:spacing w:before="51"/>
      <w:ind w:left="460" w:hanging="360"/>
      <w:jc w:val="both"/>
      <w:outlineLvl w:val="1"/>
    </w:pPr>
    <w:rPr>
      <w:rFonts w:ascii="Georgia" w:hAnsi="Georgia" w:eastAsia="Georgia" w:cs="Georgia"/>
      <w:b/>
      <w:bCs/>
      <w:sz w:val="32"/>
      <w:szCs w:val="32"/>
    </w:rPr>
  </w:style>
  <w:style w:styleId="Heading2" w:type="paragraph">
    <w:name w:val="Heading 2"/>
    <w:basedOn w:val="Normal"/>
    <w:uiPriority w:val="1"/>
    <w:qFormat/>
    <w:pPr>
      <w:ind w:left="1908" w:right="464"/>
      <w:jc w:val="center"/>
      <w:outlineLvl w:val="2"/>
    </w:pPr>
    <w:rPr>
      <w:rFonts w:ascii="Times New Roman" w:hAnsi="Times New Roman" w:eastAsia="Times New Roman" w:cs="Times New Roman"/>
      <w:b/>
      <w:bCs/>
      <w:sz w:val="28"/>
      <w:szCs w:val="28"/>
    </w:rPr>
  </w:style>
  <w:style w:styleId="Heading3" w:type="paragraph">
    <w:name w:val="Heading 3"/>
    <w:basedOn w:val="Normal"/>
    <w:uiPriority w:val="1"/>
    <w:qFormat/>
    <w:pPr>
      <w:spacing w:line="280" w:lineRule="exact"/>
      <w:outlineLvl w:val="3"/>
    </w:pPr>
    <w:rPr>
      <w:rFonts w:ascii="Levenim MT" w:hAnsi="Levenim MT" w:eastAsia="Levenim MT" w:cs="Levenim MT"/>
      <w:sz w:val="28"/>
      <w:szCs w:val="28"/>
    </w:rPr>
  </w:style>
  <w:style w:styleId="Heading4" w:type="paragraph">
    <w:name w:val="Heading 4"/>
    <w:basedOn w:val="Normal"/>
    <w:uiPriority w:val="1"/>
    <w:qFormat/>
    <w:pPr>
      <w:ind w:left="454"/>
      <w:jc w:val="center"/>
      <w:outlineLvl w:val="4"/>
    </w:pPr>
    <w:rPr>
      <w:rFonts w:ascii="Times New Roman" w:hAnsi="Times New Roman" w:eastAsia="Times New Roman" w:cs="Times New Roman"/>
      <w:b/>
      <w:bCs/>
      <w:sz w:val="24"/>
      <w:szCs w:val="24"/>
    </w:rPr>
  </w:style>
  <w:style w:styleId="Heading5" w:type="paragraph">
    <w:name w:val="Heading 5"/>
    <w:basedOn w:val="Normal"/>
    <w:uiPriority w:val="1"/>
    <w:qFormat/>
    <w:pPr>
      <w:ind w:left="104"/>
      <w:jc w:val="both"/>
      <w:outlineLvl w:val="5"/>
    </w:pPr>
    <w:rPr>
      <w:rFonts w:ascii="Times New Roman" w:hAnsi="Times New Roman" w:eastAsia="Times New Roman" w:cs="Times New Roman"/>
      <w:sz w:val="24"/>
      <w:szCs w:val="24"/>
    </w:rPr>
  </w:style>
  <w:style w:styleId="Heading6" w:type="paragraph">
    <w:name w:val="Heading 6"/>
    <w:basedOn w:val="Normal"/>
    <w:uiPriority w:val="1"/>
    <w:qFormat/>
    <w:pPr>
      <w:ind w:left="893" w:hanging="433"/>
      <w:outlineLvl w:val="6"/>
    </w:pPr>
    <w:rPr>
      <w:rFonts w:ascii="Georgia" w:hAnsi="Georgia" w:eastAsia="Georgia" w:cs="Georgia"/>
      <w:b/>
      <w:bCs/>
      <w:sz w:val="22"/>
      <w:szCs w:val="22"/>
    </w:rPr>
  </w:style>
  <w:style w:styleId="ListParagraph" w:type="paragraph">
    <w:name w:val="List Paragraph"/>
    <w:basedOn w:val="Normal"/>
    <w:uiPriority w:val="1"/>
    <w:qFormat/>
    <w:pPr>
      <w:spacing w:before="158"/>
      <w:ind w:left="893" w:hanging="433"/>
    </w:pPr>
    <w:rPr>
      <w:rFonts w:ascii="Georgia" w:hAnsi="Georgia" w:eastAsia="Georgia" w:cs="Georgia"/>
    </w:rPr>
  </w:style>
  <w:style w:styleId="TableParagraph" w:type="paragraph">
    <w:name w:val="Table Paragraph"/>
    <w:basedOn w:val="Normal"/>
    <w:uiPriority w:val="1"/>
    <w:qFormat/>
    <w:pPr>
      <w:jc w:val="center"/>
    </w:pPr>
    <w:rPr>
      <w:rFonts w:ascii="Georgia" w:hAnsi="Georgia" w:eastAsia="Georgia" w:cs="Georg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image" Target="media/image6.jpeg"/><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pn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hyperlink" Target="http://www.acr.org/%7E/media/eabb986bc4ff4a78b53b001a059f27b3.pdf" TargetMode="External"/><Relationship Id="rId56" Type="http://schemas.openxmlformats.org/officeDocument/2006/relationships/hyperlink" Target="http://www.veritastk.co.jp/attached/2062/GAFCHROMICEBT2TechnicalBrief-Rev1.pdf" TargetMode="External"/><Relationship Id="rId57" Type="http://schemas.openxmlformats.org/officeDocument/2006/relationships/hyperlink" Target="http://www.ashland.com/Ashland/Static/Documents/ASI/Advanced%20Materials/gafchr" TargetMode="External"/><Relationship Id="rId58" Type="http://schemas.openxmlformats.org/officeDocument/2006/relationships/hyperlink" Target="http://www.ashland.com/Ashland/Static/Documents/ASI/Advanced%20Materials/lewis-" TargetMode="External"/><Relationship Id="rId59" Type="http://schemas.openxmlformats.org/officeDocument/2006/relationships/hyperlink" Target="http://iopp.fileburst.com/mpw/review/MPWreview-winter09.pdf" TargetMode="External"/><Relationship Id="rId60" Type="http://schemas.openxmlformats.org/officeDocument/2006/relationships/footer" Target="footer5.xml"/><Relationship Id="rId61" Type="http://schemas.openxmlformats.org/officeDocument/2006/relationships/footer" Target="footer6.xml"/><Relationship Id="rId62" Type="http://schemas.openxmlformats.org/officeDocument/2006/relationships/hyperlink" Target="mailto:eugenio_tg@yahoo.com.mx" TargetMode="External"/><Relationship Id="rId63" Type="http://schemas.openxmlformats.org/officeDocument/2006/relationships/footer" Target="footer7.xml"/><Relationship Id="rId64" Type="http://schemas.openxmlformats.org/officeDocument/2006/relationships/footer" Target="footer8.xml"/><Relationship Id="rId65" Type="http://schemas.openxmlformats.org/officeDocument/2006/relationships/footer" Target="footer9.xml"/><Relationship Id="rId66" Type="http://schemas.openxmlformats.org/officeDocument/2006/relationships/footer" Target="footer10.xml"/><Relationship Id="rId67" Type="http://schemas.openxmlformats.org/officeDocument/2006/relationships/footer" Target="footer11.xml"/><Relationship Id="rId68" Type="http://schemas.openxmlformats.org/officeDocument/2006/relationships/image" Target="media/image47.png"/><Relationship Id="rId69" Type="http://schemas.openxmlformats.org/officeDocument/2006/relationships/image" Target="media/image48.png"/><Relationship Id="rId70" Type="http://schemas.openxmlformats.org/officeDocument/2006/relationships/footer" Target="footer12.xml"/><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footer" Target="footer13.xml"/><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png"/><Relationship Id="rId79" Type="http://schemas.openxmlformats.org/officeDocument/2006/relationships/image" Target="media/image56.png"/><Relationship Id="rId80" Type="http://schemas.openxmlformats.org/officeDocument/2006/relationships/image" Target="media/image57.png"/><Relationship Id="rId81" Type="http://schemas.openxmlformats.org/officeDocument/2006/relationships/footer" Target="footer14.xml"/><Relationship Id="rId82" Type="http://schemas.openxmlformats.org/officeDocument/2006/relationships/image" Target="media/image58.jpeg"/><Relationship Id="rId83" Type="http://schemas.openxmlformats.org/officeDocument/2006/relationships/image" Target="media/image59.png"/><Relationship Id="rId84" Type="http://schemas.openxmlformats.org/officeDocument/2006/relationships/image" Target="media/image60.png"/><Relationship Id="rId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Irving Tzec quiñones</dc:creator>
  <dcterms:created xsi:type="dcterms:W3CDTF">2017-05-20T01:40:37Z</dcterms:created>
  <dcterms:modified xsi:type="dcterms:W3CDTF">2017-05-20T01:40:37Z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2017-03-15T00:00:00Z</vt:filetime>
  </property>
  <property fmtid="{D5CDD505-2E9C-101B-9397-08002B2CF9AE}" pid="3" name="Creator">
    <vt:lpwstr>Microsoft® Word 2013</vt:lpwstr>
  </property>
  <property fmtid="{D5CDD505-2E9C-101B-9397-08002B2CF9AE}" pid="4" name="LastSaved">
    <vt:filetime>2017-05-19T00:00:00Z</vt:filetime>
  </property>
</Properties>
</file>