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Default Extension="png" ContentType="image/png"/>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50"/>
        <w:ind w:left="1374" w:right="1359" w:firstLine="0"/>
        <w:jc w:val="center"/>
        <w:rPr>
          <w:b/>
          <w:sz w:val="18"/>
        </w:rPr>
      </w:pPr>
      <w:r>
        <w:rPr>
          <w:b/>
          <w:sz w:val="18"/>
        </w:rPr>
        <w:t>UNIVERSIDAD AUTÓNOMA DEL ESTADO DE MÉXICO</w:t>
      </w:r>
    </w:p>
    <w:p>
      <w:pPr>
        <w:pStyle w:val="BodyText"/>
        <w:spacing w:before="10"/>
        <w:rPr>
          <w:b/>
          <w:sz w:val="17"/>
        </w:rPr>
      </w:pPr>
    </w:p>
    <w:p>
      <w:pPr>
        <w:spacing w:before="0"/>
        <w:ind w:left="1377" w:right="1268" w:firstLine="0"/>
        <w:jc w:val="center"/>
        <w:rPr>
          <w:sz w:val="18"/>
        </w:rPr>
      </w:pPr>
      <w:r>
        <w:rPr>
          <w:sz w:val="18"/>
        </w:rPr>
        <w:t>FACULTAD DE MEDICINA</w:t>
      </w:r>
    </w:p>
    <w:p>
      <w:pPr>
        <w:pStyle w:val="BodyText"/>
        <w:spacing w:before="5"/>
        <w:rPr>
          <w:sz w:val="17"/>
        </w:rPr>
      </w:pPr>
    </w:p>
    <w:p>
      <w:pPr>
        <w:spacing w:line="470" w:lineRule="auto" w:before="0"/>
        <w:ind w:left="1377" w:right="1358" w:firstLine="0"/>
        <w:jc w:val="center"/>
        <w:rPr>
          <w:sz w:val="18"/>
        </w:rPr>
      </w:pPr>
      <w:r>
        <w:rPr>
          <w:sz w:val="18"/>
        </w:rPr>
        <w:t>COORDINACIÓN DE INVESTIGACIÓN Y ESTUDIOS AVANZADOS DEPARTAMENTO DE ESTUDIOS AVANZADOS</w:t>
      </w:r>
    </w:p>
    <w:p>
      <w:pPr>
        <w:spacing w:line="470" w:lineRule="auto" w:before="8"/>
        <w:ind w:left="1375" w:right="1359" w:firstLine="0"/>
        <w:jc w:val="center"/>
        <w:rPr>
          <w:sz w:val="18"/>
        </w:rPr>
      </w:pPr>
      <w:r>
        <w:rPr>
          <w:sz w:val="18"/>
        </w:rPr>
        <w:t>COORDINACIÓN DE LA ESPECIALIDAD EN GINECOLOGÍA Y OBSTETRICIA DEPARTAMENTO DE EVALUACIÓN PROFESIONAL</w:t>
      </w:r>
    </w:p>
    <w:p>
      <w:pPr>
        <w:pStyle w:val="BodyText"/>
        <w:spacing w:before="9"/>
        <w:rPr>
          <w:sz w:val="9"/>
        </w:rPr>
      </w:pPr>
      <w:r>
        <w:rPr/>
        <w:drawing>
          <wp:anchor distT="0" distB="0" distL="0" distR="0" allowOverlap="1" layoutInCell="1" locked="0" behindDoc="0" simplePos="0" relativeHeight="0">
            <wp:simplePos x="0" y="0"/>
            <wp:positionH relativeFrom="page">
              <wp:posOffset>2962275</wp:posOffset>
            </wp:positionH>
            <wp:positionV relativeFrom="paragraph">
              <wp:posOffset>96650</wp:posOffset>
            </wp:positionV>
            <wp:extent cx="1834796" cy="1554479"/>
            <wp:effectExtent l="0" t="0" r="0" b="0"/>
            <wp:wrapTopAndBottom/>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834796" cy="1554479"/>
                    </a:xfrm>
                    <a:prstGeom prst="rect">
                      <a:avLst/>
                    </a:prstGeom>
                  </pic:spPr>
                </pic:pic>
              </a:graphicData>
            </a:graphic>
          </wp:anchor>
        </w:drawing>
      </w:r>
    </w:p>
    <w:p>
      <w:pPr>
        <w:pStyle w:val="BodyText"/>
        <w:spacing w:before="3"/>
        <w:rPr>
          <w:sz w:val="26"/>
        </w:rPr>
      </w:pPr>
    </w:p>
    <w:p>
      <w:pPr>
        <w:spacing w:before="0"/>
        <w:ind w:left="1377" w:right="1355" w:firstLine="0"/>
        <w:jc w:val="center"/>
        <w:rPr>
          <w:b/>
          <w:sz w:val="18"/>
        </w:rPr>
      </w:pPr>
      <w:r>
        <w:rPr>
          <w:b/>
          <w:sz w:val="18"/>
        </w:rPr>
        <w:t>T E S I S</w:t>
      </w:r>
    </w:p>
    <w:p>
      <w:pPr>
        <w:pStyle w:val="BodyText"/>
        <w:spacing w:before="1"/>
        <w:rPr>
          <w:b/>
          <w:sz w:val="18"/>
        </w:rPr>
      </w:pPr>
    </w:p>
    <w:p>
      <w:pPr>
        <w:spacing w:line="362" w:lineRule="auto" w:before="0"/>
        <w:ind w:left="119" w:right="98" w:firstLine="0"/>
        <w:jc w:val="center"/>
        <w:rPr>
          <w:b/>
          <w:sz w:val="18"/>
        </w:rPr>
      </w:pPr>
      <w:r>
        <w:rPr>
          <w:b/>
          <w:sz w:val="18"/>
        </w:rPr>
        <w:t>“DETECCION TEMPRANA DE COMPLICACIONES MATERNAS MEDIANTE LA APLICACIÓN DE LA ESCALA MEOWS EN EL ISEM EN EL PERIODO DE 1 DE ENERO  DEL 2015 AL 31 DE DICIEMBRE DEL 2015”</w:t>
      </w:r>
    </w:p>
    <w:p>
      <w:pPr>
        <w:pStyle w:val="BodyText"/>
        <w:spacing w:before="8"/>
        <w:rPr>
          <w:b/>
          <w:sz w:val="17"/>
        </w:rPr>
      </w:pPr>
    </w:p>
    <w:p>
      <w:pPr>
        <w:spacing w:before="0"/>
        <w:ind w:left="1374" w:right="1359" w:firstLine="0"/>
        <w:jc w:val="center"/>
        <w:rPr>
          <w:sz w:val="18"/>
        </w:rPr>
      </w:pPr>
      <w:r>
        <w:rPr>
          <w:sz w:val="18"/>
        </w:rPr>
        <w:t>HOSPITAL MATERNO PERINATAL MONICA PRETELINI</w:t>
      </w:r>
    </w:p>
    <w:p>
      <w:pPr>
        <w:pStyle w:val="BodyText"/>
        <w:spacing w:before="5"/>
        <w:rPr>
          <w:sz w:val="26"/>
        </w:rPr>
      </w:pPr>
    </w:p>
    <w:p>
      <w:pPr>
        <w:spacing w:line="592" w:lineRule="auto" w:before="0"/>
        <w:ind w:left="1377" w:right="1359" w:firstLine="0"/>
        <w:jc w:val="center"/>
        <w:rPr>
          <w:sz w:val="18"/>
        </w:rPr>
      </w:pPr>
      <w:r>
        <w:rPr>
          <w:sz w:val="18"/>
        </w:rPr>
        <w:t>QUE PARA OBTENER EL DIPLOMA DE POSGRADO EN LA ESPECIALIDAD DE GINECOLOGÍA Y OBSTETRICIA</w:t>
      </w:r>
    </w:p>
    <w:p>
      <w:pPr>
        <w:spacing w:before="1"/>
        <w:ind w:left="1377" w:right="1359" w:firstLine="0"/>
        <w:jc w:val="center"/>
        <w:rPr>
          <w:b/>
          <w:sz w:val="18"/>
        </w:rPr>
      </w:pPr>
      <w:r>
        <w:rPr>
          <w:b/>
          <w:sz w:val="18"/>
        </w:rPr>
        <w:t>PRESENTA:</w:t>
      </w:r>
    </w:p>
    <w:p>
      <w:pPr>
        <w:spacing w:before="105"/>
        <w:ind w:left="2450" w:right="1300" w:firstLine="0"/>
        <w:jc w:val="left"/>
        <w:rPr>
          <w:b/>
          <w:sz w:val="18"/>
        </w:rPr>
      </w:pPr>
      <w:r>
        <w:rPr>
          <w:b/>
          <w:sz w:val="18"/>
        </w:rPr>
        <w:t>M.C. EDNA MARGARITA CONTRERAS HERNANDEZ</w:t>
      </w:r>
    </w:p>
    <w:p>
      <w:pPr>
        <w:pStyle w:val="BodyText"/>
        <w:rPr>
          <w:b/>
          <w:sz w:val="18"/>
        </w:rPr>
      </w:pPr>
    </w:p>
    <w:p>
      <w:pPr>
        <w:pStyle w:val="BodyText"/>
        <w:spacing w:before="9"/>
        <w:rPr>
          <w:b/>
          <w:sz w:val="17"/>
        </w:rPr>
      </w:pPr>
    </w:p>
    <w:p>
      <w:pPr>
        <w:spacing w:before="0"/>
        <w:ind w:left="1376" w:right="1359" w:firstLine="0"/>
        <w:jc w:val="center"/>
        <w:rPr>
          <w:b/>
          <w:sz w:val="18"/>
        </w:rPr>
      </w:pPr>
      <w:r>
        <w:rPr>
          <w:b/>
          <w:sz w:val="18"/>
        </w:rPr>
        <w:t>DIRECTOR DE TESIS:</w:t>
      </w:r>
    </w:p>
    <w:p>
      <w:pPr>
        <w:spacing w:line="592" w:lineRule="auto" w:before="105"/>
        <w:ind w:left="3689" w:right="1300" w:hanging="1340"/>
        <w:jc w:val="left"/>
        <w:rPr>
          <w:b/>
          <w:sz w:val="18"/>
        </w:rPr>
      </w:pPr>
      <w:r>
        <w:rPr>
          <w:b/>
          <w:sz w:val="18"/>
        </w:rPr>
        <w:t>M. EN I.C. JAVIER EDMUNDO HERRERA VILLALOBOS REVISORES DE TESIS:</w:t>
      </w:r>
    </w:p>
    <w:p>
      <w:pPr>
        <w:spacing w:line="540" w:lineRule="auto" w:before="57"/>
        <w:ind w:left="2544" w:right="2391" w:hanging="116"/>
        <w:jc w:val="left"/>
        <w:rPr>
          <w:b/>
          <w:sz w:val="18"/>
        </w:rPr>
      </w:pPr>
      <w:r>
        <w:rPr>
          <w:b/>
          <w:sz w:val="18"/>
        </w:rPr>
        <w:t>E. EN M.C.O. MARIA DE JESÚS ANGELES VÁZQUEZ DR. EN C.S. VICTOR MANUEL ELIZALDE VALDES</w:t>
      </w:r>
    </w:p>
    <w:p>
      <w:pPr>
        <w:spacing w:before="9"/>
        <w:ind w:left="2769" w:right="1300" w:firstLine="0"/>
        <w:jc w:val="left"/>
        <w:rPr>
          <w:b/>
          <w:sz w:val="18"/>
        </w:rPr>
      </w:pPr>
      <w:r>
        <w:rPr>
          <w:b/>
          <w:sz w:val="18"/>
        </w:rPr>
        <w:t>E. EN M.M.F. EVERARDO IBARRA ESTRADA</w:t>
      </w:r>
    </w:p>
    <w:p>
      <w:pPr>
        <w:pStyle w:val="BodyText"/>
        <w:rPr>
          <w:b/>
          <w:sz w:val="18"/>
        </w:rPr>
      </w:pPr>
    </w:p>
    <w:p>
      <w:pPr>
        <w:pStyle w:val="BodyText"/>
        <w:rPr>
          <w:b/>
          <w:sz w:val="18"/>
        </w:rPr>
      </w:pPr>
    </w:p>
    <w:p>
      <w:pPr>
        <w:pStyle w:val="BodyText"/>
        <w:spacing w:before="4"/>
        <w:rPr>
          <w:b/>
          <w:sz w:val="23"/>
        </w:rPr>
      </w:pPr>
    </w:p>
    <w:p>
      <w:pPr>
        <w:spacing w:before="1"/>
        <w:ind w:left="1377" w:right="1357" w:firstLine="0"/>
        <w:jc w:val="center"/>
        <w:rPr>
          <w:b/>
          <w:sz w:val="18"/>
        </w:rPr>
      </w:pPr>
      <w:r>
        <w:rPr>
          <w:b/>
          <w:sz w:val="18"/>
        </w:rPr>
        <w:t>TOLUCA, ESTADO DE MÉXICO, 2017.</w:t>
      </w:r>
    </w:p>
    <w:p>
      <w:pPr>
        <w:spacing w:after="0"/>
        <w:jc w:val="center"/>
        <w:rPr>
          <w:sz w:val="18"/>
        </w:rPr>
        <w:sectPr>
          <w:type w:val="continuous"/>
          <w:pgSz w:w="12240" w:h="15840"/>
          <w:pgMar w:top="1360" w:bottom="280" w:left="1700" w:right="120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1"/>
        </w:rPr>
      </w:pPr>
    </w:p>
    <w:p>
      <w:pPr>
        <w:pStyle w:val="Heading1"/>
        <w:spacing w:line="360" w:lineRule="auto" w:before="69"/>
        <w:ind w:left="142" w:right="102" w:firstLine="3"/>
        <w:jc w:val="center"/>
      </w:pPr>
      <w:r>
        <w:rPr/>
        <w:t>“DETECCIÓN TEMPRANA DE COMPLICACIONES MATERNAS MEDIANTE LA APLICACIÓN DE LA ESCALA MEOWS EN EL ISEM EN EL PERIODO DE ENERO 2015 A DICIEMBRE DEL 2015”</w:t>
      </w:r>
    </w:p>
    <w:p>
      <w:pPr>
        <w:spacing w:after="0" w:line="360" w:lineRule="auto"/>
        <w:jc w:val="center"/>
        <w:sectPr>
          <w:pgSz w:w="12240" w:h="15840"/>
          <w:pgMar w:top="1500" w:bottom="280" w:left="1720" w:right="1240"/>
        </w:sectPr>
      </w:pPr>
    </w:p>
    <w:p>
      <w:pPr>
        <w:spacing w:before="54"/>
        <w:ind w:left="2384" w:right="2385" w:firstLine="0"/>
        <w:jc w:val="center"/>
        <w:rPr>
          <w:b/>
          <w:sz w:val="24"/>
        </w:rPr>
      </w:pPr>
      <w:r>
        <w:rPr>
          <w:b/>
          <w:sz w:val="24"/>
        </w:rPr>
        <w:t>AGRADECIMIENTOS</w:t>
      </w:r>
    </w:p>
    <w:p>
      <w:pPr>
        <w:pStyle w:val="BodyText"/>
        <w:rPr>
          <w:b/>
        </w:rPr>
      </w:pPr>
    </w:p>
    <w:p>
      <w:pPr>
        <w:pStyle w:val="BodyText"/>
        <w:rPr>
          <w:b/>
        </w:rPr>
      </w:pPr>
    </w:p>
    <w:p>
      <w:pPr>
        <w:pStyle w:val="BodyText"/>
        <w:spacing w:line="360" w:lineRule="auto" w:before="209"/>
        <w:ind w:left="102" w:right="108" w:firstLine="201"/>
        <w:jc w:val="both"/>
      </w:pPr>
      <w:r>
        <w:rPr/>
        <w:t>Sin duda a nuestro padre celestial por ser mi guía y fuerza en momentos difíciles, a mi hermano Emmanuel que me inspira a ser mejor persona. Agradezco también a mis padres Iván Job y Margarita, por darme siempre el amor, consejos y ánimos de seguir en esta noble profesión que es la</w:t>
      </w:r>
      <w:r>
        <w:rPr>
          <w:spacing w:val="-16"/>
        </w:rPr>
        <w:t> </w:t>
      </w:r>
      <w:r>
        <w:rPr/>
        <w:t>medicina.</w:t>
      </w:r>
    </w:p>
    <w:p>
      <w:pPr>
        <w:pStyle w:val="BodyText"/>
      </w:pPr>
    </w:p>
    <w:p>
      <w:pPr>
        <w:pStyle w:val="BodyText"/>
      </w:pPr>
    </w:p>
    <w:p>
      <w:pPr>
        <w:pStyle w:val="BodyText"/>
        <w:spacing w:before="2"/>
        <w:rPr>
          <w:sz w:val="23"/>
        </w:rPr>
      </w:pPr>
    </w:p>
    <w:p>
      <w:pPr>
        <w:pStyle w:val="BodyText"/>
        <w:spacing w:line="360" w:lineRule="auto" w:before="1"/>
        <w:ind w:left="102" w:right="101" w:firstLine="201"/>
        <w:jc w:val="both"/>
      </w:pPr>
      <w:r>
        <w:rPr/>
        <w:t>Al Dr. Javier Edmundo Herrera Villalobos por su gran apoyo, enseñanza y sobre todo paciencia para realizar este trabajo. Agradezco también a todos los médicos y  pacientes del Hospital Materno Perinatal “Mónica Pretelini Sáenz” que me  acompañaron y brindaron su enseñanza en mi periodo de</w:t>
      </w:r>
      <w:r>
        <w:rPr>
          <w:spacing w:val="-30"/>
        </w:rPr>
        <w:t> </w:t>
      </w:r>
      <w:r>
        <w:rPr/>
        <w:t>formación.</w:t>
      </w:r>
    </w:p>
    <w:p>
      <w:pPr>
        <w:spacing w:after="0" w:line="360" w:lineRule="auto"/>
        <w:jc w:val="both"/>
        <w:sectPr>
          <w:pgSz w:w="12240" w:h="15840"/>
          <w:pgMar w:top="1360" w:bottom="280" w:left="1600" w:right="1080"/>
        </w:sectPr>
      </w:pP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77"/>
        <w:gridCol w:w="3191"/>
        <w:gridCol w:w="1430"/>
        <w:gridCol w:w="1284"/>
        <w:gridCol w:w="1287"/>
        <w:gridCol w:w="507"/>
      </w:tblGrid>
      <w:tr>
        <w:trPr>
          <w:trHeight w:val="394" w:hRule="exact"/>
        </w:trPr>
        <w:tc>
          <w:tcPr>
            <w:tcW w:w="677" w:type="dxa"/>
          </w:tcPr>
          <w:p>
            <w:pPr/>
          </w:p>
        </w:tc>
        <w:tc>
          <w:tcPr>
            <w:tcW w:w="3191" w:type="dxa"/>
          </w:tcPr>
          <w:p>
            <w:pPr/>
          </w:p>
        </w:tc>
        <w:tc>
          <w:tcPr>
            <w:tcW w:w="1430" w:type="dxa"/>
          </w:tcPr>
          <w:p>
            <w:pPr>
              <w:pStyle w:val="TableParagraph"/>
              <w:spacing w:line="215" w:lineRule="exact" w:before="0"/>
              <w:ind w:left="227"/>
              <w:rPr>
                <w:b/>
                <w:sz w:val="22"/>
              </w:rPr>
            </w:pPr>
            <w:r>
              <w:rPr>
                <w:b/>
                <w:sz w:val="22"/>
                <w:u w:val="single"/>
              </w:rPr>
              <w:t>ÍNDICE</w:t>
            </w:r>
          </w:p>
        </w:tc>
        <w:tc>
          <w:tcPr>
            <w:tcW w:w="1284" w:type="dxa"/>
          </w:tcPr>
          <w:p>
            <w:pPr/>
          </w:p>
        </w:tc>
        <w:tc>
          <w:tcPr>
            <w:tcW w:w="1287" w:type="dxa"/>
          </w:tcPr>
          <w:p>
            <w:pPr/>
          </w:p>
        </w:tc>
        <w:tc>
          <w:tcPr>
            <w:tcW w:w="507" w:type="dxa"/>
          </w:tcPr>
          <w:p>
            <w:pPr/>
          </w:p>
        </w:tc>
      </w:tr>
      <w:tr>
        <w:trPr>
          <w:trHeight w:val="567" w:hRule="exact"/>
        </w:trPr>
        <w:tc>
          <w:tcPr>
            <w:tcW w:w="677" w:type="dxa"/>
          </w:tcPr>
          <w:p>
            <w:pPr>
              <w:pStyle w:val="TableParagraph"/>
              <w:ind w:left="200"/>
              <w:rPr>
                <w:b/>
                <w:sz w:val="22"/>
              </w:rPr>
            </w:pPr>
            <w:r>
              <w:rPr>
                <w:b/>
                <w:w w:val="100"/>
                <w:sz w:val="22"/>
              </w:rPr>
              <w:t>I</w:t>
            </w:r>
          </w:p>
        </w:tc>
        <w:tc>
          <w:tcPr>
            <w:tcW w:w="3191" w:type="dxa"/>
          </w:tcPr>
          <w:p>
            <w:pPr>
              <w:pStyle w:val="TableParagraph"/>
              <w:ind w:left="168"/>
              <w:rPr>
                <w:b/>
                <w:sz w:val="22"/>
              </w:rPr>
            </w:pPr>
            <w:r>
              <w:rPr>
                <w:b/>
                <w:sz w:val="22"/>
              </w:rPr>
              <w:t>RESUMEN</w:t>
            </w:r>
          </w:p>
        </w:tc>
        <w:tc>
          <w:tcPr>
            <w:tcW w:w="1430" w:type="dxa"/>
          </w:tcPr>
          <w:p>
            <w:pPr>
              <w:pStyle w:val="TableParagraph"/>
              <w:ind w:left="227"/>
              <w:rPr>
                <w:sz w:val="22"/>
              </w:rPr>
            </w:pPr>
            <w:r>
              <w:rPr>
                <w:sz w:val="22"/>
              </w:rPr>
              <w:t>………………….</w:t>
            </w:r>
          </w:p>
        </w:tc>
        <w:tc>
          <w:tcPr>
            <w:tcW w:w="1284" w:type="dxa"/>
          </w:tcPr>
          <w:p>
            <w:pPr>
              <w:pStyle w:val="TableParagraph"/>
              <w:ind w:left="62" w:right="62"/>
              <w:jc w:val="center"/>
              <w:rPr>
                <w:sz w:val="22"/>
              </w:rPr>
            </w:pPr>
            <w:r>
              <w:rPr>
                <w:sz w:val="22"/>
              </w:rPr>
              <w:t>………………….</w:t>
            </w:r>
          </w:p>
        </w:tc>
        <w:tc>
          <w:tcPr>
            <w:tcW w:w="1287" w:type="dxa"/>
          </w:tcPr>
          <w:p>
            <w:pPr>
              <w:pStyle w:val="TableParagraph"/>
              <w:ind w:left="63" w:right="63"/>
              <w:jc w:val="center"/>
              <w:rPr>
                <w:sz w:val="22"/>
              </w:rPr>
            </w:pPr>
            <w:r>
              <w:rPr>
                <w:sz w:val="22"/>
              </w:rPr>
              <w:t>………………….</w:t>
            </w:r>
          </w:p>
        </w:tc>
        <w:tc>
          <w:tcPr>
            <w:tcW w:w="507" w:type="dxa"/>
          </w:tcPr>
          <w:p>
            <w:pPr>
              <w:pStyle w:val="TableParagraph"/>
              <w:ind w:left="81"/>
              <w:rPr>
                <w:sz w:val="22"/>
              </w:rPr>
            </w:pPr>
            <w:r>
              <w:rPr>
                <w:w w:val="100"/>
                <w:sz w:val="22"/>
              </w:rPr>
              <w:t>1</w:t>
            </w:r>
          </w:p>
        </w:tc>
      </w:tr>
      <w:tr>
        <w:trPr>
          <w:trHeight w:val="566" w:hRule="exact"/>
        </w:trPr>
        <w:tc>
          <w:tcPr>
            <w:tcW w:w="677" w:type="dxa"/>
          </w:tcPr>
          <w:p>
            <w:pPr>
              <w:pStyle w:val="TableParagraph"/>
              <w:ind w:left="200"/>
              <w:rPr>
                <w:b/>
                <w:sz w:val="22"/>
              </w:rPr>
            </w:pPr>
            <w:r>
              <w:rPr>
                <w:b/>
                <w:sz w:val="22"/>
              </w:rPr>
              <w:t>II</w:t>
            </w:r>
          </w:p>
        </w:tc>
        <w:tc>
          <w:tcPr>
            <w:tcW w:w="3191" w:type="dxa"/>
          </w:tcPr>
          <w:p>
            <w:pPr>
              <w:pStyle w:val="TableParagraph"/>
              <w:ind w:left="168"/>
              <w:rPr>
                <w:b/>
                <w:sz w:val="22"/>
              </w:rPr>
            </w:pPr>
            <w:r>
              <w:rPr>
                <w:b/>
                <w:sz w:val="22"/>
              </w:rPr>
              <w:t>MARCO TEÓRICO</w:t>
            </w:r>
          </w:p>
        </w:tc>
        <w:tc>
          <w:tcPr>
            <w:tcW w:w="1430" w:type="dxa"/>
          </w:tcPr>
          <w:p>
            <w:pPr>
              <w:pStyle w:val="TableParagraph"/>
              <w:ind w:left="227"/>
              <w:rPr>
                <w:sz w:val="22"/>
              </w:rPr>
            </w:pPr>
            <w:r>
              <w:rPr>
                <w:sz w:val="22"/>
              </w:rPr>
              <w:t>………………….</w:t>
            </w:r>
          </w:p>
        </w:tc>
        <w:tc>
          <w:tcPr>
            <w:tcW w:w="1284" w:type="dxa"/>
          </w:tcPr>
          <w:p>
            <w:pPr>
              <w:pStyle w:val="TableParagraph"/>
              <w:ind w:left="62" w:right="62"/>
              <w:jc w:val="center"/>
              <w:rPr>
                <w:sz w:val="22"/>
              </w:rPr>
            </w:pPr>
            <w:r>
              <w:rPr>
                <w:sz w:val="22"/>
              </w:rPr>
              <w:t>………………….</w:t>
            </w:r>
          </w:p>
        </w:tc>
        <w:tc>
          <w:tcPr>
            <w:tcW w:w="1287" w:type="dxa"/>
          </w:tcPr>
          <w:p>
            <w:pPr>
              <w:pStyle w:val="TableParagraph"/>
              <w:ind w:left="63" w:right="63"/>
              <w:jc w:val="center"/>
              <w:rPr>
                <w:sz w:val="22"/>
              </w:rPr>
            </w:pPr>
            <w:r>
              <w:rPr>
                <w:sz w:val="22"/>
              </w:rPr>
              <w:t>………………….</w:t>
            </w:r>
          </w:p>
        </w:tc>
        <w:tc>
          <w:tcPr>
            <w:tcW w:w="507" w:type="dxa"/>
          </w:tcPr>
          <w:p>
            <w:pPr>
              <w:pStyle w:val="TableParagraph"/>
              <w:ind w:left="81"/>
              <w:rPr>
                <w:sz w:val="22"/>
              </w:rPr>
            </w:pPr>
            <w:r>
              <w:rPr>
                <w:w w:val="100"/>
                <w:sz w:val="22"/>
              </w:rPr>
              <w:t>3</w:t>
            </w:r>
          </w:p>
        </w:tc>
      </w:tr>
      <w:tr>
        <w:trPr>
          <w:trHeight w:val="568" w:hRule="exact"/>
        </w:trPr>
        <w:tc>
          <w:tcPr>
            <w:tcW w:w="677" w:type="dxa"/>
          </w:tcPr>
          <w:p>
            <w:pPr>
              <w:pStyle w:val="TableParagraph"/>
              <w:ind w:left="200"/>
              <w:rPr>
                <w:b/>
                <w:sz w:val="22"/>
              </w:rPr>
            </w:pPr>
            <w:r>
              <w:rPr>
                <w:b/>
                <w:sz w:val="22"/>
              </w:rPr>
              <w:t>III</w:t>
            </w:r>
          </w:p>
        </w:tc>
        <w:tc>
          <w:tcPr>
            <w:tcW w:w="7193" w:type="dxa"/>
            <w:gridSpan w:val="4"/>
          </w:tcPr>
          <w:p>
            <w:pPr>
              <w:pStyle w:val="TableParagraph"/>
              <w:ind w:left="168"/>
              <w:rPr>
                <w:b/>
                <w:sz w:val="22"/>
              </w:rPr>
            </w:pPr>
            <w:r>
              <w:rPr>
                <w:b/>
                <w:sz w:val="22"/>
              </w:rPr>
              <w:t>PLANTEAMIENTO DEL PROBLEMA Y PREGUNTA DE INVESTIGACIÓN ……………</w:t>
            </w:r>
          </w:p>
        </w:tc>
        <w:tc>
          <w:tcPr>
            <w:tcW w:w="507" w:type="dxa"/>
          </w:tcPr>
          <w:p>
            <w:pPr>
              <w:pStyle w:val="TableParagraph"/>
              <w:ind w:left="81"/>
              <w:rPr>
                <w:sz w:val="22"/>
              </w:rPr>
            </w:pPr>
            <w:r>
              <w:rPr>
                <w:sz w:val="22"/>
              </w:rPr>
              <w:t>20</w:t>
            </w:r>
          </w:p>
        </w:tc>
      </w:tr>
      <w:tr>
        <w:trPr>
          <w:trHeight w:val="568" w:hRule="exact"/>
        </w:trPr>
        <w:tc>
          <w:tcPr>
            <w:tcW w:w="677" w:type="dxa"/>
          </w:tcPr>
          <w:p>
            <w:pPr>
              <w:pStyle w:val="TableParagraph"/>
              <w:spacing w:before="120"/>
              <w:ind w:left="200"/>
              <w:rPr>
                <w:b/>
                <w:sz w:val="22"/>
              </w:rPr>
            </w:pPr>
            <w:r>
              <w:rPr>
                <w:b/>
                <w:sz w:val="22"/>
              </w:rPr>
              <w:t>IV</w:t>
            </w:r>
          </w:p>
        </w:tc>
        <w:tc>
          <w:tcPr>
            <w:tcW w:w="3191" w:type="dxa"/>
          </w:tcPr>
          <w:p>
            <w:pPr>
              <w:pStyle w:val="TableParagraph"/>
              <w:spacing w:before="120"/>
              <w:ind w:left="168"/>
              <w:rPr>
                <w:b/>
                <w:sz w:val="22"/>
              </w:rPr>
            </w:pPr>
            <w:r>
              <w:rPr>
                <w:b/>
                <w:sz w:val="22"/>
              </w:rPr>
              <w:t>JUSTIFICACIONES</w:t>
            </w:r>
          </w:p>
        </w:tc>
        <w:tc>
          <w:tcPr>
            <w:tcW w:w="1430" w:type="dxa"/>
          </w:tcPr>
          <w:p>
            <w:pPr>
              <w:pStyle w:val="TableParagraph"/>
              <w:spacing w:before="120"/>
              <w:ind w:left="227"/>
              <w:rPr>
                <w:sz w:val="22"/>
              </w:rPr>
            </w:pPr>
            <w:r>
              <w:rPr>
                <w:sz w:val="22"/>
              </w:rPr>
              <w:t>………………….</w:t>
            </w:r>
          </w:p>
        </w:tc>
        <w:tc>
          <w:tcPr>
            <w:tcW w:w="1284" w:type="dxa"/>
          </w:tcPr>
          <w:p>
            <w:pPr>
              <w:pStyle w:val="TableParagraph"/>
              <w:spacing w:before="120"/>
              <w:ind w:left="62" w:right="62"/>
              <w:jc w:val="center"/>
              <w:rPr>
                <w:sz w:val="22"/>
              </w:rPr>
            </w:pPr>
            <w:r>
              <w:rPr>
                <w:sz w:val="22"/>
              </w:rPr>
              <w:t>………………….</w:t>
            </w:r>
          </w:p>
        </w:tc>
        <w:tc>
          <w:tcPr>
            <w:tcW w:w="1287" w:type="dxa"/>
          </w:tcPr>
          <w:p>
            <w:pPr>
              <w:pStyle w:val="TableParagraph"/>
              <w:spacing w:before="120"/>
              <w:ind w:left="63" w:right="63"/>
              <w:jc w:val="center"/>
              <w:rPr>
                <w:sz w:val="22"/>
              </w:rPr>
            </w:pPr>
            <w:r>
              <w:rPr>
                <w:sz w:val="22"/>
              </w:rPr>
              <w:t>………………….</w:t>
            </w:r>
          </w:p>
        </w:tc>
        <w:tc>
          <w:tcPr>
            <w:tcW w:w="507" w:type="dxa"/>
          </w:tcPr>
          <w:p>
            <w:pPr>
              <w:pStyle w:val="TableParagraph"/>
              <w:spacing w:before="120"/>
              <w:ind w:left="81"/>
              <w:rPr>
                <w:sz w:val="22"/>
              </w:rPr>
            </w:pPr>
            <w:r>
              <w:rPr>
                <w:sz w:val="22"/>
              </w:rPr>
              <w:t>21</w:t>
            </w:r>
          </w:p>
        </w:tc>
      </w:tr>
      <w:tr>
        <w:trPr>
          <w:trHeight w:val="567" w:hRule="exact"/>
        </w:trPr>
        <w:tc>
          <w:tcPr>
            <w:tcW w:w="677" w:type="dxa"/>
          </w:tcPr>
          <w:p>
            <w:pPr>
              <w:pStyle w:val="TableParagraph"/>
              <w:ind w:left="200"/>
              <w:rPr>
                <w:b/>
                <w:sz w:val="22"/>
              </w:rPr>
            </w:pPr>
            <w:r>
              <w:rPr>
                <w:b/>
                <w:w w:val="100"/>
                <w:sz w:val="22"/>
              </w:rPr>
              <w:t>V</w:t>
            </w:r>
          </w:p>
        </w:tc>
        <w:tc>
          <w:tcPr>
            <w:tcW w:w="3191" w:type="dxa"/>
          </w:tcPr>
          <w:p>
            <w:pPr>
              <w:pStyle w:val="TableParagraph"/>
              <w:ind w:left="168"/>
              <w:rPr>
                <w:b/>
                <w:sz w:val="22"/>
              </w:rPr>
            </w:pPr>
            <w:r>
              <w:rPr>
                <w:b/>
                <w:sz w:val="22"/>
              </w:rPr>
              <w:t>OBJETIVOS</w:t>
            </w:r>
          </w:p>
        </w:tc>
        <w:tc>
          <w:tcPr>
            <w:tcW w:w="1430" w:type="dxa"/>
          </w:tcPr>
          <w:p>
            <w:pPr>
              <w:pStyle w:val="TableParagraph"/>
              <w:ind w:left="227"/>
              <w:rPr>
                <w:sz w:val="22"/>
              </w:rPr>
            </w:pPr>
            <w:r>
              <w:rPr>
                <w:sz w:val="22"/>
              </w:rPr>
              <w:t>………………….</w:t>
            </w:r>
          </w:p>
        </w:tc>
        <w:tc>
          <w:tcPr>
            <w:tcW w:w="1284" w:type="dxa"/>
          </w:tcPr>
          <w:p>
            <w:pPr>
              <w:pStyle w:val="TableParagraph"/>
              <w:ind w:left="62" w:right="62"/>
              <w:jc w:val="center"/>
              <w:rPr>
                <w:sz w:val="22"/>
              </w:rPr>
            </w:pPr>
            <w:r>
              <w:rPr>
                <w:sz w:val="22"/>
              </w:rPr>
              <w:t>………………….</w:t>
            </w:r>
          </w:p>
        </w:tc>
        <w:tc>
          <w:tcPr>
            <w:tcW w:w="1287" w:type="dxa"/>
          </w:tcPr>
          <w:p>
            <w:pPr>
              <w:pStyle w:val="TableParagraph"/>
              <w:ind w:left="63" w:right="63"/>
              <w:jc w:val="center"/>
              <w:rPr>
                <w:sz w:val="22"/>
              </w:rPr>
            </w:pPr>
            <w:r>
              <w:rPr>
                <w:sz w:val="22"/>
              </w:rPr>
              <w:t>………………….</w:t>
            </w:r>
          </w:p>
        </w:tc>
        <w:tc>
          <w:tcPr>
            <w:tcW w:w="507" w:type="dxa"/>
          </w:tcPr>
          <w:p>
            <w:pPr>
              <w:pStyle w:val="TableParagraph"/>
              <w:ind w:left="81"/>
              <w:rPr>
                <w:sz w:val="22"/>
              </w:rPr>
            </w:pPr>
            <w:r>
              <w:rPr>
                <w:sz w:val="22"/>
              </w:rPr>
              <w:t>22</w:t>
            </w:r>
          </w:p>
        </w:tc>
      </w:tr>
      <w:tr>
        <w:trPr>
          <w:trHeight w:val="567" w:hRule="exact"/>
        </w:trPr>
        <w:tc>
          <w:tcPr>
            <w:tcW w:w="677" w:type="dxa"/>
          </w:tcPr>
          <w:p>
            <w:pPr>
              <w:pStyle w:val="TableParagraph"/>
              <w:ind w:left="200"/>
              <w:rPr>
                <w:b/>
                <w:sz w:val="22"/>
              </w:rPr>
            </w:pPr>
            <w:r>
              <w:rPr>
                <w:b/>
                <w:sz w:val="22"/>
              </w:rPr>
              <w:t>VI</w:t>
            </w:r>
          </w:p>
        </w:tc>
        <w:tc>
          <w:tcPr>
            <w:tcW w:w="3191" w:type="dxa"/>
          </w:tcPr>
          <w:p>
            <w:pPr>
              <w:pStyle w:val="TableParagraph"/>
              <w:ind w:left="219"/>
              <w:rPr>
                <w:b/>
                <w:sz w:val="22"/>
              </w:rPr>
            </w:pPr>
            <w:r>
              <w:rPr>
                <w:b/>
                <w:sz w:val="22"/>
              </w:rPr>
              <w:t>MÉTODOS</w:t>
            </w:r>
          </w:p>
        </w:tc>
        <w:tc>
          <w:tcPr>
            <w:tcW w:w="1430" w:type="dxa"/>
          </w:tcPr>
          <w:p>
            <w:pPr>
              <w:pStyle w:val="TableParagraph"/>
              <w:ind w:left="227"/>
              <w:rPr>
                <w:sz w:val="22"/>
              </w:rPr>
            </w:pPr>
            <w:r>
              <w:rPr>
                <w:sz w:val="22"/>
              </w:rPr>
              <w:t>………………….</w:t>
            </w:r>
          </w:p>
        </w:tc>
        <w:tc>
          <w:tcPr>
            <w:tcW w:w="1284" w:type="dxa"/>
          </w:tcPr>
          <w:p>
            <w:pPr>
              <w:pStyle w:val="TableParagraph"/>
              <w:ind w:left="62" w:right="62"/>
              <w:jc w:val="center"/>
              <w:rPr>
                <w:sz w:val="22"/>
              </w:rPr>
            </w:pPr>
            <w:r>
              <w:rPr>
                <w:sz w:val="22"/>
              </w:rPr>
              <w:t>………………….</w:t>
            </w:r>
          </w:p>
        </w:tc>
        <w:tc>
          <w:tcPr>
            <w:tcW w:w="1287" w:type="dxa"/>
          </w:tcPr>
          <w:p>
            <w:pPr>
              <w:pStyle w:val="TableParagraph"/>
              <w:ind w:left="63" w:right="63"/>
              <w:jc w:val="center"/>
              <w:rPr>
                <w:sz w:val="22"/>
              </w:rPr>
            </w:pPr>
            <w:r>
              <w:rPr>
                <w:sz w:val="22"/>
              </w:rPr>
              <w:t>………………….</w:t>
            </w:r>
          </w:p>
        </w:tc>
        <w:tc>
          <w:tcPr>
            <w:tcW w:w="507" w:type="dxa"/>
          </w:tcPr>
          <w:p>
            <w:pPr>
              <w:pStyle w:val="TableParagraph"/>
              <w:ind w:left="81"/>
              <w:rPr>
                <w:sz w:val="22"/>
              </w:rPr>
            </w:pPr>
            <w:r>
              <w:rPr>
                <w:sz w:val="22"/>
              </w:rPr>
              <w:t>23</w:t>
            </w:r>
          </w:p>
        </w:tc>
      </w:tr>
      <w:tr>
        <w:trPr>
          <w:trHeight w:val="433" w:hRule="exact"/>
        </w:trPr>
        <w:tc>
          <w:tcPr>
            <w:tcW w:w="677" w:type="dxa"/>
          </w:tcPr>
          <w:p>
            <w:pPr/>
          </w:p>
        </w:tc>
        <w:tc>
          <w:tcPr>
            <w:tcW w:w="3191" w:type="dxa"/>
          </w:tcPr>
          <w:p>
            <w:pPr>
              <w:pStyle w:val="TableParagraph"/>
              <w:ind w:left="168"/>
              <w:rPr>
                <w:b/>
                <w:sz w:val="22"/>
              </w:rPr>
            </w:pPr>
            <w:r>
              <w:rPr>
                <w:b/>
                <w:sz w:val="22"/>
              </w:rPr>
              <w:t>DISEÑO DE ESTUDIO</w:t>
            </w:r>
          </w:p>
        </w:tc>
        <w:tc>
          <w:tcPr>
            <w:tcW w:w="1430" w:type="dxa"/>
          </w:tcPr>
          <w:p>
            <w:pPr>
              <w:pStyle w:val="TableParagraph"/>
              <w:ind w:left="227"/>
              <w:rPr>
                <w:sz w:val="22"/>
              </w:rPr>
            </w:pPr>
            <w:r>
              <w:rPr>
                <w:sz w:val="22"/>
              </w:rPr>
              <w:t>………………….</w:t>
            </w:r>
          </w:p>
        </w:tc>
        <w:tc>
          <w:tcPr>
            <w:tcW w:w="1284" w:type="dxa"/>
          </w:tcPr>
          <w:p>
            <w:pPr>
              <w:pStyle w:val="TableParagraph"/>
              <w:ind w:left="62" w:right="62"/>
              <w:jc w:val="center"/>
              <w:rPr>
                <w:sz w:val="22"/>
              </w:rPr>
            </w:pPr>
            <w:r>
              <w:rPr>
                <w:sz w:val="22"/>
              </w:rPr>
              <w:t>………………….</w:t>
            </w:r>
          </w:p>
        </w:tc>
        <w:tc>
          <w:tcPr>
            <w:tcW w:w="1287" w:type="dxa"/>
          </w:tcPr>
          <w:p>
            <w:pPr>
              <w:pStyle w:val="TableParagraph"/>
              <w:ind w:left="63" w:right="63"/>
              <w:jc w:val="center"/>
              <w:rPr>
                <w:sz w:val="22"/>
              </w:rPr>
            </w:pPr>
            <w:r>
              <w:rPr>
                <w:sz w:val="22"/>
              </w:rPr>
              <w:t>………………….</w:t>
            </w:r>
          </w:p>
        </w:tc>
        <w:tc>
          <w:tcPr>
            <w:tcW w:w="507" w:type="dxa"/>
          </w:tcPr>
          <w:p>
            <w:pPr>
              <w:pStyle w:val="TableParagraph"/>
              <w:ind w:left="81"/>
              <w:rPr>
                <w:sz w:val="22"/>
              </w:rPr>
            </w:pPr>
            <w:r>
              <w:rPr>
                <w:sz w:val="22"/>
              </w:rPr>
              <w:t>23</w:t>
            </w:r>
          </w:p>
        </w:tc>
      </w:tr>
      <w:tr>
        <w:trPr>
          <w:trHeight w:val="702" w:hRule="exact"/>
        </w:trPr>
        <w:tc>
          <w:tcPr>
            <w:tcW w:w="677" w:type="dxa"/>
          </w:tcPr>
          <w:p>
            <w:pPr/>
          </w:p>
        </w:tc>
        <w:tc>
          <w:tcPr>
            <w:tcW w:w="3191" w:type="dxa"/>
          </w:tcPr>
          <w:p>
            <w:pPr>
              <w:pStyle w:val="TableParagraph"/>
              <w:spacing w:line="255" w:lineRule="exact" w:before="0"/>
              <w:ind w:left="168"/>
              <w:rPr>
                <w:b/>
                <w:sz w:val="22"/>
              </w:rPr>
            </w:pPr>
            <w:r>
              <w:rPr>
                <w:b/>
                <w:sz w:val="22"/>
              </w:rPr>
              <w:t>UNIVERSO DE TRABAJO Y</w:t>
            </w:r>
          </w:p>
          <w:p>
            <w:pPr>
              <w:pStyle w:val="TableParagraph"/>
              <w:spacing w:before="0"/>
              <w:ind w:left="168"/>
              <w:rPr>
                <w:b/>
                <w:sz w:val="22"/>
              </w:rPr>
            </w:pPr>
            <w:r>
              <w:rPr>
                <w:b/>
                <w:sz w:val="22"/>
              </w:rPr>
              <w:t>MUESTRA</w:t>
            </w:r>
          </w:p>
        </w:tc>
        <w:tc>
          <w:tcPr>
            <w:tcW w:w="1430" w:type="dxa"/>
          </w:tcPr>
          <w:p>
            <w:pPr>
              <w:pStyle w:val="TableParagraph"/>
              <w:spacing w:before="1"/>
              <w:ind w:left="0"/>
              <w:rPr>
                <w:rFonts w:ascii="Arial"/>
                <w:sz w:val="22"/>
              </w:rPr>
            </w:pPr>
          </w:p>
          <w:p>
            <w:pPr>
              <w:pStyle w:val="TableParagraph"/>
              <w:spacing w:before="1"/>
              <w:ind w:left="227"/>
              <w:rPr>
                <w:sz w:val="22"/>
              </w:rPr>
            </w:pPr>
            <w:r>
              <w:rPr>
                <w:sz w:val="22"/>
              </w:rPr>
              <w:t>………………….</w:t>
            </w:r>
          </w:p>
        </w:tc>
        <w:tc>
          <w:tcPr>
            <w:tcW w:w="1284" w:type="dxa"/>
          </w:tcPr>
          <w:p>
            <w:pPr>
              <w:pStyle w:val="TableParagraph"/>
              <w:spacing w:before="1"/>
              <w:ind w:left="0"/>
              <w:rPr>
                <w:rFonts w:ascii="Arial"/>
                <w:sz w:val="22"/>
              </w:rPr>
            </w:pPr>
          </w:p>
          <w:p>
            <w:pPr>
              <w:pStyle w:val="TableParagraph"/>
              <w:spacing w:before="1"/>
              <w:ind w:left="62" w:right="62"/>
              <w:jc w:val="center"/>
              <w:rPr>
                <w:sz w:val="22"/>
              </w:rPr>
            </w:pPr>
            <w:r>
              <w:rPr>
                <w:sz w:val="22"/>
              </w:rPr>
              <w:t>………………….</w:t>
            </w:r>
          </w:p>
        </w:tc>
        <w:tc>
          <w:tcPr>
            <w:tcW w:w="1287" w:type="dxa"/>
          </w:tcPr>
          <w:p>
            <w:pPr>
              <w:pStyle w:val="TableParagraph"/>
              <w:spacing w:before="1"/>
              <w:ind w:left="0"/>
              <w:rPr>
                <w:rFonts w:ascii="Arial"/>
                <w:sz w:val="22"/>
              </w:rPr>
            </w:pPr>
          </w:p>
          <w:p>
            <w:pPr>
              <w:pStyle w:val="TableParagraph"/>
              <w:spacing w:before="1"/>
              <w:ind w:left="63" w:right="63"/>
              <w:jc w:val="center"/>
              <w:rPr>
                <w:sz w:val="22"/>
              </w:rPr>
            </w:pPr>
            <w:r>
              <w:rPr>
                <w:sz w:val="22"/>
              </w:rPr>
              <w:t>………………….</w:t>
            </w:r>
          </w:p>
        </w:tc>
        <w:tc>
          <w:tcPr>
            <w:tcW w:w="507" w:type="dxa"/>
          </w:tcPr>
          <w:p>
            <w:pPr>
              <w:pStyle w:val="TableParagraph"/>
              <w:spacing w:before="1"/>
              <w:ind w:left="0"/>
              <w:rPr>
                <w:rFonts w:ascii="Arial"/>
                <w:sz w:val="22"/>
              </w:rPr>
            </w:pPr>
          </w:p>
          <w:p>
            <w:pPr>
              <w:pStyle w:val="TableParagraph"/>
              <w:spacing w:before="1"/>
              <w:ind w:left="81"/>
              <w:rPr>
                <w:sz w:val="22"/>
              </w:rPr>
            </w:pPr>
            <w:r>
              <w:rPr>
                <w:sz w:val="22"/>
              </w:rPr>
              <w:t>23</w:t>
            </w:r>
          </w:p>
        </w:tc>
      </w:tr>
      <w:tr>
        <w:trPr>
          <w:trHeight w:val="432" w:hRule="exact"/>
        </w:trPr>
        <w:tc>
          <w:tcPr>
            <w:tcW w:w="677" w:type="dxa"/>
          </w:tcPr>
          <w:p>
            <w:pPr/>
          </w:p>
        </w:tc>
        <w:tc>
          <w:tcPr>
            <w:tcW w:w="5906" w:type="dxa"/>
            <w:gridSpan w:val="3"/>
          </w:tcPr>
          <w:p>
            <w:pPr>
              <w:pStyle w:val="TableParagraph"/>
              <w:ind w:left="168"/>
              <w:rPr>
                <w:b/>
                <w:sz w:val="22"/>
              </w:rPr>
            </w:pPr>
            <w:r>
              <w:rPr>
                <w:b/>
                <w:sz w:val="22"/>
              </w:rPr>
              <w:t>CRITERIOS DE INCLUSIÓN, EXCLUSIÓN Y ELIMINACIÓN</w:t>
            </w:r>
          </w:p>
        </w:tc>
        <w:tc>
          <w:tcPr>
            <w:tcW w:w="1287" w:type="dxa"/>
          </w:tcPr>
          <w:p>
            <w:pPr>
              <w:pStyle w:val="TableParagraph"/>
              <w:ind w:left="63" w:right="63"/>
              <w:jc w:val="center"/>
              <w:rPr>
                <w:sz w:val="22"/>
              </w:rPr>
            </w:pPr>
            <w:r>
              <w:rPr>
                <w:sz w:val="22"/>
              </w:rPr>
              <w:t>………………….</w:t>
            </w:r>
          </w:p>
        </w:tc>
        <w:tc>
          <w:tcPr>
            <w:tcW w:w="507" w:type="dxa"/>
          </w:tcPr>
          <w:p>
            <w:pPr>
              <w:pStyle w:val="TableParagraph"/>
              <w:ind w:left="81"/>
              <w:rPr>
                <w:sz w:val="22"/>
              </w:rPr>
            </w:pPr>
            <w:r>
              <w:rPr>
                <w:sz w:val="22"/>
              </w:rPr>
              <w:t>24</w:t>
            </w:r>
          </w:p>
        </w:tc>
      </w:tr>
      <w:tr>
        <w:trPr>
          <w:trHeight w:val="701" w:hRule="exact"/>
        </w:trPr>
        <w:tc>
          <w:tcPr>
            <w:tcW w:w="677" w:type="dxa"/>
          </w:tcPr>
          <w:p>
            <w:pPr/>
          </w:p>
        </w:tc>
        <w:tc>
          <w:tcPr>
            <w:tcW w:w="3191" w:type="dxa"/>
          </w:tcPr>
          <w:p>
            <w:pPr>
              <w:pStyle w:val="TableParagraph"/>
              <w:spacing w:line="253" w:lineRule="exact" w:before="0"/>
              <w:ind w:left="168"/>
              <w:rPr>
                <w:b/>
                <w:sz w:val="22"/>
              </w:rPr>
            </w:pPr>
            <w:r>
              <w:rPr>
                <w:b/>
                <w:sz w:val="22"/>
              </w:rPr>
              <w:t>INSTRUMENTO DE</w:t>
            </w:r>
          </w:p>
          <w:p>
            <w:pPr>
              <w:pStyle w:val="TableParagraph"/>
              <w:spacing w:before="0"/>
              <w:ind w:left="168"/>
              <w:rPr>
                <w:b/>
                <w:sz w:val="22"/>
              </w:rPr>
            </w:pPr>
            <w:r>
              <w:rPr>
                <w:b/>
                <w:sz w:val="22"/>
              </w:rPr>
              <w:t>INVESTIGACIÓN</w:t>
            </w:r>
          </w:p>
        </w:tc>
        <w:tc>
          <w:tcPr>
            <w:tcW w:w="1430" w:type="dxa"/>
          </w:tcPr>
          <w:p>
            <w:pPr>
              <w:pStyle w:val="TableParagraph"/>
              <w:spacing w:before="0"/>
              <w:ind w:left="0"/>
              <w:rPr>
                <w:rFonts w:ascii="Arial"/>
                <w:sz w:val="22"/>
              </w:rPr>
            </w:pPr>
          </w:p>
          <w:p>
            <w:pPr>
              <w:pStyle w:val="TableParagraph"/>
              <w:spacing w:before="0"/>
              <w:ind w:left="227"/>
              <w:rPr>
                <w:sz w:val="22"/>
              </w:rPr>
            </w:pPr>
            <w:r>
              <w:rPr>
                <w:sz w:val="22"/>
              </w:rPr>
              <w:t>………………….</w:t>
            </w:r>
          </w:p>
        </w:tc>
        <w:tc>
          <w:tcPr>
            <w:tcW w:w="1284" w:type="dxa"/>
          </w:tcPr>
          <w:p>
            <w:pPr>
              <w:pStyle w:val="TableParagraph"/>
              <w:spacing w:before="0"/>
              <w:ind w:left="0"/>
              <w:rPr>
                <w:rFonts w:ascii="Arial"/>
                <w:sz w:val="22"/>
              </w:rPr>
            </w:pPr>
          </w:p>
          <w:p>
            <w:pPr>
              <w:pStyle w:val="TableParagraph"/>
              <w:spacing w:before="0"/>
              <w:ind w:left="62" w:right="62"/>
              <w:jc w:val="center"/>
              <w:rPr>
                <w:sz w:val="22"/>
              </w:rPr>
            </w:pPr>
            <w:r>
              <w:rPr>
                <w:sz w:val="22"/>
              </w:rPr>
              <w:t>………………….</w:t>
            </w:r>
          </w:p>
        </w:tc>
        <w:tc>
          <w:tcPr>
            <w:tcW w:w="1287" w:type="dxa"/>
          </w:tcPr>
          <w:p>
            <w:pPr>
              <w:pStyle w:val="TableParagraph"/>
              <w:spacing w:before="0"/>
              <w:ind w:left="0"/>
              <w:rPr>
                <w:rFonts w:ascii="Arial"/>
                <w:sz w:val="22"/>
              </w:rPr>
            </w:pPr>
          </w:p>
          <w:p>
            <w:pPr>
              <w:pStyle w:val="TableParagraph"/>
              <w:spacing w:before="0"/>
              <w:ind w:left="63" w:right="63"/>
              <w:jc w:val="center"/>
              <w:rPr>
                <w:sz w:val="22"/>
              </w:rPr>
            </w:pPr>
            <w:r>
              <w:rPr>
                <w:sz w:val="22"/>
              </w:rPr>
              <w:t>………………….</w:t>
            </w:r>
          </w:p>
        </w:tc>
        <w:tc>
          <w:tcPr>
            <w:tcW w:w="507" w:type="dxa"/>
          </w:tcPr>
          <w:p>
            <w:pPr>
              <w:pStyle w:val="TableParagraph"/>
              <w:spacing w:before="0"/>
              <w:ind w:left="0"/>
              <w:rPr>
                <w:rFonts w:ascii="Arial"/>
                <w:sz w:val="22"/>
              </w:rPr>
            </w:pPr>
          </w:p>
          <w:p>
            <w:pPr>
              <w:pStyle w:val="TableParagraph"/>
              <w:spacing w:before="0"/>
              <w:ind w:left="81"/>
              <w:rPr>
                <w:sz w:val="22"/>
              </w:rPr>
            </w:pPr>
            <w:r>
              <w:rPr>
                <w:sz w:val="22"/>
              </w:rPr>
              <w:t>25</w:t>
            </w:r>
          </w:p>
        </w:tc>
      </w:tr>
      <w:tr>
        <w:trPr>
          <w:trHeight w:val="568" w:hRule="exact"/>
        </w:trPr>
        <w:tc>
          <w:tcPr>
            <w:tcW w:w="677" w:type="dxa"/>
          </w:tcPr>
          <w:p>
            <w:pPr/>
          </w:p>
        </w:tc>
        <w:tc>
          <w:tcPr>
            <w:tcW w:w="3191" w:type="dxa"/>
          </w:tcPr>
          <w:p>
            <w:pPr>
              <w:pStyle w:val="TableParagraph"/>
              <w:ind w:left="168"/>
              <w:rPr>
                <w:b/>
                <w:sz w:val="22"/>
              </w:rPr>
            </w:pPr>
            <w:r>
              <w:rPr>
                <w:b/>
                <w:sz w:val="22"/>
              </w:rPr>
              <w:t>DESARROLLO DEL PROYECTO</w:t>
            </w:r>
          </w:p>
        </w:tc>
        <w:tc>
          <w:tcPr>
            <w:tcW w:w="1430" w:type="dxa"/>
          </w:tcPr>
          <w:p>
            <w:pPr>
              <w:pStyle w:val="TableParagraph"/>
              <w:ind w:left="227"/>
              <w:rPr>
                <w:sz w:val="22"/>
              </w:rPr>
            </w:pPr>
            <w:r>
              <w:rPr>
                <w:sz w:val="22"/>
              </w:rPr>
              <w:t>………………….</w:t>
            </w:r>
          </w:p>
        </w:tc>
        <w:tc>
          <w:tcPr>
            <w:tcW w:w="1284" w:type="dxa"/>
          </w:tcPr>
          <w:p>
            <w:pPr>
              <w:pStyle w:val="TableParagraph"/>
              <w:ind w:left="62" w:right="62"/>
              <w:jc w:val="center"/>
              <w:rPr>
                <w:sz w:val="22"/>
              </w:rPr>
            </w:pPr>
            <w:r>
              <w:rPr>
                <w:sz w:val="22"/>
              </w:rPr>
              <w:t>………………….</w:t>
            </w:r>
          </w:p>
        </w:tc>
        <w:tc>
          <w:tcPr>
            <w:tcW w:w="1287" w:type="dxa"/>
          </w:tcPr>
          <w:p>
            <w:pPr>
              <w:pStyle w:val="TableParagraph"/>
              <w:ind w:left="63" w:right="63"/>
              <w:jc w:val="center"/>
              <w:rPr>
                <w:sz w:val="22"/>
              </w:rPr>
            </w:pPr>
            <w:r>
              <w:rPr>
                <w:sz w:val="22"/>
              </w:rPr>
              <w:t>………………….</w:t>
            </w:r>
          </w:p>
        </w:tc>
        <w:tc>
          <w:tcPr>
            <w:tcW w:w="507" w:type="dxa"/>
          </w:tcPr>
          <w:p>
            <w:pPr>
              <w:pStyle w:val="TableParagraph"/>
              <w:ind w:left="81"/>
              <w:rPr>
                <w:sz w:val="22"/>
              </w:rPr>
            </w:pPr>
            <w:r>
              <w:rPr>
                <w:sz w:val="22"/>
              </w:rPr>
              <w:t>25</w:t>
            </w:r>
          </w:p>
        </w:tc>
      </w:tr>
      <w:tr>
        <w:trPr>
          <w:trHeight w:val="568" w:hRule="exact"/>
        </w:trPr>
        <w:tc>
          <w:tcPr>
            <w:tcW w:w="677" w:type="dxa"/>
          </w:tcPr>
          <w:p>
            <w:pPr/>
          </w:p>
        </w:tc>
        <w:tc>
          <w:tcPr>
            <w:tcW w:w="3191" w:type="dxa"/>
          </w:tcPr>
          <w:p>
            <w:pPr>
              <w:pStyle w:val="TableParagraph"/>
              <w:spacing w:before="120"/>
              <w:ind w:left="168"/>
              <w:rPr>
                <w:b/>
                <w:sz w:val="22"/>
              </w:rPr>
            </w:pPr>
            <w:r>
              <w:rPr>
                <w:b/>
                <w:sz w:val="22"/>
              </w:rPr>
              <w:t>LIMITE DE ESPACIO</w:t>
            </w:r>
          </w:p>
        </w:tc>
        <w:tc>
          <w:tcPr>
            <w:tcW w:w="1430" w:type="dxa"/>
          </w:tcPr>
          <w:p>
            <w:pPr>
              <w:pStyle w:val="TableParagraph"/>
              <w:spacing w:before="120"/>
              <w:ind w:left="227"/>
              <w:rPr>
                <w:sz w:val="22"/>
              </w:rPr>
            </w:pPr>
            <w:r>
              <w:rPr>
                <w:sz w:val="22"/>
              </w:rPr>
              <w:t>………………….</w:t>
            </w:r>
          </w:p>
        </w:tc>
        <w:tc>
          <w:tcPr>
            <w:tcW w:w="1284" w:type="dxa"/>
          </w:tcPr>
          <w:p>
            <w:pPr>
              <w:pStyle w:val="TableParagraph"/>
              <w:spacing w:before="120"/>
              <w:ind w:left="62" w:right="62"/>
              <w:jc w:val="center"/>
              <w:rPr>
                <w:sz w:val="22"/>
              </w:rPr>
            </w:pPr>
            <w:r>
              <w:rPr>
                <w:sz w:val="22"/>
              </w:rPr>
              <w:t>………………….</w:t>
            </w:r>
          </w:p>
        </w:tc>
        <w:tc>
          <w:tcPr>
            <w:tcW w:w="1287" w:type="dxa"/>
          </w:tcPr>
          <w:p>
            <w:pPr>
              <w:pStyle w:val="TableParagraph"/>
              <w:spacing w:before="120"/>
              <w:ind w:left="63" w:right="63"/>
              <w:jc w:val="center"/>
              <w:rPr>
                <w:sz w:val="22"/>
              </w:rPr>
            </w:pPr>
            <w:r>
              <w:rPr>
                <w:sz w:val="22"/>
              </w:rPr>
              <w:t>………………….</w:t>
            </w:r>
          </w:p>
        </w:tc>
        <w:tc>
          <w:tcPr>
            <w:tcW w:w="507" w:type="dxa"/>
          </w:tcPr>
          <w:p>
            <w:pPr>
              <w:pStyle w:val="TableParagraph"/>
              <w:spacing w:before="120"/>
              <w:ind w:left="81"/>
              <w:rPr>
                <w:sz w:val="22"/>
              </w:rPr>
            </w:pPr>
            <w:r>
              <w:rPr>
                <w:sz w:val="22"/>
              </w:rPr>
              <w:t>25</w:t>
            </w:r>
          </w:p>
        </w:tc>
      </w:tr>
      <w:tr>
        <w:trPr>
          <w:trHeight w:val="432" w:hRule="exact"/>
        </w:trPr>
        <w:tc>
          <w:tcPr>
            <w:tcW w:w="677" w:type="dxa"/>
          </w:tcPr>
          <w:p>
            <w:pPr/>
          </w:p>
        </w:tc>
        <w:tc>
          <w:tcPr>
            <w:tcW w:w="3191" w:type="dxa"/>
          </w:tcPr>
          <w:p>
            <w:pPr>
              <w:pStyle w:val="TableParagraph"/>
              <w:ind w:left="168"/>
              <w:rPr>
                <w:b/>
                <w:sz w:val="22"/>
              </w:rPr>
            </w:pPr>
            <w:r>
              <w:rPr>
                <w:b/>
                <w:sz w:val="22"/>
              </w:rPr>
              <w:t>LIMITE DE TIEMPO</w:t>
            </w:r>
          </w:p>
        </w:tc>
        <w:tc>
          <w:tcPr>
            <w:tcW w:w="1430" w:type="dxa"/>
          </w:tcPr>
          <w:p>
            <w:pPr>
              <w:pStyle w:val="TableParagraph"/>
              <w:ind w:left="227"/>
              <w:rPr>
                <w:sz w:val="22"/>
              </w:rPr>
            </w:pPr>
            <w:r>
              <w:rPr>
                <w:sz w:val="22"/>
              </w:rPr>
              <w:t>………………….</w:t>
            </w:r>
          </w:p>
        </w:tc>
        <w:tc>
          <w:tcPr>
            <w:tcW w:w="1284" w:type="dxa"/>
          </w:tcPr>
          <w:p>
            <w:pPr>
              <w:pStyle w:val="TableParagraph"/>
              <w:ind w:left="62" w:right="62"/>
              <w:jc w:val="center"/>
              <w:rPr>
                <w:sz w:val="22"/>
              </w:rPr>
            </w:pPr>
            <w:r>
              <w:rPr>
                <w:sz w:val="22"/>
              </w:rPr>
              <w:t>………………….</w:t>
            </w:r>
          </w:p>
        </w:tc>
        <w:tc>
          <w:tcPr>
            <w:tcW w:w="1287" w:type="dxa"/>
          </w:tcPr>
          <w:p>
            <w:pPr>
              <w:pStyle w:val="TableParagraph"/>
              <w:ind w:left="63" w:right="63"/>
              <w:jc w:val="center"/>
              <w:rPr>
                <w:sz w:val="22"/>
              </w:rPr>
            </w:pPr>
            <w:r>
              <w:rPr>
                <w:sz w:val="22"/>
              </w:rPr>
              <w:t>………………….</w:t>
            </w:r>
          </w:p>
        </w:tc>
        <w:tc>
          <w:tcPr>
            <w:tcW w:w="507" w:type="dxa"/>
          </w:tcPr>
          <w:p>
            <w:pPr>
              <w:pStyle w:val="TableParagraph"/>
              <w:ind w:left="81"/>
              <w:rPr>
                <w:sz w:val="22"/>
              </w:rPr>
            </w:pPr>
            <w:r>
              <w:rPr>
                <w:sz w:val="22"/>
              </w:rPr>
              <w:t>25</w:t>
            </w:r>
          </w:p>
        </w:tc>
      </w:tr>
      <w:tr>
        <w:trPr>
          <w:trHeight w:val="701" w:hRule="exact"/>
        </w:trPr>
        <w:tc>
          <w:tcPr>
            <w:tcW w:w="677" w:type="dxa"/>
          </w:tcPr>
          <w:p>
            <w:pPr/>
          </w:p>
        </w:tc>
        <w:tc>
          <w:tcPr>
            <w:tcW w:w="3191" w:type="dxa"/>
          </w:tcPr>
          <w:p>
            <w:pPr>
              <w:pStyle w:val="TableParagraph"/>
              <w:spacing w:line="253" w:lineRule="exact" w:before="0"/>
              <w:ind w:left="168"/>
              <w:rPr>
                <w:b/>
                <w:sz w:val="22"/>
              </w:rPr>
            </w:pPr>
            <w:r>
              <w:rPr>
                <w:b/>
                <w:sz w:val="22"/>
              </w:rPr>
              <w:t>DISEÑO DE ANÁLISIS</w:t>
            </w:r>
          </w:p>
          <w:p>
            <w:pPr>
              <w:pStyle w:val="TableParagraph"/>
              <w:spacing w:before="0"/>
              <w:ind w:left="168"/>
              <w:rPr>
                <w:b/>
                <w:sz w:val="22"/>
              </w:rPr>
            </w:pPr>
            <w:r>
              <w:rPr>
                <w:b/>
                <w:sz w:val="22"/>
              </w:rPr>
              <w:t>ESTADÍSTICO</w:t>
            </w:r>
          </w:p>
        </w:tc>
        <w:tc>
          <w:tcPr>
            <w:tcW w:w="1430" w:type="dxa"/>
          </w:tcPr>
          <w:p>
            <w:pPr>
              <w:pStyle w:val="TableParagraph"/>
              <w:spacing w:before="0"/>
              <w:ind w:left="0"/>
              <w:rPr>
                <w:rFonts w:ascii="Arial"/>
                <w:sz w:val="22"/>
              </w:rPr>
            </w:pPr>
          </w:p>
          <w:p>
            <w:pPr>
              <w:pStyle w:val="TableParagraph"/>
              <w:spacing w:before="0"/>
              <w:ind w:left="227"/>
              <w:rPr>
                <w:sz w:val="22"/>
              </w:rPr>
            </w:pPr>
            <w:r>
              <w:rPr>
                <w:sz w:val="22"/>
              </w:rPr>
              <w:t>………………….</w:t>
            </w:r>
          </w:p>
        </w:tc>
        <w:tc>
          <w:tcPr>
            <w:tcW w:w="1284" w:type="dxa"/>
          </w:tcPr>
          <w:p>
            <w:pPr>
              <w:pStyle w:val="TableParagraph"/>
              <w:spacing w:before="0"/>
              <w:ind w:left="0"/>
              <w:rPr>
                <w:rFonts w:ascii="Arial"/>
                <w:sz w:val="22"/>
              </w:rPr>
            </w:pPr>
          </w:p>
          <w:p>
            <w:pPr>
              <w:pStyle w:val="TableParagraph"/>
              <w:spacing w:before="0"/>
              <w:ind w:left="62" w:right="62"/>
              <w:jc w:val="center"/>
              <w:rPr>
                <w:sz w:val="22"/>
              </w:rPr>
            </w:pPr>
            <w:r>
              <w:rPr>
                <w:sz w:val="22"/>
              </w:rPr>
              <w:t>………………….</w:t>
            </w:r>
          </w:p>
        </w:tc>
        <w:tc>
          <w:tcPr>
            <w:tcW w:w="1287" w:type="dxa"/>
          </w:tcPr>
          <w:p>
            <w:pPr>
              <w:pStyle w:val="TableParagraph"/>
              <w:spacing w:before="0"/>
              <w:ind w:left="0"/>
              <w:rPr>
                <w:rFonts w:ascii="Arial"/>
                <w:sz w:val="22"/>
              </w:rPr>
            </w:pPr>
          </w:p>
          <w:p>
            <w:pPr>
              <w:pStyle w:val="TableParagraph"/>
              <w:spacing w:before="0"/>
              <w:ind w:left="63" w:right="63"/>
              <w:jc w:val="center"/>
              <w:rPr>
                <w:sz w:val="22"/>
              </w:rPr>
            </w:pPr>
            <w:r>
              <w:rPr>
                <w:sz w:val="22"/>
              </w:rPr>
              <w:t>………………….</w:t>
            </w:r>
          </w:p>
        </w:tc>
        <w:tc>
          <w:tcPr>
            <w:tcW w:w="507" w:type="dxa"/>
          </w:tcPr>
          <w:p>
            <w:pPr>
              <w:pStyle w:val="TableParagraph"/>
              <w:spacing w:before="0"/>
              <w:ind w:left="0"/>
              <w:rPr>
                <w:rFonts w:ascii="Arial"/>
                <w:sz w:val="22"/>
              </w:rPr>
            </w:pPr>
          </w:p>
          <w:p>
            <w:pPr>
              <w:pStyle w:val="TableParagraph"/>
              <w:spacing w:before="0"/>
              <w:ind w:left="81"/>
              <w:rPr>
                <w:sz w:val="22"/>
              </w:rPr>
            </w:pPr>
            <w:r>
              <w:rPr>
                <w:sz w:val="22"/>
              </w:rPr>
              <w:t>26</w:t>
            </w:r>
          </w:p>
        </w:tc>
      </w:tr>
      <w:tr>
        <w:trPr>
          <w:trHeight w:val="568" w:hRule="exact"/>
        </w:trPr>
        <w:tc>
          <w:tcPr>
            <w:tcW w:w="677" w:type="dxa"/>
          </w:tcPr>
          <w:p>
            <w:pPr/>
          </w:p>
        </w:tc>
        <w:tc>
          <w:tcPr>
            <w:tcW w:w="4622" w:type="dxa"/>
            <w:gridSpan w:val="2"/>
          </w:tcPr>
          <w:p>
            <w:pPr>
              <w:pStyle w:val="TableParagraph"/>
              <w:ind w:left="168"/>
              <w:rPr>
                <w:b/>
                <w:sz w:val="22"/>
              </w:rPr>
            </w:pPr>
            <w:r>
              <w:rPr>
                <w:b/>
                <w:sz w:val="22"/>
              </w:rPr>
              <w:t>OPERACIONALIZACIÓN DE VARIABLES</w:t>
            </w:r>
          </w:p>
        </w:tc>
        <w:tc>
          <w:tcPr>
            <w:tcW w:w="1284" w:type="dxa"/>
          </w:tcPr>
          <w:p>
            <w:pPr>
              <w:pStyle w:val="TableParagraph"/>
              <w:ind w:left="62" w:right="62"/>
              <w:jc w:val="center"/>
              <w:rPr>
                <w:sz w:val="22"/>
              </w:rPr>
            </w:pPr>
            <w:r>
              <w:rPr>
                <w:sz w:val="22"/>
              </w:rPr>
              <w:t>………………….</w:t>
            </w:r>
          </w:p>
        </w:tc>
        <w:tc>
          <w:tcPr>
            <w:tcW w:w="1287" w:type="dxa"/>
          </w:tcPr>
          <w:p>
            <w:pPr>
              <w:pStyle w:val="TableParagraph"/>
              <w:ind w:left="63" w:right="63"/>
              <w:jc w:val="center"/>
              <w:rPr>
                <w:sz w:val="22"/>
              </w:rPr>
            </w:pPr>
            <w:r>
              <w:rPr>
                <w:sz w:val="22"/>
              </w:rPr>
              <w:t>………………….</w:t>
            </w:r>
          </w:p>
        </w:tc>
        <w:tc>
          <w:tcPr>
            <w:tcW w:w="507" w:type="dxa"/>
          </w:tcPr>
          <w:p>
            <w:pPr>
              <w:pStyle w:val="TableParagraph"/>
              <w:ind w:left="81"/>
              <w:rPr>
                <w:sz w:val="22"/>
              </w:rPr>
            </w:pPr>
            <w:r>
              <w:rPr>
                <w:sz w:val="22"/>
              </w:rPr>
              <w:t>26</w:t>
            </w:r>
          </w:p>
        </w:tc>
      </w:tr>
      <w:tr>
        <w:trPr>
          <w:trHeight w:val="568" w:hRule="exact"/>
        </w:trPr>
        <w:tc>
          <w:tcPr>
            <w:tcW w:w="677" w:type="dxa"/>
          </w:tcPr>
          <w:p>
            <w:pPr>
              <w:pStyle w:val="TableParagraph"/>
              <w:spacing w:before="120"/>
              <w:ind w:left="200"/>
              <w:rPr>
                <w:b/>
                <w:sz w:val="22"/>
              </w:rPr>
            </w:pPr>
            <w:r>
              <w:rPr>
                <w:b/>
                <w:sz w:val="22"/>
              </w:rPr>
              <w:t>VII</w:t>
            </w:r>
          </w:p>
        </w:tc>
        <w:tc>
          <w:tcPr>
            <w:tcW w:w="3191" w:type="dxa"/>
          </w:tcPr>
          <w:p>
            <w:pPr>
              <w:pStyle w:val="TableParagraph"/>
              <w:spacing w:before="120"/>
              <w:ind w:left="168"/>
              <w:rPr>
                <w:b/>
                <w:sz w:val="22"/>
              </w:rPr>
            </w:pPr>
            <w:r>
              <w:rPr>
                <w:b/>
                <w:sz w:val="22"/>
              </w:rPr>
              <w:t>IMPLICACIONES ÉTICAS</w:t>
            </w:r>
          </w:p>
        </w:tc>
        <w:tc>
          <w:tcPr>
            <w:tcW w:w="1430" w:type="dxa"/>
          </w:tcPr>
          <w:p>
            <w:pPr>
              <w:pStyle w:val="TableParagraph"/>
              <w:spacing w:before="120"/>
              <w:ind w:left="227"/>
              <w:rPr>
                <w:sz w:val="22"/>
              </w:rPr>
            </w:pPr>
            <w:r>
              <w:rPr>
                <w:sz w:val="22"/>
              </w:rPr>
              <w:t>………………….</w:t>
            </w:r>
          </w:p>
        </w:tc>
        <w:tc>
          <w:tcPr>
            <w:tcW w:w="1284" w:type="dxa"/>
          </w:tcPr>
          <w:p>
            <w:pPr>
              <w:pStyle w:val="TableParagraph"/>
              <w:spacing w:before="120"/>
              <w:ind w:left="62" w:right="62"/>
              <w:jc w:val="center"/>
              <w:rPr>
                <w:sz w:val="22"/>
              </w:rPr>
            </w:pPr>
            <w:r>
              <w:rPr>
                <w:sz w:val="22"/>
              </w:rPr>
              <w:t>………………….</w:t>
            </w:r>
          </w:p>
        </w:tc>
        <w:tc>
          <w:tcPr>
            <w:tcW w:w="1287" w:type="dxa"/>
          </w:tcPr>
          <w:p>
            <w:pPr>
              <w:pStyle w:val="TableParagraph"/>
              <w:spacing w:before="120"/>
              <w:ind w:left="63" w:right="63"/>
              <w:jc w:val="center"/>
              <w:rPr>
                <w:sz w:val="22"/>
              </w:rPr>
            </w:pPr>
            <w:r>
              <w:rPr>
                <w:sz w:val="22"/>
              </w:rPr>
              <w:t>………………….</w:t>
            </w:r>
          </w:p>
        </w:tc>
        <w:tc>
          <w:tcPr>
            <w:tcW w:w="507" w:type="dxa"/>
          </w:tcPr>
          <w:p>
            <w:pPr>
              <w:pStyle w:val="TableParagraph"/>
              <w:spacing w:before="120"/>
              <w:ind w:left="81"/>
              <w:rPr>
                <w:sz w:val="22"/>
              </w:rPr>
            </w:pPr>
            <w:r>
              <w:rPr>
                <w:sz w:val="22"/>
              </w:rPr>
              <w:t>29</w:t>
            </w:r>
          </w:p>
        </w:tc>
      </w:tr>
      <w:tr>
        <w:trPr>
          <w:trHeight w:val="567" w:hRule="exact"/>
        </w:trPr>
        <w:tc>
          <w:tcPr>
            <w:tcW w:w="677" w:type="dxa"/>
          </w:tcPr>
          <w:p>
            <w:pPr>
              <w:pStyle w:val="TableParagraph"/>
              <w:ind w:left="200"/>
              <w:rPr>
                <w:b/>
                <w:sz w:val="22"/>
              </w:rPr>
            </w:pPr>
            <w:r>
              <w:rPr>
                <w:b/>
                <w:sz w:val="22"/>
              </w:rPr>
              <w:t>VIII</w:t>
            </w:r>
          </w:p>
        </w:tc>
        <w:tc>
          <w:tcPr>
            <w:tcW w:w="3191" w:type="dxa"/>
          </w:tcPr>
          <w:p>
            <w:pPr>
              <w:pStyle w:val="TableParagraph"/>
              <w:ind w:left="168"/>
              <w:rPr>
                <w:b/>
                <w:sz w:val="22"/>
              </w:rPr>
            </w:pPr>
            <w:r>
              <w:rPr>
                <w:b/>
                <w:sz w:val="22"/>
              </w:rPr>
              <w:t>RESULTADOS</w:t>
            </w:r>
          </w:p>
        </w:tc>
        <w:tc>
          <w:tcPr>
            <w:tcW w:w="1430" w:type="dxa"/>
          </w:tcPr>
          <w:p>
            <w:pPr>
              <w:pStyle w:val="TableParagraph"/>
              <w:ind w:left="227"/>
              <w:rPr>
                <w:sz w:val="22"/>
              </w:rPr>
            </w:pPr>
            <w:r>
              <w:rPr>
                <w:sz w:val="22"/>
              </w:rPr>
              <w:t>………………….</w:t>
            </w:r>
          </w:p>
        </w:tc>
        <w:tc>
          <w:tcPr>
            <w:tcW w:w="1284" w:type="dxa"/>
          </w:tcPr>
          <w:p>
            <w:pPr>
              <w:pStyle w:val="TableParagraph"/>
              <w:ind w:left="62" w:right="62"/>
              <w:jc w:val="center"/>
              <w:rPr>
                <w:sz w:val="22"/>
              </w:rPr>
            </w:pPr>
            <w:r>
              <w:rPr>
                <w:sz w:val="22"/>
              </w:rPr>
              <w:t>………………….</w:t>
            </w:r>
          </w:p>
        </w:tc>
        <w:tc>
          <w:tcPr>
            <w:tcW w:w="1287" w:type="dxa"/>
          </w:tcPr>
          <w:p>
            <w:pPr>
              <w:pStyle w:val="TableParagraph"/>
              <w:ind w:left="63" w:right="63"/>
              <w:jc w:val="center"/>
              <w:rPr>
                <w:sz w:val="22"/>
              </w:rPr>
            </w:pPr>
            <w:r>
              <w:rPr>
                <w:sz w:val="22"/>
              </w:rPr>
              <w:t>………………….</w:t>
            </w:r>
          </w:p>
        </w:tc>
        <w:tc>
          <w:tcPr>
            <w:tcW w:w="507" w:type="dxa"/>
          </w:tcPr>
          <w:p>
            <w:pPr>
              <w:pStyle w:val="TableParagraph"/>
              <w:ind w:left="81"/>
              <w:rPr>
                <w:sz w:val="22"/>
              </w:rPr>
            </w:pPr>
            <w:r>
              <w:rPr>
                <w:sz w:val="22"/>
              </w:rPr>
              <w:t>31</w:t>
            </w:r>
          </w:p>
        </w:tc>
      </w:tr>
      <w:tr>
        <w:trPr>
          <w:trHeight w:val="567" w:hRule="exact"/>
        </w:trPr>
        <w:tc>
          <w:tcPr>
            <w:tcW w:w="677" w:type="dxa"/>
          </w:tcPr>
          <w:p>
            <w:pPr>
              <w:pStyle w:val="TableParagraph"/>
              <w:ind w:left="200"/>
              <w:rPr>
                <w:b/>
                <w:sz w:val="22"/>
              </w:rPr>
            </w:pPr>
            <w:r>
              <w:rPr>
                <w:b/>
                <w:sz w:val="22"/>
              </w:rPr>
              <w:t>IX</w:t>
            </w:r>
          </w:p>
        </w:tc>
        <w:tc>
          <w:tcPr>
            <w:tcW w:w="3191" w:type="dxa"/>
          </w:tcPr>
          <w:p>
            <w:pPr>
              <w:pStyle w:val="TableParagraph"/>
              <w:ind w:left="168"/>
              <w:rPr>
                <w:b/>
                <w:sz w:val="22"/>
              </w:rPr>
            </w:pPr>
            <w:r>
              <w:rPr>
                <w:b/>
                <w:sz w:val="22"/>
              </w:rPr>
              <w:t>DISCUSIÓN</w:t>
            </w:r>
          </w:p>
        </w:tc>
        <w:tc>
          <w:tcPr>
            <w:tcW w:w="1430" w:type="dxa"/>
          </w:tcPr>
          <w:p>
            <w:pPr>
              <w:pStyle w:val="TableParagraph"/>
              <w:ind w:left="227"/>
              <w:rPr>
                <w:sz w:val="22"/>
              </w:rPr>
            </w:pPr>
            <w:r>
              <w:rPr>
                <w:sz w:val="22"/>
              </w:rPr>
              <w:t>………………….</w:t>
            </w:r>
          </w:p>
        </w:tc>
        <w:tc>
          <w:tcPr>
            <w:tcW w:w="1284" w:type="dxa"/>
          </w:tcPr>
          <w:p>
            <w:pPr>
              <w:pStyle w:val="TableParagraph"/>
              <w:ind w:left="62" w:right="62"/>
              <w:jc w:val="center"/>
              <w:rPr>
                <w:sz w:val="22"/>
              </w:rPr>
            </w:pPr>
            <w:r>
              <w:rPr>
                <w:sz w:val="22"/>
              </w:rPr>
              <w:t>………………….</w:t>
            </w:r>
          </w:p>
        </w:tc>
        <w:tc>
          <w:tcPr>
            <w:tcW w:w="1287" w:type="dxa"/>
          </w:tcPr>
          <w:p>
            <w:pPr>
              <w:pStyle w:val="TableParagraph"/>
              <w:ind w:left="63" w:right="63"/>
              <w:jc w:val="center"/>
              <w:rPr>
                <w:sz w:val="22"/>
              </w:rPr>
            </w:pPr>
            <w:r>
              <w:rPr>
                <w:sz w:val="22"/>
              </w:rPr>
              <w:t>………………….</w:t>
            </w:r>
          </w:p>
        </w:tc>
        <w:tc>
          <w:tcPr>
            <w:tcW w:w="507" w:type="dxa"/>
          </w:tcPr>
          <w:p>
            <w:pPr>
              <w:pStyle w:val="TableParagraph"/>
              <w:ind w:left="81"/>
              <w:rPr>
                <w:sz w:val="22"/>
              </w:rPr>
            </w:pPr>
            <w:r>
              <w:rPr>
                <w:sz w:val="22"/>
              </w:rPr>
              <w:t>40</w:t>
            </w:r>
          </w:p>
        </w:tc>
      </w:tr>
      <w:tr>
        <w:trPr>
          <w:trHeight w:val="568" w:hRule="exact"/>
        </w:trPr>
        <w:tc>
          <w:tcPr>
            <w:tcW w:w="677" w:type="dxa"/>
          </w:tcPr>
          <w:p>
            <w:pPr>
              <w:pStyle w:val="TableParagraph"/>
              <w:ind w:left="200"/>
              <w:rPr>
                <w:b/>
                <w:sz w:val="22"/>
              </w:rPr>
            </w:pPr>
            <w:r>
              <w:rPr>
                <w:b/>
                <w:w w:val="100"/>
                <w:sz w:val="22"/>
              </w:rPr>
              <w:t>X</w:t>
            </w:r>
          </w:p>
        </w:tc>
        <w:tc>
          <w:tcPr>
            <w:tcW w:w="3191" w:type="dxa"/>
          </w:tcPr>
          <w:p>
            <w:pPr>
              <w:pStyle w:val="TableParagraph"/>
              <w:ind w:left="168"/>
              <w:rPr>
                <w:b/>
                <w:sz w:val="22"/>
              </w:rPr>
            </w:pPr>
            <w:r>
              <w:rPr>
                <w:b/>
                <w:sz w:val="22"/>
              </w:rPr>
              <w:t>CONCLUSIONES</w:t>
            </w:r>
          </w:p>
        </w:tc>
        <w:tc>
          <w:tcPr>
            <w:tcW w:w="1430" w:type="dxa"/>
          </w:tcPr>
          <w:p>
            <w:pPr>
              <w:pStyle w:val="TableParagraph"/>
              <w:ind w:left="227"/>
              <w:rPr>
                <w:sz w:val="22"/>
              </w:rPr>
            </w:pPr>
            <w:r>
              <w:rPr>
                <w:sz w:val="22"/>
              </w:rPr>
              <w:t>………………….</w:t>
            </w:r>
          </w:p>
        </w:tc>
        <w:tc>
          <w:tcPr>
            <w:tcW w:w="1284" w:type="dxa"/>
          </w:tcPr>
          <w:p>
            <w:pPr>
              <w:pStyle w:val="TableParagraph"/>
              <w:ind w:left="62" w:right="62"/>
              <w:jc w:val="center"/>
              <w:rPr>
                <w:sz w:val="22"/>
              </w:rPr>
            </w:pPr>
            <w:r>
              <w:rPr>
                <w:sz w:val="22"/>
              </w:rPr>
              <w:t>………………….</w:t>
            </w:r>
          </w:p>
        </w:tc>
        <w:tc>
          <w:tcPr>
            <w:tcW w:w="1287" w:type="dxa"/>
          </w:tcPr>
          <w:p>
            <w:pPr>
              <w:pStyle w:val="TableParagraph"/>
              <w:ind w:left="63" w:right="63"/>
              <w:jc w:val="center"/>
              <w:rPr>
                <w:sz w:val="22"/>
              </w:rPr>
            </w:pPr>
            <w:r>
              <w:rPr>
                <w:sz w:val="22"/>
              </w:rPr>
              <w:t>………………….</w:t>
            </w:r>
          </w:p>
        </w:tc>
        <w:tc>
          <w:tcPr>
            <w:tcW w:w="507" w:type="dxa"/>
          </w:tcPr>
          <w:p>
            <w:pPr>
              <w:pStyle w:val="TableParagraph"/>
              <w:ind w:left="81"/>
              <w:rPr>
                <w:sz w:val="22"/>
              </w:rPr>
            </w:pPr>
            <w:r>
              <w:rPr>
                <w:sz w:val="22"/>
              </w:rPr>
              <w:t>43</w:t>
            </w:r>
          </w:p>
        </w:tc>
      </w:tr>
      <w:tr>
        <w:trPr>
          <w:trHeight w:val="568" w:hRule="exact"/>
        </w:trPr>
        <w:tc>
          <w:tcPr>
            <w:tcW w:w="677" w:type="dxa"/>
          </w:tcPr>
          <w:p>
            <w:pPr>
              <w:pStyle w:val="TableParagraph"/>
              <w:spacing w:before="120"/>
              <w:ind w:left="200"/>
              <w:rPr>
                <w:b/>
                <w:sz w:val="22"/>
              </w:rPr>
            </w:pPr>
            <w:r>
              <w:rPr>
                <w:b/>
                <w:sz w:val="22"/>
              </w:rPr>
              <w:t>XI</w:t>
            </w:r>
          </w:p>
        </w:tc>
        <w:tc>
          <w:tcPr>
            <w:tcW w:w="3191" w:type="dxa"/>
          </w:tcPr>
          <w:p>
            <w:pPr>
              <w:pStyle w:val="TableParagraph"/>
              <w:spacing w:before="120"/>
              <w:ind w:left="168"/>
              <w:rPr>
                <w:b/>
                <w:sz w:val="22"/>
              </w:rPr>
            </w:pPr>
            <w:r>
              <w:rPr>
                <w:b/>
                <w:sz w:val="22"/>
              </w:rPr>
              <w:t>RECOMENDACIONES</w:t>
            </w:r>
          </w:p>
        </w:tc>
        <w:tc>
          <w:tcPr>
            <w:tcW w:w="1430" w:type="dxa"/>
          </w:tcPr>
          <w:p>
            <w:pPr>
              <w:pStyle w:val="TableParagraph"/>
              <w:spacing w:before="120"/>
              <w:ind w:left="227"/>
              <w:rPr>
                <w:sz w:val="22"/>
              </w:rPr>
            </w:pPr>
            <w:r>
              <w:rPr>
                <w:sz w:val="22"/>
              </w:rPr>
              <w:t>………………….</w:t>
            </w:r>
          </w:p>
        </w:tc>
        <w:tc>
          <w:tcPr>
            <w:tcW w:w="1284" w:type="dxa"/>
          </w:tcPr>
          <w:p>
            <w:pPr>
              <w:pStyle w:val="TableParagraph"/>
              <w:spacing w:before="120"/>
              <w:ind w:left="62" w:right="62"/>
              <w:jc w:val="center"/>
              <w:rPr>
                <w:sz w:val="22"/>
              </w:rPr>
            </w:pPr>
            <w:r>
              <w:rPr>
                <w:sz w:val="22"/>
              </w:rPr>
              <w:t>………………….</w:t>
            </w:r>
          </w:p>
        </w:tc>
        <w:tc>
          <w:tcPr>
            <w:tcW w:w="1287" w:type="dxa"/>
          </w:tcPr>
          <w:p>
            <w:pPr>
              <w:pStyle w:val="TableParagraph"/>
              <w:spacing w:before="120"/>
              <w:ind w:left="63" w:right="63"/>
              <w:jc w:val="center"/>
              <w:rPr>
                <w:sz w:val="22"/>
              </w:rPr>
            </w:pPr>
            <w:r>
              <w:rPr>
                <w:sz w:val="22"/>
              </w:rPr>
              <w:t>………………….</w:t>
            </w:r>
          </w:p>
        </w:tc>
        <w:tc>
          <w:tcPr>
            <w:tcW w:w="507" w:type="dxa"/>
          </w:tcPr>
          <w:p>
            <w:pPr>
              <w:pStyle w:val="TableParagraph"/>
              <w:spacing w:before="120"/>
              <w:ind w:left="81"/>
              <w:rPr>
                <w:sz w:val="22"/>
              </w:rPr>
            </w:pPr>
            <w:r>
              <w:rPr>
                <w:sz w:val="22"/>
              </w:rPr>
              <w:t>44</w:t>
            </w:r>
          </w:p>
        </w:tc>
      </w:tr>
      <w:tr>
        <w:trPr>
          <w:trHeight w:val="566" w:hRule="exact"/>
        </w:trPr>
        <w:tc>
          <w:tcPr>
            <w:tcW w:w="677" w:type="dxa"/>
          </w:tcPr>
          <w:p>
            <w:pPr>
              <w:pStyle w:val="TableParagraph"/>
              <w:ind w:left="200"/>
              <w:rPr>
                <w:b/>
                <w:sz w:val="22"/>
              </w:rPr>
            </w:pPr>
            <w:r>
              <w:rPr>
                <w:b/>
                <w:sz w:val="22"/>
              </w:rPr>
              <w:t>XII</w:t>
            </w:r>
          </w:p>
        </w:tc>
        <w:tc>
          <w:tcPr>
            <w:tcW w:w="3191" w:type="dxa"/>
          </w:tcPr>
          <w:p>
            <w:pPr>
              <w:pStyle w:val="TableParagraph"/>
              <w:ind w:left="168"/>
              <w:rPr>
                <w:b/>
                <w:sz w:val="22"/>
              </w:rPr>
            </w:pPr>
            <w:r>
              <w:rPr>
                <w:b/>
                <w:sz w:val="22"/>
              </w:rPr>
              <w:t>REFERENCIAS BIBLIOGRÁFICAS</w:t>
            </w:r>
          </w:p>
        </w:tc>
        <w:tc>
          <w:tcPr>
            <w:tcW w:w="1430" w:type="dxa"/>
          </w:tcPr>
          <w:p>
            <w:pPr>
              <w:pStyle w:val="TableParagraph"/>
              <w:ind w:left="227"/>
              <w:rPr>
                <w:sz w:val="22"/>
              </w:rPr>
            </w:pPr>
            <w:r>
              <w:rPr>
                <w:sz w:val="22"/>
              </w:rPr>
              <w:t>………………….</w:t>
            </w:r>
          </w:p>
        </w:tc>
        <w:tc>
          <w:tcPr>
            <w:tcW w:w="1284" w:type="dxa"/>
          </w:tcPr>
          <w:p>
            <w:pPr>
              <w:pStyle w:val="TableParagraph"/>
              <w:ind w:left="62" w:right="62"/>
              <w:jc w:val="center"/>
              <w:rPr>
                <w:sz w:val="22"/>
              </w:rPr>
            </w:pPr>
            <w:r>
              <w:rPr>
                <w:sz w:val="22"/>
              </w:rPr>
              <w:t>………………….</w:t>
            </w:r>
          </w:p>
        </w:tc>
        <w:tc>
          <w:tcPr>
            <w:tcW w:w="1287" w:type="dxa"/>
          </w:tcPr>
          <w:p>
            <w:pPr>
              <w:pStyle w:val="TableParagraph"/>
              <w:ind w:left="63" w:right="63"/>
              <w:jc w:val="center"/>
              <w:rPr>
                <w:sz w:val="22"/>
              </w:rPr>
            </w:pPr>
            <w:r>
              <w:rPr>
                <w:sz w:val="22"/>
              </w:rPr>
              <w:t>………………….</w:t>
            </w:r>
          </w:p>
        </w:tc>
        <w:tc>
          <w:tcPr>
            <w:tcW w:w="507" w:type="dxa"/>
          </w:tcPr>
          <w:p>
            <w:pPr>
              <w:pStyle w:val="TableParagraph"/>
              <w:ind w:left="81"/>
              <w:rPr>
                <w:sz w:val="22"/>
              </w:rPr>
            </w:pPr>
            <w:r>
              <w:rPr>
                <w:sz w:val="22"/>
              </w:rPr>
              <w:t>45</w:t>
            </w:r>
          </w:p>
        </w:tc>
      </w:tr>
      <w:tr>
        <w:trPr>
          <w:trHeight w:val="394" w:hRule="exact"/>
        </w:trPr>
        <w:tc>
          <w:tcPr>
            <w:tcW w:w="677" w:type="dxa"/>
          </w:tcPr>
          <w:p>
            <w:pPr>
              <w:pStyle w:val="TableParagraph"/>
              <w:ind w:left="200"/>
              <w:rPr>
                <w:b/>
                <w:sz w:val="22"/>
              </w:rPr>
            </w:pPr>
            <w:r>
              <w:rPr>
                <w:b/>
                <w:sz w:val="22"/>
              </w:rPr>
              <w:t>XIII</w:t>
            </w:r>
          </w:p>
        </w:tc>
        <w:tc>
          <w:tcPr>
            <w:tcW w:w="3191" w:type="dxa"/>
          </w:tcPr>
          <w:p>
            <w:pPr>
              <w:pStyle w:val="TableParagraph"/>
              <w:ind w:left="168"/>
              <w:rPr>
                <w:b/>
                <w:sz w:val="22"/>
              </w:rPr>
            </w:pPr>
            <w:r>
              <w:rPr>
                <w:b/>
                <w:sz w:val="22"/>
              </w:rPr>
              <w:t>ANEXOS</w:t>
            </w:r>
          </w:p>
        </w:tc>
        <w:tc>
          <w:tcPr>
            <w:tcW w:w="1430" w:type="dxa"/>
          </w:tcPr>
          <w:p>
            <w:pPr>
              <w:pStyle w:val="TableParagraph"/>
              <w:ind w:left="227"/>
              <w:rPr>
                <w:sz w:val="22"/>
              </w:rPr>
            </w:pPr>
            <w:r>
              <w:rPr>
                <w:sz w:val="22"/>
              </w:rPr>
              <w:t>………………….</w:t>
            </w:r>
          </w:p>
        </w:tc>
        <w:tc>
          <w:tcPr>
            <w:tcW w:w="1284" w:type="dxa"/>
          </w:tcPr>
          <w:p>
            <w:pPr>
              <w:pStyle w:val="TableParagraph"/>
              <w:ind w:left="62" w:right="62"/>
              <w:jc w:val="center"/>
              <w:rPr>
                <w:sz w:val="22"/>
              </w:rPr>
            </w:pPr>
            <w:r>
              <w:rPr>
                <w:sz w:val="22"/>
              </w:rPr>
              <w:t>………………….</w:t>
            </w:r>
          </w:p>
        </w:tc>
        <w:tc>
          <w:tcPr>
            <w:tcW w:w="1287" w:type="dxa"/>
          </w:tcPr>
          <w:p>
            <w:pPr>
              <w:pStyle w:val="TableParagraph"/>
              <w:ind w:left="63" w:right="63"/>
              <w:jc w:val="center"/>
              <w:rPr>
                <w:sz w:val="22"/>
              </w:rPr>
            </w:pPr>
            <w:r>
              <w:rPr>
                <w:sz w:val="22"/>
              </w:rPr>
              <w:t>………………….</w:t>
            </w:r>
          </w:p>
        </w:tc>
        <w:tc>
          <w:tcPr>
            <w:tcW w:w="507" w:type="dxa"/>
          </w:tcPr>
          <w:p>
            <w:pPr>
              <w:pStyle w:val="TableParagraph"/>
              <w:ind w:left="81"/>
              <w:rPr>
                <w:sz w:val="22"/>
              </w:rPr>
            </w:pPr>
            <w:r>
              <w:rPr>
                <w:sz w:val="22"/>
              </w:rPr>
              <w:t>48</w:t>
            </w:r>
          </w:p>
        </w:tc>
      </w:tr>
    </w:tbl>
    <w:p>
      <w:pPr>
        <w:spacing w:after="0"/>
        <w:rPr>
          <w:sz w:val="22"/>
        </w:rPr>
        <w:sectPr>
          <w:pgSz w:w="12240" w:h="15840"/>
          <w:pgMar w:top="1500" w:bottom="280" w:left="1440" w:right="1720"/>
        </w:sectPr>
      </w:pPr>
    </w:p>
    <w:p>
      <w:pPr>
        <w:spacing w:before="54"/>
        <w:ind w:left="102" w:right="0" w:firstLine="0"/>
        <w:jc w:val="both"/>
        <w:rPr>
          <w:b/>
          <w:sz w:val="24"/>
        </w:rPr>
      </w:pPr>
      <w:r>
        <w:rPr>
          <w:b/>
          <w:sz w:val="24"/>
        </w:rPr>
        <w:t>RESUMEN</w:t>
      </w:r>
    </w:p>
    <w:p>
      <w:pPr>
        <w:pStyle w:val="BodyText"/>
        <w:rPr>
          <w:b/>
        </w:rPr>
      </w:pPr>
    </w:p>
    <w:p>
      <w:pPr>
        <w:pStyle w:val="BodyText"/>
        <w:rPr>
          <w:b/>
        </w:rPr>
      </w:pPr>
    </w:p>
    <w:p>
      <w:pPr>
        <w:pStyle w:val="BodyText"/>
        <w:spacing w:line="360" w:lineRule="auto"/>
        <w:ind w:left="102" w:right="106"/>
        <w:jc w:val="both"/>
      </w:pPr>
      <w:r>
        <w:rPr/>
        <w:t>La mortalidad materna en México, es un importante indicador de desarrollo para un  país y continúa siendo un reto para todas nuestras instituciones de salud. Es necesario encontrar estrategias fáciles de implementar en cada uno de los niveles de salud, que nos generen focos preventivos para lograr detectar oportunamente a estas pacientes con riesgo de muerte y que requieran monitorizaciones estrechas y manejos más específicos.</w:t>
      </w:r>
    </w:p>
    <w:p>
      <w:pPr>
        <w:pStyle w:val="BodyText"/>
        <w:spacing w:line="360" w:lineRule="auto" w:before="2"/>
        <w:ind w:left="102" w:right="105"/>
        <w:jc w:val="both"/>
      </w:pPr>
      <w:r>
        <w:rPr>
          <w:b/>
        </w:rPr>
        <w:t>Objetivo. </w:t>
      </w:r>
      <w:r>
        <w:rPr/>
        <w:t>Identificación oportuna mediante la escala MEOWS, de las complicaciones maternas en pacientes que ingresaron al Hospital Materno Perinatal “Mónica Pretelini Sáenz”.</w:t>
      </w:r>
    </w:p>
    <w:p>
      <w:pPr>
        <w:pStyle w:val="BodyText"/>
        <w:spacing w:line="360" w:lineRule="auto" w:before="5"/>
        <w:ind w:left="102" w:right="105"/>
        <w:jc w:val="both"/>
      </w:pPr>
      <w:r>
        <w:rPr>
          <w:b/>
        </w:rPr>
        <w:t>Metodología. </w:t>
      </w:r>
      <w:r>
        <w:rPr/>
        <w:t>Es un estudio descriptivo, observacional, transversal y retrospectivo, donde se analizaron 153 expedientes, en los cuales se activó Código MATER del 1 de Enero del 2015 al 31 de Diciembre del 2015.</w:t>
      </w:r>
    </w:p>
    <w:p>
      <w:pPr>
        <w:pStyle w:val="BodyText"/>
        <w:spacing w:line="360" w:lineRule="auto" w:before="2"/>
        <w:ind w:left="102" w:right="101"/>
        <w:jc w:val="both"/>
      </w:pPr>
      <w:r>
        <w:rPr>
          <w:b/>
        </w:rPr>
        <w:t>Resultados. </w:t>
      </w:r>
      <w:r>
        <w:rPr/>
        <w:t>El MEWS es una herramienta simple y fácil utilizar. Detectando el 82% de las mujeres 6 horas antes de presentar el evento adverso y/o activación del código MATER, con una puntuación igual o mayor a 4 puntos. Y solo el 14% a las 12 horas antes de las pacientes presentaron eventos adversos.</w:t>
      </w:r>
    </w:p>
    <w:p>
      <w:pPr>
        <w:pStyle w:val="BodyText"/>
        <w:spacing w:line="360" w:lineRule="auto" w:before="2"/>
        <w:ind w:left="102" w:right="106"/>
        <w:jc w:val="both"/>
      </w:pPr>
      <w:r>
        <w:rPr>
          <w:b/>
        </w:rPr>
        <w:t>Conclusiones. </w:t>
      </w:r>
      <w:r>
        <w:rPr/>
        <w:t>El Sistema de Alerta Temprana Modificado para Obstetricia, es una herramienta simple y fácil de utilizar. Se requieren ensayos multicéntricos que utilicen una puntuación estandarizada con grupos de pacientes homogéneos, con muestras de población más grandes, así como periodos de estudios más largos. En general, el empleo de MEOWS, mejora el registro y la frecuencia de la monitorización, sirve como un soporte en la detección y comunicación de inestabilidad clínica de la paciente, mejorando la seguridad clínica.</w:t>
      </w:r>
    </w:p>
    <w:p>
      <w:pPr>
        <w:spacing w:before="5"/>
        <w:ind w:left="102" w:right="0" w:firstLine="0"/>
        <w:jc w:val="both"/>
        <w:rPr>
          <w:sz w:val="24"/>
        </w:rPr>
      </w:pPr>
      <w:r>
        <w:rPr>
          <w:b/>
          <w:sz w:val="24"/>
        </w:rPr>
        <w:t>Palabras clave. </w:t>
      </w:r>
      <w:r>
        <w:rPr>
          <w:sz w:val="24"/>
        </w:rPr>
        <w:t>Muerte materna, código MATER, MEOWS, ERA.</w:t>
      </w:r>
    </w:p>
    <w:p>
      <w:pPr>
        <w:spacing w:after="0"/>
        <w:jc w:val="both"/>
        <w:rPr>
          <w:sz w:val="24"/>
        </w:rPr>
        <w:sectPr>
          <w:footerReference w:type="default" r:id="rId6"/>
          <w:pgSz w:w="12240" w:h="15840"/>
          <w:pgMar w:footer="1773" w:header="0" w:top="1360" w:bottom="1960" w:left="1600" w:right="1080"/>
          <w:pgNumType w:start="1"/>
        </w:sectPr>
      </w:pPr>
    </w:p>
    <w:p>
      <w:pPr>
        <w:pStyle w:val="BodyText"/>
        <w:rPr>
          <w:sz w:val="20"/>
        </w:rPr>
      </w:pPr>
    </w:p>
    <w:p>
      <w:pPr>
        <w:pStyle w:val="BodyText"/>
        <w:rPr>
          <w:sz w:val="20"/>
        </w:rPr>
      </w:pPr>
    </w:p>
    <w:p>
      <w:pPr>
        <w:pStyle w:val="BodyText"/>
        <w:spacing w:before="6"/>
        <w:rPr>
          <w:sz w:val="18"/>
        </w:rPr>
      </w:pPr>
    </w:p>
    <w:p>
      <w:pPr>
        <w:pStyle w:val="Heading1"/>
        <w:spacing w:before="69"/>
        <w:jc w:val="both"/>
      </w:pPr>
      <w:r>
        <w:rPr/>
        <w:t>SUMMARY</w:t>
      </w:r>
    </w:p>
    <w:p>
      <w:pPr>
        <w:pStyle w:val="BodyText"/>
        <w:rPr>
          <w:b/>
        </w:rPr>
      </w:pPr>
    </w:p>
    <w:p>
      <w:pPr>
        <w:pStyle w:val="BodyText"/>
        <w:rPr>
          <w:b/>
        </w:rPr>
      </w:pPr>
    </w:p>
    <w:p>
      <w:pPr>
        <w:pStyle w:val="BodyText"/>
        <w:spacing w:line="360" w:lineRule="auto"/>
        <w:ind w:left="102" w:right="117"/>
        <w:jc w:val="both"/>
      </w:pPr>
      <w:r>
        <w:rPr/>
        <w:t>Maternal mortality in Mexico is an important development indicator for a country and continues to be a challenge for all our health institutions. It is necessary to find  strategies that are easy to implement at each of the health levels, that generate preventive foci in order to detect in a timely manner these patients at risk of death and that require close monitoring and more specific</w:t>
      </w:r>
      <w:r>
        <w:rPr>
          <w:spacing w:val="-26"/>
        </w:rPr>
        <w:t> </w:t>
      </w:r>
      <w:r>
        <w:rPr/>
        <w:t>management.</w:t>
      </w:r>
    </w:p>
    <w:p>
      <w:pPr>
        <w:pStyle w:val="BodyText"/>
        <w:spacing w:line="360" w:lineRule="auto" w:before="5"/>
        <w:ind w:left="102" w:right="126"/>
        <w:jc w:val="both"/>
      </w:pPr>
      <w:r>
        <w:rPr>
          <w:b/>
        </w:rPr>
        <w:t>Objective. </w:t>
      </w:r>
      <w:r>
        <w:rPr/>
        <w:t>Timely identification by the MEOWS scale of maternal complications in patients who entered the Maternal Perinatal Hospital "Mónica Pretelini Saenz".</w:t>
      </w:r>
    </w:p>
    <w:p>
      <w:pPr>
        <w:pStyle w:val="BodyText"/>
        <w:spacing w:line="360" w:lineRule="auto" w:before="5"/>
        <w:ind w:left="102" w:right="126"/>
        <w:jc w:val="both"/>
      </w:pPr>
      <w:r>
        <w:rPr>
          <w:b/>
        </w:rPr>
        <w:t>Methodology. </w:t>
      </w:r>
      <w:r>
        <w:rPr/>
        <w:t>It is a descriptive, observational, transversal and retrospective study, where 153 records were analyzed, in which MATER Code was activated from January 1, 2015 to December 31,</w:t>
      </w:r>
      <w:r>
        <w:rPr>
          <w:spacing w:val="-18"/>
        </w:rPr>
        <w:t> </w:t>
      </w:r>
      <w:r>
        <w:rPr/>
        <w:t>2015.</w:t>
      </w:r>
    </w:p>
    <w:p>
      <w:pPr>
        <w:pStyle w:val="BodyText"/>
        <w:spacing w:line="360" w:lineRule="auto" w:before="2"/>
        <w:ind w:left="102" w:right="127"/>
        <w:jc w:val="both"/>
      </w:pPr>
      <w:r>
        <w:rPr>
          <w:b/>
        </w:rPr>
        <w:t>Results. </w:t>
      </w:r>
      <w:r>
        <w:rPr/>
        <w:t>The MEWS is a simple and easy to use tool. Detecting 82% of women 6 hours before presenting the adverse event and / or activation of the MATER code, with a score equal to or greater than 4 points. And only 14% at 12 hours before the patients presented adverse</w:t>
      </w:r>
      <w:r>
        <w:rPr>
          <w:spacing w:val="-12"/>
        </w:rPr>
        <w:t> </w:t>
      </w:r>
      <w:r>
        <w:rPr/>
        <w:t>events.</w:t>
      </w:r>
    </w:p>
    <w:p>
      <w:pPr>
        <w:pStyle w:val="BodyText"/>
        <w:spacing w:line="360" w:lineRule="auto" w:before="2"/>
        <w:ind w:left="102" w:right="118"/>
        <w:jc w:val="both"/>
      </w:pPr>
      <w:r>
        <w:rPr>
          <w:b/>
        </w:rPr>
        <w:t>Conclusions. </w:t>
      </w:r>
      <w:r>
        <w:rPr/>
        <w:t>The Modified Early Warning System for Obstetrics is a simple and easy to use tool. Multicenter trials using a standardized score with homogeneous patient groups, larger population samples, and longer study periods are required. In general, the use of MEOWS improves the recording and the frequency of the monitoring, serves as a support in the detection and communication of clinical instability of the patient, improving clinical</w:t>
      </w:r>
      <w:r>
        <w:rPr>
          <w:spacing w:val="-9"/>
        </w:rPr>
        <w:t> </w:t>
      </w:r>
      <w:r>
        <w:rPr/>
        <w:t>safety.</w:t>
      </w:r>
    </w:p>
    <w:p>
      <w:pPr>
        <w:spacing w:before="2"/>
        <w:ind w:left="102" w:right="0" w:firstLine="0"/>
        <w:jc w:val="both"/>
        <w:rPr>
          <w:sz w:val="24"/>
        </w:rPr>
      </w:pPr>
      <w:r>
        <w:rPr>
          <w:b/>
          <w:sz w:val="24"/>
        </w:rPr>
        <w:t>Keywords. </w:t>
      </w:r>
      <w:r>
        <w:rPr>
          <w:sz w:val="24"/>
        </w:rPr>
        <w:t>Maternal death, code MATER, MEOWS, ERA.</w:t>
      </w:r>
    </w:p>
    <w:p>
      <w:pPr>
        <w:spacing w:after="0"/>
        <w:jc w:val="both"/>
        <w:rPr>
          <w:sz w:val="24"/>
        </w:rPr>
        <w:sectPr>
          <w:pgSz w:w="12240" w:h="15840"/>
          <w:pgMar w:header="0" w:footer="1773" w:top="1500" w:bottom="1960" w:left="1600" w:right="1060"/>
        </w:sectPr>
      </w:pPr>
    </w:p>
    <w:p>
      <w:pPr>
        <w:pStyle w:val="Heading1"/>
        <w:jc w:val="both"/>
      </w:pPr>
      <w:r>
        <w:rPr/>
        <w:t>MARCO TEÓRICO</w:t>
      </w:r>
    </w:p>
    <w:p>
      <w:pPr>
        <w:pStyle w:val="BodyText"/>
        <w:spacing w:before="139"/>
        <w:ind w:left="102"/>
        <w:jc w:val="both"/>
      </w:pPr>
      <w:r>
        <w:rPr/>
        <w:t>DEFINICIÓN</w:t>
      </w:r>
    </w:p>
    <w:p>
      <w:pPr>
        <w:pStyle w:val="BodyText"/>
        <w:spacing w:line="352" w:lineRule="auto" w:before="137"/>
        <w:ind w:left="102" w:right="120" w:firstLine="268"/>
        <w:jc w:val="both"/>
      </w:pPr>
      <w:r>
        <w:rPr/>
        <w:t>Se entiende por Muerte Materna la defunción de una mujer mientras permanece embarazada o dentro de los 42 días siguientes a la terminación de la gestación, independientemente de la duración o el sitio del embarazo, debido a cualquier causa relacionada con el embarazo, agravada por el mismo o como resultado de su atención, pero no por causas accidentales o incidentales (OMS 1997).</w:t>
      </w:r>
      <w:r>
        <w:rPr>
          <w:position w:val="11"/>
          <w:sz w:val="16"/>
        </w:rPr>
        <w:t>1  </w:t>
      </w:r>
      <w:r>
        <w:rPr/>
        <w:t>La definición  comprende</w:t>
      </w:r>
    </w:p>
    <w:p>
      <w:pPr>
        <w:pStyle w:val="BodyText"/>
        <w:spacing w:line="360" w:lineRule="auto"/>
        <w:ind w:left="102" w:right="128"/>
        <w:jc w:val="both"/>
      </w:pPr>
      <w:r>
        <w:rPr/>
        <w:t>a todas las defunciones maternas, incluye sin importar la forma de terminación de la gestación: vivo o mortinato, aborto inducido o espontáneo y al embarazo ectópico (Conf Enq Mat Child Health 2002). Las muertes maternas pueden ser directas o indirectas. (cuadro 1 y 2).</w:t>
      </w:r>
    </w:p>
    <w:p>
      <w:pPr>
        <w:pStyle w:val="BodyText"/>
      </w:pPr>
    </w:p>
    <w:p>
      <w:pPr>
        <w:pStyle w:val="BodyText"/>
        <w:spacing w:line="360" w:lineRule="auto" w:before="142"/>
        <w:ind w:left="102" w:right="125" w:firstLine="201"/>
        <w:jc w:val="both"/>
      </w:pPr>
      <w:r>
        <w:rPr/>
        <w:t>Muertes maternas directas son las que resultan de complicaciones obstétricas  durante el embarazo, trabajo de parto o puerperio, producto de intervenciones, de omisiones, de tratamiento incorrecto, o de una cadena de acontecimientos originada en cualquiera de las circunstancias mencionadas (WHO 1999, Dirección de Estadísticas del Ministerio de Salud</w:t>
      </w:r>
      <w:r>
        <w:rPr>
          <w:spacing w:val="-9"/>
        </w:rPr>
        <w:t> </w:t>
      </w:r>
      <w:r>
        <w:rPr/>
        <w:t>2010).</w:t>
      </w:r>
    </w:p>
    <w:p>
      <w:pPr>
        <w:pStyle w:val="BodyText"/>
      </w:pPr>
    </w:p>
    <w:p>
      <w:pPr>
        <w:pStyle w:val="BodyText"/>
        <w:spacing w:line="350" w:lineRule="auto" w:before="142"/>
        <w:ind w:left="102" w:right="119" w:firstLine="201"/>
        <w:jc w:val="both"/>
        <w:rPr>
          <w:sz w:val="16"/>
        </w:rPr>
      </w:pPr>
      <w:r>
        <w:rPr/>
        <w:t>Muertes maternas indirectas son las que resultan de una enfermedad preexistente al embarazo o de una afección que evoluciona durante el mismo, no debida a causas obstétricas directas, pero sí agravadas por los efectos fisiológicos que el embarazo impone sobre el organismo materno (WHO 1999, Dirección de Estadísticas 2010). </w:t>
      </w:r>
      <w:r>
        <w:rPr>
          <w:position w:val="11"/>
          <w:sz w:val="16"/>
        </w:rPr>
        <w:t>2</w:t>
      </w:r>
    </w:p>
    <w:p>
      <w:pPr>
        <w:pStyle w:val="BodyText"/>
        <w:spacing w:before="8"/>
        <w:rPr>
          <w:sz w:val="35"/>
        </w:rPr>
      </w:pPr>
    </w:p>
    <w:p>
      <w:pPr>
        <w:pStyle w:val="BodyText"/>
        <w:spacing w:line="360" w:lineRule="auto" w:before="1"/>
        <w:ind w:left="102" w:right="117" w:firstLine="201"/>
        <w:jc w:val="both"/>
      </w:pPr>
      <w:r>
        <w:rPr/>
        <w:t>Aproximadamente un 1,6% (4700) de las muertes maternas mundiales son muertes maternas indirectas relacionadas con el SIDA. En el África subsahariana la cifra estimada asciende al 2,0%, lo cual significa que la RMM indirecta relacionada con el SIDA es de 11 muertes por 100 000 nacidos vivos. En 2015 son cinco los países en los que las muertes maternas indirectas relacionadas con el SIDA son iguales o superiores al  10%:  Sudáfrica  (32%),  Swazilandia  (19%),  Botswana  (18%),  Lesotho  (13%)    y</w:t>
      </w:r>
    </w:p>
    <w:p>
      <w:pPr>
        <w:pStyle w:val="BodyText"/>
        <w:spacing w:line="279" w:lineRule="exact"/>
        <w:ind w:left="102"/>
        <w:jc w:val="both"/>
        <w:rPr>
          <w:sz w:val="16"/>
        </w:rPr>
      </w:pPr>
      <w:r>
        <w:rPr/>
        <w:t>Mozambique (11%). (OMS 2015). </w:t>
      </w:r>
      <w:r>
        <w:rPr>
          <w:position w:val="11"/>
          <w:sz w:val="16"/>
        </w:rPr>
        <w:t>1,2</w:t>
      </w:r>
    </w:p>
    <w:p>
      <w:pPr>
        <w:spacing w:after="0" w:line="279" w:lineRule="exact"/>
        <w:jc w:val="both"/>
        <w:rPr>
          <w:sz w:val="16"/>
        </w:rPr>
        <w:sectPr>
          <w:pgSz w:w="12240" w:h="15840"/>
          <w:pgMar w:header="0" w:footer="1773" w:top="1360" w:bottom="1960" w:left="1600" w:right="1060"/>
        </w:sectPr>
      </w:pPr>
    </w:p>
    <w:p>
      <w:pPr>
        <w:pStyle w:val="BodyText"/>
        <w:spacing w:line="360" w:lineRule="auto" w:before="54"/>
        <w:ind w:left="102" w:right="106" w:firstLine="201"/>
        <w:jc w:val="both"/>
      </w:pPr>
      <w:r>
        <w:rPr/>
        <w:t>La razón de mortalidad materna (RMM; muertes maternas por 100 000 recién</w:t>
      </w:r>
      <w:r>
        <w:rPr>
          <w:spacing w:val="-30"/>
        </w:rPr>
        <w:t> </w:t>
      </w:r>
      <w:r>
        <w:rPr/>
        <w:t>nacidos vivos) mundial disminuyó cerca de un 44% en los últimos 25 años: de una RMM de 385 por</w:t>
      </w:r>
      <w:r>
        <w:rPr>
          <w:spacing w:val="11"/>
        </w:rPr>
        <w:t> </w:t>
      </w:r>
      <w:r>
        <w:rPr/>
        <w:t>100</w:t>
      </w:r>
      <w:r>
        <w:rPr>
          <w:spacing w:val="11"/>
        </w:rPr>
        <w:t> </w:t>
      </w:r>
      <w:r>
        <w:rPr/>
        <w:t>000</w:t>
      </w:r>
      <w:r>
        <w:rPr>
          <w:spacing w:val="11"/>
        </w:rPr>
        <w:t> </w:t>
      </w:r>
      <w:r>
        <w:rPr/>
        <w:t>nacidos</w:t>
      </w:r>
      <w:r>
        <w:rPr>
          <w:spacing w:val="12"/>
        </w:rPr>
        <w:t> </w:t>
      </w:r>
      <w:r>
        <w:rPr/>
        <w:t>vivos</w:t>
      </w:r>
      <w:r>
        <w:rPr>
          <w:spacing w:val="12"/>
        </w:rPr>
        <w:t> </w:t>
      </w:r>
      <w:r>
        <w:rPr/>
        <w:t>(intervalo</w:t>
      </w:r>
      <w:r>
        <w:rPr>
          <w:spacing w:val="13"/>
        </w:rPr>
        <w:t> </w:t>
      </w:r>
      <w:r>
        <w:rPr/>
        <w:t>de</w:t>
      </w:r>
      <w:r>
        <w:rPr>
          <w:spacing w:val="13"/>
        </w:rPr>
        <w:t> </w:t>
      </w:r>
      <w:r>
        <w:rPr/>
        <w:t>incertidumbre</w:t>
      </w:r>
      <w:r>
        <w:rPr>
          <w:spacing w:val="12"/>
        </w:rPr>
        <w:t> </w:t>
      </w:r>
      <w:r>
        <w:rPr/>
        <w:t>del</w:t>
      </w:r>
      <w:r>
        <w:rPr>
          <w:spacing w:val="12"/>
        </w:rPr>
        <w:t> </w:t>
      </w:r>
      <w:r>
        <w:rPr/>
        <w:t>80%</w:t>
      </w:r>
      <w:r>
        <w:rPr>
          <w:spacing w:val="12"/>
        </w:rPr>
        <w:t> </w:t>
      </w:r>
      <w:r>
        <w:rPr/>
        <w:t>[II80]</w:t>
      </w:r>
      <w:r>
        <w:rPr>
          <w:spacing w:val="13"/>
        </w:rPr>
        <w:t> </w:t>
      </w:r>
      <w:r>
        <w:rPr/>
        <w:t>2</w:t>
      </w:r>
      <w:r>
        <w:rPr>
          <w:spacing w:val="13"/>
        </w:rPr>
        <w:t> </w:t>
      </w:r>
      <w:r>
        <w:rPr/>
        <w:t>:</w:t>
      </w:r>
      <w:r>
        <w:rPr>
          <w:spacing w:val="13"/>
        </w:rPr>
        <w:t> </w:t>
      </w:r>
      <w:r>
        <w:rPr/>
        <w:t>359</w:t>
      </w:r>
      <w:r>
        <w:rPr>
          <w:spacing w:val="13"/>
        </w:rPr>
        <w:t> </w:t>
      </w:r>
      <w:r>
        <w:rPr/>
        <w:t>a</w:t>
      </w:r>
      <w:r>
        <w:rPr>
          <w:spacing w:val="13"/>
        </w:rPr>
        <w:t> </w:t>
      </w:r>
      <w:r>
        <w:rPr/>
        <w:t>427)</w:t>
      </w:r>
      <w:r>
        <w:rPr>
          <w:spacing w:val="9"/>
        </w:rPr>
        <w:t> </w:t>
      </w:r>
      <w:r>
        <w:rPr/>
        <w:t>en</w:t>
      </w:r>
    </w:p>
    <w:p>
      <w:pPr>
        <w:pStyle w:val="BodyText"/>
        <w:spacing w:line="360" w:lineRule="auto" w:before="5"/>
        <w:ind w:left="102" w:right="107"/>
        <w:jc w:val="both"/>
      </w:pPr>
      <w:r>
        <w:rPr/>
        <w:t>1990 a una RMM de 216 por 100 000 nacidos vivos (II80: 206 to 249) en 2015. El número anual de muertes maternas disminuyó en un 43%, de aproximadamente 532 000 (II80: 496 000 a 590 000) en 1990 a una cifra estimada de 303 000 (II80: 291 000 a 349 000) en 2015. </w:t>
      </w:r>
      <w:r>
        <w:rPr>
          <w:color w:val="333333"/>
        </w:rPr>
        <w:t>El riesgo de muerte relacionada con la maternidad a lo largo de la vida (es decir, la probabilidad de que una mujer de 15 años acabe muriendo por una causa materna) es de 1 en 4900 en los países desarrollados y de 1 en 180 en los países en desarrollo. En los países clasificados como estados frágiles el riesgo es de 1 por 54, lo cual demuestra las consecuencias de la descomposición de los sistemas   de</w:t>
      </w:r>
    </w:p>
    <w:p>
      <w:pPr>
        <w:pStyle w:val="BodyText"/>
        <w:spacing w:line="281" w:lineRule="exact"/>
        <w:ind w:left="102"/>
        <w:jc w:val="both"/>
        <w:rPr>
          <w:sz w:val="16"/>
        </w:rPr>
      </w:pPr>
      <w:r>
        <w:rPr>
          <w:color w:val="333333"/>
        </w:rPr>
        <w:t>salud. </w:t>
      </w:r>
      <w:r>
        <w:rPr>
          <w:position w:val="11"/>
          <w:sz w:val="16"/>
        </w:rPr>
        <w:t>1</w:t>
      </w:r>
    </w:p>
    <w:p>
      <w:pPr>
        <w:spacing w:line="264" w:lineRule="exact" w:before="134"/>
        <w:ind w:left="1121" w:right="179" w:firstLine="0"/>
        <w:jc w:val="left"/>
        <w:rPr>
          <w:sz w:val="23"/>
        </w:rPr>
      </w:pPr>
      <w:r>
        <w:rPr>
          <w:w w:val="85"/>
          <w:sz w:val="23"/>
        </w:rPr>
        <w:t>Razón anual de mortalidad materna = </w:t>
      </w:r>
      <w:r>
        <w:rPr>
          <w:w w:val="85"/>
          <w:sz w:val="23"/>
          <w:u w:val="single"/>
        </w:rPr>
        <w:t>Número de defunciones durante un año </w:t>
      </w:r>
      <w:r>
        <w:rPr>
          <w:w w:val="85"/>
          <w:sz w:val="23"/>
        </w:rPr>
        <w:t>x 10.000</w:t>
      </w:r>
    </w:p>
    <w:p>
      <w:pPr>
        <w:spacing w:line="264" w:lineRule="exact" w:before="0"/>
        <w:ind w:left="4314" w:right="179" w:firstLine="0"/>
        <w:jc w:val="left"/>
        <w:rPr>
          <w:sz w:val="23"/>
        </w:rPr>
      </w:pPr>
      <w:r>
        <w:rPr>
          <w:w w:val="85"/>
          <w:sz w:val="23"/>
        </w:rPr>
        <w:t>Número de nacidos vivos en el mismo año</w:t>
      </w:r>
    </w:p>
    <w:p>
      <w:pPr>
        <w:pStyle w:val="BodyText"/>
        <w:spacing w:line="352" w:lineRule="auto" w:before="134"/>
        <w:ind w:left="102" w:right="105" w:firstLine="201"/>
        <w:jc w:val="both"/>
        <w:rPr>
          <w:sz w:val="16"/>
        </w:rPr>
      </w:pPr>
      <w:r>
        <w:rPr>
          <w:color w:val="333333"/>
        </w:rPr>
        <w:t>La razón de mortalidad materna ratio en los países en desarrollo en 2015 es de 239 por 100 000 nacidos vivos, mientras que en los países desarrollados es tan solo de 12 por 100 000. </w:t>
      </w:r>
      <w:r>
        <w:rPr/>
        <w:t>La mortalidad materna es uno de los indicadores más sensibles del desarrollo de una nación. En nuestro país persiste como un grave problema sanitario y constituye un reto para el sistema de Salud Pública. </w:t>
      </w:r>
      <w:r>
        <w:rPr>
          <w:position w:val="11"/>
          <w:sz w:val="16"/>
        </w:rPr>
        <w:t>3</w:t>
      </w:r>
    </w:p>
    <w:p>
      <w:pPr>
        <w:pStyle w:val="BodyText"/>
        <w:spacing w:before="5"/>
        <w:rPr>
          <w:sz w:val="35"/>
        </w:rPr>
      </w:pPr>
    </w:p>
    <w:p>
      <w:pPr>
        <w:pStyle w:val="BodyText"/>
        <w:spacing w:line="350" w:lineRule="auto" w:before="1"/>
        <w:ind w:left="102" w:right="108" w:firstLine="201"/>
        <w:jc w:val="both"/>
        <w:rPr>
          <w:sz w:val="16"/>
        </w:rPr>
      </w:pPr>
      <w:r>
        <w:rPr/>
        <w:t>Según las cifras de la Organización Mundial de la Salud (OMS), en el año 2015, murieron alrededor de 303 mil mujeres en el mundo por complicaciones del embarazo, parto o puerperio. La mayor parte de esas muertes, se presentó en países con bajos ingresos económicos y la mayoría de estas defunciones pudieron haberse evitado. </w:t>
      </w:r>
      <w:r>
        <w:rPr>
          <w:position w:val="11"/>
          <w:sz w:val="16"/>
        </w:rPr>
        <w:t>1-2</w:t>
      </w:r>
    </w:p>
    <w:p>
      <w:pPr>
        <w:pStyle w:val="BodyText"/>
        <w:spacing w:before="7"/>
        <w:rPr>
          <w:sz w:val="35"/>
        </w:rPr>
      </w:pPr>
    </w:p>
    <w:p>
      <w:pPr>
        <w:pStyle w:val="BodyText"/>
        <w:tabs>
          <w:tab w:pos="969" w:val="left" w:leader="none"/>
        </w:tabs>
        <w:spacing w:line="360" w:lineRule="auto"/>
        <w:ind w:left="102" w:right="179" w:firstLine="201"/>
      </w:pPr>
      <w:r>
        <w:rPr/>
        <w:t>Al año 2000, los Estados Miembros de las Naciones Unidas se comprometieron a trabajar para lograr una serie de Objetivos de Desarrollo del Milenio (ODM), entre los que estaba la meta de reducir la muerte materna en un 75%, para 2015, la razón de mortalidad materna (RMM; muertes maternas por 100 000 recién nacidos vivos) de 1990.</w:t>
        <w:tab/>
        <w:t>Esta meta (ODM 5A) y la de lograr el acceso universal a la</w:t>
      </w:r>
      <w:r>
        <w:rPr>
          <w:spacing w:val="-24"/>
        </w:rPr>
        <w:t> </w:t>
      </w:r>
      <w:r>
        <w:rPr/>
        <w:t>salud</w:t>
      </w:r>
      <w:r>
        <w:rPr>
          <w:spacing w:val="-1"/>
        </w:rPr>
        <w:t> </w:t>
      </w:r>
      <w:r>
        <w:rPr/>
        <w:t>reproductiva</w:t>
      </w:r>
      <w:r>
        <w:rPr>
          <w:w w:val="99"/>
        </w:rPr>
        <w:t> </w:t>
      </w:r>
      <w:r>
        <w:rPr/>
        <w:t>(ODM 5B) eran las dos metas del ODM 5, consistente en mejorar la salud</w:t>
      </w:r>
      <w:r>
        <w:rPr>
          <w:spacing w:val="-17"/>
        </w:rPr>
        <w:t> </w:t>
      </w:r>
      <w:r>
        <w:rPr/>
        <w:t>materna.</w:t>
      </w:r>
    </w:p>
    <w:p>
      <w:pPr>
        <w:spacing w:after="0" w:line="360" w:lineRule="auto"/>
        <w:sectPr>
          <w:footerReference w:type="default" r:id="rId7"/>
          <w:pgSz w:w="12240" w:h="15840"/>
          <w:pgMar w:footer="1476" w:header="0" w:top="1360" w:bottom="1660" w:left="1600" w:right="1080"/>
          <w:pgNumType w:start="4"/>
        </w:sectPr>
      </w:pPr>
    </w:p>
    <w:p>
      <w:pPr>
        <w:pStyle w:val="BodyText"/>
        <w:spacing w:line="360" w:lineRule="auto" w:before="54"/>
        <w:ind w:left="102" w:right="98" w:firstLine="201"/>
        <w:jc w:val="both"/>
      </w:pPr>
      <w:r>
        <w:rPr/>
        <w:t>En los últimos 5 años hasta la finalización de los ODM se establecieron varias iniciativas para reactivar los esfuerzos por reducir la mortalidad materna. Entre ellas se encuentran la Estrategia Mundial del Secretario General de las Naciones Unidas para  la Salud de la Mujer y el Niño, que movilizó los esfuerzos por lograr los ODM 4 (mejorar la salud del niño) y 5, y la Comisión de alto nivel sobre información y rendición de cuentas, que fomentó «la presentación de informes, la supervisión y la rendición de cuentas a nivel mundial respecto de la salud de la mujer y el niño». Ahora, aprovechando el impulso generado por el ODM 5, los Objetivos de Desarrollo Sostenible</w:t>
      </w:r>
      <w:r>
        <w:rPr>
          <w:spacing w:val="39"/>
        </w:rPr>
        <w:t> </w:t>
      </w:r>
      <w:r>
        <w:rPr/>
        <w:t>(ODS)</w:t>
      </w:r>
      <w:r>
        <w:rPr>
          <w:spacing w:val="35"/>
        </w:rPr>
        <w:t> </w:t>
      </w:r>
      <w:r>
        <w:rPr/>
        <w:t>establecen</w:t>
      </w:r>
      <w:r>
        <w:rPr>
          <w:spacing w:val="39"/>
        </w:rPr>
        <w:t> </w:t>
      </w:r>
      <w:r>
        <w:rPr/>
        <w:t>una</w:t>
      </w:r>
      <w:r>
        <w:rPr>
          <w:spacing w:val="36"/>
        </w:rPr>
        <w:t> </w:t>
      </w:r>
      <w:r>
        <w:rPr/>
        <w:t>nueva</w:t>
      </w:r>
      <w:r>
        <w:rPr>
          <w:spacing w:val="39"/>
        </w:rPr>
        <w:t> </w:t>
      </w:r>
      <w:r>
        <w:rPr/>
        <w:t>agenda</w:t>
      </w:r>
      <w:r>
        <w:rPr>
          <w:spacing w:val="36"/>
        </w:rPr>
        <w:t> </w:t>
      </w:r>
      <w:r>
        <w:rPr/>
        <w:t>para</w:t>
      </w:r>
      <w:r>
        <w:rPr>
          <w:spacing w:val="36"/>
        </w:rPr>
        <w:t> </w:t>
      </w:r>
      <w:r>
        <w:rPr/>
        <w:t>la</w:t>
      </w:r>
      <w:r>
        <w:rPr>
          <w:spacing w:val="38"/>
        </w:rPr>
        <w:t> </w:t>
      </w:r>
      <w:r>
        <w:rPr/>
        <w:t>salud</w:t>
      </w:r>
      <w:r>
        <w:rPr>
          <w:spacing w:val="37"/>
        </w:rPr>
        <w:t> </w:t>
      </w:r>
      <w:r>
        <w:rPr/>
        <w:t>materna,</w:t>
      </w:r>
      <w:r>
        <w:rPr>
          <w:spacing w:val="36"/>
        </w:rPr>
        <w:t> </w:t>
      </w:r>
      <w:r>
        <w:rPr/>
        <w:t>destinada</w:t>
      </w:r>
      <w:r>
        <w:rPr>
          <w:spacing w:val="34"/>
        </w:rPr>
        <w:t> </w:t>
      </w:r>
      <w:r>
        <w:rPr/>
        <w:t>a</w:t>
      </w:r>
    </w:p>
    <w:p>
      <w:pPr>
        <w:pStyle w:val="BodyText"/>
        <w:spacing w:line="328" w:lineRule="auto" w:before="5"/>
        <w:ind w:left="102"/>
        <w:rPr>
          <w:sz w:val="16"/>
        </w:rPr>
      </w:pPr>
      <w:r>
        <w:rPr/>
        <w:t>acabar con la mortalidad materna prevenible; la meta 3.1 del ODS 3 consiste en reducir la RMM mundial a menos de 70 por 100 000 nacidos vivos para 2030. </w:t>
      </w:r>
      <w:r>
        <w:rPr>
          <w:position w:val="11"/>
          <w:sz w:val="16"/>
        </w:rPr>
        <w:t>5</w:t>
      </w:r>
    </w:p>
    <w:p>
      <w:pPr>
        <w:pStyle w:val="BodyText"/>
        <w:spacing w:line="360" w:lineRule="auto" w:before="26"/>
        <w:ind w:left="102" w:right="100" w:firstLine="201"/>
        <w:jc w:val="both"/>
      </w:pPr>
      <w:r>
        <w:rPr/>
        <w:t>El Observatorio de Mortalidad Materna en México (OMM) tiene entre sus mandatos, crear un sistema de indicadores que facilite el análisis, la evaluación, el monitoreo y la vigilancia sistemática de procesos y resultados de políticas, estrategias, programas y servicios encaminados a reducir la mortalidad materna (MM), así como contar con los mecanismos necesarios para garantizar el acceso a información confiable, oportuna y periódica que haga posible su uso para el análisis y la prevención</w:t>
      </w:r>
      <w:r>
        <w:rPr>
          <w:spacing w:val="50"/>
        </w:rPr>
        <w:t> </w:t>
      </w:r>
      <w:r>
        <w:rPr/>
        <w:t>de las muertes</w:t>
      </w:r>
    </w:p>
    <w:p>
      <w:pPr>
        <w:pStyle w:val="BodyText"/>
        <w:spacing w:line="279" w:lineRule="exact"/>
        <w:ind w:left="102" w:right="179"/>
        <w:rPr>
          <w:sz w:val="16"/>
        </w:rPr>
      </w:pPr>
      <w:r>
        <w:rPr/>
        <w:t>maternas en México. </w:t>
      </w:r>
      <w:r>
        <w:rPr>
          <w:position w:val="11"/>
          <w:sz w:val="16"/>
        </w:rPr>
        <w:t>6</w:t>
      </w:r>
    </w:p>
    <w:p>
      <w:pPr>
        <w:pStyle w:val="BodyText"/>
        <w:spacing w:before="2"/>
        <w:rPr>
          <w:sz w:val="25"/>
        </w:rPr>
      </w:pPr>
    </w:p>
    <w:p>
      <w:pPr>
        <w:pStyle w:val="BodyText"/>
        <w:spacing w:line="360" w:lineRule="auto" w:before="1"/>
        <w:ind w:left="102" w:right="98" w:firstLine="201"/>
        <w:jc w:val="both"/>
      </w:pPr>
      <w:r>
        <w:rPr/>
        <w:t>Es así como la Norma Oficial Mexicana NOM 007-SSA2-2016, Para la atención de la mujer en el embarazo, parto y puerperio y de la persona recién nacida, aprobó modificaciones en la norma descrita inicialmente en el año de 1995, en base a </w:t>
      </w:r>
      <w:r>
        <w:rPr>
          <w:spacing w:val="3"/>
        </w:rPr>
        <w:t>que </w:t>
      </w:r>
      <w:r>
        <w:rPr/>
        <w:t>la ciencia médica, a nivel nacional e internacional, ha desarrollado importantes avances en materia de investigación científica que permiten establecer mejores prácticas médicas, servicios para la atención de la mujer durante el embarazo, parto y puerperio, así como la atención de la persona recién nacida, especialmente, en cuanto a los cuidados prenatales, atención oportuna y de calidad durante el parto. La mayoría de  los daños obstétricos y los riesgos para la salud de la madre y la persona  recién  nacida pueden ser prevenidos, detectados y tratados con éxito mediante la aplicación de procedimientos para la atención, entre los que destacan, el uso del enfoque de riesgo, la realización de actividades eminentemente preventivas y la eliminación</w:t>
      </w:r>
      <w:r>
        <w:rPr>
          <w:spacing w:val="-21"/>
        </w:rPr>
        <w:t> </w:t>
      </w:r>
      <w:r>
        <w:rPr/>
        <w:t>o</w:t>
      </w:r>
    </w:p>
    <w:p>
      <w:pPr>
        <w:spacing w:after="0" w:line="360" w:lineRule="auto"/>
        <w:jc w:val="both"/>
        <w:sectPr>
          <w:pgSz w:w="12240" w:h="15840"/>
          <w:pgMar w:header="0" w:footer="1476" w:top="1360" w:bottom="1660" w:left="1600" w:right="1080"/>
        </w:sectPr>
      </w:pPr>
    </w:p>
    <w:p>
      <w:pPr>
        <w:pStyle w:val="BodyText"/>
        <w:spacing w:line="350" w:lineRule="auto" w:before="54"/>
        <w:ind w:left="102" w:right="116"/>
        <w:jc w:val="both"/>
        <w:rPr>
          <w:sz w:val="16"/>
        </w:rPr>
      </w:pPr>
      <w:r>
        <w:rPr/>
        <w:t>racionalización de algunas prácticas generalizadas que llevadas a cabo en forma rutinaria y sin indicaciones generan riesgos innecesarios. Por lo tanto, las acciones incluidas en esta Norma, tienden a favorecer el desarrollo fisiológico de cada una de las etapas del embarazo y a prevenir la aparición de complicaciones. </w:t>
      </w:r>
      <w:r>
        <w:rPr>
          <w:position w:val="11"/>
          <w:sz w:val="16"/>
        </w:rPr>
        <w:t>7</w:t>
      </w:r>
    </w:p>
    <w:p>
      <w:pPr>
        <w:pStyle w:val="BodyText"/>
        <w:rPr>
          <w:sz w:val="28"/>
        </w:rPr>
      </w:pPr>
    </w:p>
    <w:p>
      <w:pPr>
        <w:pStyle w:val="BodyText"/>
        <w:rPr>
          <w:sz w:val="34"/>
        </w:rPr>
      </w:pPr>
    </w:p>
    <w:p>
      <w:pPr>
        <w:pStyle w:val="BodyText"/>
        <w:spacing w:line="360" w:lineRule="auto" w:before="1"/>
        <w:ind w:left="102" w:right="117" w:firstLine="201"/>
        <w:jc w:val="both"/>
      </w:pPr>
      <w:r>
        <w:rPr/>
        <w:t>El Plan Sectorial de Salud 2013-2018, destaca los logros sustantivos en diversos indicadores, como el aumento en la esperanza de vida y la disminución de la  mortalidad infantil en el país. Sin embargo, queda pendiente avanzar en algunos indicadores clave de salud. Por ejemplo, la mortalidad materna que se redujo a menos de la mitad entre 1990 y 2011 (al pasar de 89 a 43 defunciones de mujeres por cada 100,000 nacidos vivos). No obstante, este indicador se encontró lejos de alcanzar la meta de 22 defunciones propuesta para el 2015, como parte de los Objetivos de Desarrollo del Milenio que fueron pactados con los países miembros de la Organización de las Naciones Unidas (ONU), para alcanzar una mejor calidad de vida de la población, razón por la cual el Plan Sectorial de Salud 2013-2018, contempla estrategias y líneas de acción específicas para atender esta situación prioritaria. En su fracción 5.1.11 menciona</w:t>
      </w:r>
      <w:r>
        <w:rPr>
          <w:b/>
        </w:rPr>
        <w:t>: “</w:t>
      </w:r>
      <w:r>
        <w:rPr/>
        <w:t>La atención a la mujer durante el embarazo, parto y puerperio y a la persona recién nacida debe ser proporcionada con calidad y respeto de sus derechos humanos, principalmente a su dignidad y cultura, facilitando, en la  medida de lo posible, apoyo psicológico durante su evolución. Todas las instituciones de salud deben capacitar a las licenciadas en enfermería obstétrica, parteras técnicas y parteras tradicionales para identificar complicaciones del embarazo, parto y puerperio; así como, proveer facilidades para la referencia y acompañamiento oportuno de la embarazada a los establecimientos para la atención médica, en su caso.” En la</w:t>
      </w:r>
      <w:r>
        <w:rPr>
          <w:spacing w:val="-8"/>
        </w:rPr>
        <w:t> </w:t>
      </w:r>
      <w:r>
        <w:rPr/>
        <w:t>fracción</w:t>
      </w:r>
    </w:p>
    <w:p>
      <w:pPr>
        <w:pStyle w:val="ListParagraph"/>
        <w:numPr>
          <w:ilvl w:val="2"/>
          <w:numId w:val="1"/>
        </w:numPr>
        <w:tabs>
          <w:tab w:pos="844" w:val="left" w:leader="none"/>
        </w:tabs>
        <w:spacing w:line="360" w:lineRule="auto" w:before="3" w:after="0"/>
        <w:ind w:left="102" w:right="118" w:firstLine="0"/>
        <w:jc w:val="both"/>
        <w:rPr>
          <w:sz w:val="24"/>
        </w:rPr>
      </w:pPr>
      <w:r>
        <w:rPr>
          <w:sz w:val="24"/>
        </w:rPr>
        <w:t>hace referencia a la importancia de que en los establecimientos para la atención médica, se debe disponer de la capacidad para detectar, registrar, asignar y manejar oportunamente el riesgo reproductivo, obstétrico y perinatal para cada embarazo, el cual debe servir para planear y aplicar un plan de vigilancia y manejo de forma individual y con la intervención de los especialistas acordes a cada situación,</w:t>
      </w:r>
      <w:r>
        <w:rPr>
          <w:spacing w:val="-19"/>
          <w:sz w:val="24"/>
        </w:rPr>
        <w:t> </w:t>
      </w:r>
      <w:r>
        <w:rPr>
          <w:sz w:val="24"/>
        </w:rPr>
        <w:t>deben</w:t>
      </w:r>
    </w:p>
    <w:p>
      <w:pPr>
        <w:spacing w:after="0" w:line="360" w:lineRule="auto"/>
        <w:jc w:val="both"/>
        <w:rPr>
          <w:sz w:val="24"/>
        </w:rPr>
        <w:sectPr>
          <w:footerReference w:type="default" r:id="rId8"/>
          <w:pgSz w:w="12240" w:h="15840"/>
          <w:pgMar w:footer="1687" w:header="0" w:top="1360" w:bottom="1880" w:left="1600" w:right="1060"/>
        </w:sectPr>
      </w:pPr>
    </w:p>
    <w:p>
      <w:pPr>
        <w:pStyle w:val="BodyText"/>
        <w:spacing w:line="345" w:lineRule="auto" w:before="54"/>
        <w:ind w:left="122" w:right="120"/>
        <w:jc w:val="both"/>
        <w:rPr>
          <w:sz w:val="16"/>
        </w:rPr>
      </w:pPr>
      <w:r>
        <w:rPr/>
        <w:t>también garantizar la prestación de servicios de salud oportunos, con calidad y seguridad durante el embarazo,  parto  y  puerperio,  así  como  durante  la  atención  de urgencias obstétricas.</w:t>
      </w:r>
      <w:r>
        <w:rPr>
          <w:spacing w:val="-6"/>
        </w:rPr>
        <w:t> </w:t>
      </w:r>
      <w:r>
        <w:rPr>
          <w:position w:val="11"/>
          <w:sz w:val="16"/>
        </w:rPr>
        <w:t>7</w:t>
      </w:r>
    </w:p>
    <w:p>
      <w:pPr>
        <w:pStyle w:val="BodyText"/>
        <w:spacing w:line="360" w:lineRule="auto" w:before="204"/>
        <w:ind w:left="122" w:right="117" w:firstLine="151"/>
        <w:jc w:val="both"/>
      </w:pPr>
      <w:r>
        <w:rPr/>
        <w:t>La Numeralia 2014 brinda una mirada rápida de la información más relevante de las defunciones maternas ocurridas y registradas durante 2014 en el país, con el objetivo de resaltar aquellos aspectos particulares en el comportamiento de la Muerte   Materna</w:t>
      </w:r>
    </w:p>
    <w:p>
      <w:pPr>
        <w:pStyle w:val="BodyText"/>
        <w:spacing w:line="326" w:lineRule="auto" w:before="5"/>
        <w:ind w:left="122" w:right="118"/>
        <w:jc w:val="both"/>
        <w:rPr>
          <w:sz w:val="16"/>
        </w:rPr>
      </w:pPr>
      <w:r>
        <w:rPr/>
        <w:t>de acuerdo con la entidad de residencia habitual, la condición de aseguramiento en salud de la mujer y el lugar de ocurrencia de la defunción. </w:t>
      </w:r>
      <w:r>
        <w:rPr>
          <w:position w:val="11"/>
          <w:sz w:val="16"/>
        </w:rPr>
        <w:t>3</w:t>
      </w:r>
    </w:p>
    <w:p>
      <w:pPr>
        <w:pStyle w:val="BodyText"/>
        <w:spacing w:line="360" w:lineRule="auto" w:before="181"/>
        <w:ind w:left="122" w:right="124" w:firstLine="201"/>
        <w:jc w:val="both"/>
      </w:pPr>
      <w:r>
        <w:rPr/>
        <w:t>En México en el año 2014 ocurrieron 872 muertes maternas (2.3 muertes por día). El 71% de estas defunciones se concentraron básicamente en 12 entidades federativas: Estado  de  México  (11%).  Chiapas  (9%).  Veracruz  (7%).  Ciudad  de  México  (6%).</w:t>
      </w:r>
    </w:p>
    <w:p>
      <w:pPr>
        <w:pStyle w:val="BodyText"/>
        <w:spacing w:before="5"/>
        <w:ind w:left="122"/>
        <w:jc w:val="both"/>
      </w:pPr>
      <w:r>
        <w:rPr/>
        <w:t>Jalisco (6%). Puebla (5%). Michoacán (5%). Guerrero (5%). Chihuahua (4%).    Oaxaca</w:t>
      </w:r>
    </w:p>
    <w:p>
      <w:pPr>
        <w:pStyle w:val="BodyText"/>
        <w:spacing w:before="102"/>
        <w:ind w:left="122"/>
        <w:jc w:val="both"/>
        <w:rPr>
          <w:sz w:val="16"/>
        </w:rPr>
      </w:pPr>
      <w:r>
        <w:rPr/>
        <w:pict>
          <v:group style="position:absolute;margin-left:84.675003pt;margin-top:27.228914pt;width:467.05pt;height:236pt;mso-position-horizontal-relative:page;mso-position-vertical-relative:paragraph;z-index:1288;mso-wrap-distance-left:0;mso-wrap-distance-right:0" coordorigin="1694,545" coordsize="9341,4720">
            <v:line style="position:absolute" from="4646,1393" to="4646,1470" stroked="true" strokeweight=".72pt" strokecolor="#858585"/>
            <v:line style="position:absolute" from="4646,1571" to="4646,1724" stroked="true" strokeweight=".72pt" strokecolor="#858585"/>
            <v:line style="position:absolute" from="4646,1827" to="4646,1979" stroked="true" strokeweight=".72pt" strokecolor="#858585"/>
            <v:line style="position:absolute" from="4646,2082" to="4646,2235" stroked="true" strokeweight=".72pt" strokecolor="#858585"/>
            <v:line style="position:absolute" from="4646,2336" to="4646,2490" stroked="true" strokeweight=".72pt" strokecolor="#858585"/>
            <v:line style="position:absolute" from="4646,2593" to="4646,2744" stroked="true" strokeweight=".72pt" strokecolor="#858585"/>
            <v:line style="position:absolute" from="4646,2847" to="4646,3001" stroked="true" strokeweight=".72pt" strokecolor="#858585"/>
            <v:line style="position:absolute" from="4646,3102" to="4646,3255" stroked="true" strokeweight=".72pt" strokecolor="#858585"/>
            <v:line style="position:absolute" from="4646,3359" to="4646,3510" stroked="true" strokeweight=".72pt" strokecolor="#858585"/>
            <v:line style="position:absolute" from="4646,3613" to="4646,3767" stroked="true" strokeweight=".72pt" strokecolor="#858585"/>
            <v:line style="position:absolute" from="4646,3867" to="4646,4021" stroked="true" strokeweight=".72pt" strokecolor="#858585"/>
            <v:line style="position:absolute" from="4646,4124" to="4646,4275" stroked="true" strokeweight=".72pt" strokecolor="#858585"/>
            <v:line style="position:absolute" from="4646,4379" to="4646,4455" stroked="true" strokeweight=".72pt" strokecolor="#858585"/>
            <v:line style="position:absolute" from="5645,4124" to="5645,4275" stroked="true" strokeweight=".72pt" strokecolor="#858585"/>
            <v:line style="position:absolute" from="5645,4379" to="5645,4455" stroked="true" strokeweight=".72pt" strokecolor="#858585"/>
            <v:line style="position:absolute" from="6643,4124" to="6643,4275" stroked="true" strokeweight=".72pt" strokecolor="#858585"/>
            <v:line style="position:absolute" from="6643,4379" to="6643,4455" stroked="true" strokeweight=".72pt" strokecolor="#858585"/>
            <v:line style="position:absolute" from="7642,4124" to="7642,4275" stroked="true" strokeweight=".72pt" strokecolor="#858585"/>
            <v:line style="position:absolute" from="7642,4379" to="7642,4455" stroked="true" strokeweight=".72pt" strokecolor="#858585"/>
            <v:line style="position:absolute" from="8638,1393" to="8638,4275" stroked="true" strokeweight=".72pt" strokecolor="#858585"/>
            <v:line style="position:absolute" from="8638,4379" to="8638,4455" stroked="true" strokeweight=".72pt" strokecolor="#858585"/>
            <v:line style="position:absolute" from="9636,1393" to="9636,4455" stroked="true" strokeweight=".72pt" strokecolor="#858585"/>
            <v:rect style="position:absolute;left:3648;top:4275;width:5988;height:103" filled="true" fillcolor="#4f81bc" stroked="false">
              <v:fill type="solid"/>
            </v:rect>
            <v:line style="position:absolute" from="5645,3867" to="5645,4021" stroked="true" strokeweight=".72pt" strokecolor="#858585"/>
            <v:line style="position:absolute" from="6643,3867" to="6643,4021" stroked="true" strokeweight=".72pt" strokecolor="#858585"/>
            <v:line style="position:absolute" from="7642,1393" to="7642,4021" stroked="true" strokeweight=".72pt" strokecolor="#858585"/>
            <v:rect style="position:absolute;left:3648;top:4021;width:4490;height:103" filled="true" fillcolor="#4f81bc" stroked="false">
              <v:fill type="solid"/>
            </v:rect>
            <v:line style="position:absolute" from="5645,3613" to="5645,3767" stroked="true" strokeweight=".72pt" strokecolor="#858585"/>
            <v:line style="position:absolute" from="6643,1393" to="6643,3767" stroked="true" strokeweight=".72pt" strokecolor="#858585"/>
            <v:rect style="position:absolute;left:3648;top:3767;width:3494;height:101" filled="true" fillcolor="#4f81bc" stroked="false">
              <v:fill type="solid"/>
            </v:rect>
            <v:line style="position:absolute" from="5645,3359" to="5645,3510" stroked="true" strokeweight=".72pt" strokecolor="#858585"/>
            <v:rect style="position:absolute;left:3648;top:3510;width:2995;height:103" filled="true" fillcolor="#4f81bc" stroked="false">
              <v:fill type="solid"/>
            </v:rect>
            <v:line style="position:absolute" from="5645,3102" to="5645,3255" stroked="true" strokeweight=".72pt" strokecolor="#858585"/>
            <v:rect style="position:absolute;left:3648;top:3255;width:2995;height:103" filled="true" fillcolor="#4f81bc" stroked="false">
              <v:fill type="solid"/>
            </v:rect>
            <v:line style="position:absolute" from="5645,2847" to="5645,3001" stroked="true" strokeweight=".72pt" strokecolor="#858585"/>
            <v:rect style="position:absolute;left:3648;top:3001;width:2496;height:101" filled="true" fillcolor="#4f81bc" stroked="false">
              <v:fill type="solid"/>
            </v:rect>
            <v:line style="position:absolute" from="5645,2593" to="5645,2744" stroked="true" strokeweight=".72pt" strokecolor="#858585"/>
            <v:rect style="position:absolute;left:3648;top:2744;width:2496;height:103" filled="true" fillcolor="#4f81bc" stroked="false">
              <v:fill type="solid"/>
            </v:rect>
            <v:line style="position:absolute" from="5645,1393" to="5645,2490" stroked="true" strokeweight=".72pt" strokecolor="#858585"/>
            <v:rect style="position:absolute;left:3648;top:2490;width:2496;height:103" filled="true" fillcolor="#4f81bc" stroked="false">
              <v:fill type="solid"/>
            </v:rect>
            <v:rect style="position:absolute;left:3648;top:2235;width:1997;height:101" filled="true" fillcolor="#4f81bc" stroked="false">
              <v:fill type="solid"/>
            </v:rect>
            <v:rect style="position:absolute;left:3648;top:1979;width:1997;height:103" filled="true" fillcolor="#4f81bc" stroked="false">
              <v:fill type="solid"/>
            </v:rect>
            <v:rect style="position:absolute;left:3648;top:1724;width:1997;height:103" filled="true" fillcolor="#4f81bc" stroked="false">
              <v:fill type="solid"/>
            </v:rect>
            <v:rect style="position:absolute;left:3648;top:1470;width:1997;height:101" filled="true" fillcolor="#4f81bc" stroked="false">
              <v:fill type="solid"/>
            </v:rect>
            <v:line style="position:absolute" from="10634,1393" to="10634,4455" stroked="true" strokeweight=".72pt" strokecolor="#858585"/>
            <v:line style="position:absolute" from="3648,4455" to="10634,4455" stroked="true" strokeweight=".72pt" strokecolor="#858585"/>
            <v:line style="position:absolute" from="3648,4455" to="3648,1393" stroked="true" strokeweight=".72pt" strokecolor="#858585"/>
            <v:rect style="position:absolute;left:1701;top:552;width:9326;height:4705" filled="false" stroked="true" strokeweight=".75pt" strokecolor="#858585"/>
            <v:shape style="position:absolute;left:1831;top:776;width:8039;height:3658" type="#_x0000_t202" filled="false" stroked="false">
              <v:textbox inset="0,0,0,0">
                <w:txbxContent>
                  <w:p>
                    <w:pPr>
                      <w:spacing w:line="367" w:lineRule="exact" w:before="0"/>
                      <w:ind w:left="1024" w:right="-14" w:firstLine="0"/>
                      <w:jc w:val="left"/>
                      <w:rPr>
                        <w:rFonts w:ascii="Calibri"/>
                        <w:b/>
                        <w:sz w:val="36"/>
                      </w:rPr>
                    </w:pPr>
                    <w:r>
                      <w:rPr>
                        <w:rFonts w:ascii="Calibri"/>
                        <w:b/>
                        <w:sz w:val="36"/>
                      </w:rPr>
                      <w:t>DEFUNCIONES POR ENTIDAD </w:t>
                    </w:r>
                    <w:r>
                      <w:rPr>
                        <w:rFonts w:ascii="Calibri"/>
                        <w:b/>
                        <w:spacing w:val="-6"/>
                        <w:sz w:val="36"/>
                      </w:rPr>
                      <w:t>FEDERATIVA </w:t>
                    </w:r>
                    <w:r>
                      <w:rPr>
                        <w:rFonts w:ascii="Calibri"/>
                        <w:b/>
                        <w:sz w:val="36"/>
                      </w:rPr>
                      <w:t>2014</w:t>
                    </w:r>
                  </w:p>
                  <w:p>
                    <w:pPr>
                      <w:spacing w:before="243"/>
                      <w:ind w:left="0" w:right="6406" w:firstLine="0"/>
                      <w:jc w:val="right"/>
                      <w:rPr>
                        <w:rFonts w:ascii="Calibri"/>
                        <w:sz w:val="20"/>
                      </w:rPr>
                    </w:pPr>
                    <w:r>
                      <w:rPr>
                        <w:rFonts w:ascii="Calibri"/>
                        <w:w w:val="95"/>
                        <w:sz w:val="20"/>
                      </w:rPr>
                      <w:t>GUANAJUATO</w:t>
                    </w:r>
                  </w:p>
                  <w:p>
                    <w:pPr>
                      <w:spacing w:line="252" w:lineRule="auto" w:before="11"/>
                      <w:ind w:left="579" w:right="6405" w:firstLine="295"/>
                      <w:jc w:val="right"/>
                      <w:rPr>
                        <w:rFonts w:ascii="Calibri"/>
                        <w:sz w:val="20"/>
                      </w:rPr>
                    </w:pPr>
                    <w:r>
                      <w:rPr>
                        <w:rFonts w:ascii="Calibri"/>
                        <w:w w:val="95"/>
                        <w:sz w:val="20"/>
                      </w:rPr>
                      <w:t>HIDALGO </w:t>
                    </w:r>
                    <w:r>
                      <w:rPr>
                        <w:rFonts w:ascii="Calibri"/>
                        <w:sz w:val="20"/>
                      </w:rPr>
                      <w:t>OAXACA CHIHUAHUA </w:t>
                    </w:r>
                    <w:r>
                      <w:rPr>
                        <w:rFonts w:ascii="Calibri"/>
                        <w:w w:val="95"/>
                        <w:sz w:val="20"/>
                      </w:rPr>
                      <w:t>GUERRERO </w:t>
                    </w:r>
                    <w:r>
                      <w:rPr>
                        <w:rFonts w:ascii="Calibri"/>
                        <w:sz w:val="20"/>
                      </w:rPr>
                      <w:t>MICHOACAN</w:t>
                    </w:r>
                  </w:p>
                  <w:p>
                    <w:pPr>
                      <w:spacing w:line="252" w:lineRule="auto" w:before="0"/>
                      <w:ind w:left="986" w:right="6405" w:firstLine="7"/>
                      <w:jc w:val="right"/>
                      <w:rPr>
                        <w:rFonts w:ascii="Calibri"/>
                        <w:sz w:val="20"/>
                      </w:rPr>
                    </w:pPr>
                    <w:r>
                      <w:rPr>
                        <w:rFonts w:ascii="Calibri"/>
                        <w:sz w:val="20"/>
                      </w:rPr>
                      <w:t>PUEBLA</w:t>
                    </w:r>
                    <w:r>
                      <w:rPr>
                        <w:rFonts w:ascii="Calibri"/>
                        <w:w w:val="99"/>
                        <w:sz w:val="20"/>
                      </w:rPr>
                      <w:t> </w:t>
                    </w:r>
                    <w:r>
                      <w:rPr>
                        <w:rFonts w:ascii="Calibri"/>
                        <w:w w:val="95"/>
                        <w:sz w:val="20"/>
                      </w:rPr>
                      <w:t>JALISCO</w:t>
                    </w:r>
                  </w:p>
                  <w:p>
                    <w:pPr>
                      <w:spacing w:line="243" w:lineRule="exact" w:before="0"/>
                      <w:ind w:left="0" w:right="6406" w:firstLine="0"/>
                      <w:jc w:val="right"/>
                      <w:rPr>
                        <w:rFonts w:ascii="Calibri" w:hAnsi="Calibri"/>
                        <w:sz w:val="20"/>
                      </w:rPr>
                    </w:pPr>
                    <w:r>
                      <w:rPr>
                        <w:rFonts w:ascii="Calibri" w:hAnsi="Calibri"/>
                        <w:sz w:val="20"/>
                      </w:rPr>
                      <w:t>CIUDAD DE MÉXICO</w:t>
                    </w:r>
                  </w:p>
                  <w:p>
                    <w:pPr>
                      <w:spacing w:line="252" w:lineRule="auto" w:before="10"/>
                      <w:ind w:left="923" w:right="6404" w:hanging="165"/>
                      <w:jc w:val="right"/>
                      <w:rPr>
                        <w:rFonts w:ascii="Calibri"/>
                        <w:sz w:val="20"/>
                      </w:rPr>
                    </w:pPr>
                    <w:r>
                      <w:rPr>
                        <w:rFonts w:ascii="Calibri"/>
                        <w:w w:val="95"/>
                        <w:sz w:val="20"/>
                      </w:rPr>
                      <w:t>VERACRUZ </w:t>
                    </w:r>
                    <w:r>
                      <w:rPr>
                        <w:rFonts w:ascii="Calibri"/>
                        <w:sz w:val="20"/>
                      </w:rPr>
                      <w:t>CHIAPAS</w:t>
                    </w:r>
                  </w:p>
                  <w:p>
                    <w:pPr>
                      <w:spacing w:line="239" w:lineRule="exact" w:before="0"/>
                      <w:ind w:left="0" w:right="6405" w:firstLine="0"/>
                      <w:jc w:val="right"/>
                      <w:rPr>
                        <w:rFonts w:ascii="Calibri" w:hAnsi="Calibri"/>
                        <w:sz w:val="20"/>
                      </w:rPr>
                    </w:pPr>
                    <w:r>
                      <w:rPr>
                        <w:rFonts w:ascii="Calibri" w:hAnsi="Calibri"/>
                        <w:sz w:val="20"/>
                      </w:rPr>
                      <w:t>ESTADO DE MÉXICO</w:t>
                    </w:r>
                  </w:p>
                </w:txbxContent>
              </v:textbox>
              <w10:wrap type="none"/>
            </v:shape>
            <v:shape style="position:absolute;left:3526;top:4622;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0%</w:t>
                    </w:r>
                  </w:p>
                </w:txbxContent>
              </v:textbox>
              <w10:wrap type="none"/>
            </v:shape>
            <v:shape style="position:absolute;left:4524;top:4622;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w:t>
                    </w:r>
                  </w:p>
                </w:txbxContent>
              </v:textbox>
              <w10:wrap type="none"/>
            </v:shape>
            <v:shape style="position:absolute;left:5523;top:4622;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w:t>
                    </w:r>
                  </w:p>
                </w:txbxContent>
              </v:textbox>
              <w10:wrap type="none"/>
            </v:shape>
            <v:shape style="position:absolute;left:6521;top:4622;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6%</w:t>
                    </w:r>
                  </w:p>
                </w:txbxContent>
              </v:textbox>
              <w10:wrap type="none"/>
            </v:shape>
            <v:shape style="position:absolute;left:7519;top:4622;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8%</w:t>
                    </w:r>
                  </w:p>
                </w:txbxContent>
              </v:textbox>
              <w10:wrap type="none"/>
            </v:shape>
            <v:shape style="position:absolute;left:8467;top:4622;width:347;height:200" type="#_x0000_t202" filled="false" stroked="false">
              <v:textbox inset="0,0,0,0">
                <w:txbxContent>
                  <w:p>
                    <w:pPr>
                      <w:spacing w:line="199" w:lineRule="exact" w:before="0"/>
                      <w:ind w:left="0" w:right="-19" w:firstLine="0"/>
                      <w:jc w:val="left"/>
                      <w:rPr>
                        <w:rFonts w:ascii="Calibri"/>
                        <w:sz w:val="20"/>
                      </w:rPr>
                    </w:pPr>
                    <w:r>
                      <w:rPr>
                        <w:rFonts w:ascii="Calibri"/>
                        <w:sz w:val="20"/>
                      </w:rPr>
                      <w:t>10%</w:t>
                    </w:r>
                  </w:p>
                </w:txbxContent>
              </v:textbox>
              <w10:wrap type="none"/>
            </v:shape>
            <v:shape style="position:absolute;left:9465;top:4622;width:347;height:200" type="#_x0000_t202" filled="false" stroked="false">
              <v:textbox inset="0,0,0,0">
                <w:txbxContent>
                  <w:p>
                    <w:pPr>
                      <w:spacing w:line="199" w:lineRule="exact" w:before="0"/>
                      <w:ind w:left="0" w:right="-19" w:firstLine="0"/>
                      <w:jc w:val="left"/>
                      <w:rPr>
                        <w:rFonts w:ascii="Calibri"/>
                        <w:sz w:val="20"/>
                      </w:rPr>
                    </w:pPr>
                    <w:r>
                      <w:rPr>
                        <w:rFonts w:ascii="Calibri"/>
                        <w:sz w:val="20"/>
                      </w:rPr>
                      <w:t>12%</w:t>
                    </w:r>
                  </w:p>
                </w:txbxContent>
              </v:textbox>
              <w10:wrap type="none"/>
            </v:shape>
            <v:shape style="position:absolute;left:10463;top:4622;width:347;height:200" type="#_x0000_t202" filled="false" stroked="false">
              <v:textbox inset="0,0,0,0">
                <w:txbxContent>
                  <w:p>
                    <w:pPr>
                      <w:spacing w:line="199" w:lineRule="exact" w:before="0"/>
                      <w:ind w:left="0" w:right="-19" w:firstLine="0"/>
                      <w:jc w:val="left"/>
                      <w:rPr>
                        <w:rFonts w:ascii="Calibri"/>
                        <w:sz w:val="20"/>
                      </w:rPr>
                    </w:pPr>
                    <w:r>
                      <w:rPr>
                        <w:rFonts w:ascii="Calibri"/>
                        <w:sz w:val="20"/>
                      </w:rPr>
                      <w:t>14%</w:t>
                    </w:r>
                  </w:p>
                </w:txbxContent>
              </v:textbox>
              <w10:wrap type="none"/>
            </v:shape>
            <v:shape style="position:absolute;left:2973;top:5069;width:7142;height:101" type="#_x0000_t202" filled="false" stroked="false">
              <v:textbox inset="0,0,0,0">
                <w:txbxContent>
                  <w:p>
                    <w:pPr>
                      <w:spacing w:line="101" w:lineRule="exact" w:before="0"/>
                      <w:ind w:left="0" w:right="-16" w:firstLine="0"/>
                      <w:jc w:val="left"/>
                      <w:rPr>
                        <w:rFonts w:ascii="Calibri" w:hAnsi="Calibri"/>
                        <w:b/>
                        <w:sz w:val="10"/>
                      </w:rPr>
                    </w:pPr>
                    <w:r>
                      <w:rPr>
                        <w:rFonts w:ascii="Calibri" w:hAnsi="Calibri"/>
                        <w:b/>
                        <w:sz w:val="10"/>
                      </w:rPr>
                      <w:t>MÉXICO. DEFUNCIONES MATERNAS, NACIDOS VIVOS, CERTIFICADOS Y RMM, SEGÚN ENTIDAD DE RESIDENCIA HABITUAL DE LA MUJER, 2014, NACIMIENTOS DEL SINAC/SSA</w:t>
                    </w:r>
                  </w:p>
                </w:txbxContent>
              </v:textbox>
              <w10:wrap type="none"/>
            </v:shape>
            <w10:wrap type="topAndBottom"/>
          </v:group>
        </w:pict>
      </w:r>
      <w:r>
        <w:rPr/>
        <w:t>(4%). Hidalgo (4%) y Guanajuato (4%). </w:t>
      </w:r>
      <w:r>
        <w:rPr>
          <w:position w:val="11"/>
          <w:sz w:val="16"/>
        </w:rPr>
        <w:t>3,4</w:t>
      </w:r>
    </w:p>
    <w:p>
      <w:pPr>
        <w:pStyle w:val="BodyText"/>
        <w:spacing w:line="328" w:lineRule="auto" w:before="124"/>
        <w:ind w:left="122" w:right="128" w:firstLine="180"/>
        <w:jc w:val="both"/>
        <w:rPr>
          <w:sz w:val="16"/>
        </w:rPr>
      </w:pPr>
      <w:r>
        <w:rPr/>
        <w:t>De estas 872 muertes maternas, 99 de ellas (11%) pertenecen al Estado de México, RMM 33.9/100,000. </w:t>
      </w:r>
      <w:r>
        <w:rPr>
          <w:position w:val="11"/>
          <w:sz w:val="16"/>
        </w:rPr>
        <w:t>4</w:t>
      </w:r>
    </w:p>
    <w:p>
      <w:pPr>
        <w:spacing w:after="0" w:line="328" w:lineRule="auto"/>
        <w:jc w:val="both"/>
        <w:rPr>
          <w:sz w:val="16"/>
        </w:rPr>
        <w:sectPr>
          <w:footerReference w:type="default" r:id="rId9"/>
          <w:pgSz w:w="12240" w:h="15840"/>
          <w:pgMar w:footer="1737" w:header="0" w:top="1360" w:bottom="1920" w:left="1580" w:right="1060"/>
          <w:pgNumType w:start="7"/>
        </w:sectPr>
      </w:pPr>
    </w:p>
    <w:p>
      <w:pPr>
        <w:pStyle w:val="BodyText"/>
        <w:spacing w:line="360" w:lineRule="auto" w:before="54"/>
        <w:ind w:left="102" w:right="121" w:firstLine="201"/>
        <w:jc w:val="both"/>
      </w:pPr>
      <w:r>
        <w:rPr/>
        <w:t>Hay numerosas causas directas e indirectas de muerte durante el embarazo, el parto y el puerperio. A nivel mundial, aproximadamente un 80% de las muertes maternas son debidas a causas directas. Las cuatro causas principales son las hemorragias intensas (generalmente puerperales), las infecciones (septicemia en la mayoría de los casos), los trastornos hipertensivos del embarazo (generalmente la eclampsia) y el parto obstruido. Las complicaciones del aborto peligroso son la causa de un 13% de esas muertes. Entre las causas indirectas (20%) se encuentran enfermedades que  complican el embarazo o son agravadas por él, como el paludismo, la anemia, el VIH/SIDA o las enfermedades</w:t>
      </w:r>
      <w:r>
        <w:rPr>
          <w:spacing w:val="-15"/>
        </w:rPr>
        <w:t> </w:t>
      </w:r>
      <w:r>
        <w:rPr/>
        <w:t>cardiovasculares.</w:t>
      </w:r>
    </w:p>
    <w:p>
      <w:pPr>
        <w:pStyle w:val="BodyText"/>
        <w:spacing w:before="6"/>
        <w:rPr>
          <w:sz w:val="30"/>
        </w:rPr>
      </w:pPr>
    </w:p>
    <w:p>
      <w:pPr>
        <w:pStyle w:val="BodyText"/>
        <w:spacing w:line="328" w:lineRule="auto"/>
        <w:ind w:left="102" w:right="129" w:firstLine="201"/>
        <w:jc w:val="both"/>
      </w:pPr>
      <w:r>
        <w:rPr/>
        <w:t>Las principales causas de muerte materna, en orden de presentación, en el año 2014 en México fueron</w:t>
      </w:r>
      <w:r>
        <w:rPr>
          <w:position w:val="11"/>
          <w:sz w:val="16"/>
        </w:rPr>
        <w:t>4</w:t>
      </w:r>
      <w:r>
        <w:rPr/>
        <w:t>:</w:t>
      </w:r>
    </w:p>
    <w:p>
      <w:pPr>
        <w:pStyle w:val="BodyText"/>
        <w:rPr>
          <w:sz w:val="20"/>
        </w:rPr>
      </w:pPr>
    </w:p>
    <w:p>
      <w:pPr>
        <w:pStyle w:val="BodyText"/>
        <w:spacing w:before="3"/>
        <w:rPr>
          <w:sz w:val="20"/>
        </w:rPr>
      </w:pPr>
    </w:p>
    <w:p>
      <w:pPr>
        <w:pStyle w:val="BodyText"/>
        <w:spacing w:before="52"/>
        <w:ind w:left="6223" w:right="2718" w:hanging="324"/>
        <w:rPr>
          <w:rFonts w:ascii="Calibri"/>
        </w:rPr>
      </w:pPr>
      <w:r>
        <w:rPr/>
        <w:pict>
          <v:group style="position:absolute;margin-left:141.240005pt;margin-top:13.580768pt;width:355.45pt;height:157.1pt;mso-position-horizontal-relative:page;mso-position-vertical-relative:paragraph;z-index:-77944" coordorigin="2825,272" coordsize="7109,3142">
            <v:shape style="position:absolute;left:2825;top:440;width:7109;height:2974" type="#_x0000_t75" stroked="false">
              <v:imagedata r:id="rId10" o:title=""/>
            </v:shape>
            <v:line style="position:absolute" from="7126,530" to="7500,279" stroked="true" strokeweight=".75pt" strokecolor="#000000"/>
            <w10:wrap type="none"/>
          </v:group>
        </w:pict>
      </w:r>
      <w:r>
        <w:rPr>
          <w:rFonts w:ascii="Calibri"/>
          <w:u w:val="single"/>
        </w:rPr>
        <w:t>  </w:t>
      </w:r>
      <w:r>
        <w:rPr>
          <w:rFonts w:ascii="Calibri"/>
        </w:rPr>
        <w:t>ABORTO 12%</w:t>
      </w:r>
    </w:p>
    <w:p>
      <w:pPr>
        <w:pStyle w:val="BodyText"/>
        <w:spacing w:before="12"/>
        <w:rPr>
          <w:rFonts w:ascii="Calibri"/>
          <w:sz w:val="23"/>
        </w:rPr>
      </w:pPr>
    </w:p>
    <w:p>
      <w:pPr>
        <w:spacing w:after="0"/>
        <w:rPr>
          <w:rFonts w:ascii="Calibri"/>
          <w:sz w:val="23"/>
        </w:rPr>
        <w:sectPr>
          <w:pgSz w:w="12240" w:h="15840"/>
          <w:pgMar w:header="0" w:footer="1737" w:top="1360" w:bottom="1920" w:left="1600" w:right="1060"/>
        </w:sectPr>
      </w:pPr>
    </w:p>
    <w:p>
      <w:pPr>
        <w:spacing w:before="220"/>
        <w:ind w:left="0" w:right="0" w:firstLine="0"/>
        <w:jc w:val="right"/>
        <w:rPr>
          <w:rFonts w:ascii="Calibri"/>
          <w:sz w:val="28"/>
        </w:rPr>
      </w:pPr>
      <w:r>
        <w:rPr>
          <w:rFonts w:ascii="Calibri"/>
          <w:sz w:val="28"/>
        </w:rPr>
        <w:t>OTRAS</w:t>
      </w:r>
    </w:p>
    <w:p>
      <w:pPr>
        <w:spacing w:before="21"/>
        <w:ind w:left="0" w:right="66" w:firstLine="0"/>
        <w:jc w:val="right"/>
        <w:rPr>
          <w:rFonts w:ascii="Calibri"/>
          <w:sz w:val="36"/>
        </w:rPr>
      </w:pPr>
      <w:r>
        <w:rPr>
          <w:rFonts w:ascii="Calibri"/>
          <w:sz w:val="36"/>
        </w:rPr>
        <w:t>41%</w:t>
      </w:r>
    </w:p>
    <w:p>
      <w:pPr>
        <w:pStyle w:val="BodyText"/>
        <w:spacing w:before="51"/>
        <w:ind w:left="1229" w:right="2571" w:hanging="2"/>
        <w:jc w:val="center"/>
        <w:rPr>
          <w:rFonts w:ascii="Calibri"/>
        </w:rPr>
      </w:pPr>
      <w:r>
        <w:rPr/>
        <w:br w:type="column"/>
      </w:r>
      <w:r>
        <w:rPr>
          <w:rFonts w:ascii="Calibri"/>
          <w:spacing w:val="-6"/>
        </w:rPr>
        <w:t>ENF.   </w:t>
      </w:r>
      <w:r>
        <w:rPr>
          <w:rFonts w:ascii="Calibri"/>
          <w:spacing w:val="-2"/>
        </w:rPr>
        <w:t>HIPERTENSIVAS </w:t>
      </w:r>
      <w:r>
        <w:rPr>
          <w:rFonts w:ascii="Calibri"/>
        </w:rPr>
        <w:t>26%</w:t>
      </w:r>
    </w:p>
    <w:p>
      <w:pPr>
        <w:pStyle w:val="BodyText"/>
        <w:spacing w:before="10"/>
        <w:rPr>
          <w:rFonts w:ascii="Calibri"/>
          <w:sz w:val="23"/>
        </w:rPr>
      </w:pPr>
    </w:p>
    <w:p>
      <w:pPr>
        <w:spacing w:before="1"/>
        <w:ind w:left="670" w:right="3692" w:hanging="552"/>
        <w:jc w:val="left"/>
        <w:rPr>
          <w:rFonts w:ascii="Calibri"/>
          <w:sz w:val="22"/>
        </w:rPr>
      </w:pPr>
      <w:r>
        <w:rPr>
          <w:rFonts w:ascii="Calibri"/>
          <w:sz w:val="22"/>
        </w:rPr>
        <w:t>HEMORRRAGIAS 19%</w:t>
      </w:r>
    </w:p>
    <w:p>
      <w:pPr>
        <w:spacing w:after="0"/>
        <w:jc w:val="left"/>
        <w:rPr>
          <w:rFonts w:ascii="Calibri"/>
          <w:sz w:val="22"/>
        </w:rPr>
        <w:sectPr>
          <w:type w:val="continuous"/>
          <w:pgSz w:w="12240" w:h="15840"/>
          <w:pgMar w:top="1360" w:bottom="280" w:left="1600" w:right="1060"/>
          <w:cols w:num="2" w:equalWidth="0">
            <w:col w:w="4223" w:space="40"/>
            <w:col w:w="5317"/>
          </w:cols>
        </w:sectPr>
      </w:pPr>
    </w:p>
    <w:p>
      <w:pPr>
        <w:pStyle w:val="BodyText"/>
        <w:rPr>
          <w:rFonts w:ascii="Calibri"/>
          <w:sz w:val="20"/>
        </w:rPr>
      </w:pPr>
    </w:p>
    <w:p>
      <w:pPr>
        <w:pStyle w:val="BodyText"/>
        <w:rPr>
          <w:rFonts w:ascii="Calibri"/>
          <w:sz w:val="19"/>
        </w:rPr>
      </w:pPr>
    </w:p>
    <w:p>
      <w:pPr>
        <w:pStyle w:val="BodyText"/>
        <w:spacing w:before="51"/>
        <w:ind w:left="2961" w:right="6137" w:hanging="171"/>
        <w:rPr>
          <w:rFonts w:ascii="Calibri"/>
        </w:rPr>
      </w:pPr>
      <w:r>
        <w:rPr>
          <w:rFonts w:ascii="Calibri"/>
        </w:rPr>
        <w:t>SEPSIS 2%</w:t>
      </w:r>
    </w:p>
    <w:p>
      <w:pPr>
        <w:pStyle w:val="BodyText"/>
        <w:rPr>
          <w:rFonts w:ascii="Calibri"/>
          <w:sz w:val="20"/>
        </w:rPr>
      </w:pPr>
    </w:p>
    <w:p>
      <w:pPr>
        <w:pStyle w:val="BodyText"/>
        <w:rPr>
          <w:rFonts w:ascii="Calibri"/>
          <w:sz w:val="22"/>
        </w:rPr>
      </w:pPr>
    </w:p>
    <w:p>
      <w:pPr>
        <w:spacing w:before="89"/>
        <w:ind w:left="3174" w:right="3192" w:firstLine="0"/>
        <w:jc w:val="center"/>
        <w:rPr>
          <w:sz w:val="8"/>
        </w:rPr>
      </w:pPr>
      <w:r>
        <w:rPr>
          <w:sz w:val="12"/>
        </w:rPr>
        <w:t>México. Principales causas de muerte, 2014. SINAC/SSA. </w:t>
      </w:r>
      <w:r>
        <w:rPr>
          <w:position w:val="6"/>
          <w:sz w:val="8"/>
        </w:rPr>
        <w:t>4</w:t>
      </w:r>
    </w:p>
    <w:p>
      <w:pPr>
        <w:pStyle w:val="BodyText"/>
        <w:spacing w:line="355" w:lineRule="auto" w:before="68"/>
        <w:ind w:left="102" w:right="119" w:firstLine="199"/>
        <w:jc w:val="both"/>
        <w:rPr>
          <w:sz w:val="16"/>
        </w:rPr>
      </w:pPr>
      <w:r>
        <w:rPr/>
        <w:t>Tomando en cuenta estos antecedentes, el Plan Nacional de desarrollo 2013-2018,  El programa Sectorial de Salud y el Programa de Acción Especifico de Salud Materna y Perinatal consideran en sus objetivos y estrategias asegurar el acceso a los servicios de salud, garantizar el acceso efectivo a servicios de salud de calidad, para fortalecer la atención oportuna y de calidad en emergencias obstétricas considerando redes efectivas interinstitucionales de</w:t>
      </w:r>
      <w:r>
        <w:rPr>
          <w:spacing w:val="-12"/>
        </w:rPr>
        <w:t> </w:t>
      </w:r>
      <w:r>
        <w:rPr/>
        <w:t>servicios.</w:t>
      </w:r>
      <w:r>
        <w:rPr>
          <w:position w:val="11"/>
          <w:sz w:val="16"/>
        </w:rPr>
        <w:t>5-6</w:t>
      </w:r>
    </w:p>
    <w:p>
      <w:pPr>
        <w:spacing w:after="0" w:line="355" w:lineRule="auto"/>
        <w:jc w:val="both"/>
        <w:rPr>
          <w:sz w:val="16"/>
        </w:rPr>
        <w:sectPr>
          <w:type w:val="continuous"/>
          <w:pgSz w:w="12240" w:h="15840"/>
          <w:pgMar w:top="1360" w:bottom="280" w:left="1600" w:right="1060"/>
        </w:sectPr>
      </w:pPr>
    </w:p>
    <w:p>
      <w:pPr>
        <w:pStyle w:val="BodyText"/>
        <w:spacing w:before="7"/>
        <w:rPr>
          <w:sz w:val="22"/>
        </w:rPr>
      </w:pPr>
    </w:p>
    <w:p>
      <w:pPr>
        <w:pStyle w:val="BodyText"/>
        <w:spacing w:line="350" w:lineRule="auto" w:before="69"/>
        <w:ind w:left="102" w:right="119" w:firstLine="134"/>
        <w:jc w:val="both"/>
        <w:rPr>
          <w:sz w:val="16"/>
        </w:rPr>
      </w:pPr>
      <w:r>
        <w:rPr/>
        <w:t>Para cumplir los objetivos se han realizado en diferentes instituciones públicas y privadas lineamientos los cuales tienen como objetivo proporcionar una atención inmediata por equipos multidisciplinarios de alta competitividad, en caso de presentarse alguna emergencia obstétrica. </w:t>
      </w:r>
      <w:r>
        <w:rPr>
          <w:position w:val="11"/>
          <w:sz w:val="16"/>
        </w:rPr>
        <w:t>7</w:t>
      </w:r>
    </w:p>
    <w:p>
      <w:pPr>
        <w:pStyle w:val="BodyText"/>
        <w:spacing w:before="8"/>
        <w:rPr>
          <w:sz w:val="35"/>
        </w:rPr>
      </w:pPr>
    </w:p>
    <w:p>
      <w:pPr>
        <w:pStyle w:val="BodyText"/>
        <w:spacing w:line="360" w:lineRule="auto" w:before="1"/>
        <w:ind w:left="102" w:right="123" w:firstLine="180"/>
        <w:jc w:val="both"/>
      </w:pPr>
      <w:r>
        <w:rPr/>
        <w:t>Además, se han desarrollado estrategias asistenciales de enseñanza e investigación, algunas de ellas con resultados contundentes en la disminución de la mortalidad materna hospitalaria, dentro de estas estrategias la creación de unidades especializadas en Cuidados Críticos Obstétricos e implementación de protocolos de respuesta inmediata. Esta estrategia asistencial, inicialmente fue desarrollada en el Hospital de Ginecología y Obstetricia del Sistema para el Desarrollo Integral de la Familia del Estado de México (DIFEM), y que posteriormente cambió de nombre a Instituto Materno Infantil del Estado de México. A partir del 2007 esta estrategia fue adoptada en el Hospital Perinatal del Instituto de Salud del Estado de México (ISEM). (Estrategias para reducir la mortalidad materna Hospitalaria en el Estado de México)</w:t>
      </w:r>
    </w:p>
    <w:p>
      <w:pPr>
        <w:pStyle w:val="BodyText"/>
      </w:pPr>
    </w:p>
    <w:p>
      <w:pPr>
        <w:pStyle w:val="BodyText"/>
        <w:spacing w:line="360" w:lineRule="auto" w:before="142"/>
        <w:ind w:left="102" w:right="113" w:firstLine="268"/>
        <w:jc w:val="both"/>
      </w:pPr>
      <w:r>
        <w:rPr/>
        <w:t>Considerando que el embarazo y el trabajo de parto son eventos fisiológicos normales, el observar los signos vitales es parte integral de la atención. Hay una posibilidad de que cualquier mujer gestante o posparto presente riesgo de deterioro fisiológico, y el mismo no siempre se puede predecir. Existe evidencia de que hay  pobre reconocimiento de deterioro de la condición materna y la detección temprana de la enfermedad grave en las madres, continúa siendo un desafío para todos los profesionales involucrados en su cuidado. El registro y documentación regular  de signos vitales ayudarán al reconocimiento temprano de cualquier cambio en </w:t>
      </w:r>
      <w:r>
        <w:rPr>
          <w:spacing w:val="-3"/>
        </w:rPr>
        <w:t>la  </w:t>
      </w:r>
      <w:r>
        <w:rPr/>
        <w:t>condición de una  mujer,  y  proveerá  a  tiempo  el  tratamiento  necesario  según  sea el caso. El sistema de puntuación de alerta temprana de morbilidad materna utilizado  en algunas partes de América Latina (Score MAMÁ) fue desarrollado con el objetivo de clasificar la gravedad de las pacientes y precisar la acción necesaria y oportuna para </w:t>
      </w:r>
      <w:r>
        <w:rPr>
          <w:spacing w:val="-3"/>
        </w:rPr>
        <w:t>la </w:t>
      </w:r>
      <w:r>
        <w:rPr/>
        <w:t>correcta toma de decisiones, mediante el uso de una herramienta</w:t>
      </w:r>
      <w:r>
        <w:rPr>
          <w:spacing w:val="-22"/>
        </w:rPr>
        <w:t> </w:t>
      </w:r>
      <w:r>
        <w:rPr/>
        <w:t>objetiva.</w:t>
      </w:r>
    </w:p>
    <w:p>
      <w:pPr>
        <w:spacing w:after="0" w:line="360" w:lineRule="auto"/>
        <w:jc w:val="both"/>
        <w:sectPr>
          <w:pgSz w:w="12240" w:h="15840"/>
          <w:pgMar w:header="0" w:footer="1737" w:top="1500" w:bottom="1960" w:left="1600" w:right="1060"/>
        </w:sectPr>
      </w:pPr>
    </w:p>
    <w:p>
      <w:pPr>
        <w:pStyle w:val="BodyText"/>
        <w:spacing w:line="352" w:lineRule="auto" w:before="54"/>
        <w:ind w:left="102" w:right="117" w:firstLine="201"/>
        <w:jc w:val="both"/>
        <w:rPr>
          <w:sz w:val="16"/>
        </w:rPr>
      </w:pPr>
      <w:r>
        <w:rPr/>
        <w:t>Para la elaboración de esta herramienta se consideraron los cambios fisiológicos dados durante el embarazo (Tejada, 2007),y se utilizó el Score MEOWS (Modified Early Obstetric Warning Score)(Albright, 2014) validada para patología múltiple, misma </w:t>
      </w:r>
      <w:r>
        <w:rPr>
          <w:spacing w:val="-2"/>
        </w:rPr>
        <w:t>que </w:t>
      </w:r>
      <w:r>
        <w:rPr/>
        <w:t>se adaptó para el área obstétrica y fue consolidada bajo la opinión de profesionales con experiencia en el área.</w:t>
      </w:r>
      <w:r>
        <w:rPr>
          <w:spacing w:val="-10"/>
        </w:rPr>
        <w:t> </w:t>
      </w:r>
      <w:r>
        <w:rPr>
          <w:position w:val="11"/>
          <w:sz w:val="16"/>
        </w:rPr>
        <w:t>8</w:t>
      </w:r>
    </w:p>
    <w:p>
      <w:pPr>
        <w:pStyle w:val="BodyText"/>
        <w:spacing w:before="5"/>
        <w:rPr>
          <w:sz w:val="35"/>
        </w:rPr>
      </w:pPr>
    </w:p>
    <w:p>
      <w:pPr>
        <w:pStyle w:val="BodyText"/>
        <w:spacing w:line="360" w:lineRule="auto" w:before="1"/>
        <w:ind w:left="102" w:right="127" w:firstLine="268"/>
        <w:jc w:val="both"/>
      </w:pPr>
      <w:r>
        <w:rPr/>
        <w:t>La detección temprana de la enfermedad en pacientes obstétricas es un gran reto. Este deterioro se presenta por lo regular entre las 6 y 8 horas previas a la parada cardiorrespiratoria, pero las señales de advertencia de deterioro clínico no se detectaron.</w:t>
      </w:r>
    </w:p>
    <w:p>
      <w:pPr>
        <w:pStyle w:val="BodyText"/>
        <w:spacing w:before="7"/>
      </w:pPr>
    </w:p>
    <w:p>
      <w:pPr>
        <w:pStyle w:val="BodyText"/>
        <w:spacing w:line="348" w:lineRule="auto"/>
        <w:ind w:left="102" w:right="117" w:firstLine="268"/>
        <w:jc w:val="both"/>
        <w:rPr>
          <w:sz w:val="16"/>
        </w:rPr>
      </w:pPr>
      <w:r>
        <w:rPr/>
        <w:t>Se ha descrito que hasta un 84 % de las pacientes obstétricas hospitalizadas que desarrollan colapso materno presentaba signos de deterioro en las 8 horas previas al paro cardio-respiratorio</w:t>
      </w:r>
      <w:r>
        <w:rPr>
          <w:position w:val="11"/>
          <w:sz w:val="16"/>
        </w:rPr>
        <w:t>8</w:t>
      </w:r>
      <w:r>
        <w:rPr/>
        <w:t>. De esta manera, el manejo adecuado de las entidades que conducen al colapso materno es primordial, así como la existencia de criterios de activación de los sistemas de alarma y el apoyo de equipos de respuesta rápida en obstetricia. </w:t>
      </w:r>
      <w:r>
        <w:rPr>
          <w:position w:val="11"/>
          <w:sz w:val="16"/>
        </w:rPr>
        <w:t>9</w:t>
      </w:r>
    </w:p>
    <w:p>
      <w:pPr>
        <w:pStyle w:val="BodyText"/>
        <w:spacing w:before="6"/>
      </w:pPr>
    </w:p>
    <w:p>
      <w:pPr>
        <w:pStyle w:val="BodyText"/>
        <w:spacing w:line="350" w:lineRule="auto" w:before="1"/>
        <w:ind w:left="102" w:right="119" w:firstLine="134"/>
        <w:jc w:val="both"/>
        <w:rPr>
          <w:sz w:val="16"/>
        </w:rPr>
      </w:pPr>
      <w:r>
        <w:rPr/>
        <w:t>Actualmente se dispone del Sistema de Alerta Temprana Modificado para Obstetricia (Modified Early Obstetric Warning System - MEOWS), herramienta que  permite detectar precozmente gestantes con deterioro de parámetros fisiológicos y disfunción orgánica que podrían desarrollar colapso materno, con el fin de manejarlas de manera oportuna y en los sitios adecuados, tales como: las unidades de cuidados especiales, alta dependencia obstétrica o cuidados intensivos.</w:t>
      </w:r>
      <w:r>
        <w:rPr>
          <w:position w:val="11"/>
          <w:sz w:val="16"/>
        </w:rPr>
        <w:t>10 </w:t>
      </w:r>
      <w:r>
        <w:rPr/>
        <w:t>Dicho sistema es actualmente recomendado por el Consenso Colombiano para la definición de los criterios de ingreso a unidades de cuidados intensivos en la paciente embarazada críticamente enferma .</w:t>
      </w:r>
      <w:r>
        <w:rPr>
          <w:position w:val="11"/>
          <w:sz w:val="16"/>
        </w:rPr>
        <w:t>11</w:t>
      </w:r>
    </w:p>
    <w:p>
      <w:pPr>
        <w:pStyle w:val="BodyText"/>
        <w:spacing w:before="1"/>
      </w:pPr>
    </w:p>
    <w:p>
      <w:pPr>
        <w:pStyle w:val="BodyText"/>
        <w:spacing w:line="360" w:lineRule="auto"/>
        <w:ind w:left="102" w:right="123" w:firstLine="201"/>
        <w:jc w:val="both"/>
      </w:pPr>
      <w:r>
        <w:rPr/>
        <w:t>En el año 2010, se publica el International Consensus on Cardiopulmonary Resuscitation and Emergency Cardiovascular Care Science With Treatment Recommendations, que enuncia los cambios más recientes en reanimación cardiopulmonar; a su vez, se presentan las recomendaciones para grupos especiales,</w:t>
      </w:r>
    </w:p>
    <w:p>
      <w:pPr>
        <w:pStyle w:val="BodyText"/>
        <w:spacing w:before="7"/>
      </w:pPr>
    </w:p>
    <w:p>
      <w:pPr>
        <w:pStyle w:val="Heading1"/>
        <w:spacing w:before="0"/>
        <w:ind w:left="3174" w:right="3191"/>
        <w:jc w:val="center"/>
      </w:pPr>
      <w:r>
        <w:rPr/>
        <w:t>10</w:t>
      </w:r>
    </w:p>
    <w:p>
      <w:pPr>
        <w:spacing w:after="0"/>
        <w:jc w:val="center"/>
        <w:sectPr>
          <w:footerReference w:type="default" r:id="rId11"/>
          <w:pgSz w:w="12240" w:h="15840"/>
          <w:pgMar w:footer="0" w:header="0" w:top="1360" w:bottom="280" w:left="1600" w:right="1060"/>
        </w:sectPr>
      </w:pPr>
    </w:p>
    <w:p>
      <w:pPr>
        <w:pStyle w:val="BodyText"/>
        <w:spacing w:line="331" w:lineRule="auto" w:before="59"/>
        <w:ind w:left="102" w:right="101"/>
        <w:jc w:val="both"/>
        <w:rPr>
          <w:sz w:val="16"/>
        </w:rPr>
      </w:pPr>
      <w:r>
        <w:rPr/>
        <w:t>incluyendo la paciente obstétrica .</w:t>
      </w:r>
      <w:r>
        <w:rPr>
          <w:position w:val="11"/>
          <w:sz w:val="16"/>
        </w:rPr>
        <w:t>12 </w:t>
      </w:r>
      <w:r>
        <w:rPr/>
        <w:t>Estas recomendaciones han sido adoptadas por los grupos especializados en reanimación y medicina de emergencias en todo el mundo. </w:t>
      </w:r>
      <w:r>
        <w:rPr>
          <w:position w:val="11"/>
          <w:sz w:val="16"/>
        </w:rPr>
        <w:t>13</w:t>
      </w:r>
    </w:p>
    <w:p>
      <w:pPr>
        <w:pStyle w:val="BodyText"/>
        <w:spacing w:before="2"/>
        <w:rPr>
          <w:sz w:val="26"/>
        </w:rPr>
      </w:pPr>
    </w:p>
    <w:p>
      <w:pPr>
        <w:pStyle w:val="BodyText"/>
        <w:spacing w:line="350" w:lineRule="auto"/>
        <w:ind w:left="102" w:right="99" w:firstLine="134"/>
        <w:jc w:val="both"/>
      </w:pPr>
      <w:r>
        <w:rPr/>
        <w:t>En el 2014 se publica el Consenso de la Sociedad de Anestesia Obstétrica y Perinatología (SOAP) que adopta estas recomendaciones y las complementa con nuevas recomendaciones de estudios realizados luego del 2010. </w:t>
      </w:r>
      <w:r>
        <w:rPr>
          <w:position w:val="11"/>
          <w:sz w:val="16"/>
        </w:rPr>
        <w:t>14 </w:t>
      </w:r>
      <w:r>
        <w:rPr/>
        <w:t>Recientemente se publicaron  los  resultados  del  análisis  de  Paro  Cardio  Respiratorio  en      gestantes</w:t>
      </w:r>
    </w:p>
    <w:p>
      <w:pPr>
        <w:pStyle w:val="BodyText"/>
        <w:spacing w:line="360" w:lineRule="auto" w:before="13"/>
        <w:ind w:left="102" w:right="105"/>
        <w:jc w:val="both"/>
      </w:pPr>
      <w:r>
        <w:rPr/>
        <w:t>hospitalizadas en los Estados Unidos reportando un episodio de PCR por cada 12.000 hospitalizaciones para atención del parto y una sobrevida al alta hospitalaria del 58,9</w:t>
      </w:r>
    </w:p>
    <w:p>
      <w:pPr>
        <w:pStyle w:val="BodyText"/>
        <w:spacing w:line="345" w:lineRule="auto" w:before="5"/>
        <w:ind w:left="102" w:right="106"/>
        <w:jc w:val="both"/>
        <w:rPr>
          <w:sz w:val="16"/>
        </w:rPr>
      </w:pPr>
      <w:r>
        <w:rPr/>
        <w:t>%, la más alta reportada hasta ahora en esta población. Estos resultados probablemente son atribuibles a mejores competencias, infraestructura y adherencia a los protocolos de manejo del PCR en la gestante. </w:t>
      </w:r>
      <w:r>
        <w:rPr>
          <w:position w:val="11"/>
          <w:sz w:val="16"/>
        </w:rPr>
        <w:t>14</w:t>
      </w:r>
    </w:p>
    <w:p>
      <w:pPr>
        <w:pStyle w:val="BodyText"/>
        <w:spacing w:before="7"/>
      </w:pPr>
    </w:p>
    <w:p>
      <w:pPr>
        <w:pStyle w:val="BodyText"/>
        <w:spacing w:line="360" w:lineRule="auto"/>
        <w:ind w:left="102" w:right="103" w:firstLine="134"/>
        <w:jc w:val="both"/>
      </w:pPr>
      <w:r>
        <w:rPr/>
        <w:t>Es muy importante que los profesionales de la salud involucrados en el manejo de gestantes (obstetras, enfermeras, médicos generales y de emergencias, anestesiólogos, intensivistas, entre otros) conozcan los principios fundamentales y más actualizados en el manejo del Paro Cardio-Respiratorio en estas pacientes, entiendan que su tratamiento debe ser abordado de manera interdisciplinaria y que deben prepararse en escenarios de simulación para el personal de salud que labora en   salas</w:t>
      </w:r>
    </w:p>
    <w:p>
      <w:pPr>
        <w:pStyle w:val="BodyText"/>
        <w:spacing w:line="328" w:lineRule="auto" w:before="2"/>
        <w:ind w:right="107"/>
        <w:jc w:val="right"/>
        <w:rPr>
          <w:sz w:val="16"/>
        </w:rPr>
      </w:pPr>
      <w:r>
        <w:rPr/>
        <w:t>de trabajo de parto así como en salas de cirugía con el fin de obtener competencias técnicas y no técnicas orientadas a mejorar los desenlaces en el binomio madre-hijo. </w:t>
      </w:r>
      <w:r>
        <w:rPr>
          <w:position w:val="11"/>
          <w:sz w:val="16"/>
        </w:rPr>
        <w:t>14</w:t>
      </w:r>
    </w:p>
    <w:p>
      <w:pPr>
        <w:pStyle w:val="BodyText"/>
        <w:spacing w:before="7"/>
        <w:rPr>
          <w:sz w:val="26"/>
        </w:rPr>
      </w:pPr>
    </w:p>
    <w:p>
      <w:pPr>
        <w:pStyle w:val="BodyText"/>
        <w:spacing w:line="360" w:lineRule="auto" w:before="1"/>
        <w:ind w:left="102" w:right="103" w:firstLine="201"/>
        <w:jc w:val="both"/>
      </w:pPr>
      <w:r>
        <w:rPr/>
        <w:t>Un informe del Reino Unido encontró que las tres razones más comunes de mortalidad potencialmente evitable, en hospitales del mismo lugar, se enumeraron el mal manejo de deterioro (35%), la falta de prevención (26%) y la comprobación deficiente de supervisión (10%), donde se incluye la monitorización de los  signos vitales. El deterioro de la condición del paciente puede ocurrir posiblemente en el período durante el cual los signos vitales no se miden, generalmente y en teoría,  parece ser suficiente tiempo para realizar intervenciones que puedan alterar la trayectoria de</w:t>
      </w:r>
      <w:r>
        <w:rPr>
          <w:spacing w:val="-9"/>
        </w:rPr>
        <w:t> </w:t>
      </w:r>
      <w:r>
        <w:rPr/>
        <w:t>deterioro.</w:t>
      </w:r>
    </w:p>
    <w:p>
      <w:pPr>
        <w:spacing w:after="0" w:line="360" w:lineRule="auto"/>
        <w:jc w:val="both"/>
        <w:sectPr>
          <w:footerReference w:type="default" r:id="rId12"/>
          <w:pgSz w:w="12240" w:h="15840"/>
          <w:pgMar w:footer="1761" w:header="0" w:top="1320" w:bottom="1960" w:left="1600" w:right="1080"/>
          <w:pgNumType w:start="11"/>
        </w:sectPr>
      </w:pPr>
    </w:p>
    <w:p>
      <w:pPr>
        <w:pStyle w:val="BodyText"/>
        <w:spacing w:line="360" w:lineRule="auto" w:before="54"/>
        <w:ind w:left="102" w:right="117" w:firstLine="201"/>
        <w:jc w:val="both"/>
      </w:pPr>
      <w:r>
        <w:rPr/>
        <w:t>Los hallazgos de estas investigaciones sugieren que el número de eventos adversos prevenibles que se producen en los hospitales, sobre todo en unidades generales donde el paciente está menos vigilado (en comparación a unidades especializadas como quirófanos y la UCI), podría ser reducido si el deterioro de los pacientes fuera identificado a tiempo. Cabe resaltar que, un evento adverso prevenible es el mal resultado de la atención, que puede ser prevenido con el estado de conocimiento.  En el Reino Unido se ha implementado la escala modificada para detección temprana, mejorando la atención de las pacientes obstétricas. La tasa de muerte materna en Reino Unido disminuyó a 12 muertes por 100,000 nacimientos en el 2010. Ridge y et al, en un país africano en Ghana donde se atienden aproximadamente 9,000 nacimientos con</w:t>
      </w:r>
      <w:r>
        <w:rPr>
          <w:spacing w:val="23"/>
        </w:rPr>
        <w:t> </w:t>
      </w:r>
      <w:r>
        <w:rPr/>
        <w:t>45</w:t>
      </w:r>
      <w:r>
        <w:rPr>
          <w:spacing w:val="23"/>
        </w:rPr>
        <w:t> </w:t>
      </w:r>
      <w:r>
        <w:rPr/>
        <w:t>muertes</w:t>
      </w:r>
      <w:r>
        <w:rPr>
          <w:spacing w:val="20"/>
        </w:rPr>
        <w:t> </w:t>
      </w:r>
      <w:r>
        <w:rPr/>
        <w:t>maternas</w:t>
      </w:r>
      <w:r>
        <w:rPr>
          <w:spacing w:val="22"/>
        </w:rPr>
        <w:t> </w:t>
      </w:r>
      <w:r>
        <w:rPr/>
        <w:t>en</w:t>
      </w:r>
      <w:r>
        <w:rPr>
          <w:spacing w:val="23"/>
        </w:rPr>
        <w:t> </w:t>
      </w:r>
      <w:r>
        <w:rPr/>
        <w:t>el</w:t>
      </w:r>
      <w:r>
        <w:rPr>
          <w:spacing w:val="21"/>
        </w:rPr>
        <w:t> </w:t>
      </w:r>
      <w:r>
        <w:rPr/>
        <w:t>año</w:t>
      </w:r>
      <w:r>
        <w:rPr>
          <w:spacing w:val="23"/>
        </w:rPr>
        <w:t> </w:t>
      </w:r>
      <w:r>
        <w:rPr/>
        <w:t>2014,</w:t>
      </w:r>
      <w:r>
        <w:rPr>
          <w:spacing w:val="22"/>
        </w:rPr>
        <w:t> </w:t>
      </w:r>
      <w:r>
        <w:rPr/>
        <w:t>en</w:t>
      </w:r>
      <w:r>
        <w:rPr>
          <w:spacing w:val="23"/>
        </w:rPr>
        <w:t> </w:t>
      </w:r>
      <w:r>
        <w:rPr/>
        <w:t>donde</w:t>
      </w:r>
      <w:r>
        <w:rPr>
          <w:spacing w:val="20"/>
        </w:rPr>
        <w:t> </w:t>
      </w:r>
      <w:r>
        <w:rPr/>
        <w:t>no</w:t>
      </w:r>
      <w:r>
        <w:rPr>
          <w:spacing w:val="23"/>
        </w:rPr>
        <w:t> </w:t>
      </w:r>
      <w:r>
        <w:rPr/>
        <w:t>se</w:t>
      </w:r>
      <w:r>
        <w:rPr>
          <w:spacing w:val="23"/>
        </w:rPr>
        <w:t> </w:t>
      </w:r>
      <w:r>
        <w:rPr/>
        <w:t>cuenta</w:t>
      </w:r>
      <w:r>
        <w:rPr>
          <w:spacing w:val="21"/>
        </w:rPr>
        <w:t> </w:t>
      </w:r>
      <w:r>
        <w:rPr/>
        <w:t>con</w:t>
      </w:r>
      <w:r>
        <w:rPr>
          <w:spacing w:val="23"/>
        </w:rPr>
        <w:t> </w:t>
      </w:r>
      <w:r>
        <w:rPr/>
        <w:t>un</w:t>
      </w:r>
      <w:r>
        <w:rPr>
          <w:spacing w:val="23"/>
        </w:rPr>
        <w:t> </w:t>
      </w:r>
      <w:r>
        <w:rPr/>
        <w:t>sistema</w:t>
      </w:r>
      <w:r>
        <w:rPr>
          <w:spacing w:val="20"/>
        </w:rPr>
        <w:t> </w:t>
      </w:r>
      <w:r>
        <w:rPr/>
        <w:t>de</w:t>
      </w:r>
    </w:p>
    <w:p>
      <w:pPr>
        <w:pStyle w:val="BodyText"/>
        <w:spacing w:line="328" w:lineRule="auto" w:before="5"/>
        <w:ind w:left="102" w:right="145"/>
        <w:rPr>
          <w:sz w:val="16"/>
        </w:rPr>
      </w:pPr>
      <w:r>
        <w:rPr/>
        <w:t>puntuación temprana, con la implementación de sistema de detección (ERIO), equipo de respuesta inmediata tiene el potencial de disminuir resultados adversos. </w:t>
      </w:r>
      <w:r>
        <w:rPr>
          <w:position w:val="11"/>
          <w:sz w:val="16"/>
        </w:rPr>
        <w:t>16</w:t>
      </w:r>
    </w:p>
    <w:p>
      <w:pPr>
        <w:pStyle w:val="BodyText"/>
        <w:spacing w:before="1"/>
        <w:rPr>
          <w:sz w:val="38"/>
        </w:rPr>
      </w:pPr>
    </w:p>
    <w:p>
      <w:pPr>
        <w:pStyle w:val="BodyText"/>
        <w:spacing w:line="360" w:lineRule="auto" w:before="1"/>
        <w:ind w:left="102" w:right="127" w:firstLine="201"/>
        <w:jc w:val="both"/>
      </w:pPr>
      <w:r>
        <w:rPr/>
        <w:t>En este estudio retrospectivo donde se analizaron las muertes maternas en el año 2014, para determinar sin una escala o sistema de alerta temprana podría ser aplicable en un entorno de recursos bajo. Se tomaron en cuenta signos vitales graves en el departamento de obstetricia y anestesiología. Presión Arterial Sistémica &gt; 200 o &lt; 80 mmHg, Frecuencia Cardiaca &gt; 140 x´, saturación por oximetría de pulso &lt;90%, Frecuencia respiratoria &gt; 40 lpm y alteraciones en el estado de alerta. Encontrando que de las 45 muertes maternas, 37 expedientes (82.2%) tenían algún rango dentro de los parámetros severos, estando presentes 40 horas previas de la muerte y el 100% de los expedientes tenían malos reportes. Por lo que en la mayoría de las muertes maternas se presentan signos vitales graves, por lo que una intervención tardía, retraso e incluso ausencia de intervención condujeron a un mal resultado. Siendo una de las causas de morbilidad y mortalidad materna la hemorragia obstétrica, se ha observado en el Reino Unido que el monitoreo con una escala de todas las mujeres, posterior a cesárea, por  lo menos 24 horas después del nacimiento, puntajes anormales de esta escala MEOWS se deben investigar y actuar sin</w:t>
      </w:r>
      <w:r>
        <w:rPr>
          <w:spacing w:val="-15"/>
        </w:rPr>
        <w:t> </w:t>
      </w:r>
      <w:r>
        <w:rPr/>
        <w:t>demora.</w:t>
      </w:r>
    </w:p>
    <w:p>
      <w:pPr>
        <w:spacing w:after="0" w:line="360" w:lineRule="auto"/>
        <w:jc w:val="both"/>
        <w:sectPr>
          <w:pgSz w:w="12240" w:h="15840"/>
          <w:pgMar w:header="0" w:footer="1761" w:top="1360" w:bottom="1960" w:left="1600" w:right="1060"/>
        </w:sectPr>
      </w:pPr>
    </w:p>
    <w:p>
      <w:pPr>
        <w:pStyle w:val="BodyText"/>
        <w:spacing w:line="360" w:lineRule="auto" w:before="54"/>
        <w:ind w:left="102" w:right="108" w:firstLine="201"/>
        <w:jc w:val="both"/>
      </w:pPr>
      <w:r>
        <w:rPr/>
        <w:t>Las mujeres que se saben con riesgo de hemorragia grave: placenta previa, placenta acreta, deben ser atendidas en centros hospitalarios que cuenten con Unidad de Cuidados Intensivos, radiología intervencionista.</w:t>
      </w:r>
    </w:p>
    <w:p>
      <w:pPr>
        <w:pStyle w:val="BodyText"/>
      </w:pPr>
    </w:p>
    <w:p>
      <w:pPr>
        <w:pStyle w:val="BodyText"/>
        <w:spacing w:line="360" w:lineRule="auto" w:before="142"/>
        <w:ind w:left="102" w:right="100" w:firstLine="201"/>
        <w:jc w:val="both"/>
      </w:pPr>
      <w:r>
        <w:rPr/>
        <w:t>La NICE desarrolló una guía para el manejo del paciente agudo para reconocer y responder al deterioro. En ella propone un esquema de valoración y respuesta. Recomienda el uso de sistemas agregados ponderados (como el MEWS) para la monitorización fisiológica, cuya frecuencia debe ser como mínimo de cada 12 horas, incrementando si es detectada alguna anormalidad fisiológica. Esta guía orienta sobre las acciones a emprender según el nivel de gravedad del paciente (el algoritmo). También define un número mínimo de parámetros fisiológicos que deberían ser integrados (FR, FC, TAS, SatO2, Tª, nivel de consciencia), como parte de la valoración inicial y de la monitorización rutinaria, y delimita otros parámetros que deberían ser considerados en circunstancias específicas (diuresis, dolor, y análisis bioquímicos). Asimismo, recomienda que los límites de disparo deberían ser establecidos localmente y que deben ser revisados regularmente para optimizar la sensibilidad y especificidad. La estructura y organización del MEWS, responde a las recomendaciones de la   NICE,</w:t>
      </w:r>
    </w:p>
    <w:p>
      <w:pPr>
        <w:pStyle w:val="BodyText"/>
        <w:spacing w:line="282" w:lineRule="exact"/>
        <w:ind w:left="102" w:right="179"/>
        <w:rPr>
          <w:sz w:val="16"/>
        </w:rPr>
      </w:pPr>
      <w:r>
        <w:rPr/>
        <w:t>para el adecuado manejo de todo paciente agudo hospitalizado. </w:t>
      </w:r>
      <w:r>
        <w:rPr>
          <w:position w:val="11"/>
          <w:sz w:val="16"/>
        </w:rPr>
        <w:t>18</w:t>
      </w:r>
    </w:p>
    <w:p>
      <w:pPr>
        <w:pStyle w:val="BodyText"/>
        <w:rPr>
          <w:sz w:val="28"/>
        </w:rPr>
      </w:pPr>
    </w:p>
    <w:p>
      <w:pPr>
        <w:pStyle w:val="BodyText"/>
        <w:spacing w:line="360" w:lineRule="auto" w:before="230"/>
        <w:ind w:left="102" w:right="100" w:firstLine="201"/>
        <w:jc w:val="both"/>
      </w:pPr>
      <w:r>
        <w:rPr/>
        <w:t>El uso del Score no exige el manejo en cuidados críticos o definir el tratamiento, pero es una herramienta para ayudar a la identificación precoz y el manejo en la mujer en deterioro. Sin embargo ninguna herramienta puede reemplazar el examen físico de una mujer y la evaluación clínica de su condición. En algunos casos donde se presenta el colapso materno, se puede presentar sin previo aviso, aunque puede haber factores de riesgo existente que hacen que esto sea más probable. A menudo existen  datos clínicos que preceden al colapso. En los últimos informes de Saving Mothers Lives, se identificó atención deficiente, donde los signos y síntomas no fueron reconocidos y por tanto actuar en su consecuencia tardía.</w:t>
      </w:r>
    </w:p>
    <w:p>
      <w:pPr>
        <w:spacing w:after="0" w:line="360" w:lineRule="auto"/>
        <w:jc w:val="both"/>
        <w:sectPr>
          <w:pgSz w:w="12240" w:h="15840"/>
          <w:pgMar w:header="0" w:footer="1761" w:top="1360" w:bottom="1960" w:left="1600" w:right="1080"/>
        </w:sectPr>
      </w:pPr>
    </w:p>
    <w:p>
      <w:pPr>
        <w:pStyle w:val="BodyText"/>
        <w:spacing w:line="345" w:lineRule="auto" w:before="54"/>
        <w:ind w:left="102" w:right="127" w:firstLine="201"/>
        <w:jc w:val="right"/>
        <w:rPr>
          <w:sz w:val="16"/>
        </w:rPr>
      </w:pPr>
      <w:r>
        <w:rPr/>
        <w:t>En ambos informes se recomienda que un sistema nacional de advertencia de</w:t>
      </w:r>
      <w:r>
        <w:rPr>
          <w:w w:val="99"/>
        </w:rPr>
        <w:t> </w:t>
      </w:r>
      <w:r>
        <w:rPr/>
        <w:t>puntuación obstétrica precoz debe ser introducido y utilizado, para todas las mujeres</w:t>
      </w:r>
      <w:r>
        <w:rPr>
          <w:w w:val="99"/>
        </w:rPr>
        <w:t> </w:t>
      </w:r>
      <w:r>
        <w:rPr/>
        <w:t>obstétricas, incluyendo los que están siendo atendidos fuera del entorno obstétrico. </w:t>
      </w:r>
      <w:r>
        <w:rPr>
          <w:position w:val="11"/>
          <w:sz w:val="16"/>
        </w:rPr>
        <w:t>17,18</w:t>
      </w:r>
    </w:p>
    <w:p>
      <w:pPr>
        <w:pStyle w:val="BodyText"/>
        <w:spacing w:before="3"/>
        <w:rPr>
          <w:sz w:val="36"/>
        </w:rPr>
      </w:pPr>
    </w:p>
    <w:p>
      <w:pPr>
        <w:pStyle w:val="BodyText"/>
        <w:spacing w:line="345" w:lineRule="auto"/>
        <w:ind w:left="102" w:right="128" w:firstLine="201"/>
        <w:jc w:val="both"/>
        <w:rPr>
          <w:sz w:val="16"/>
        </w:rPr>
      </w:pPr>
      <w:r>
        <w:rPr/>
        <w:t>El uso de una puntuación de alerta temprana también es apoyado por el NICE CG 50:2007. En muchos hospitales de maternidad han desarrollado sistemas para identificar pacientes graves. </w:t>
      </w:r>
      <w:r>
        <w:rPr>
          <w:position w:val="11"/>
          <w:sz w:val="16"/>
        </w:rPr>
        <w:t>18</w:t>
      </w:r>
    </w:p>
    <w:p>
      <w:pPr>
        <w:pStyle w:val="BodyText"/>
        <w:spacing w:before="3"/>
        <w:rPr>
          <w:sz w:val="36"/>
        </w:rPr>
      </w:pPr>
    </w:p>
    <w:p>
      <w:pPr>
        <w:pStyle w:val="BodyText"/>
        <w:spacing w:line="360" w:lineRule="auto"/>
        <w:ind w:left="102" w:right="117" w:firstLine="201"/>
        <w:jc w:val="both"/>
      </w:pPr>
      <w:r>
        <w:rPr/>
        <w:t>El  sistema  Modified  Early  Warning  Score  (MEWS)  fue  denominado  como  tal  por </w:t>
      </w:r>
      <w:r>
        <w:rPr>
          <w:i/>
        </w:rPr>
        <w:t>Subbe et al </w:t>
      </w:r>
      <w:r>
        <w:rPr/>
        <w:t>45 en el año 2001, aunque previamente </w:t>
      </w:r>
      <w:r>
        <w:rPr>
          <w:i/>
        </w:rPr>
        <w:t>Stenhouse et al </w:t>
      </w:r>
      <w:r>
        <w:rPr/>
        <w:t>47 había descrito    en    su    estudio    una    modificación     del     EWSs     más     básico.    Las variables que originalmente se incluyeron en el sistema fueron 5:  la  presión arterial sistólica (PAS), la frecuencia cardiaca (FC), la temperatura (Tª), la frecuencia respiratoria (FR) y el nivel de conciencia valorado mediante la puntuación AVDI (A para “alerta”, V de “reacciona a los estímulos verbales”, D para "reacciona ante el dolor', I de "inconsciente”).</w:t>
      </w:r>
    </w:p>
    <w:p>
      <w:pPr>
        <w:pStyle w:val="BodyText"/>
      </w:pPr>
    </w:p>
    <w:p>
      <w:pPr>
        <w:pStyle w:val="BodyText"/>
        <w:spacing w:line="360" w:lineRule="auto" w:before="142"/>
        <w:ind w:left="102" w:right="126" w:firstLine="201"/>
        <w:jc w:val="both"/>
      </w:pPr>
      <w:r>
        <w:rPr/>
        <w:t>Algunas instituciones han realizado modificaciones en el algoritmo de respuesta de la puntuación, según los estudios consultados, algunas añadiendo variables y modificando los puntos de cohorte y otras relacionando los resultados con colores de activación. Existe una variabilidad significativa en los sistemas MEWS en relación con el número de parámetros fisiológicos monitorizados y puntos de cohorte para los parámetros. En la actualidad, la escala está calibrada para diferentes poblaciones, pacientes adultos, de obstetricia (MEOWS), neonatología y pediatría. En la literatura, encontramos  la escala  aplicada en los  servicios  de  urgencias,  las  áreas</w:t>
      </w:r>
      <w:r>
        <w:rPr>
          <w:spacing w:val="49"/>
        </w:rPr>
        <w:t> </w:t>
      </w:r>
      <w:r>
        <w:rPr/>
        <w:t>generales,</w:t>
      </w:r>
    </w:p>
    <w:p>
      <w:pPr>
        <w:pStyle w:val="BodyText"/>
        <w:spacing w:line="282" w:lineRule="exact"/>
        <w:ind w:left="102" w:right="2718"/>
        <w:rPr>
          <w:sz w:val="16"/>
        </w:rPr>
      </w:pPr>
      <w:r>
        <w:rPr/>
        <w:t>tanto médicas como quirúrgicas y en la UCI, entre otros. </w:t>
      </w:r>
      <w:r>
        <w:rPr>
          <w:position w:val="11"/>
          <w:sz w:val="16"/>
        </w:rPr>
        <w:t>19,20,21</w:t>
      </w:r>
    </w:p>
    <w:p>
      <w:pPr>
        <w:pStyle w:val="BodyText"/>
        <w:rPr>
          <w:sz w:val="28"/>
        </w:rPr>
      </w:pPr>
    </w:p>
    <w:p>
      <w:pPr>
        <w:pStyle w:val="BodyText"/>
        <w:spacing w:line="360" w:lineRule="auto" w:before="230"/>
        <w:ind w:left="102" w:right="126" w:firstLine="201"/>
        <w:jc w:val="both"/>
      </w:pPr>
      <w:r>
        <w:rPr/>
        <w:t>La escala se puede aplicar tanto de manera manual, realizando el cálculo de la puntuación mediante gráficas en papel, o de manera automática utilizando un</w:t>
      </w:r>
      <w:r>
        <w:rPr>
          <w:spacing w:val="-27"/>
        </w:rPr>
        <w:t> </w:t>
      </w:r>
      <w:r>
        <w:rPr/>
        <w:t>programa informático.</w:t>
      </w:r>
    </w:p>
    <w:p>
      <w:pPr>
        <w:spacing w:after="0" w:line="360" w:lineRule="auto"/>
        <w:jc w:val="both"/>
        <w:sectPr>
          <w:pgSz w:w="12240" w:h="15840"/>
          <w:pgMar w:header="0" w:footer="1761" w:top="1360" w:bottom="1960" w:left="1600" w:right="1060"/>
        </w:sectPr>
      </w:pPr>
    </w:p>
    <w:p>
      <w:pPr>
        <w:pStyle w:val="BodyText"/>
        <w:spacing w:line="360" w:lineRule="auto" w:before="54"/>
        <w:ind w:left="102" w:right="119" w:firstLine="201"/>
        <w:jc w:val="both"/>
      </w:pPr>
      <w:r>
        <w:rPr/>
        <w:t>El cálculo manual, con o sin calculadora es el método más extendido ya que implica menos costos. Sin embargo, algunos estudios sugieren que el cálculo automático disminuye errores que podrían derivar en una activación no indicada del equipo de respuesta rápida y en una mejora en el registro de los signos vitales. En uno de los estudios se halló que del 43% de mediciones completas de los signos vitales solo el 14% de ellas fueron correctamente registradas en las gráficas manuales. La NICE desarrolló una guía para el manejo del paciente agudo para reconocer y responder al deterioro. En ella propone un esquema de valoración y respuesta en el cual se apoyan los equipos de respuesta. Recomienda el uso de tablas de múltiples parámetros o sistemas agregados ponderados (como el MEOWS) para la monitorización fisiológica, cuya</w:t>
      </w:r>
    </w:p>
    <w:p>
      <w:pPr>
        <w:pStyle w:val="BodyText"/>
        <w:spacing w:line="360" w:lineRule="auto" w:before="5"/>
        <w:ind w:left="102" w:right="117"/>
        <w:jc w:val="both"/>
      </w:pPr>
      <w:r>
        <w:rPr/>
        <w:t>frecuencia debe ser como mínimo de cada 12 horas, incrementando si es detectada alguna anormalidad fisiológica. Esta guía orienta sobre las acciones a  emprender según       el       nivel        de        gravedad        del        paciente.        También     define un número mínimo de parámetros fisiológicos que deberían ser integrados (FR, FC,  TAS,  SatO2,  Tª,  nivel  de  consciencia),  como  parte  de  la  valoración  inicial    y de la monitorización rutinaria, y delimita otros parámetros que deberían ser considerados en circunstancias específicas (diuresis, dolor, y análisis bioquímicos). Asimismo, recomienda que los límites de disparo deberían ser establecidos localmente y que deben ser revisados regularmente para optimizar la sensibilidad y especificidad de   estas   tablas.   La   estructura   y   organización   del   MEOWS,   responde   a  </w:t>
      </w:r>
      <w:r>
        <w:rPr>
          <w:spacing w:val="6"/>
        </w:rPr>
        <w:t> </w:t>
      </w:r>
      <w:r>
        <w:rPr/>
        <w:t>las</w:t>
      </w:r>
    </w:p>
    <w:p>
      <w:pPr>
        <w:pStyle w:val="BodyText"/>
        <w:spacing w:line="328" w:lineRule="auto" w:before="5"/>
        <w:ind w:left="102" w:right="126"/>
        <w:jc w:val="both"/>
        <w:rPr>
          <w:sz w:val="16"/>
        </w:rPr>
      </w:pPr>
      <w:r>
        <w:rPr/>
        <w:t>recomendaciones de la NICE, para el adecuado manejo de todo paciente agudo hospitalizado. </w:t>
      </w:r>
      <w:r>
        <w:rPr>
          <w:position w:val="11"/>
          <w:sz w:val="16"/>
        </w:rPr>
        <w:t>27</w:t>
      </w:r>
    </w:p>
    <w:p>
      <w:pPr>
        <w:pStyle w:val="BodyText"/>
        <w:spacing w:line="302" w:lineRule="exact"/>
        <w:ind w:left="303" w:right="2718"/>
      </w:pPr>
      <w:r>
        <w:rPr/>
        <w:t>La escala MEOWS incluye las siguientes variables </w:t>
      </w:r>
      <w:r>
        <w:rPr>
          <w:position w:val="11"/>
          <w:sz w:val="16"/>
        </w:rPr>
        <w:t>19</w:t>
      </w:r>
      <w:r>
        <w:rPr/>
        <w:t>:</w:t>
      </w:r>
    </w:p>
    <w:p>
      <w:pPr>
        <w:pStyle w:val="ListParagraph"/>
        <w:numPr>
          <w:ilvl w:val="0"/>
          <w:numId w:val="2"/>
        </w:numPr>
        <w:tabs>
          <w:tab w:pos="821" w:val="left" w:leader="none"/>
          <w:tab w:pos="822" w:val="left" w:leader="none"/>
        </w:tabs>
        <w:spacing w:line="240" w:lineRule="auto" w:before="137" w:after="0"/>
        <w:ind w:left="822" w:right="0" w:hanging="360"/>
        <w:jc w:val="left"/>
        <w:rPr>
          <w:sz w:val="24"/>
        </w:rPr>
      </w:pPr>
      <w:r>
        <w:rPr>
          <w:sz w:val="24"/>
        </w:rPr>
        <w:t>Temperatura</w:t>
      </w:r>
      <w:r>
        <w:rPr>
          <w:spacing w:val="-6"/>
          <w:sz w:val="24"/>
        </w:rPr>
        <w:t> </w:t>
      </w:r>
      <w:r>
        <w:rPr>
          <w:sz w:val="24"/>
        </w:rPr>
        <w:t>(°C)</w:t>
      </w:r>
    </w:p>
    <w:p>
      <w:pPr>
        <w:pStyle w:val="ListParagraph"/>
        <w:numPr>
          <w:ilvl w:val="0"/>
          <w:numId w:val="2"/>
        </w:numPr>
        <w:tabs>
          <w:tab w:pos="821" w:val="left" w:leader="none"/>
          <w:tab w:pos="822" w:val="left" w:leader="none"/>
        </w:tabs>
        <w:spacing w:line="240" w:lineRule="auto" w:before="140" w:after="0"/>
        <w:ind w:left="822" w:right="0" w:hanging="360"/>
        <w:jc w:val="left"/>
        <w:rPr>
          <w:sz w:val="24"/>
        </w:rPr>
      </w:pPr>
      <w:r>
        <w:rPr>
          <w:sz w:val="24"/>
        </w:rPr>
        <w:t>Presión Arterial Sistólica (PAS</w:t>
      </w:r>
      <w:r>
        <w:rPr>
          <w:spacing w:val="-14"/>
          <w:sz w:val="24"/>
        </w:rPr>
        <w:t> </w:t>
      </w:r>
      <w:r>
        <w:rPr>
          <w:sz w:val="24"/>
        </w:rPr>
        <w:t>mmHg)</w:t>
      </w:r>
    </w:p>
    <w:p>
      <w:pPr>
        <w:pStyle w:val="ListParagraph"/>
        <w:numPr>
          <w:ilvl w:val="0"/>
          <w:numId w:val="2"/>
        </w:numPr>
        <w:tabs>
          <w:tab w:pos="821" w:val="left" w:leader="none"/>
          <w:tab w:pos="822" w:val="left" w:leader="none"/>
        </w:tabs>
        <w:spacing w:line="240" w:lineRule="auto" w:before="137" w:after="0"/>
        <w:ind w:left="822" w:right="0" w:hanging="360"/>
        <w:jc w:val="left"/>
        <w:rPr>
          <w:sz w:val="24"/>
        </w:rPr>
      </w:pPr>
      <w:r>
        <w:rPr>
          <w:sz w:val="24"/>
        </w:rPr>
        <w:t>Presión Arterial Diastólica (PAD</w:t>
      </w:r>
      <w:r>
        <w:rPr>
          <w:spacing w:val="-11"/>
          <w:sz w:val="24"/>
        </w:rPr>
        <w:t> </w:t>
      </w:r>
      <w:r>
        <w:rPr>
          <w:sz w:val="24"/>
        </w:rPr>
        <w:t>mmhg)</w:t>
      </w:r>
    </w:p>
    <w:p>
      <w:pPr>
        <w:pStyle w:val="ListParagraph"/>
        <w:numPr>
          <w:ilvl w:val="0"/>
          <w:numId w:val="2"/>
        </w:numPr>
        <w:tabs>
          <w:tab w:pos="821" w:val="left" w:leader="none"/>
          <w:tab w:pos="822" w:val="left" w:leader="none"/>
        </w:tabs>
        <w:spacing w:line="240" w:lineRule="auto" w:before="139" w:after="0"/>
        <w:ind w:left="822" w:right="0" w:hanging="360"/>
        <w:jc w:val="left"/>
        <w:rPr>
          <w:sz w:val="24"/>
        </w:rPr>
      </w:pPr>
      <w:r>
        <w:rPr>
          <w:sz w:val="24"/>
        </w:rPr>
        <w:t>Frecuencia Cardiaca (FC</w:t>
      </w:r>
      <w:r>
        <w:rPr>
          <w:spacing w:val="-10"/>
          <w:sz w:val="24"/>
        </w:rPr>
        <w:t> </w:t>
      </w:r>
      <w:r>
        <w:rPr>
          <w:sz w:val="24"/>
        </w:rPr>
        <w:t>x´)</w:t>
      </w:r>
    </w:p>
    <w:p>
      <w:pPr>
        <w:pStyle w:val="ListParagraph"/>
        <w:numPr>
          <w:ilvl w:val="0"/>
          <w:numId w:val="2"/>
        </w:numPr>
        <w:tabs>
          <w:tab w:pos="821" w:val="left" w:leader="none"/>
          <w:tab w:pos="822" w:val="left" w:leader="none"/>
        </w:tabs>
        <w:spacing w:line="240" w:lineRule="auto" w:before="137" w:after="0"/>
        <w:ind w:left="822" w:right="0" w:hanging="360"/>
        <w:jc w:val="left"/>
        <w:rPr>
          <w:sz w:val="24"/>
        </w:rPr>
      </w:pPr>
      <w:r>
        <w:rPr>
          <w:sz w:val="24"/>
        </w:rPr>
        <w:t>Frecuencia Respiratoria (FR</w:t>
      </w:r>
      <w:r>
        <w:rPr>
          <w:spacing w:val="-13"/>
          <w:sz w:val="24"/>
        </w:rPr>
        <w:t> </w:t>
      </w:r>
      <w:r>
        <w:rPr>
          <w:sz w:val="24"/>
        </w:rPr>
        <w:t>x´)</w:t>
      </w:r>
    </w:p>
    <w:p>
      <w:pPr>
        <w:pStyle w:val="ListParagraph"/>
        <w:numPr>
          <w:ilvl w:val="0"/>
          <w:numId w:val="2"/>
        </w:numPr>
        <w:tabs>
          <w:tab w:pos="821" w:val="left" w:leader="none"/>
          <w:tab w:pos="822" w:val="left" w:leader="none"/>
        </w:tabs>
        <w:spacing w:line="240" w:lineRule="auto" w:before="137" w:after="0"/>
        <w:ind w:left="822" w:right="0" w:hanging="360"/>
        <w:jc w:val="left"/>
        <w:rPr>
          <w:sz w:val="24"/>
        </w:rPr>
      </w:pPr>
      <w:r>
        <w:rPr>
          <w:sz w:val="24"/>
        </w:rPr>
        <w:t>Estado de Consciencia (escala</w:t>
      </w:r>
      <w:r>
        <w:rPr>
          <w:spacing w:val="-10"/>
          <w:sz w:val="24"/>
        </w:rPr>
        <w:t> </w:t>
      </w:r>
      <w:r>
        <w:rPr>
          <w:sz w:val="24"/>
        </w:rPr>
        <w:t>AVDI)</w:t>
      </w:r>
    </w:p>
    <w:p>
      <w:pPr>
        <w:spacing w:after="0" w:line="240" w:lineRule="auto"/>
        <w:jc w:val="left"/>
        <w:rPr>
          <w:sz w:val="24"/>
        </w:rPr>
        <w:sectPr>
          <w:pgSz w:w="12240" w:h="15840"/>
          <w:pgMar w:header="0" w:footer="1761" w:top="1360" w:bottom="1960" w:left="1600" w:right="1060"/>
        </w:sectPr>
      </w:pPr>
    </w:p>
    <w:p>
      <w:pPr>
        <w:pStyle w:val="ListParagraph"/>
        <w:numPr>
          <w:ilvl w:val="3"/>
          <w:numId w:val="1"/>
        </w:numPr>
        <w:tabs>
          <w:tab w:pos="822" w:val="left" w:leader="none"/>
        </w:tabs>
        <w:spacing w:line="240" w:lineRule="auto" w:before="54" w:after="0"/>
        <w:ind w:left="822" w:right="0" w:hanging="360"/>
        <w:jc w:val="left"/>
        <w:rPr>
          <w:sz w:val="24"/>
        </w:rPr>
      </w:pPr>
      <w:r>
        <w:rPr>
          <w:sz w:val="24"/>
        </w:rPr>
        <w:t>Alerta – Alerta y</w:t>
      </w:r>
      <w:r>
        <w:rPr>
          <w:spacing w:val="-4"/>
          <w:sz w:val="24"/>
        </w:rPr>
        <w:t> </w:t>
      </w:r>
      <w:r>
        <w:rPr>
          <w:sz w:val="24"/>
        </w:rPr>
        <w:t>Consciente</w:t>
      </w:r>
    </w:p>
    <w:p>
      <w:pPr>
        <w:pStyle w:val="BodyText"/>
        <w:spacing w:before="139"/>
        <w:ind w:left="461" w:right="179"/>
      </w:pPr>
      <w:r>
        <w:rPr/>
        <w:t>V. Voz – Responde a la voz</w:t>
      </w:r>
    </w:p>
    <w:p>
      <w:pPr>
        <w:pStyle w:val="BodyText"/>
        <w:spacing w:before="137"/>
        <w:ind w:left="461" w:right="179"/>
      </w:pPr>
      <w:r>
        <w:rPr/>
        <w:t>D. Dolor – Responde al dolor</w:t>
      </w:r>
    </w:p>
    <w:p>
      <w:pPr>
        <w:pStyle w:val="ListParagraph"/>
        <w:numPr>
          <w:ilvl w:val="0"/>
          <w:numId w:val="3"/>
        </w:numPr>
        <w:tabs>
          <w:tab w:pos="663" w:val="left" w:leader="none"/>
        </w:tabs>
        <w:spacing w:line="240" w:lineRule="auto" w:before="139" w:after="0"/>
        <w:ind w:left="662" w:right="0" w:hanging="200"/>
        <w:jc w:val="left"/>
        <w:rPr>
          <w:sz w:val="24"/>
        </w:rPr>
      </w:pPr>
      <w:r>
        <w:rPr>
          <w:sz w:val="24"/>
        </w:rPr>
        <w:t>No responde – No hay respuesta a la voz o</w:t>
      </w:r>
      <w:r>
        <w:rPr>
          <w:spacing w:val="-14"/>
          <w:sz w:val="24"/>
        </w:rPr>
        <w:t> </w:t>
      </w:r>
      <w:r>
        <w:rPr>
          <w:sz w:val="24"/>
        </w:rPr>
        <w:t>dolor</w:t>
      </w:r>
    </w:p>
    <w:p>
      <w:pPr>
        <w:pStyle w:val="BodyText"/>
      </w:pPr>
    </w:p>
    <w:p>
      <w:pPr>
        <w:pStyle w:val="BodyText"/>
      </w:pPr>
    </w:p>
    <w:p>
      <w:pPr>
        <w:pStyle w:val="BodyText"/>
        <w:spacing w:line="360" w:lineRule="auto"/>
        <w:ind w:left="102" w:right="98" w:firstLine="201"/>
        <w:jc w:val="both"/>
      </w:pPr>
      <w:r>
        <w:rPr/>
        <w:t>De todas las variables, la frecuencia respiratoria es el indicador más sensible. Los cambios durante el embarazo, parto y puerperio pueden incluir el aumento de la frecuencia cardiaca de 15 a 20 latidos por minuto, disminución de la presión arterial hasta 10 mmHg y un aumento de la frecuencia respiratoria de 2 respiraciones por minuto. En el embarazo normal el corazón y la circulación presentan adaptaciones fisiológicas importantes, sobre todo durante las primeras ocho semanas de la  gestación. El gasto cardíaco (GC) se incrementa en cifras de hasta un 50 % del valor  de una no gestante, los cambios en las primeras semanas son atribuidos a una elevación de la frecuencia cardíaca, la cual puede alcanzar un 15 % a 25 % por arriba de una no embarazada. Otra variable hemodinámica que influye en el GC, es el volumen latido (VL) el cual se eleva hasta en un 25 % a 30 % al final de la gestación y por último un descenso en la resistencia vascular sistémica de un 20 % (disminuyendo la pos carga), así como la disminución en la presión coloido-osmótica completan las modificaciones hemodinámicas más resaltantes. Otros parámetros como volumen sistólico final del ventrículo izquierdo (LVESV), presión venosa central (PVC), presión diastólica de la arteria pulmonar (PADP) y presión capilar de la “cuña” pulmonar (PCWP) no muestran cambios, pero sí hay incrementos tanto en la fracción de  eyección (FE) como en el volumen diastólico final del ventrículo izquierdo (LVEDV). El GC también se modifica por la postura materna, en etapas avanzadas del embarazo es mucho mayor en la embarazada en decúbito lateral; en esta posición el útero crecido  no limita el retorno venoso. La elevación progresiva del diafragma rota y desplaza el corazón hacia arriba y a la izquierda, observándose un aumento de la silueta cardíaca en las radiografías; más aún las embarazadas tienen algún grado de derrame pericárdico benigno que pudiera presentarse como</w:t>
      </w:r>
      <w:r>
        <w:rPr>
          <w:spacing w:val="-20"/>
        </w:rPr>
        <w:t> </w:t>
      </w:r>
      <w:r>
        <w:rPr/>
        <w:t>cardiomegalia.</w:t>
      </w:r>
    </w:p>
    <w:p>
      <w:pPr>
        <w:spacing w:after="0" w:line="360" w:lineRule="auto"/>
        <w:jc w:val="both"/>
        <w:sectPr>
          <w:pgSz w:w="12240" w:h="15840"/>
          <w:pgMar w:header="0" w:footer="1761" w:top="1360" w:bottom="1960" w:left="1600" w:right="1080"/>
        </w:sectPr>
      </w:pPr>
    </w:p>
    <w:p>
      <w:pPr>
        <w:pStyle w:val="BodyText"/>
        <w:spacing w:line="360" w:lineRule="auto" w:before="54"/>
        <w:ind w:left="102" w:right="100" w:firstLine="201"/>
        <w:jc w:val="both"/>
      </w:pPr>
      <w:r>
        <w:rPr/>
        <w:t>Cambios electrocardiográficos observados en una embarazada son: desviación del eje cardíaco hacia la izquierda, acortamiento del PR, depresión del segmento ST, así como alteraciones en la onda T. Hay mayor disposición a las arritmias supra ventriculares, por incremento de las cuatro cámaras cardíacas así como por efecto de la progesterona. En la ecocardiografía puede encontrarse una hipertrofia del ventrículo izquierdo hasta de un 50 %, debido a crecimiento excéntrico por sobrecarga de volumen. Así también el sistema renal sufre numerosos cambios, el tamaño del riñón aumenta ligeramente, se precia un aumento de la longitud de 1 a 1,5 cm, existe además dilatación de pelvis, cálices y uréteres (que simulan hidronefrosis). Durante la gravidez, el flujo sanguíneo renal (FSR) y la tasa de filtración glomerular (TFG) se incrementan en un 50 % - 60 %, la reabsorción de agua y electrólitos también están elevados, consecuentemente el balance hídrico y electrólitos se mantienen normales. Debido a todos estos cambios, la interpretación de las pruebas de funcionalismo renal también varían, la creatinina y el nitrógeno ureico séricos disminuyen, de esta forma, una creatinina sérica mayor a 0,9 es sospechosa de enfermedad renal subyacente, igualmente la depuración de creatinina es 30 % mayor a valores fuera del embarazo y cualquier valor inferior a 137 mL/min debe ser cuidadosamente investigado. A partir de la octava semana de la gestación aparecen cambios en casi todas las capacidades, volúmenes y ventilaciones pulmonares, los cuales obedecen principalmente a cambios anatómicos, mecánicos y hormonales. La inspiración en la embarazada es casi totalmente atribuida al movimiento del diafragma, ya que la caja torácica tiene disminuida su movilidad. Otros parámetros como volumen espiratorio forzado al primer minuto (FEV1), la relación del FEV1 con la capacidad vital forzada (FVC), y capacidad de cierre (CC) no muestra cambios. Una dilatación de la gran vía aérea es normal durante el embarazo, disminuyendo en un 50 % la resistencia pulmonar, esto se debe a un efecto directo de la progesterona y a su incremento en la actividad beta-adrenérgica, también a otras hormonas como la cortisona y relaxina. Los volúmenes y capacidades pulmonares muestran modificaciones interesantes, si bien la frecuencia respiratoria se altera muy poco durante el embarazo normal, sin embargo, el volumen corriente</w:t>
      </w:r>
      <w:r>
        <w:rPr>
          <w:spacing w:val="-27"/>
        </w:rPr>
        <w:t> </w:t>
      </w:r>
      <w:r>
        <w:rPr/>
        <w:t>(VC),</w:t>
      </w:r>
    </w:p>
    <w:p>
      <w:pPr>
        <w:spacing w:after="0" w:line="360" w:lineRule="auto"/>
        <w:jc w:val="both"/>
        <w:sectPr>
          <w:pgSz w:w="12240" w:h="15840"/>
          <w:pgMar w:header="0" w:footer="1761" w:top="1360" w:bottom="1960" w:left="1600" w:right="1080"/>
        </w:sectPr>
      </w:pPr>
    </w:p>
    <w:p>
      <w:pPr>
        <w:pStyle w:val="BodyText"/>
        <w:spacing w:line="360" w:lineRule="auto" w:before="54"/>
        <w:ind w:left="102" w:right="100"/>
        <w:jc w:val="both"/>
      </w:pPr>
      <w:r>
        <w:rPr/>
        <w:t>la ventilación minuto (VM), ventilación alveolar (VA) y el consumo de oxígeno, son algunos de los parámetros que aumentan considerablemente a medida que avanza la gestación. Un descenso en los valores de la PaCO2 hasta alcanzar 30 mmHg, son evidenciados a partir de las 12 semanas de gestación, permaneciendo en esas cifras hasta el final del embarazo, para algunos esto ha sido denominado como disnea fisiológica, (por el esfuerzo respiratorio) producido en gran parte por efecto de la progesterona y en menor proporción por los estrógenos. La PaO2 se incrementa de manera brusca durante el primer trimestre a 107 mmHg, para luego descender progresivamente hasta 103 mmHg en el último trimestre. Un descenso en el bicarbonato</w:t>
      </w:r>
      <w:r>
        <w:rPr>
          <w:spacing w:val="59"/>
        </w:rPr>
        <w:t> </w:t>
      </w:r>
      <w:r>
        <w:rPr/>
        <w:t>sérico</w:t>
      </w:r>
      <w:r>
        <w:rPr>
          <w:spacing w:val="59"/>
        </w:rPr>
        <w:t> </w:t>
      </w:r>
      <w:r>
        <w:rPr/>
        <w:t>que</w:t>
      </w:r>
      <w:r>
        <w:rPr>
          <w:spacing w:val="59"/>
        </w:rPr>
        <w:t> </w:t>
      </w:r>
      <w:r>
        <w:rPr/>
        <w:t>alcanza</w:t>
      </w:r>
      <w:r>
        <w:rPr>
          <w:spacing w:val="59"/>
        </w:rPr>
        <w:t> </w:t>
      </w:r>
      <w:r>
        <w:rPr/>
        <w:t>a</w:t>
      </w:r>
      <w:r>
        <w:rPr>
          <w:spacing w:val="56"/>
        </w:rPr>
        <w:t> </w:t>
      </w:r>
      <w:r>
        <w:rPr/>
        <w:t>20</w:t>
      </w:r>
      <w:r>
        <w:rPr>
          <w:spacing w:val="56"/>
        </w:rPr>
        <w:t> </w:t>
      </w:r>
      <w:r>
        <w:rPr/>
        <w:t>mEq/L</w:t>
      </w:r>
      <w:r>
        <w:rPr>
          <w:spacing w:val="59"/>
        </w:rPr>
        <w:t> </w:t>
      </w:r>
      <w:r>
        <w:rPr/>
        <w:t>por</w:t>
      </w:r>
      <w:r>
        <w:rPr>
          <w:spacing w:val="57"/>
        </w:rPr>
        <w:t> </w:t>
      </w:r>
      <w:r>
        <w:rPr/>
        <w:t>incremento</w:t>
      </w:r>
      <w:r>
        <w:rPr>
          <w:spacing w:val="56"/>
        </w:rPr>
        <w:t> </w:t>
      </w:r>
      <w:r>
        <w:rPr/>
        <w:t>en</w:t>
      </w:r>
      <w:r>
        <w:rPr>
          <w:spacing w:val="56"/>
        </w:rPr>
        <w:t> </w:t>
      </w:r>
      <w:r>
        <w:rPr/>
        <w:t>la</w:t>
      </w:r>
      <w:r>
        <w:rPr>
          <w:spacing w:val="59"/>
        </w:rPr>
        <w:t> </w:t>
      </w:r>
      <w:r>
        <w:rPr/>
        <w:t>excreción</w:t>
      </w:r>
      <w:r>
        <w:rPr>
          <w:spacing w:val="59"/>
        </w:rPr>
        <w:t> </w:t>
      </w:r>
      <w:r>
        <w:rPr/>
        <w:t>renal,</w:t>
      </w:r>
    </w:p>
    <w:p>
      <w:pPr>
        <w:pStyle w:val="BodyText"/>
        <w:spacing w:line="331" w:lineRule="auto" w:before="2"/>
        <w:ind w:left="102" w:right="108"/>
        <w:jc w:val="both"/>
        <w:rPr>
          <w:sz w:val="16"/>
        </w:rPr>
      </w:pPr>
      <w:r>
        <w:rPr/>
        <w:t>modifican ligeramente los valores de pH en 0,02 a 0,06, lo cual es interpretado como una compensación metabólica a una alcalosis respiratoria. </w:t>
      </w:r>
      <w:r>
        <w:rPr>
          <w:position w:val="11"/>
          <w:sz w:val="16"/>
        </w:rPr>
        <w:t>26</w:t>
      </w:r>
    </w:p>
    <w:p>
      <w:pPr>
        <w:pStyle w:val="BodyText"/>
        <w:spacing w:before="10"/>
        <w:rPr>
          <w:sz w:val="37"/>
        </w:rPr>
      </w:pPr>
    </w:p>
    <w:p>
      <w:pPr>
        <w:pStyle w:val="BodyText"/>
        <w:spacing w:line="360" w:lineRule="auto"/>
        <w:ind w:left="102" w:right="396" w:firstLine="201"/>
        <w:jc w:val="both"/>
      </w:pPr>
      <w:r>
        <w:rPr/>
        <w:t>La mejora de la salud materna es uno de los principales objetivos del Departamento Reductor de los Riesgos del Embarazo (MPS), que trata de reducir la mortalidad materna proporcionando orientación y fomentando las intervenciones clínicas y programáticas de eficacia demostrada. Además fomenta un entorno social, político y económico propicio a la actuación en los países.</w:t>
      </w:r>
    </w:p>
    <w:p>
      <w:pPr>
        <w:pStyle w:val="BodyText"/>
      </w:pPr>
    </w:p>
    <w:p>
      <w:pPr>
        <w:pStyle w:val="BodyText"/>
        <w:spacing w:line="352" w:lineRule="auto" w:before="142"/>
        <w:ind w:left="102" w:right="397" w:firstLine="201"/>
        <w:jc w:val="both"/>
        <w:rPr>
          <w:sz w:val="16"/>
        </w:rPr>
      </w:pPr>
      <w:r>
        <w:rPr/>
        <w:t>Una de las piedras angulares del Departamento es la estrategia IMPAC (Atención Integrada del Embarazo y el Parto), que ofrece orientación e instrumentos para aumentar la disponibilidad de servicios de salud de calidad para las embarazadas. MPS elabora directrices clínicas para el tratamiento de complicaciones antes, durante y después del parto.</w:t>
      </w:r>
      <w:r>
        <w:rPr>
          <w:spacing w:val="-7"/>
        </w:rPr>
        <w:t> </w:t>
      </w:r>
      <w:r>
        <w:rPr>
          <w:position w:val="11"/>
          <w:sz w:val="16"/>
        </w:rPr>
        <w:t>20</w:t>
      </w:r>
    </w:p>
    <w:p>
      <w:pPr>
        <w:pStyle w:val="BodyText"/>
        <w:spacing w:before="6"/>
        <w:rPr>
          <w:sz w:val="35"/>
        </w:rPr>
      </w:pPr>
    </w:p>
    <w:p>
      <w:pPr>
        <w:pStyle w:val="BodyText"/>
        <w:spacing w:line="360" w:lineRule="auto"/>
        <w:ind w:left="102" w:right="398" w:firstLine="201"/>
        <w:jc w:val="both"/>
      </w:pPr>
      <w:r>
        <w:rPr/>
        <w:t>Durante la Asamblea General de las Naciones Unidas de 2015, celebrada en Nueva York, el Secretario General de las Naciones Unidas, Ban Ki-moon presentó la </w:t>
      </w:r>
      <w:r>
        <w:rPr>
          <w:i/>
        </w:rPr>
        <w:t>Estrategia Mundial para la Salud de la Mujer, el Niño y el Adolescente 2016-2030</w:t>
      </w:r>
      <w:r>
        <w:rPr/>
        <w:t>. La Estrategia es una hoja de ruta para la agenda posterior a 2015, tal como se describe en los Objetivos de Desarrollo Sostenible, y tiene como meta acabar con todas las</w:t>
      </w:r>
    </w:p>
    <w:p>
      <w:pPr>
        <w:spacing w:after="0" w:line="360" w:lineRule="auto"/>
        <w:jc w:val="both"/>
        <w:sectPr>
          <w:pgSz w:w="12240" w:h="15840"/>
          <w:pgMar w:header="0" w:footer="1761" w:top="1360" w:bottom="1960" w:left="1600" w:right="1080"/>
        </w:sectPr>
      </w:pPr>
    </w:p>
    <w:p>
      <w:pPr>
        <w:pStyle w:val="BodyText"/>
        <w:spacing w:line="345" w:lineRule="auto" w:before="54"/>
        <w:ind w:left="102" w:right="397"/>
        <w:jc w:val="both"/>
        <w:rPr>
          <w:sz w:val="16"/>
        </w:rPr>
      </w:pPr>
      <w:r>
        <w:rPr/>
        <w:t>muertes evitables de mujeres, niños y adolescentes, además de crear un entorno en el que estos grupos de población no solo sobrevivan, sino que además se desarrollen y vean transformarse sus entornos, salud y bienestar.</w:t>
      </w:r>
      <w:r>
        <w:rPr>
          <w:spacing w:val="-19"/>
        </w:rPr>
        <w:t> </w:t>
      </w:r>
      <w:r>
        <w:rPr>
          <w:position w:val="11"/>
          <w:sz w:val="16"/>
        </w:rPr>
        <w:t>21</w:t>
      </w:r>
    </w:p>
    <w:p>
      <w:pPr>
        <w:pStyle w:val="BodyText"/>
        <w:spacing w:before="3"/>
        <w:rPr>
          <w:sz w:val="36"/>
        </w:rPr>
      </w:pPr>
    </w:p>
    <w:p>
      <w:pPr>
        <w:pStyle w:val="BodyText"/>
        <w:spacing w:line="360" w:lineRule="auto"/>
        <w:ind w:left="102" w:right="179" w:firstLine="201"/>
      </w:pPr>
      <w:r>
        <w:rPr/>
        <w:t>Como parte de la Estrategia mundial para acabar con la mortalidad materna prevenible, la OMS está colaborando con los asociados para:</w:t>
      </w:r>
    </w:p>
    <w:p>
      <w:pPr>
        <w:pStyle w:val="BodyText"/>
      </w:pPr>
    </w:p>
    <w:p>
      <w:pPr>
        <w:pStyle w:val="ListParagraph"/>
        <w:numPr>
          <w:ilvl w:val="0"/>
          <w:numId w:val="4"/>
        </w:numPr>
        <w:tabs>
          <w:tab w:pos="821" w:val="left" w:leader="none"/>
          <w:tab w:pos="822" w:val="left" w:leader="none"/>
        </w:tabs>
        <w:spacing w:line="360" w:lineRule="auto" w:before="142" w:after="0"/>
        <w:ind w:left="822" w:right="407" w:hanging="360"/>
        <w:jc w:val="left"/>
        <w:rPr>
          <w:sz w:val="24"/>
        </w:rPr>
      </w:pPr>
      <w:r>
        <w:rPr>
          <w:sz w:val="24"/>
        </w:rPr>
        <w:t>Resolver las desigualdades en la calidad de los servicios de atención de la salud reproductiva, materna y neonatal y en el acceso a</w:t>
      </w:r>
      <w:r>
        <w:rPr>
          <w:spacing w:val="-15"/>
          <w:sz w:val="24"/>
        </w:rPr>
        <w:t> </w:t>
      </w:r>
      <w:r>
        <w:rPr>
          <w:sz w:val="24"/>
        </w:rPr>
        <w:t>ellos;</w:t>
      </w:r>
    </w:p>
    <w:p>
      <w:pPr>
        <w:pStyle w:val="ListParagraph"/>
        <w:numPr>
          <w:ilvl w:val="0"/>
          <w:numId w:val="4"/>
        </w:numPr>
        <w:tabs>
          <w:tab w:pos="821" w:val="left" w:leader="none"/>
          <w:tab w:pos="822" w:val="left" w:leader="none"/>
        </w:tabs>
        <w:spacing w:line="360" w:lineRule="auto" w:before="5" w:after="0"/>
        <w:ind w:left="822" w:right="408" w:hanging="360"/>
        <w:jc w:val="left"/>
        <w:rPr>
          <w:sz w:val="24"/>
        </w:rPr>
      </w:pPr>
      <w:r>
        <w:rPr>
          <w:sz w:val="24"/>
        </w:rPr>
        <w:t>Lograr una cobertura sanitaria universal para una atención integral a la salud reproductiva, materna y</w:t>
      </w:r>
      <w:r>
        <w:rPr>
          <w:spacing w:val="-13"/>
          <w:sz w:val="24"/>
        </w:rPr>
        <w:t> </w:t>
      </w:r>
      <w:r>
        <w:rPr>
          <w:sz w:val="24"/>
        </w:rPr>
        <w:t>neonatal;</w:t>
      </w:r>
    </w:p>
    <w:p>
      <w:pPr>
        <w:pStyle w:val="ListParagraph"/>
        <w:numPr>
          <w:ilvl w:val="0"/>
          <w:numId w:val="4"/>
        </w:numPr>
        <w:tabs>
          <w:tab w:pos="821" w:val="left" w:leader="none"/>
          <w:tab w:pos="822" w:val="left" w:leader="none"/>
        </w:tabs>
        <w:spacing w:line="360" w:lineRule="auto" w:before="5" w:after="0"/>
        <w:ind w:left="822" w:right="407" w:hanging="360"/>
        <w:jc w:val="left"/>
        <w:rPr>
          <w:sz w:val="24"/>
        </w:rPr>
      </w:pPr>
      <w:r>
        <w:rPr>
          <w:sz w:val="24"/>
        </w:rPr>
        <w:t>Abordar todas las causas de mortalidad materna, de morbilidad reproductiva y materna, y de discapacidades</w:t>
      </w:r>
      <w:r>
        <w:rPr>
          <w:spacing w:val="-14"/>
          <w:sz w:val="24"/>
        </w:rPr>
        <w:t> </w:t>
      </w:r>
      <w:r>
        <w:rPr>
          <w:sz w:val="24"/>
        </w:rPr>
        <w:t>conexas;</w:t>
      </w:r>
    </w:p>
    <w:p>
      <w:pPr>
        <w:pStyle w:val="ListParagraph"/>
        <w:numPr>
          <w:ilvl w:val="0"/>
          <w:numId w:val="4"/>
        </w:numPr>
        <w:tabs>
          <w:tab w:pos="821" w:val="left" w:leader="none"/>
          <w:tab w:pos="822" w:val="left" w:leader="none"/>
        </w:tabs>
        <w:spacing w:line="360" w:lineRule="auto" w:before="5" w:after="0"/>
        <w:ind w:left="822" w:right="406" w:hanging="360"/>
        <w:jc w:val="left"/>
        <w:rPr>
          <w:sz w:val="24"/>
        </w:rPr>
      </w:pPr>
      <w:r>
        <w:rPr>
          <w:sz w:val="24"/>
        </w:rPr>
        <w:t>Reforzar los sistemas de salud para que puedan responder a las necesidades y prioridades de las mujeres y niñas;</w:t>
      </w:r>
      <w:r>
        <w:rPr>
          <w:spacing w:val="-11"/>
          <w:sz w:val="24"/>
        </w:rPr>
        <w:t> </w:t>
      </w:r>
      <w:r>
        <w:rPr>
          <w:sz w:val="24"/>
        </w:rPr>
        <w:t>y</w:t>
      </w:r>
    </w:p>
    <w:p>
      <w:pPr>
        <w:pStyle w:val="ListParagraph"/>
        <w:numPr>
          <w:ilvl w:val="0"/>
          <w:numId w:val="4"/>
        </w:numPr>
        <w:tabs>
          <w:tab w:pos="821" w:val="left" w:leader="none"/>
          <w:tab w:pos="822" w:val="left" w:leader="none"/>
        </w:tabs>
        <w:spacing w:line="360" w:lineRule="auto" w:before="5" w:after="0"/>
        <w:ind w:left="822" w:right="407" w:hanging="360"/>
        <w:jc w:val="left"/>
        <w:rPr>
          <w:sz w:val="24"/>
        </w:rPr>
      </w:pPr>
      <w:r>
        <w:rPr>
          <w:sz w:val="24"/>
        </w:rPr>
        <w:t>Garantizar la rendición de cuentas con el fin de mejorar la calidad de la atención y la</w:t>
      </w:r>
      <w:r>
        <w:rPr>
          <w:spacing w:val="-7"/>
          <w:sz w:val="24"/>
        </w:rPr>
        <w:t> </w:t>
      </w:r>
      <w:r>
        <w:rPr>
          <w:sz w:val="24"/>
        </w:rPr>
        <w:t>equidad.</w:t>
      </w:r>
    </w:p>
    <w:p>
      <w:pPr>
        <w:pStyle w:val="BodyText"/>
        <w:spacing w:before="3"/>
        <w:rPr>
          <w:sz w:val="33"/>
        </w:rPr>
      </w:pPr>
    </w:p>
    <w:p>
      <w:pPr>
        <w:pStyle w:val="BodyText"/>
        <w:spacing w:before="1"/>
        <w:ind w:left="102"/>
        <w:jc w:val="both"/>
      </w:pPr>
      <w:r>
        <w:rPr/>
        <w:t>En este contexto el Comité de muerte materna recomienda </w:t>
      </w:r>
      <w:r>
        <w:rPr>
          <w:position w:val="11"/>
          <w:sz w:val="16"/>
        </w:rPr>
        <w:t>22</w:t>
      </w:r>
      <w:r>
        <w:rPr/>
        <w:t>:</w:t>
      </w:r>
    </w:p>
    <w:p>
      <w:pPr>
        <w:pStyle w:val="BodyText"/>
        <w:rPr>
          <w:sz w:val="28"/>
        </w:rPr>
      </w:pPr>
    </w:p>
    <w:p>
      <w:pPr>
        <w:pStyle w:val="ListParagraph"/>
        <w:numPr>
          <w:ilvl w:val="1"/>
          <w:numId w:val="3"/>
        </w:numPr>
        <w:tabs>
          <w:tab w:pos="1542" w:val="left" w:leader="none"/>
        </w:tabs>
        <w:spacing w:line="360" w:lineRule="auto" w:before="230" w:after="0"/>
        <w:ind w:left="1542" w:right="106" w:hanging="360"/>
        <w:jc w:val="left"/>
        <w:rPr>
          <w:sz w:val="24"/>
        </w:rPr>
      </w:pPr>
      <w:r>
        <w:rPr>
          <w:sz w:val="24"/>
        </w:rPr>
        <w:t>Asesoramiento antes del embarazo para las personas con condiciones médicas o psiquiátricas</w:t>
      </w:r>
      <w:r>
        <w:rPr>
          <w:spacing w:val="-14"/>
          <w:sz w:val="24"/>
        </w:rPr>
        <w:t> </w:t>
      </w:r>
      <w:r>
        <w:rPr>
          <w:sz w:val="24"/>
        </w:rPr>
        <w:t>graves.</w:t>
      </w:r>
    </w:p>
    <w:p>
      <w:pPr>
        <w:pStyle w:val="ListParagraph"/>
        <w:numPr>
          <w:ilvl w:val="1"/>
          <w:numId w:val="3"/>
        </w:numPr>
        <w:tabs>
          <w:tab w:pos="1542" w:val="left" w:leader="none"/>
        </w:tabs>
        <w:spacing w:line="360" w:lineRule="auto" w:before="2" w:after="0"/>
        <w:ind w:left="1542" w:right="106" w:hanging="360"/>
        <w:jc w:val="left"/>
        <w:rPr>
          <w:sz w:val="24"/>
        </w:rPr>
      </w:pPr>
      <w:r>
        <w:rPr>
          <w:sz w:val="24"/>
        </w:rPr>
        <w:t>Referencia y contra referencia a servicios especializados durante el embarazo.</w:t>
      </w:r>
    </w:p>
    <w:p>
      <w:pPr>
        <w:pStyle w:val="ListParagraph"/>
        <w:numPr>
          <w:ilvl w:val="1"/>
          <w:numId w:val="3"/>
        </w:numPr>
        <w:tabs>
          <w:tab w:pos="1542" w:val="left" w:leader="none"/>
          <w:tab w:pos="2155" w:val="left" w:leader="none"/>
          <w:tab w:pos="3239" w:val="left" w:leader="none"/>
          <w:tab w:pos="3853" w:val="left" w:leader="none"/>
          <w:tab w:pos="5692" w:val="left" w:leader="none"/>
          <w:tab w:pos="6811" w:val="left" w:leader="none"/>
          <w:tab w:pos="8051" w:val="left" w:leader="none"/>
          <w:tab w:pos="8545" w:val="left" w:leader="none"/>
        </w:tabs>
        <w:spacing w:line="362" w:lineRule="auto" w:before="2" w:after="0"/>
        <w:ind w:left="1542" w:right="106" w:hanging="360"/>
        <w:jc w:val="left"/>
        <w:rPr>
          <w:sz w:val="24"/>
        </w:rPr>
      </w:pPr>
      <w:r>
        <w:rPr>
          <w:sz w:val="24"/>
        </w:rPr>
        <w:t>Las</w:t>
        <w:tab/>
        <w:t>mujeres</w:t>
        <w:tab/>
        <w:t>con</w:t>
        <w:tab/>
        <w:t>comorbilidades</w:t>
        <w:tab/>
        <w:t>médicas</w:t>
        <w:tab/>
        <w:t>requieren</w:t>
        <w:tab/>
        <w:t>de</w:t>
        <w:tab/>
      </w:r>
      <w:r>
        <w:rPr>
          <w:spacing w:val="-1"/>
          <w:sz w:val="24"/>
        </w:rPr>
        <w:t>atención </w:t>
      </w:r>
      <w:r>
        <w:rPr>
          <w:sz w:val="24"/>
        </w:rPr>
        <w:t>especializada multidisciplinaria inmediata y</w:t>
      </w:r>
      <w:r>
        <w:rPr>
          <w:spacing w:val="-16"/>
          <w:sz w:val="24"/>
        </w:rPr>
        <w:t> </w:t>
      </w:r>
      <w:r>
        <w:rPr>
          <w:sz w:val="24"/>
        </w:rPr>
        <w:t>apropiada.</w:t>
      </w:r>
    </w:p>
    <w:p>
      <w:pPr>
        <w:pStyle w:val="ListParagraph"/>
        <w:numPr>
          <w:ilvl w:val="1"/>
          <w:numId w:val="3"/>
        </w:numPr>
        <w:tabs>
          <w:tab w:pos="1542" w:val="left" w:leader="none"/>
        </w:tabs>
        <w:spacing w:line="360" w:lineRule="auto" w:before="0" w:after="0"/>
        <w:ind w:left="1542" w:right="108" w:hanging="360"/>
        <w:jc w:val="left"/>
        <w:rPr>
          <w:sz w:val="24"/>
        </w:rPr>
      </w:pPr>
      <w:r>
        <w:rPr>
          <w:sz w:val="24"/>
        </w:rPr>
        <w:t>El uso de forma rutinaria de una puntuación de alerta obstétrica en todas las mujeres embarazadas o después del</w:t>
      </w:r>
      <w:r>
        <w:rPr>
          <w:spacing w:val="-20"/>
          <w:sz w:val="24"/>
        </w:rPr>
        <w:t> </w:t>
      </w:r>
      <w:r>
        <w:rPr>
          <w:sz w:val="24"/>
        </w:rPr>
        <w:t>parto.</w:t>
      </w:r>
    </w:p>
    <w:p>
      <w:pPr>
        <w:spacing w:after="0" w:line="360" w:lineRule="auto"/>
        <w:jc w:val="left"/>
        <w:rPr>
          <w:sz w:val="24"/>
        </w:rPr>
        <w:sectPr>
          <w:pgSz w:w="12240" w:h="15840"/>
          <w:pgMar w:header="0" w:footer="1761" w:top="1360" w:bottom="1960" w:left="1600" w:right="1080"/>
        </w:sectPr>
      </w:pPr>
    </w:p>
    <w:p>
      <w:pPr>
        <w:spacing w:before="54"/>
        <w:ind w:left="102" w:right="0" w:firstLine="0"/>
        <w:jc w:val="both"/>
        <w:rPr>
          <w:b/>
          <w:sz w:val="24"/>
        </w:rPr>
      </w:pPr>
      <w:r>
        <w:rPr>
          <w:b/>
          <w:sz w:val="24"/>
        </w:rPr>
        <w:t>PLANTEAMIENTO DEL PROBLEMA Y PREGUNTA DE INVESTIGACIÓN</w:t>
      </w:r>
    </w:p>
    <w:p>
      <w:pPr>
        <w:pStyle w:val="BodyText"/>
        <w:rPr>
          <w:b/>
        </w:rPr>
      </w:pPr>
    </w:p>
    <w:p>
      <w:pPr>
        <w:pStyle w:val="BodyText"/>
        <w:rPr>
          <w:b/>
        </w:rPr>
      </w:pPr>
    </w:p>
    <w:p>
      <w:pPr>
        <w:pStyle w:val="BodyText"/>
        <w:spacing w:line="360" w:lineRule="auto"/>
        <w:ind w:left="102" w:right="106" w:firstLine="134"/>
        <w:jc w:val="both"/>
      </w:pPr>
      <w:r>
        <w:rPr/>
        <w:t>Se reconoce que en el embarazo y el trabajo de parto, así como el puerperio son eventos fisiológicos normales, en los cuales existen cambios fisiológicos, tales como modificación en los signos vitales. Durante el monitoreo y vigilancia de las pacientes, los signos vitales siguen siendo parte integral de su atención. Existe el potencial de que en cualquier momento del embarazo la paciente obstétrica presente deterioro  fisiológico (colapso materno), por lo que la detección temprana de la enfermedad grave en las mujeres embarazadas continúa siendo un desafío para todos los involucrados en su</w:t>
      </w:r>
      <w:r>
        <w:rPr>
          <w:spacing w:val="-3"/>
        </w:rPr>
        <w:t> </w:t>
      </w:r>
      <w:r>
        <w:rPr/>
        <w:t>atención.</w:t>
      </w:r>
    </w:p>
    <w:p>
      <w:pPr>
        <w:pStyle w:val="BodyText"/>
      </w:pPr>
    </w:p>
    <w:p>
      <w:pPr>
        <w:pStyle w:val="BodyText"/>
        <w:spacing w:line="360" w:lineRule="auto" w:before="142"/>
        <w:ind w:left="102" w:right="98" w:firstLine="134"/>
        <w:jc w:val="both"/>
      </w:pPr>
      <w:r>
        <w:rPr/>
        <w:t>La detección temprana de la enfermedad en pacientes obstétricas es un gran reto. En la mayoría de las muertes maternas se presentaron signos vitales graves, por lo que una intervención tardía, retraso o incluso ausencia de intervención conducen a un mal resultado materno- perinatal.</w:t>
      </w:r>
    </w:p>
    <w:p>
      <w:pPr>
        <w:pStyle w:val="BodyText"/>
      </w:pPr>
    </w:p>
    <w:p>
      <w:pPr>
        <w:pStyle w:val="BodyText"/>
        <w:spacing w:line="360" w:lineRule="auto" w:before="142"/>
        <w:ind w:left="102" w:right="103" w:firstLine="134"/>
        <w:jc w:val="both"/>
      </w:pPr>
      <w:r>
        <w:rPr/>
        <w:t>La introducción de un sistema de puntuación de alerta temprana obstétrica modificada y un equipo de respuesta inmediata, se tiene en el potencial de disminuir los resultados adversos maternos.</w:t>
      </w:r>
    </w:p>
    <w:p>
      <w:pPr>
        <w:pStyle w:val="BodyText"/>
      </w:pPr>
    </w:p>
    <w:p>
      <w:pPr>
        <w:pStyle w:val="BodyText"/>
        <w:spacing w:before="142"/>
        <w:ind w:left="303" w:right="179"/>
      </w:pPr>
      <w:r>
        <w:rPr/>
        <w:t>Por lo anteriormente mencionado nos surge la siguiente pregunta:</w:t>
      </w:r>
    </w:p>
    <w:p>
      <w:pPr>
        <w:pStyle w:val="BodyText"/>
      </w:pPr>
    </w:p>
    <w:p>
      <w:pPr>
        <w:pStyle w:val="BodyText"/>
      </w:pPr>
    </w:p>
    <w:p>
      <w:pPr>
        <w:pStyle w:val="BodyText"/>
        <w:spacing w:line="360" w:lineRule="auto"/>
        <w:ind w:left="102" w:right="104"/>
        <w:jc w:val="both"/>
      </w:pPr>
      <w:r>
        <w:rPr/>
        <w:t>¿Es eficaz la escala MEOWS en la identificación de las complicaciones maternas en pacientes que ingresaron al Hospital Materno Perinatal “Mónica Pretelini Sáenz” en el periodo comprendido del 1 de enero de 2015 al 31 de Diciembre del 2015?</w:t>
      </w:r>
    </w:p>
    <w:p>
      <w:pPr>
        <w:spacing w:after="0" w:line="360" w:lineRule="auto"/>
        <w:jc w:val="both"/>
        <w:sectPr>
          <w:footerReference w:type="default" r:id="rId13"/>
          <w:pgSz w:w="12240" w:h="15840"/>
          <w:pgMar w:footer="1773" w:header="0" w:top="1360" w:bottom="1960" w:left="1600" w:right="1080"/>
        </w:sectPr>
      </w:pPr>
    </w:p>
    <w:p>
      <w:pPr>
        <w:spacing w:before="54"/>
        <w:ind w:left="102" w:right="179" w:firstLine="0"/>
        <w:jc w:val="left"/>
        <w:rPr>
          <w:b/>
          <w:sz w:val="24"/>
        </w:rPr>
      </w:pPr>
      <w:r>
        <w:rPr>
          <w:b/>
          <w:sz w:val="24"/>
        </w:rPr>
        <w:t>JUSTIFICACIONES</w:t>
      </w:r>
    </w:p>
    <w:p>
      <w:pPr>
        <w:pStyle w:val="BodyText"/>
        <w:rPr>
          <w:b/>
        </w:rPr>
      </w:pPr>
    </w:p>
    <w:p>
      <w:pPr>
        <w:pStyle w:val="BodyText"/>
        <w:rPr>
          <w:b/>
        </w:rPr>
      </w:pPr>
    </w:p>
    <w:p>
      <w:pPr>
        <w:pStyle w:val="ListParagraph"/>
        <w:numPr>
          <w:ilvl w:val="0"/>
          <w:numId w:val="5"/>
        </w:numPr>
        <w:tabs>
          <w:tab w:pos="822" w:val="left" w:leader="none"/>
        </w:tabs>
        <w:spacing w:line="360" w:lineRule="auto" w:before="0" w:after="0"/>
        <w:ind w:left="822" w:right="105" w:hanging="360"/>
        <w:jc w:val="both"/>
        <w:rPr>
          <w:sz w:val="24"/>
        </w:rPr>
      </w:pPr>
      <w:r>
        <w:rPr>
          <w:sz w:val="24"/>
        </w:rPr>
        <w:t>Científico: Implementar una escala de detección temprana en la mujer</w:t>
      </w:r>
      <w:r>
        <w:rPr>
          <w:spacing w:val="-23"/>
          <w:sz w:val="24"/>
        </w:rPr>
        <w:t> </w:t>
      </w:r>
      <w:r>
        <w:rPr>
          <w:sz w:val="24"/>
        </w:rPr>
        <w:t>obstétrica, para la vigilancia de</w:t>
      </w:r>
      <w:r>
        <w:rPr>
          <w:spacing w:val="-8"/>
          <w:sz w:val="24"/>
        </w:rPr>
        <w:t> </w:t>
      </w:r>
      <w:r>
        <w:rPr>
          <w:sz w:val="24"/>
        </w:rPr>
        <w:t>complicaciones.</w:t>
      </w:r>
    </w:p>
    <w:p>
      <w:pPr>
        <w:pStyle w:val="BodyText"/>
        <w:spacing w:line="360" w:lineRule="auto" w:before="2"/>
        <w:ind w:left="821" w:right="179"/>
      </w:pPr>
      <w:r>
        <w:rPr/>
        <w:t>Detectar las alteraciones en los signos vitales, alertar en caso de alteración e implementar un plan de respuesta oportuno.</w:t>
      </w:r>
    </w:p>
    <w:p>
      <w:pPr>
        <w:pStyle w:val="BodyText"/>
        <w:spacing w:line="360" w:lineRule="auto" w:before="2"/>
        <w:ind w:left="821" w:right="179"/>
      </w:pPr>
      <w:r>
        <w:rPr/>
        <w:t>Utilizar de forma rutinaria una puntuación de alerta obstétrica en todas las mujeres embarazadas o puerperio.</w:t>
      </w:r>
    </w:p>
    <w:p>
      <w:pPr>
        <w:pStyle w:val="BodyText"/>
      </w:pPr>
    </w:p>
    <w:p>
      <w:pPr>
        <w:pStyle w:val="ListParagraph"/>
        <w:numPr>
          <w:ilvl w:val="0"/>
          <w:numId w:val="5"/>
        </w:numPr>
        <w:tabs>
          <w:tab w:pos="822" w:val="left" w:leader="none"/>
        </w:tabs>
        <w:spacing w:line="360" w:lineRule="auto" w:before="142" w:after="0"/>
        <w:ind w:left="822" w:right="101" w:hanging="360"/>
        <w:jc w:val="both"/>
        <w:rPr>
          <w:sz w:val="24"/>
        </w:rPr>
      </w:pPr>
      <w:r>
        <w:rPr>
          <w:sz w:val="24"/>
        </w:rPr>
        <w:t>Político y social: La muerte materna implica una cadena de modificaciones no solo en el contexto materno-perinatal, sino también en el ámbito social al tomar en cuenta factores familiares, daño psicológico tanto del que sufre el padecimiento como de quien la acompaña en el proceso. Se debe buscar y tomar las mejores estrategias para contribuir en la disminución de la muerte materna.</w:t>
      </w:r>
    </w:p>
    <w:p>
      <w:pPr>
        <w:pStyle w:val="BodyText"/>
      </w:pPr>
    </w:p>
    <w:p>
      <w:pPr>
        <w:pStyle w:val="ListParagraph"/>
        <w:numPr>
          <w:ilvl w:val="0"/>
          <w:numId w:val="5"/>
        </w:numPr>
        <w:tabs>
          <w:tab w:pos="822" w:val="left" w:leader="none"/>
        </w:tabs>
        <w:spacing w:line="360" w:lineRule="auto" w:before="142" w:after="0"/>
        <w:ind w:left="822" w:right="102" w:hanging="360"/>
        <w:jc w:val="both"/>
        <w:rPr>
          <w:sz w:val="24"/>
        </w:rPr>
      </w:pPr>
      <w:r>
        <w:rPr>
          <w:sz w:val="24"/>
        </w:rPr>
        <w:t>Administrativo: La paciente critica al requerir manejo multidisciplinario, perse aumenta los costos de hospitalización dado que requiere mayor uso de medicamentos y cuidados</w:t>
      </w:r>
      <w:r>
        <w:rPr>
          <w:spacing w:val="-13"/>
          <w:sz w:val="24"/>
        </w:rPr>
        <w:t> </w:t>
      </w:r>
      <w:r>
        <w:rPr>
          <w:sz w:val="24"/>
        </w:rPr>
        <w:t>especiales.</w:t>
      </w:r>
    </w:p>
    <w:p>
      <w:pPr>
        <w:pStyle w:val="BodyText"/>
      </w:pPr>
    </w:p>
    <w:p>
      <w:pPr>
        <w:pStyle w:val="ListParagraph"/>
        <w:numPr>
          <w:ilvl w:val="0"/>
          <w:numId w:val="5"/>
        </w:numPr>
        <w:tabs>
          <w:tab w:pos="822" w:val="left" w:leader="none"/>
        </w:tabs>
        <w:spacing w:line="360" w:lineRule="auto" w:before="142" w:after="0"/>
        <w:ind w:left="822" w:right="104" w:hanging="360"/>
        <w:jc w:val="both"/>
        <w:rPr>
          <w:sz w:val="24"/>
        </w:rPr>
      </w:pPr>
      <w:r>
        <w:rPr>
          <w:sz w:val="24"/>
        </w:rPr>
        <w:t>Académico: Obtener el diploma Universitario de la Especialidad en Ginecología y Obstetricia.</w:t>
      </w:r>
    </w:p>
    <w:p>
      <w:pPr>
        <w:pStyle w:val="BodyText"/>
        <w:spacing w:before="9"/>
        <w:rPr>
          <w:sz w:val="27"/>
        </w:rPr>
      </w:pPr>
    </w:p>
    <w:p>
      <w:pPr>
        <w:pStyle w:val="ListParagraph"/>
        <w:numPr>
          <w:ilvl w:val="0"/>
          <w:numId w:val="5"/>
        </w:numPr>
        <w:tabs>
          <w:tab w:pos="822" w:val="left" w:leader="none"/>
        </w:tabs>
        <w:spacing w:line="360" w:lineRule="auto" w:before="0" w:after="0"/>
        <w:ind w:left="822" w:right="104" w:hanging="360"/>
        <w:jc w:val="both"/>
        <w:rPr>
          <w:sz w:val="24"/>
        </w:rPr>
      </w:pPr>
      <w:r>
        <w:rPr>
          <w:sz w:val="24"/>
        </w:rPr>
        <w:t>Epidemiológico: Implementar un sistema eficaz que nos permita un mejor control en las pacientes obstétricas, las cuales tienen un mayor riesgo de complicaciones durante el embarazo, parto o puerperio. Promover la medicina preventiva como parte de los objetivos de Desarrollo</w:t>
      </w:r>
      <w:r>
        <w:rPr>
          <w:spacing w:val="-26"/>
          <w:sz w:val="24"/>
        </w:rPr>
        <w:t> </w:t>
      </w:r>
      <w:r>
        <w:rPr>
          <w:sz w:val="24"/>
        </w:rPr>
        <w:t>Sostenible.</w:t>
      </w:r>
    </w:p>
    <w:p>
      <w:pPr>
        <w:spacing w:after="0" w:line="360" w:lineRule="auto"/>
        <w:jc w:val="both"/>
        <w:rPr>
          <w:sz w:val="24"/>
        </w:rPr>
        <w:sectPr>
          <w:footerReference w:type="default" r:id="rId14"/>
          <w:pgSz w:w="12240" w:h="15840"/>
          <w:pgMar w:footer="1553" w:header="0" w:top="1360" w:bottom="1740" w:left="1600" w:right="1080"/>
        </w:sectPr>
      </w:pPr>
    </w:p>
    <w:p>
      <w:pPr>
        <w:spacing w:before="54"/>
        <w:ind w:left="102" w:right="179" w:firstLine="0"/>
        <w:jc w:val="left"/>
        <w:rPr>
          <w:b/>
          <w:sz w:val="24"/>
        </w:rPr>
      </w:pPr>
      <w:r>
        <w:rPr>
          <w:b/>
          <w:sz w:val="24"/>
        </w:rPr>
        <w:t>OBJETIVO GENERAL</w:t>
      </w:r>
    </w:p>
    <w:p>
      <w:pPr>
        <w:pStyle w:val="BodyText"/>
        <w:rPr>
          <w:b/>
        </w:rPr>
      </w:pPr>
    </w:p>
    <w:p>
      <w:pPr>
        <w:pStyle w:val="BodyText"/>
        <w:rPr>
          <w:b/>
        </w:rPr>
      </w:pPr>
    </w:p>
    <w:p>
      <w:pPr>
        <w:pStyle w:val="ListParagraph"/>
        <w:numPr>
          <w:ilvl w:val="0"/>
          <w:numId w:val="2"/>
        </w:numPr>
        <w:tabs>
          <w:tab w:pos="821" w:val="left" w:leader="none"/>
          <w:tab w:pos="822" w:val="left" w:leader="none"/>
        </w:tabs>
        <w:spacing w:line="240" w:lineRule="auto" w:before="0" w:after="0"/>
        <w:ind w:left="822" w:right="0" w:hanging="360"/>
        <w:jc w:val="left"/>
        <w:rPr>
          <w:sz w:val="24"/>
        </w:rPr>
      </w:pPr>
      <w:r>
        <w:rPr>
          <w:sz w:val="24"/>
        </w:rPr>
        <w:t>Identificar a las pacientes obstétricamente</w:t>
      </w:r>
      <w:r>
        <w:rPr>
          <w:spacing w:val="-18"/>
          <w:sz w:val="24"/>
        </w:rPr>
        <w:t> </w:t>
      </w:r>
      <w:r>
        <w:rPr>
          <w:sz w:val="24"/>
        </w:rPr>
        <w:t>graves.</w:t>
      </w:r>
    </w:p>
    <w:p>
      <w:pPr>
        <w:pStyle w:val="BodyText"/>
      </w:pPr>
    </w:p>
    <w:p>
      <w:pPr>
        <w:pStyle w:val="BodyText"/>
      </w:pPr>
    </w:p>
    <w:p>
      <w:pPr>
        <w:pStyle w:val="Heading1"/>
        <w:spacing w:before="0"/>
        <w:ind w:right="179"/>
      </w:pPr>
      <w:r>
        <w:rPr/>
        <w:t>OBJETIVOS ESPECIFICOS</w:t>
      </w:r>
    </w:p>
    <w:p>
      <w:pPr>
        <w:pStyle w:val="BodyText"/>
        <w:rPr>
          <w:b/>
        </w:rPr>
      </w:pPr>
    </w:p>
    <w:p>
      <w:pPr>
        <w:pStyle w:val="BodyText"/>
        <w:rPr>
          <w:b/>
        </w:rPr>
      </w:pPr>
    </w:p>
    <w:p>
      <w:pPr>
        <w:pStyle w:val="ListParagraph"/>
        <w:numPr>
          <w:ilvl w:val="0"/>
          <w:numId w:val="2"/>
        </w:numPr>
        <w:tabs>
          <w:tab w:pos="822" w:val="left" w:leader="none"/>
        </w:tabs>
        <w:spacing w:line="360" w:lineRule="auto" w:before="0" w:after="0"/>
        <w:ind w:left="822" w:right="106" w:hanging="360"/>
        <w:jc w:val="both"/>
        <w:rPr>
          <w:sz w:val="24"/>
        </w:rPr>
      </w:pPr>
      <w:r>
        <w:rPr>
          <w:sz w:val="24"/>
        </w:rPr>
        <w:t>Garantizar la mejor práctica en relación con el reconocimiento y la atención oportuna de la paciente obstétrica</w:t>
      </w:r>
      <w:r>
        <w:rPr>
          <w:spacing w:val="-16"/>
          <w:sz w:val="24"/>
        </w:rPr>
        <w:t> </w:t>
      </w:r>
      <w:r>
        <w:rPr>
          <w:sz w:val="24"/>
        </w:rPr>
        <w:t>grave.</w:t>
      </w:r>
    </w:p>
    <w:p>
      <w:pPr>
        <w:pStyle w:val="ListParagraph"/>
        <w:numPr>
          <w:ilvl w:val="0"/>
          <w:numId w:val="2"/>
        </w:numPr>
        <w:tabs>
          <w:tab w:pos="822" w:val="left" w:leader="none"/>
        </w:tabs>
        <w:spacing w:line="360" w:lineRule="auto" w:before="2" w:after="0"/>
        <w:ind w:left="822" w:right="105" w:hanging="360"/>
        <w:jc w:val="both"/>
        <w:rPr>
          <w:sz w:val="24"/>
        </w:rPr>
      </w:pPr>
      <w:r>
        <w:rPr>
          <w:sz w:val="24"/>
        </w:rPr>
        <w:t>Identificar oportunamente a las pacientes con deterioro, mediante la aplicación de la guía de Atención Obstétrica modificada para la detección de la mujer obstétricamente grave</w:t>
      </w:r>
      <w:r>
        <w:rPr>
          <w:spacing w:val="-10"/>
          <w:sz w:val="24"/>
        </w:rPr>
        <w:t> </w:t>
      </w:r>
      <w:r>
        <w:rPr>
          <w:sz w:val="24"/>
        </w:rPr>
        <w:t>(MEOWS).</w:t>
      </w:r>
    </w:p>
    <w:p>
      <w:pPr>
        <w:pStyle w:val="ListParagraph"/>
        <w:numPr>
          <w:ilvl w:val="0"/>
          <w:numId w:val="2"/>
        </w:numPr>
        <w:tabs>
          <w:tab w:pos="822" w:val="left" w:leader="none"/>
        </w:tabs>
        <w:spacing w:line="360" w:lineRule="auto" w:before="5" w:after="0"/>
        <w:ind w:left="822" w:right="104" w:hanging="360"/>
        <w:jc w:val="both"/>
        <w:rPr>
          <w:sz w:val="24"/>
        </w:rPr>
      </w:pPr>
      <w:r>
        <w:rPr>
          <w:sz w:val="24"/>
        </w:rPr>
        <w:t>Identificar a las pacientes que presentaron alteraciones en sus signos vitales 6 y 12 horas previas a la activación del Código</w:t>
      </w:r>
      <w:r>
        <w:rPr>
          <w:spacing w:val="-13"/>
          <w:sz w:val="24"/>
        </w:rPr>
        <w:t> </w:t>
      </w:r>
      <w:r>
        <w:rPr>
          <w:sz w:val="24"/>
        </w:rPr>
        <w:t>Mater.</w:t>
      </w:r>
    </w:p>
    <w:p>
      <w:pPr>
        <w:pStyle w:val="ListParagraph"/>
        <w:numPr>
          <w:ilvl w:val="0"/>
          <w:numId w:val="2"/>
        </w:numPr>
        <w:tabs>
          <w:tab w:pos="822" w:val="left" w:leader="none"/>
        </w:tabs>
        <w:spacing w:line="360" w:lineRule="auto" w:before="5" w:after="0"/>
        <w:ind w:left="822" w:right="104" w:hanging="360"/>
        <w:jc w:val="both"/>
        <w:rPr>
          <w:sz w:val="24"/>
        </w:rPr>
      </w:pPr>
      <w:r>
        <w:rPr>
          <w:sz w:val="24"/>
        </w:rPr>
        <w:t>Dar a conocer al personal médico, residentes y enfermería la importancia de tener un sistema de alerta</w:t>
      </w:r>
      <w:r>
        <w:rPr>
          <w:spacing w:val="-12"/>
          <w:sz w:val="24"/>
        </w:rPr>
        <w:t> </w:t>
      </w:r>
      <w:r>
        <w:rPr>
          <w:sz w:val="24"/>
        </w:rPr>
        <w:t>temprana.</w:t>
      </w:r>
    </w:p>
    <w:p>
      <w:pPr>
        <w:pStyle w:val="ListParagraph"/>
        <w:numPr>
          <w:ilvl w:val="0"/>
          <w:numId w:val="2"/>
        </w:numPr>
        <w:tabs>
          <w:tab w:pos="822" w:val="left" w:leader="none"/>
        </w:tabs>
        <w:spacing w:line="360" w:lineRule="auto" w:before="5" w:after="0"/>
        <w:ind w:left="822" w:right="107" w:hanging="360"/>
        <w:jc w:val="both"/>
        <w:rPr>
          <w:sz w:val="24"/>
        </w:rPr>
      </w:pPr>
      <w:r>
        <w:rPr>
          <w:sz w:val="24"/>
        </w:rPr>
        <w:t>Proporcionar un mejor control en la monitorización de los signos vitales en las pacientes</w:t>
      </w:r>
      <w:r>
        <w:rPr>
          <w:spacing w:val="-3"/>
          <w:sz w:val="24"/>
        </w:rPr>
        <w:t> </w:t>
      </w:r>
      <w:r>
        <w:rPr>
          <w:sz w:val="24"/>
        </w:rPr>
        <w:t>obstétricas.</w:t>
      </w:r>
    </w:p>
    <w:p>
      <w:pPr>
        <w:pStyle w:val="ListParagraph"/>
        <w:numPr>
          <w:ilvl w:val="0"/>
          <w:numId w:val="2"/>
        </w:numPr>
        <w:tabs>
          <w:tab w:pos="822" w:val="left" w:leader="none"/>
        </w:tabs>
        <w:spacing w:line="360" w:lineRule="auto" w:before="5" w:after="0"/>
        <w:ind w:left="822" w:right="98" w:hanging="360"/>
        <w:jc w:val="both"/>
        <w:rPr>
          <w:sz w:val="24"/>
        </w:rPr>
      </w:pPr>
      <w:r>
        <w:rPr>
          <w:sz w:val="24"/>
        </w:rPr>
        <w:t>Asegurar un plan de manejo ante la detección de un problema obstétrico potencialmente</w:t>
      </w:r>
      <w:r>
        <w:rPr>
          <w:spacing w:val="-6"/>
          <w:sz w:val="24"/>
        </w:rPr>
        <w:t> </w:t>
      </w:r>
      <w:r>
        <w:rPr>
          <w:sz w:val="24"/>
        </w:rPr>
        <w:t>mortal.</w:t>
      </w:r>
    </w:p>
    <w:p>
      <w:pPr>
        <w:pStyle w:val="ListParagraph"/>
        <w:numPr>
          <w:ilvl w:val="0"/>
          <w:numId w:val="2"/>
        </w:numPr>
        <w:tabs>
          <w:tab w:pos="822" w:val="left" w:leader="none"/>
        </w:tabs>
        <w:spacing w:line="360" w:lineRule="auto" w:before="5" w:after="0"/>
        <w:ind w:left="822" w:right="106" w:hanging="360"/>
        <w:jc w:val="both"/>
        <w:rPr>
          <w:sz w:val="24"/>
        </w:rPr>
      </w:pPr>
      <w:r>
        <w:rPr>
          <w:sz w:val="24"/>
        </w:rPr>
        <w:t>Describir la situación clínica de la paciente previa a la activación del Código Mater.</w:t>
      </w:r>
    </w:p>
    <w:p>
      <w:pPr>
        <w:pStyle w:val="ListParagraph"/>
        <w:numPr>
          <w:ilvl w:val="0"/>
          <w:numId w:val="2"/>
        </w:numPr>
        <w:tabs>
          <w:tab w:pos="821" w:val="left" w:leader="none"/>
          <w:tab w:pos="822" w:val="left" w:leader="none"/>
        </w:tabs>
        <w:spacing w:line="240" w:lineRule="auto" w:before="5" w:after="0"/>
        <w:ind w:left="822" w:right="0" w:hanging="360"/>
        <w:jc w:val="left"/>
        <w:rPr>
          <w:sz w:val="24"/>
        </w:rPr>
      </w:pPr>
      <w:r>
        <w:rPr>
          <w:sz w:val="24"/>
        </w:rPr>
        <w:t>Describir el lugar de activación del Código Mater y el motivo de</w:t>
      </w:r>
      <w:r>
        <w:rPr>
          <w:spacing w:val="-13"/>
          <w:sz w:val="24"/>
        </w:rPr>
        <w:t> </w:t>
      </w:r>
      <w:r>
        <w:rPr>
          <w:sz w:val="24"/>
        </w:rPr>
        <w:t>activación.</w:t>
      </w:r>
    </w:p>
    <w:p>
      <w:pPr>
        <w:spacing w:after="0" w:line="240" w:lineRule="auto"/>
        <w:jc w:val="left"/>
        <w:rPr>
          <w:sz w:val="24"/>
        </w:rPr>
        <w:sectPr>
          <w:footerReference w:type="default" r:id="rId15"/>
          <w:pgSz w:w="12240" w:h="15840"/>
          <w:pgMar w:footer="1773" w:header="0" w:top="1360" w:bottom="1960" w:left="1600" w:right="1080"/>
          <w:pgNumType w:start="22"/>
        </w:sectPr>
      </w:pPr>
    </w:p>
    <w:p>
      <w:pPr>
        <w:pStyle w:val="Heading1"/>
        <w:ind w:right="179"/>
      </w:pPr>
      <w:r>
        <w:rPr/>
        <w:t>MÉTODO</w:t>
      </w:r>
    </w:p>
    <w:p>
      <w:pPr>
        <w:pStyle w:val="BodyText"/>
        <w:rPr>
          <w:b/>
        </w:rPr>
      </w:pPr>
    </w:p>
    <w:p>
      <w:pPr>
        <w:pStyle w:val="BodyText"/>
        <w:rPr>
          <w:b/>
        </w:rPr>
      </w:pPr>
    </w:p>
    <w:p>
      <w:pPr>
        <w:spacing w:before="0"/>
        <w:ind w:left="102" w:right="179" w:firstLine="0"/>
        <w:jc w:val="left"/>
        <w:rPr>
          <w:b/>
          <w:sz w:val="24"/>
        </w:rPr>
      </w:pPr>
      <w:r>
        <w:rPr>
          <w:b/>
          <w:sz w:val="24"/>
        </w:rPr>
        <w:t>Diseño de estudio</w:t>
      </w:r>
    </w:p>
    <w:p>
      <w:pPr>
        <w:pStyle w:val="BodyText"/>
        <w:rPr>
          <w:b/>
        </w:rPr>
      </w:pPr>
    </w:p>
    <w:p>
      <w:pPr>
        <w:pStyle w:val="BodyText"/>
        <w:rPr>
          <w:b/>
        </w:rPr>
      </w:pPr>
    </w:p>
    <w:p>
      <w:pPr>
        <w:pStyle w:val="BodyText"/>
        <w:spacing w:line="360" w:lineRule="auto"/>
        <w:ind w:left="102" w:right="179" w:firstLine="201"/>
      </w:pPr>
      <w:r>
        <w:rPr/>
        <w:t>Se realizó un estudio observacional, retrospectivo, transversal, descriptivo, con una muestra total de 153 expedientes clínicos del Hospital Materno Perinatal Mónica Pretelini Sáenz” en los que se requirió el manejo por el equipo de Código Mater.</w:t>
      </w:r>
    </w:p>
    <w:p>
      <w:pPr>
        <w:pStyle w:val="BodyText"/>
      </w:pPr>
    </w:p>
    <w:p>
      <w:pPr>
        <w:pStyle w:val="Heading1"/>
        <w:spacing w:before="142"/>
        <w:ind w:right="179"/>
      </w:pPr>
      <w:r>
        <w:rPr/>
        <w:t>Universo de trabajo y muestra</w:t>
      </w:r>
    </w:p>
    <w:p>
      <w:pPr>
        <w:pStyle w:val="BodyText"/>
        <w:rPr>
          <w:b/>
        </w:rPr>
      </w:pPr>
    </w:p>
    <w:p>
      <w:pPr>
        <w:pStyle w:val="BodyText"/>
        <w:rPr>
          <w:b/>
        </w:rPr>
      </w:pPr>
    </w:p>
    <w:p>
      <w:pPr>
        <w:pStyle w:val="BodyText"/>
        <w:spacing w:line="360" w:lineRule="auto"/>
        <w:ind w:left="102" w:right="179" w:firstLine="134"/>
      </w:pPr>
      <w:r>
        <w:rPr/>
        <w:t>Expedientes clínicos de las pacientes del Hospital Materno Perinatal “Mónica Pretelini Sáenz”, de los servicios de Ginecología y Obstetricia, así como Medicina materno Fetal, que cumplieron con los criterios de inclusión, en el tiempo determinado del estudio.</w:t>
      </w:r>
    </w:p>
    <w:p>
      <w:pPr>
        <w:pStyle w:val="BodyText"/>
      </w:pPr>
    </w:p>
    <w:p>
      <w:pPr>
        <w:pStyle w:val="BodyText"/>
        <w:spacing w:line="360" w:lineRule="auto" w:before="142"/>
        <w:ind w:left="102" w:right="215" w:firstLine="201"/>
      </w:pPr>
      <w:r>
        <w:rPr/>
        <w:t>En el periodo del 1° de Enero 2015 a 31 de Diciembre 2015 se activaron 153 Códigos Mater en el Hospital Materno Perinatal ISEM, principalmente en el área de Choque, unidad toco quirúrgica, hospitalización y área de urgencias de bajo riesgo (Código Verde).</w:t>
      </w:r>
    </w:p>
    <w:p>
      <w:pPr>
        <w:pStyle w:val="BodyText"/>
      </w:pPr>
    </w:p>
    <w:p>
      <w:pPr>
        <w:pStyle w:val="BodyText"/>
        <w:spacing w:line="360" w:lineRule="auto" w:before="142"/>
        <w:ind w:left="102" w:right="107" w:firstLine="134"/>
        <w:jc w:val="both"/>
      </w:pPr>
      <w:r>
        <w:rPr/>
        <w:t>Se tomaron de los expedientes datos demográficos y variables cualitativas (factores de riesgo) y variables cuantitativas (signos vitales), al momento de la activación, 6 horas previas y 12 horas previas si es que se tuviera el registro o</w:t>
      </w:r>
      <w:r>
        <w:rPr>
          <w:spacing w:val="-25"/>
        </w:rPr>
        <w:t> </w:t>
      </w:r>
      <w:r>
        <w:rPr/>
        <w:t>datos.</w:t>
      </w:r>
    </w:p>
    <w:p>
      <w:pPr>
        <w:spacing w:after="0" w:line="360" w:lineRule="auto"/>
        <w:jc w:val="both"/>
        <w:sectPr>
          <w:pgSz w:w="12240" w:h="15840"/>
          <w:pgMar w:header="0" w:footer="1773" w:top="1360" w:bottom="1960" w:left="1600" w:right="1080"/>
        </w:sectPr>
      </w:pPr>
    </w:p>
    <w:p>
      <w:pPr>
        <w:pStyle w:val="Heading1"/>
        <w:ind w:right="179"/>
      </w:pPr>
      <w:r>
        <w:rPr/>
        <w:t>Criterios de inclusión</w:t>
      </w:r>
    </w:p>
    <w:p>
      <w:pPr>
        <w:pStyle w:val="BodyText"/>
        <w:rPr>
          <w:b/>
        </w:rPr>
      </w:pPr>
    </w:p>
    <w:p>
      <w:pPr>
        <w:pStyle w:val="BodyText"/>
        <w:rPr>
          <w:b/>
        </w:rPr>
      </w:pPr>
    </w:p>
    <w:p>
      <w:pPr>
        <w:pStyle w:val="ListParagraph"/>
        <w:numPr>
          <w:ilvl w:val="0"/>
          <w:numId w:val="6"/>
        </w:numPr>
        <w:tabs>
          <w:tab w:pos="657" w:val="left" w:leader="none"/>
        </w:tabs>
        <w:spacing w:line="360" w:lineRule="auto" w:before="0" w:after="0"/>
        <w:ind w:left="656" w:right="107" w:hanging="360"/>
        <w:jc w:val="left"/>
        <w:rPr>
          <w:sz w:val="24"/>
        </w:rPr>
      </w:pPr>
      <w:r>
        <w:rPr>
          <w:sz w:val="24"/>
        </w:rPr>
        <w:t>Pacientes obstétricas que se encontraron cursando un embarazo, parto o puerperio.</w:t>
      </w:r>
    </w:p>
    <w:p>
      <w:pPr>
        <w:pStyle w:val="ListParagraph"/>
        <w:numPr>
          <w:ilvl w:val="0"/>
          <w:numId w:val="6"/>
        </w:numPr>
        <w:tabs>
          <w:tab w:pos="657" w:val="left" w:leader="none"/>
        </w:tabs>
        <w:spacing w:line="360" w:lineRule="auto" w:before="2" w:after="0"/>
        <w:ind w:left="656" w:right="109" w:hanging="360"/>
        <w:jc w:val="left"/>
        <w:rPr>
          <w:sz w:val="24"/>
        </w:rPr>
      </w:pPr>
      <w:r>
        <w:rPr>
          <w:sz w:val="24"/>
        </w:rPr>
        <w:t>Todos los expedientes en los que se haya activado “Código Mater” en área de Urgencias.</w:t>
      </w:r>
    </w:p>
    <w:p>
      <w:pPr>
        <w:pStyle w:val="ListParagraph"/>
        <w:numPr>
          <w:ilvl w:val="0"/>
          <w:numId w:val="6"/>
        </w:numPr>
        <w:tabs>
          <w:tab w:pos="657" w:val="left" w:leader="none"/>
        </w:tabs>
        <w:spacing w:line="360" w:lineRule="auto" w:before="2" w:after="0"/>
        <w:ind w:left="656" w:right="108" w:hanging="360"/>
        <w:jc w:val="left"/>
        <w:rPr>
          <w:sz w:val="24"/>
        </w:rPr>
      </w:pPr>
      <w:r>
        <w:rPr>
          <w:sz w:val="24"/>
        </w:rPr>
        <w:t>Todos los expedientes en los que se haya activado “Código Mater” en área de Toco</w:t>
      </w:r>
      <w:r>
        <w:rPr>
          <w:spacing w:val="-7"/>
          <w:sz w:val="24"/>
        </w:rPr>
        <w:t> </w:t>
      </w:r>
      <w:r>
        <w:rPr>
          <w:sz w:val="24"/>
        </w:rPr>
        <w:t>cirugía.</w:t>
      </w:r>
    </w:p>
    <w:p>
      <w:pPr>
        <w:pStyle w:val="ListParagraph"/>
        <w:numPr>
          <w:ilvl w:val="0"/>
          <w:numId w:val="6"/>
        </w:numPr>
        <w:tabs>
          <w:tab w:pos="657" w:val="left" w:leader="none"/>
        </w:tabs>
        <w:spacing w:line="362" w:lineRule="auto" w:before="2" w:after="0"/>
        <w:ind w:left="656" w:right="109" w:hanging="360"/>
        <w:jc w:val="left"/>
        <w:rPr>
          <w:sz w:val="24"/>
        </w:rPr>
      </w:pPr>
      <w:r>
        <w:rPr>
          <w:sz w:val="24"/>
        </w:rPr>
        <w:t>Todos los expedientes en los que se haya activado “Código Mater” en área de Hospitalización.</w:t>
      </w:r>
    </w:p>
    <w:p>
      <w:pPr>
        <w:pStyle w:val="ListParagraph"/>
        <w:numPr>
          <w:ilvl w:val="0"/>
          <w:numId w:val="6"/>
        </w:numPr>
        <w:tabs>
          <w:tab w:pos="657" w:val="left" w:leader="none"/>
        </w:tabs>
        <w:spacing w:line="360" w:lineRule="auto" w:before="0" w:after="0"/>
        <w:ind w:left="656" w:right="108" w:hanging="360"/>
        <w:jc w:val="left"/>
        <w:rPr>
          <w:sz w:val="24"/>
        </w:rPr>
      </w:pPr>
      <w:r>
        <w:rPr>
          <w:sz w:val="24"/>
        </w:rPr>
        <w:t>Pacientes enviadas de otros hospitales con hoja de referencia y de enfermería completas.</w:t>
      </w:r>
    </w:p>
    <w:p>
      <w:pPr>
        <w:pStyle w:val="BodyText"/>
      </w:pPr>
    </w:p>
    <w:p>
      <w:pPr>
        <w:pStyle w:val="Heading1"/>
        <w:spacing w:before="142"/>
        <w:ind w:right="179"/>
      </w:pPr>
      <w:r>
        <w:rPr/>
        <w:t>Criterios de no inclusión</w:t>
      </w:r>
    </w:p>
    <w:p>
      <w:pPr>
        <w:pStyle w:val="BodyText"/>
        <w:rPr>
          <w:b/>
        </w:rPr>
      </w:pPr>
    </w:p>
    <w:p>
      <w:pPr>
        <w:pStyle w:val="BodyText"/>
        <w:rPr>
          <w:b/>
        </w:rPr>
      </w:pPr>
    </w:p>
    <w:p>
      <w:pPr>
        <w:pStyle w:val="ListParagraph"/>
        <w:numPr>
          <w:ilvl w:val="0"/>
          <w:numId w:val="7"/>
        </w:numPr>
        <w:tabs>
          <w:tab w:pos="657" w:val="left" w:leader="none"/>
        </w:tabs>
        <w:spacing w:line="360" w:lineRule="auto" w:before="0" w:after="0"/>
        <w:ind w:left="656" w:right="277" w:hanging="360"/>
        <w:jc w:val="left"/>
        <w:rPr>
          <w:sz w:val="24"/>
        </w:rPr>
      </w:pPr>
      <w:r>
        <w:rPr>
          <w:sz w:val="24"/>
        </w:rPr>
        <w:t>Todos los expedientes de aquellas pacientes en las cuales no se activó el</w:t>
      </w:r>
      <w:r>
        <w:rPr>
          <w:spacing w:val="-33"/>
          <w:sz w:val="24"/>
        </w:rPr>
        <w:t> </w:t>
      </w:r>
      <w:r>
        <w:rPr>
          <w:sz w:val="24"/>
        </w:rPr>
        <w:t>código Mater.</w:t>
      </w:r>
    </w:p>
    <w:p>
      <w:pPr>
        <w:pStyle w:val="ListParagraph"/>
        <w:numPr>
          <w:ilvl w:val="0"/>
          <w:numId w:val="7"/>
        </w:numPr>
        <w:tabs>
          <w:tab w:pos="657" w:val="left" w:leader="none"/>
        </w:tabs>
        <w:spacing w:line="240" w:lineRule="auto" w:before="5" w:after="0"/>
        <w:ind w:left="656" w:right="0" w:hanging="360"/>
        <w:jc w:val="left"/>
        <w:rPr>
          <w:sz w:val="24"/>
        </w:rPr>
      </w:pPr>
      <w:r>
        <w:rPr>
          <w:sz w:val="24"/>
        </w:rPr>
        <w:t>Pacientes con patologías Ginecológicas u</w:t>
      </w:r>
      <w:r>
        <w:rPr>
          <w:spacing w:val="-15"/>
          <w:sz w:val="24"/>
        </w:rPr>
        <w:t> </w:t>
      </w:r>
      <w:r>
        <w:rPr>
          <w:sz w:val="24"/>
        </w:rPr>
        <w:t>Oncológicas.</w:t>
      </w:r>
    </w:p>
    <w:p>
      <w:pPr>
        <w:pStyle w:val="BodyText"/>
      </w:pPr>
    </w:p>
    <w:p>
      <w:pPr>
        <w:pStyle w:val="BodyText"/>
      </w:pPr>
    </w:p>
    <w:p>
      <w:pPr>
        <w:pStyle w:val="Heading1"/>
        <w:spacing w:before="0"/>
        <w:ind w:right="179"/>
      </w:pPr>
      <w:r>
        <w:rPr/>
        <w:t>Criterios de eliminación</w:t>
      </w:r>
    </w:p>
    <w:p>
      <w:pPr>
        <w:pStyle w:val="BodyText"/>
        <w:rPr>
          <w:b/>
        </w:rPr>
      </w:pPr>
    </w:p>
    <w:p>
      <w:pPr>
        <w:pStyle w:val="BodyText"/>
        <w:rPr>
          <w:b/>
        </w:rPr>
      </w:pPr>
    </w:p>
    <w:p>
      <w:pPr>
        <w:pStyle w:val="ListParagraph"/>
        <w:numPr>
          <w:ilvl w:val="0"/>
          <w:numId w:val="8"/>
        </w:numPr>
        <w:tabs>
          <w:tab w:pos="657" w:val="left" w:leader="none"/>
        </w:tabs>
        <w:spacing w:line="240" w:lineRule="auto" w:before="0" w:after="0"/>
        <w:ind w:left="656" w:right="0" w:hanging="360"/>
        <w:jc w:val="left"/>
        <w:rPr>
          <w:sz w:val="24"/>
        </w:rPr>
      </w:pPr>
      <w:r>
        <w:rPr>
          <w:sz w:val="24"/>
        </w:rPr>
        <w:t>Expedientes que no cuenten con hoja de</w:t>
      </w:r>
      <w:r>
        <w:rPr>
          <w:spacing w:val="-15"/>
          <w:sz w:val="24"/>
        </w:rPr>
        <w:t> </w:t>
      </w:r>
      <w:r>
        <w:rPr>
          <w:sz w:val="24"/>
        </w:rPr>
        <w:t>enfermería.</w:t>
      </w:r>
    </w:p>
    <w:p>
      <w:pPr>
        <w:pStyle w:val="ListParagraph"/>
        <w:numPr>
          <w:ilvl w:val="0"/>
          <w:numId w:val="8"/>
        </w:numPr>
        <w:tabs>
          <w:tab w:pos="657" w:val="left" w:leader="none"/>
        </w:tabs>
        <w:spacing w:line="240" w:lineRule="auto" w:before="137" w:after="0"/>
        <w:ind w:left="656" w:right="0" w:hanging="360"/>
        <w:jc w:val="left"/>
        <w:rPr>
          <w:sz w:val="24"/>
        </w:rPr>
      </w:pPr>
      <w:r>
        <w:rPr>
          <w:sz w:val="24"/>
        </w:rPr>
        <w:t>Expedientes que no cuenten con hoja de registro de</w:t>
      </w:r>
      <w:r>
        <w:rPr>
          <w:spacing w:val="-26"/>
          <w:sz w:val="24"/>
        </w:rPr>
        <w:t> </w:t>
      </w:r>
      <w:r>
        <w:rPr>
          <w:sz w:val="24"/>
        </w:rPr>
        <w:t>anestesiología</w:t>
      </w:r>
    </w:p>
    <w:p>
      <w:pPr>
        <w:pStyle w:val="ListParagraph"/>
        <w:numPr>
          <w:ilvl w:val="0"/>
          <w:numId w:val="8"/>
        </w:numPr>
        <w:tabs>
          <w:tab w:pos="657" w:val="left" w:leader="none"/>
        </w:tabs>
        <w:spacing w:line="240" w:lineRule="auto" w:before="139" w:after="0"/>
        <w:ind w:left="656" w:right="0" w:hanging="360"/>
        <w:jc w:val="left"/>
        <w:rPr>
          <w:sz w:val="24"/>
        </w:rPr>
      </w:pPr>
      <w:r>
        <w:rPr>
          <w:sz w:val="24"/>
        </w:rPr>
        <w:t>Expedientes sin nota de ingreso de</w:t>
      </w:r>
      <w:r>
        <w:rPr>
          <w:spacing w:val="-16"/>
          <w:sz w:val="24"/>
        </w:rPr>
        <w:t> </w:t>
      </w:r>
      <w:r>
        <w:rPr>
          <w:sz w:val="24"/>
        </w:rPr>
        <w:t>Obstetricia</w:t>
      </w:r>
    </w:p>
    <w:p>
      <w:pPr>
        <w:pStyle w:val="ListParagraph"/>
        <w:numPr>
          <w:ilvl w:val="0"/>
          <w:numId w:val="8"/>
        </w:numPr>
        <w:tabs>
          <w:tab w:pos="657" w:val="left" w:leader="none"/>
        </w:tabs>
        <w:spacing w:line="362" w:lineRule="auto" w:before="137" w:after="0"/>
        <w:ind w:left="656" w:right="302" w:hanging="360"/>
        <w:jc w:val="left"/>
        <w:rPr>
          <w:sz w:val="24"/>
        </w:rPr>
      </w:pPr>
      <w:r>
        <w:rPr>
          <w:sz w:val="24"/>
        </w:rPr>
        <w:t>Expedientes sin hoja correspondiente de signos vitales a su ingreso y posterior</w:t>
      </w:r>
      <w:r>
        <w:rPr>
          <w:spacing w:val="-29"/>
          <w:sz w:val="24"/>
        </w:rPr>
        <w:t> </w:t>
      </w:r>
      <w:r>
        <w:rPr>
          <w:sz w:val="24"/>
        </w:rPr>
        <w:t>a la activación del código</w:t>
      </w:r>
      <w:r>
        <w:rPr>
          <w:spacing w:val="-9"/>
          <w:sz w:val="24"/>
        </w:rPr>
        <w:t> </w:t>
      </w:r>
      <w:r>
        <w:rPr>
          <w:sz w:val="24"/>
        </w:rPr>
        <w:t>mater.</w:t>
      </w:r>
    </w:p>
    <w:p>
      <w:pPr>
        <w:pStyle w:val="ListParagraph"/>
        <w:numPr>
          <w:ilvl w:val="0"/>
          <w:numId w:val="8"/>
        </w:numPr>
        <w:tabs>
          <w:tab w:pos="657" w:val="left" w:leader="none"/>
        </w:tabs>
        <w:spacing w:line="360" w:lineRule="auto" w:before="0" w:after="0"/>
        <w:ind w:left="656" w:right="471" w:hanging="360"/>
        <w:jc w:val="left"/>
        <w:rPr>
          <w:sz w:val="24"/>
        </w:rPr>
      </w:pPr>
      <w:r>
        <w:rPr>
          <w:sz w:val="24"/>
        </w:rPr>
        <w:t>Expedientes que no cuenten con hoja de envío si se tratara de algún traslado</w:t>
      </w:r>
      <w:r>
        <w:rPr>
          <w:spacing w:val="-25"/>
          <w:sz w:val="24"/>
        </w:rPr>
        <w:t> </w:t>
      </w:r>
      <w:r>
        <w:rPr>
          <w:sz w:val="24"/>
        </w:rPr>
        <w:t>a este</w:t>
      </w:r>
      <w:r>
        <w:rPr>
          <w:spacing w:val="-5"/>
          <w:sz w:val="24"/>
        </w:rPr>
        <w:t> </w:t>
      </w:r>
      <w:r>
        <w:rPr>
          <w:sz w:val="24"/>
        </w:rPr>
        <w:t>hospital.</w:t>
      </w:r>
    </w:p>
    <w:p>
      <w:pPr>
        <w:pStyle w:val="ListParagraph"/>
        <w:numPr>
          <w:ilvl w:val="0"/>
          <w:numId w:val="8"/>
        </w:numPr>
        <w:tabs>
          <w:tab w:pos="657" w:val="left" w:leader="none"/>
        </w:tabs>
        <w:spacing w:line="240" w:lineRule="auto" w:before="2" w:after="0"/>
        <w:ind w:left="656" w:right="0" w:hanging="360"/>
        <w:jc w:val="left"/>
        <w:rPr>
          <w:sz w:val="24"/>
        </w:rPr>
      </w:pPr>
      <w:r>
        <w:rPr>
          <w:sz w:val="24"/>
        </w:rPr>
        <w:t>Expedientes</w:t>
      </w:r>
      <w:r>
        <w:rPr>
          <w:spacing w:val="-11"/>
          <w:sz w:val="24"/>
        </w:rPr>
        <w:t> </w:t>
      </w:r>
      <w:r>
        <w:rPr>
          <w:sz w:val="24"/>
        </w:rPr>
        <w:t>incompletos.</w:t>
      </w:r>
    </w:p>
    <w:p>
      <w:pPr>
        <w:spacing w:after="0" w:line="240" w:lineRule="auto"/>
        <w:jc w:val="left"/>
        <w:rPr>
          <w:sz w:val="24"/>
        </w:rPr>
        <w:sectPr>
          <w:pgSz w:w="12240" w:h="15840"/>
          <w:pgMar w:header="0" w:footer="1773" w:top="1360" w:bottom="1960" w:left="1600" w:right="1080"/>
        </w:sectPr>
      </w:pPr>
    </w:p>
    <w:p>
      <w:pPr>
        <w:pStyle w:val="BodyText"/>
        <w:spacing w:before="7"/>
        <w:rPr>
          <w:sz w:val="22"/>
        </w:rPr>
      </w:pPr>
    </w:p>
    <w:p>
      <w:pPr>
        <w:spacing w:before="69"/>
        <w:ind w:left="102" w:right="2718" w:firstLine="0"/>
        <w:jc w:val="left"/>
        <w:rPr>
          <w:b/>
          <w:sz w:val="24"/>
        </w:rPr>
      </w:pPr>
      <w:r>
        <w:rPr>
          <w:b/>
          <w:sz w:val="24"/>
        </w:rPr>
        <w:t>Instrumento de investigación</w:t>
      </w:r>
    </w:p>
    <w:p>
      <w:pPr>
        <w:pStyle w:val="BodyText"/>
        <w:spacing w:before="137"/>
        <w:ind w:left="303" w:right="145"/>
      </w:pPr>
      <w:r>
        <w:rPr/>
        <w:t>Se diseñó una hoja recolectora de datos específica para el estudio. Ver anexo 4.</w:t>
      </w:r>
    </w:p>
    <w:p>
      <w:pPr>
        <w:pStyle w:val="BodyText"/>
      </w:pPr>
    </w:p>
    <w:p>
      <w:pPr>
        <w:pStyle w:val="BodyText"/>
      </w:pPr>
    </w:p>
    <w:p>
      <w:pPr>
        <w:pStyle w:val="Heading1"/>
        <w:spacing w:before="0"/>
        <w:ind w:right="2718"/>
      </w:pPr>
      <w:r>
        <w:rPr/>
        <w:t>Desarrollo del proyecto</w:t>
      </w:r>
    </w:p>
    <w:p>
      <w:pPr>
        <w:pStyle w:val="BodyText"/>
        <w:rPr>
          <w:b/>
        </w:rPr>
      </w:pPr>
    </w:p>
    <w:p>
      <w:pPr>
        <w:pStyle w:val="BodyText"/>
        <w:rPr>
          <w:b/>
        </w:rPr>
      </w:pPr>
    </w:p>
    <w:p>
      <w:pPr>
        <w:pStyle w:val="BodyText"/>
        <w:spacing w:line="360" w:lineRule="auto"/>
        <w:ind w:left="102" w:right="117" w:firstLine="201"/>
        <w:jc w:val="both"/>
      </w:pPr>
      <w:r>
        <w:rPr/>
        <w:t>Previa autorización del protocolo por el Comité de Enseñanza, Investigación y Ética del Hospital Materno Perinatal “Mónica Pretelini Sáenz”, se realizó un estudio de tipo observacional, transversal, descriptivo y retrospectivo, en el cual se analizarán los eventos obstétricos en los cuales se activó el “código Mater” ocurridos en el área de choque, hospitalización y área de unidad toco quirúrgica, se revisaron 153 expedientes clínicos para evaluar la situación clínica de la paciente 6 y 12 horas previas a la activación del Código Mater. Se diseñó una hoja recolectora de datos específica para el estudio. Ver anexo 4. La cual consta de diferentes secciones en las que se incluyen datos generales, datos sociodemográficos, antecedentes personales patológicos, antecedentes Gineco-obstétricos, motivo y lugar de activación del Código Mater así como diagnóstico a su ingreso y plan. MEOWS al momento de la activación, 6 y 12 horas previas del Código Mater. Estos datos fueron tomados de los expedientes  clínicos que cumplieron con los criterios de</w:t>
      </w:r>
      <w:r>
        <w:rPr>
          <w:spacing w:val="-16"/>
        </w:rPr>
        <w:t> </w:t>
      </w:r>
      <w:r>
        <w:rPr/>
        <w:t>inclusión.</w:t>
      </w:r>
    </w:p>
    <w:p>
      <w:pPr>
        <w:pStyle w:val="BodyText"/>
      </w:pPr>
    </w:p>
    <w:p>
      <w:pPr>
        <w:pStyle w:val="BodyText"/>
        <w:spacing w:line="360" w:lineRule="auto" w:before="142"/>
        <w:ind w:left="102" w:right="127" w:firstLine="201"/>
        <w:jc w:val="both"/>
      </w:pPr>
      <w:r>
        <w:rPr/>
        <w:t>En todas las pacientes se realizó el cálculo tomando en cuenta la escala MEOWS mediante los datos obtenidos de la hoja recolectora previamente diseñada para el estudio, posteriormente se elaboraron base de datos en Excel, cuadros y gráficas.</w:t>
      </w:r>
    </w:p>
    <w:p>
      <w:pPr>
        <w:pStyle w:val="BodyText"/>
      </w:pPr>
    </w:p>
    <w:p>
      <w:pPr>
        <w:pStyle w:val="Heading1"/>
        <w:spacing w:before="142"/>
        <w:ind w:right="2718"/>
      </w:pPr>
      <w:r>
        <w:rPr/>
        <w:t>Límite de espacio</w:t>
      </w:r>
    </w:p>
    <w:p>
      <w:pPr>
        <w:pStyle w:val="BodyText"/>
        <w:spacing w:line="360" w:lineRule="auto" w:before="140"/>
        <w:ind w:left="102" w:right="145" w:firstLine="201"/>
      </w:pPr>
      <w:r>
        <w:rPr/>
        <w:t>El estudio se realizó en el área Clínica del Hospital Materno Perinatal “Mónica Pretelini Sáenz”, ISEM.</w:t>
      </w:r>
    </w:p>
    <w:p>
      <w:pPr>
        <w:pStyle w:val="BodyText"/>
      </w:pPr>
    </w:p>
    <w:p>
      <w:pPr>
        <w:pStyle w:val="Heading1"/>
        <w:spacing w:before="142"/>
        <w:ind w:right="2718"/>
      </w:pPr>
      <w:r>
        <w:rPr/>
        <w:t>Límite de tiempo</w:t>
      </w:r>
    </w:p>
    <w:p>
      <w:pPr>
        <w:pStyle w:val="BodyText"/>
        <w:spacing w:before="137"/>
        <w:ind w:left="236" w:right="145"/>
      </w:pPr>
      <w:r>
        <w:rPr/>
        <w:t>El estudio se realizó del 1 de enero del 2015 al 31 de Diciembre del 2015.</w:t>
      </w:r>
    </w:p>
    <w:p>
      <w:pPr>
        <w:spacing w:after="0"/>
        <w:sectPr>
          <w:footerReference w:type="default" r:id="rId16"/>
          <w:pgSz w:w="12240" w:h="15840"/>
          <w:pgMar w:footer="1533" w:header="0" w:top="1500" w:bottom="1720" w:left="1600" w:right="1060"/>
          <w:pgNumType w:start="25"/>
        </w:sectPr>
      </w:pPr>
    </w:p>
    <w:p>
      <w:pPr>
        <w:pStyle w:val="Heading1"/>
        <w:ind w:right="179"/>
      </w:pPr>
      <w:r>
        <w:rPr/>
        <w:t>Diseño de análisis</w:t>
      </w:r>
    </w:p>
    <w:p>
      <w:pPr>
        <w:pStyle w:val="BodyText"/>
        <w:spacing w:line="360" w:lineRule="auto" w:before="139"/>
        <w:ind w:left="102" w:right="179" w:firstLine="134"/>
      </w:pPr>
      <w:r>
        <w:rPr/>
        <w:t>Se realizó estadística descriptiva, las variables se presentan en promedios para las variables cuantitativas y porcentajes  para las variables cualitativas</w:t>
      </w:r>
    </w:p>
    <w:p>
      <w:pPr>
        <w:pStyle w:val="BodyText"/>
      </w:pPr>
    </w:p>
    <w:p>
      <w:pPr>
        <w:pStyle w:val="Heading1"/>
        <w:spacing w:before="142"/>
        <w:ind w:right="179"/>
      </w:pPr>
      <w:r>
        <w:rPr/>
        <w:t>Operacionalización de variables</w:t>
      </w:r>
    </w:p>
    <w:p>
      <w:pPr>
        <w:pStyle w:val="BodyText"/>
        <w:spacing w:before="9"/>
        <w:rPr>
          <w:b/>
          <w:sz w:val="8"/>
        </w:rPr>
      </w:pPr>
      <w:r>
        <w:rPr/>
        <w:drawing>
          <wp:anchor distT="0" distB="0" distL="0" distR="0" allowOverlap="1" layoutInCell="1" locked="0" behindDoc="0" simplePos="0" relativeHeight="1336">
            <wp:simplePos x="0" y="0"/>
            <wp:positionH relativeFrom="page">
              <wp:posOffset>1080135</wp:posOffset>
            </wp:positionH>
            <wp:positionV relativeFrom="paragraph">
              <wp:posOffset>89369</wp:posOffset>
            </wp:positionV>
            <wp:extent cx="5702189" cy="2865120"/>
            <wp:effectExtent l="0" t="0" r="0" b="0"/>
            <wp:wrapTopAndBottom/>
            <wp:docPr id="3" name="image3.png" descr=""/>
            <wp:cNvGraphicFramePr>
              <a:graphicFrameLocks noChangeAspect="1"/>
            </wp:cNvGraphicFramePr>
            <a:graphic>
              <a:graphicData uri="http://schemas.openxmlformats.org/drawingml/2006/picture">
                <pic:pic>
                  <pic:nvPicPr>
                    <pic:cNvPr id="4" name="image3.png"/>
                    <pic:cNvPicPr/>
                  </pic:nvPicPr>
                  <pic:blipFill>
                    <a:blip r:embed="rId17" cstate="print"/>
                    <a:stretch>
                      <a:fillRect/>
                    </a:stretch>
                  </pic:blipFill>
                  <pic:spPr>
                    <a:xfrm>
                      <a:off x="0" y="0"/>
                      <a:ext cx="5702189" cy="2865120"/>
                    </a:xfrm>
                    <a:prstGeom prst="rect">
                      <a:avLst/>
                    </a:prstGeom>
                  </pic:spPr>
                </pic:pic>
              </a:graphicData>
            </a:graphic>
          </wp:anchor>
        </w:drawing>
      </w:r>
      <w:r>
        <w:rPr/>
        <w:drawing>
          <wp:anchor distT="0" distB="0" distL="0" distR="0" allowOverlap="1" layoutInCell="1" locked="0" behindDoc="0" simplePos="0" relativeHeight="1360">
            <wp:simplePos x="0" y="0"/>
            <wp:positionH relativeFrom="page">
              <wp:posOffset>1080135</wp:posOffset>
            </wp:positionH>
            <wp:positionV relativeFrom="paragraph">
              <wp:posOffset>3053549</wp:posOffset>
            </wp:positionV>
            <wp:extent cx="5559071" cy="3319081"/>
            <wp:effectExtent l="0" t="0" r="0" b="0"/>
            <wp:wrapTopAndBottom/>
            <wp:docPr id="5" name="image4.png" descr=""/>
            <wp:cNvGraphicFramePr>
              <a:graphicFrameLocks noChangeAspect="1"/>
            </wp:cNvGraphicFramePr>
            <a:graphic>
              <a:graphicData uri="http://schemas.openxmlformats.org/drawingml/2006/picture">
                <pic:pic>
                  <pic:nvPicPr>
                    <pic:cNvPr id="6" name="image4.png"/>
                    <pic:cNvPicPr/>
                  </pic:nvPicPr>
                  <pic:blipFill>
                    <a:blip r:embed="rId18" cstate="print"/>
                    <a:stretch>
                      <a:fillRect/>
                    </a:stretch>
                  </pic:blipFill>
                  <pic:spPr>
                    <a:xfrm>
                      <a:off x="0" y="0"/>
                      <a:ext cx="5559071" cy="3319081"/>
                    </a:xfrm>
                    <a:prstGeom prst="rect">
                      <a:avLst/>
                    </a:prstGeom>
                  </pic:spPr>
                </pic:pic>
              </a:graphicData>
            </a:graphic>
          </wp:anchor>
        </w:drawing>
      </w:r>
    </w:p>
    <w:p>
      <w:pPr>
        <w:pStyle w:val="BodyText"/>
        <w:spacing w:before="7"/>
        <w:rPr>
          <w:b/>
          <w:sz w:val="7"/>
        </w:rPr>
      </w:pPr>
    </w:p>
    <w:p>
      <w:pPr>
        <w:spacing w:after="0"/>
        <w:rPr>
          <w:sz w:val="7"/>
        </w:rPr>
        <w:sectPr>
          <w:pgSz w:w="12240" w:h="15840"/>
          <w:pgMar w:header="0" w:footer="1533" w:top="1360" w:bottom="1720" w:left="1600" w:right="1080"/>
        </w:sectPr>
      </w:pPr>
    </w:p>
    <w:p>
      <w:pPr>
        <w:spacing w:before="54"/>
        <w:ind w:left="102" w:right="0" w:firstLine="0"/>
        <w:jc w:val="left"/>
        <w:rPr>
          <w:b/>
          <w:sz w:val="24"/>
        </w:rPr>
      </w:pPr>
      <w:r>
        <w:rPr>
          <w:b/>
          <w:sz w:val="24"/>
        </w:rPr>
        <w:t>Operacionalización de variables</w:t>
      </w:r>
    </w:p>
    <w:p>
      <w:pPr>
        <w:pStyle w:val="BodyText"/>
        <w:spacing w:before="10"/>
        <w:rPr>
          <w:b/>
          <w:sz w:val="8"/>
        </w:rPr>
      </w:pPr>
      <w:r>
        <w:rPr/>
        <w:drawing>
          <wp:anchor distT="0" distB="0" distL="0" distR="0" allowOverlap="1" layoutInCell="1" locked="0" behindDoc="0" simplePos="0" relativeHeight="1384">
            <wp:simplePos x="0" y="0"/>
            <wp:positionH relativeFrom="page">
              <wp:posOffset>1080135</wp:posOffset>
            </wp:positionH>
            <wp:positionV relativeFrom="paragraph">
              <wp:posOffset>89624</wp:posOffset>
            </wp:positionV>
            <wp:extent cx="5803226" cy="3295650"/>
            <wp:effectExtent l="0" t="0" r="0" b="0"/>
            <wp:wrapTopAndBottom/>
            <wp:docPr id="7" name="image5.png" descr=""/>
            <wp:cNvGraphicFramePr>
              <a:graphicFrameLocks noChangeAspect="1"/>
            </wp:cNvGraphicFramePr>
            <a:graphic>
              <a:graphicData uri="http://schemas.openxmlformats.org/drawingml/2006/picture">
                <pic:pic>
                  <pic:nvPicPr>
                    <pic:cNvPr id="8" name="image5.png"/>
                    <pic:cNvPicPr/>
                  </pic:nvPicPr>
                  <pic:blipFill>
                    <a:blip r:embed="rId20" cstate="print"/>
                    <a:stretch>
                      <a:fillRect/>
                    </a:stretch>
                  </pic:blipFill>
                  <pic:spPr>
                    <a:xfrm>
                      <a:off x="0" y="0"/>
                      <a:ext cx="5803226" cy="3295650"/>
                    </a:xfrm>
                    <a:prstGeom prst="rect">
                      <a:avLst/>
                    </a:prstGeom>
                  </pic:spPr>
                </pic:pic>
              </a:graphicData>
            </a:graphic>
          </wp:anchor>
        </w:drawing>
      </w:r>
      <w:r>
        <w:rPr/>
        <w:drawing>
          <wp:anchor distT="0" distB="0" distL="0" distR="0" allowOverlap="1" layoutInCell="1" locked="0" behindDoc="0" simplePos="0" relativeHeight="1408">
            <wp:simplePos x="0" y="0"/>
            <wp:positionH relativeFrom="page">
              <wp:posOffset>1080135</wp:posOffset>
            </wp:positionH>
            <wp:positionV relativeFrom="paragraph">
              <wp:posOffset>3491827</wp:posOffset>
            </wp:positionV>
            <wp:extent cx="5819241" cy="4152519"/>
            <wp:effectExtent l="0" t="0" r="0" b="0"/>
            <wp:wrapTopAndBottom/>
            <wp:docPr id="9" name="image6.png" descr=""/>
            <wp:cNvGraphicFramePr>
              <a:graphicFrameLocks noChangeAspect="1"/>
            </wp:cNvGraphicFramePr>
            <a:graphic>
              <a:graphicData uri="http://schemas.openxmlformats.org/drawingml/2006/picture">
                <pic:pic>
                  <pic:nvPicPr>
                    <pic:cNvPr id="10" name="image6.png"/>
                    <pic:cNvPicPr/>
                  </pic:nvPicPr>
                  <pic:blipFill>
                    <a:blip r:embed="rId21" cstate="print"/>
                    <a:stretch>
                      <a:fillRect/>
                    </a:stretch>
                  </pic:blipFill>
                  <pic:spPr>
                    <a:xfrm>
                      <a:off x="0" y="0"/>
                      <a:ext cx="5819241" cy="4152519"/>
                    </a:xfrm>
                    <a:prstGeom prst="rect">
                      <a:avLst/>
                    </a:prstGeom>
                  </pic:spPr>
                </pic:pic>
              </a:graphicData>
            </a:graphic>
          </wp:anchor>
        </w:drawing>
      </w:r>
    </w:p>
    <w:p>
      <w:pPr>
        <w:pStyle w:val="BodyText"/>
        <w:spacing w:before="7"/>
        <w:rPr>
          <w:b/>
          <w:sz w:val="8"/>
        </w:rPr>
      </w:pPr>
    </w:p>
    <w:p>
      <w:pPr>
        <w:spacing w:after="0"/>
        <w:rPr>
          <w:sz w:val="8"/>
        </w:rPr>
        <w:sectPr>
          <w:footerReference w:type="default" r:id="rId19"/>
          <w:pgSz w:w="12240" w:h="15840"/>
          <w:pgMar w:footer="1735" w:header="0" w:top="1360" w:bottom="1920" w:left="1600" w:right="1260"/>
          <w:pgNumType w:start="27"/>
        </w:sectPr>
      </w:pPr>
    </w:p>
    <w:p>
      <w:pPr>
        <w:spacing w:before="54"/>
        <w:ind w:left="102" w:right="0" w:firstLine="0"/>
        <w:jc w:val="left"/>
        <w:rPr>
          <w:b/>
          <w:sz w:val="24"/>
        </w:rPr>
      </w:pPr>
      <w:r>
        <w:rPr>
          <w:b/>
          <w:sz w:val="24"/>
        </w:rPr>
        <w:t>Operacionalización de variables</w:t>
      </w:r>
    </w:p>
    <w:p>
      <w:pPr>
        <w:pStyle w:val="BodyText"/>
        <w:spacing w:before="10"/>
        <w:rPr>
          <w:b/>
          <w:sz w:val="8"/>
        </w:rPr>
      </w:pPr>
      <w:r>
        <w:rPr/>
        <w:drawing>
          <wp:anchor distT="0" distB="0" distL="0" distR="0" allowOverlap="1" layoutInCell="1" locked="0" behindDoc="0" simplePos="0" relativeHeight="1432">
            <wp:simplePos x="0" y="0"/>
            <wp:positionH relativeFrom="page">
              <wp:posOffset>1080135</wp:posOffset>
            </wp:positionH>
            <wp:positionV relativeFrom="paragraph">
              <wp:posOffset>89624</wp:posOffset>
            </wp:positionV>
            <wp:extent cx="5727051" cy="4320921"/>
            <wp:effectExtent l="0" t="0" r="0" b="0"/>
            <wp:wrapTopAndBottom/>
            <wp:docPr id="11" name="image7.png" descr=""/>
            <wp:cNvGraphicFramePr>
              <a:graphicFrameLocks noChangeAspect="1"/>
            </wp:cNvGraphicFramePr>
            <a:graphic>
              <a:graphicData uri="http://schemas.openxmlformats.org/drawingml/2006/picture">
                <pic:pic>
                  <pic:nvPicPr>
                    <pic:cNvPr id="12" name="image7.png"/>
                    <pic:cNvPicPr/>
                  </pic:nvPicPr>
                  <pic:blipFill>
                    <a:blip r:embed="rId22" cstate="print"/>
                    <a:stretch>
                      <a:fillRect/>
                    </a:stretch>
                  </pic:blipFill>
                  <pic:spPr>
                    <a:xfrm>
                      <a:off x="0" y="0"/>
                      <a:ext cx="5727051" cy="4320921"/>
                    </a:xfrm>
                    <a:prstGeom prst="rect">
                      <a:avLst/>
                    </a:prstGeom>
                  </pic:spPr>
                </pic:pic>
              </a:graphicData>
            </a:graphic>
          </wp:anchor>
        </w:drawing>
      </w:r>
    </w:p>
    <w:p>
      <w:pPr>
        <w:spacing w:after="0"/>
        <w:rPr>
          <w:sz w:val="8"/>
        </w:rPr>
        <w:sectPr>
          <w:pgSz w:w="12240" w:h="15840"/>
          <w:pgMar w:header="0" w:footer="1735" w:top="1360" w:bottom="1920" w:left="1600" w:right="1240"/>
        </w:sectPr>
      </w:pPr>
    </w:p>
    <w:p>
      <w:pPr>
        <w:spacing w:before="54"/>
        <w:ind w:left="102" w:right="0" w:firstLine="0"/>
        <w:jc w:val="both"/>
        <w:rPr>
          <w:b/>
          <w:sz w:val="24"/>
        </w:rPr>
      </w:pPr>
      <w:r>
        <w:rPr>
          <w:b/>
          <w:sz w:val="24"/>
        </w:rPr>
        <w:t>IMPLICACIONES ÉTICAS</w:t>
      </w:r>
    </w:p>
    <w:p>
      <w:pPr>
        <w:pStyle w:val="BodyText"/>
        <w:rPr>
          <w:b/>
        </w:rPr>
      </w:pPr>
    </w:p>
    <w:p>
      <w:pPr>
        <w:pStyle w:val="BodyText"/>
        <w:rPr>
          <w:b/>
        </w:rPr>
      </w:pPr>
    </w:p>
    <w:p>
      <w:pPr>
        <w:pStyle w:val="ListParagraph"/>
        <w:numPr>
          <w:ilvl w:val="0"/>
          <w:numId w:val="9"/>
        </w:numPr>
        <w:tabs>
          <w:tab w:pos="649" w:val="left" w:leader="none"/>
        </w:tabs>
        <w:spacing w:line="360" w:lineRule="auto" w:before="0" w:after="0"/>
        <w:ind w:left="102" w:right="106" w:firstLine="0"/>
        <w:jc w:val="both"/>
        <w:rPr>
          <w:sz w:val="24"/>
        </w:rPr>
      </w:pPr>
      <w:r>
        <w:rPr>
          <w:sz w:val="24"/>
        </w:rPr>
        <w:t>Declaración de Helsinki: establece una serie de principios éticos para las investigaciones médicas en seres</w:t>
      </w:r>
      <w:r>
        <w:rPr>
          <w:spacing w:val="-13"/>
          <w:sz w:val="24"/>
        </w:rPr>
        <w:t> </w:t>
      </w:r>
      <w:r>
        <w:rPr>
          <w:sz w:val="24"/>
        </w:rPr>
        <w:t>humanos.</w:t>
      </w:r>
    </w:p>
    <w:p>
      <w:pPr>
        <w:pStyle w:val="ListParagraph"/>
        <w:numPr>
          <w:ilvl w:val="0"/>
          <w:numId w:val="9"/>
        </w:numPr>
        <w:tabs>
          <w:tab w:pos="376" w:val="left" w:leader="none"/>
        </w:tabs>
        <w:spacing w:line="360" w:lineRule="auto" w:before="2" w:after="0"/>
        <w:ind w:left="102" w:right="99" w:firstLine="0"/>
        <w:jc w:val="both"/>
        <w:rPr>
          <w:sz w:val="24"/>
        </w:rPr>
      </w:pPr>
      <w:r>
        <w:rPr>
          <w:sz w:val="24"/>
        </w:rPr>
        <w:t>Ley General de Salud: La investigación se encuentra establecido primordialmente en el Título Quinto que comprende los artículos 98 a 103. Donde se establecen las bases para realizar la investigación en seres</w:t>
      </w:r>
      <w:r>
        <w:rPr>
          <w:spacing w:val="-14"/>
          <w:sz w:val="24"/>
        </w:rPr>
        <w:t> </w:t>
      </w:r>
      <w:r>
        <w:rPr>
          <w:sz w:val="24"/>
        </w:rPr>
        <w:t>humanos.</w:t>
      </w:r>
    </w:p>
    <w:p>
      <w:pPr>
        <w:pStyle w:val="ListParagraph"/>
        <w:numPr>
          <w:ilvl w:val="0"/>
          <w:numId w:val="9"/>
        </w:numPr>
        <w:tabs>
          <w:tab w:pos="462" w:val="left" w:leader="none"/>
        </w:tabs>
        <w:spacing w:line="360" w:lineRule="auto" w:before="5" w:after="0"/>
        <w:ind w:left="102" w:right="104" w:firstLine="0"/>
        <w:jc w:val="both"/>
        <w:rPr>
          <w:sz w:val="24"/>
        </w:rPr>
      </w:pPr>
      <w:r>
        <w:rPr>
          <w:sz w:val="24"/>
        </w:rPr>
        <w:t>Reglamento de la Ley General de Salud en Materia de Investigación para la Salud: Este ordenamiento desarrolla con mayor precisión lo establecido en la Ley General de Salud respecto a investigación, especialmente lo relativo a investigación con seres humanos. Especificar que su investigación de acuerdo al ARTÍCULO 17: se considera riesgo de la investigación a la probabilidad de que el sujeto de investigación sufra algún daño como consecuencia inmediata o tardía del estudio. Para efectos de este reglamento los investigadores se clasifican en las siguientes</w:t>
      </w:r>
      <w:r>
        <w:rPr>
          <w:spacing w:val="-25"/>
          <w:sz w:val="24"/>
        </w:rPr>
        <w:t> </w:t>
      </w:r>
      <w:r>
        <w:rPr>
          <w:sz w:val="24"/>
        </w:rPr>
        <w:t>categorías:</w:t>
      </w:r>
    </w:p>
    <w:p>
      <w:pPr>
        <w:pStyle w:val="ListParagraph"/>
        <w:numPr>
          <w:ilvl w:val="1"/>
          <w:numId w:val="9"/>
        </w:numPr>
        <w:tabs>
          <w:tab w:pos="822" w:val="left" w:leader="none"/>
        </w:tabs>
        <w:spacing w:line="360" w:lineRule="auto" w:before="2" w:after="0"/>
        <w:ind w:left="822" w:right="101" w:hanging="360"/>
        <w:jc w:val="both"/>
        <w:rPr>
          <w:sz w:val="24"/>
        </w:rPr>
      </w:pPr>
      <w:r>
        <w:rPr>
          <w:sz w:val="24"/>
        </w:rPr>
        <w:t>I.- Investigación sin riesgo: Son estudios que emplean técnicas y métodos de investigación documental retrospectivos y aquéllos en los que no se realiza ninguna intervención o modificación intencionada en las variables fisiológicas, psicológicas y sociales de los individuos que participan en el</w:t>
      </w:r>
      <w:r>
        <w:rPr>
          <w:spacing w:val="-22"/>
          <w:sz w:val="24"/>
        </w:rPr>
        <w:t> </w:t>
      </w:r>
      <w:r>
        <w:rPr>
          <w:sz w:val="24"/>
        </w:rPr>
        <w:t>estudio.</w:t>
      </w:r>
    </w:p>
    <w:p>
      <w:pPr>
        <w:pStyle w:val="ListParagraph"/>
        <w:numPr>
          <w:ilvl w:val="0"/>
          <w:numId w:val="9"/>
        </w:numPr>
        <w:tabs>
          <w:tab w:pos="638" w:val="left" w:leader="none"/>
        </w:tabs>
        <w:spacing w:line="360" w:lineRule="auto" w:before="2" w:after="0"/>
        <w:ind w:left="102" w:right="107" w:firstLine="0"/>
        <w:jc w:val="both"/>
        <w:rPr>
          <w:sz w:val="24"/>
        </w:rPr>
      </w:pPr>
      <w:r>
        <w:rPr>
          <w:sz w:val="24"/>
        </w:rPr>
        <w:t>Ley Federal de Transparencia y Acceso a la Información Pública Gubernamental: Estable las garantías para que los datos personales que los organismos públicos tienen en sus registros se protejan</w:t>
      </w:r>
      <w:r>
        <w:rPr>
          <w:spacing w:val="-13"/>
          <w:sz w:val="24"/>
        </w:rPr>
        <w:t> </w:t>
      </w:r>
      <w:r>
        <w:rPr>
          <w:sz w:val="24"/>
        </w:rPr>
        <w:t>adecuadamente.</w:t>
      </w:r>
    </w:p>
    <w:p>
      <w:pPr>
        <w:pStyle w:val="ListParagraph"/>
        <w:numPr>
          <w:ilvl w:val="0"/>
          <w:numId w:val="9"/>
        </w:numPr>
        <w:tabs>
          <w:tab w:pos="649" w:val="left" w:leader="none"/>
        </w:tabs>
        <w:spacing w:line="360" w:lineRule="auto" w:before="5" w:after="0"/>
        <w:ind w:left="102" w:right="102" w:firstLine="0"/>
        <w:jc w:val="both"/>
        <w:rPr>
          <w:sz w:val="24"/>
        </w:rPr>
      </w:pPr>
      <w:r>
        <w:rPr>
          <w:sz w:val="24"/>
        </w:rPr>
        <w:t>Ley Federal de Protección de Datos Personales en Posesión de los Particulares: establece protección de los datos personales en posesión de los particulares, con la finalidad de regular su tratamiento legítimo, controlado e informado, a efecto de garantizar la privacidad y el derecho a la autodeterminación informativa de las personas.</w:t>
      </w:r>
    </w:p>
    <w:p>
      <w:pPr>
        <w:pStyle w:val="ListParagraph"/>
        <w:numPr>
          <w:ilvl w:val="0"/>
          <w:numId w:val="9"/>
        </w:numPr>
        <w:tabs>
          <w:tab w:pos="610" w:val="left" w:leader="none"/>
        </w:tabs>
        <w:spacing w:line="360" w:lineRule="auto" w:before="2" w:after="0"/>
        <w:ind w:left="102" w:right="107" w:firstLine="0"/>
        <w:jc w:val="both"/>
        <w:rPr>
          <w:sz w:val="24"/>
        </w:rPr>
      </w:pPr>
      <w:r>
        <w:rPr>
          <w:sz w:val="24"/>
        </w:rPr>
        <w:t>Reglamento de la Ley General de Salud en Materia de Prestación de Servicios de Atención Médica: establece los requisitos para brindar una atención médica de calidad, señalando los parámetros que deben cumplirse en el tratamiento de los</w:t>
      </w:r>
      <w:r>
        <w:rPr>
          <w:spacing w:val="-29"/>
          <w:sz w:val="24"/>
        </w:rPr>
        <w:t> </w:t>
      </w:r>
      <w:r>
        <w:rPr>
          <w:sz w:val="24"/>
        </w:rPr>
        <w:t>pacientes.</w:t>
      </w:r>
    </w:p>
    <w:p>
      <w:pPr>
        <w:spacing w:after="0" w:line="360" w:lineRule="auto"/>
        <w:jc w:val="both"/>
        <w:rPr>
          <w:sz w:val="24"/>
        </w:rPr>
        <w:sectPr>
          <w:pgSz w:w="12240" w:h="15840"/>
          <w:pgMar w:header="0" w:footer="1735" w:top="1360" w:bottom="1960" w:left="1600" w:right="1080"/>
        </w:sectPr>
      </w:pPr>
    </w:p>
    <w:p>
      <w:pPr>
        <w:pStyle w:val="BodyText"/>
        <w:spacing w:before="7"/>
        <w:rPr>
          <w:sz w:val="22"/>
        </w:rPr>
      </w:pPr>
    </w:p>
    <w:p>
      <w:pPr>
        <w:pStyle w:val="BodyText"/>
        <w:spacing w:line="360" w:lineRule="auto" w:before="69"/>
        <w:ind w:left="102" w:right="179" w:firstLine="201"/>
      </w:pPr>
      <w:r>
        <w:rPr/>
        <w:t>Las disposiciones de este ordenamiento son útiles en la investigación debido a que en múltiples ocasiones un paciente es además sujeto de</w:t>
      </w:r>
      <w:r>
        <w:rPr>
          <w:spacing w:val="-23"/>
        </w:rPr>
        <w:t> </w:t>
      </w:r>
      <w:r>
        <w:rPr/>
        <w:t>investigación.</w:t>
      </w:r>
    </w:p>
    <w:p>
      <w:pPr>
        <w:pStyle w:val="BodyText"/>
        <w:spacing w:line="360" w:lineRule="auto" w:before="5"/>
        <w:ind w:left="102" w:right="102"/>
        <w:jc w:val="both"/>
      </w:pPr>
      <w:r>
        <w:rPr/>
        <w:t>Norma Oficial Mexicana NOM-012-SSA3-2012, que establece los criterios para la ejecución de proyectos de investigación para la salud en seres humanos: establece los criterios normativos de carácter administrativo, ético y metodológico, que en correspondencia con la LGS y el Reglamento en materia de investigación para la salud, son de observancia obligatoria para solicitar la autorización de proyectos o protocolos con fines estadísticos.</w:t>
      </w:r>
    </w:p>
    <w:p>
      <w:pPr>
        <w:pStyle w:val="ListParagraph"/>
        <w:numPr>
          <w:ilvl w:val="1"/>
          <w:numId w:val="9"/>
        </w:numPr>
        <w:tabs>
          <w:tab w:pos="822" w:val="left" w:leader="none"/>
        </w:tabs>
        <w:spacing w:line="360" w:lineRule="auto" w:before="5" w:after="0"/>
        <w:ind w:left="822" w:right="105" w:hanging="360"/>
        <w:jc w:val="both"/>
        <w:rPr>
          <w:sz w:val="24"/>
        </w:rPr>
      </w:pPr>
      <w:r>
        <w:rPr>
          <w:sz w:val="24"/>
        </w:rPr>
        <w:t>El estudio se realizó previa aprobación por el Sub Comité de Ética en Investigación del Hospital Materno Perinatal “Mónica Pretelini Saenz” de ISEM respetando las normas éticas de investigación en seres</w:t>
      </w:r>
      <w:r>
        <w:rPr>
          <w:spacing w:val="-23"/>
          <w:sz w:val="24"/>
        </w:rPr>
        <w:t> </w:t>
      </w:r>
      <w:r>
        <w:rPr>
          <w:sz w:val="24"/>
        </w:rPr>
        <w:t>humanos.</w:t>
      </w:r>
    </w:p>
    <w:p>
      <w:pPr>
        <w:pStyle w:val="ListParagraph"/>
        <w:numPr>
          <w:ilvl w:val="1"/>
          <w:numId w:val="9"/>
        </w:numPr>
        <w:tabs>
          <w:tab w:pos="821" w:val="left" w:leader="none"/>
          <w:tab w:pos="822" w:val="left" w:leader="none"/>
        </w:tabs>
        <w:spacing w:line="240" w:lineRule="auto" w:before="2" w:after="0"/>
        <w:ind w:left="822" w:right="0" w:hanging="360"/>
        <w:jc w:val="left"/>
        <w:rPr>
          <w:sz w:val="24"/>
        </w:rPr>
      </w:pPr>
      <w:r>
        <w:rPr>
          <w:sz w:val="24"/>
        </w:rPr>
        <w:t>Se mantendrá absoluta confidencialidad de los datos</w:t>
      </w:r>
      <w:r>
        <w:rPr>
          <w:spacing w:val="-23"/>
          <w:sz w:val="24"/>
        </w:rPr>
        <w:t> </w:t>
      </w:r>
      <w:r>
        <w:rPr>
          <w:sz w:val="24"/>
        </w:rPr>
        <w:t>obtenidos</w:t>
      </w:r>
    </w:p>
    <w:p>
      <w:pPr>
        <w:spacing w:after="0" w:line="240" w:lineRule="auto"/>
        <w:jc w:val="left"/>
        <w:rPr>
          <w:sz w:val="24"/>
        </w:rPr>
        <w:sectPr>
          <w:footerReference w:type="default" r:id="rId23"/>
          <w:pgSz w:w="12240" w:h="15840"/>
          <w:pgMar w:footer="1773" w:header="0" w:top="1500" w:bottom="1960" w:left="1600" w:right="1080"/>
          <w:pgNumType w:start="30"/>
        </w:sectPr>
      </w:pPr>
    </w:p>
    <w:p>
      <w:pPr>
        <w:spacing w:before="54"/>
        <w:ind w:left="102" w:right="179" w:firstLine="0"/>
        <w:jc w:val="left"/>
        <w:rPr>
          <w:b/>
          <w:sz w:val="24"/>
        </w:rPr>
      </w:pPr>
      <w:r>
        <w:rPr>
          <w:b/>
          <w:sz w:val="24"/>
        </w:rPr>
        <w:t>RESULTADOS</w:t>
      </w:r>
    </w:p>
    <w:p>
      <w:pPr>
        <w:pStyle w:val="BodyText"/>
        <w:spacing w:before="5"/>
        <w:rPr>
          <w:b/>
          <w:sz w:val="29"/>
        </w:rPr>
      </w:pPr>
    </w:p>
    <w:p>
      <w:pPr>
        <w:pStyle w:val="BodyText"/>
        <w:spacing w:line="360" w:lineRule="auto"/>
        <w:ind w:left="102" w:right="107" w:firstLine="201"/>
        <w:jc w:val="both"/>
      </w:pPr>
      <w:r>
        <w:rPr/>
        <w:t>Se revisaron 153 expedientes en el archivo clínico del hospital Materno Perinatal Mónica Pretelini Sáenz, de los cuales 86 cumplieron con los criterios de inclusión.</w:t>
      </w:r>
    </w:p>
    <w:p>
      <w:pPr>
        <w:pStyle w:val="BodyText"/>
        <w:spacing w:line="360" w:lineRule="auto" w:before="204"/>
        <w:ind w:left="102" w:right="105" w:firstLine="201"/>
        <w:jc w:val="both"/>
      </w:pPr>
      <w:r>
        <w:rPr/>
        <w:t>En éstas pacientes se activó el Código Mater durante el periodo del 1° de Enero del 2015 al 31 de Diciembre del 2015, se excluyeron 67 expedientes, los cuales no cumplieron con los criterios de inclusión, en su mayoría por encontrarse incompletos. De éstas 86 pacientes, el 17% (15) fueron menores de edad, con una edad media de 16 años, en un 50% se encontraban entre 20 y 29 años (43), el 29% (25) entre los 30</w:t>
      </w:r>
      <w:r>
        <w:rPr>
          <w:spacing w:val="46"/>
        </w:rPr>
        <w:t> </w:t>
      </w:r>
      <w:r>
        <w:rPr/>
        <w:t>y</w:t>
      </w:r>
    </w:p>
    <w:p>
      <w:pPr>
        <w:pStyle w:val="BodyText"/>
        <w:spacing w:before="5"/>
        <w:ind w:left="102" w:right="179"/>
      </w:pPr>
      <w:r>
        <w:rPr/>
        <w:t>39 años de edad y solo un 4 %(3) fueron mayores de 40 años. Gráfica 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2"/>
        </w:rPr>
      </w:pPr>
      <w:r>
        <w:rPr/>
        <w:pict>
          <v:group style="position:absolute;margin-left:140.824997pt;margin-top:8.967866pt;width:354.75pt;height:174pt;mso-position-horizontal-relative:page;mso-position-vertical-relative:paragraph;z-index:1792;mso-wrap-distance-left:0;mso-wrap-distance-right:0" coordorigin="2816,179" coordsize="7095,3480">
            <v:shape style="position:absolute;left:3746;top:1467;width:5534;height:1685" type="#_x0000_t75" stroked="false">
              <v:imagedata r:id="rId25" o:title=""/>
            </v:shape>
            <v:line style="position:absolute" from="3779,3118" to="3731,3118" stroked="true" strokeweight=".75pt" strokecolor="#858585"/>
            <v:line style="position:absolute" from="3779,3026" to="3731,3026" stroked="true" strokeweight=".75pt" strokecolor="#858585"/>
            <v:line style="position:absolute" from="3779,2937" to="3731,2937" stroked="true" strokeweight=".75pt" strokecolor="#858585"/>
            <v:line style="position:absolute" from="3779,2846" to="3731,2846" stroked="true" strokeweight=".75pt" strokecolor="#858585"/>
            <v:line style="position:absolute" from="3779,2755" to="3731,2755" stroked="true" strokeweight=".75pt" strokecolor="#858585"/>
            <v:line style="position:absolute" from="3779,2664" to="3731,2664" stroked="true" strokeweight=".75pt" strokecolor="#858585"/>
            <v:line style="position:absolute" from="3779,2572" to="3731,2572" stroked="true" strokeweight=".75pt" strokecolor="#858585"/>
            <v:line style="position:absolute" from="3779,2484" to="3731,2484" stroked="true" strokeweight=".75pt" strokecolor="#858585"/>
            <v:line style="position:absolute" from="3779,2392" to="3731,2392" stroked="true" strokeweight=".75pt" strokecolor="#858585"/>
            <v:line style="position:absolute" from="3779,2301" to="3731,2301" stroked="true" strokeweight=".75pt" strokecolor="#858585"/>
            <v:line style="position:absolute" from="3779,2210" to="3731,2210" stroked="true" strokeweight=".75pt" strokecolor="#858585"/>
            <v:line style="position:absolute" from="3779,2119" to="3731,2119" stroked="true" strokeweight=".75pt" strokecolor="#858585"/>
            <v:line style="position:absolute" from="3779,2030" to="3731,2030" stroked="true" strokeweight=".75pt" strokecolor="#858585"/>
            <v:line style="position:absolute" from="3779,1939" to="3731,1939" stroked="true" strokeweight=".75pt" strokecolor="#858585"/>
            <v:line style="position:absolute" from="3779,1848" to="3731,1848" stroked="true" strokeweight=".75pt" strokecolor="#858585"/>
            <v:line style="position:absolute" from="3779,1756" to="3731,1756" stroked="true" strokeweight=".75pt" strokecolor="#858585"/>
            <v:line style="position:absolute" from="3843,3118" to="3779,3118" stroked="true" strokeweight=".75pt" strokecolor="#858585"/>
            <v:line style="position:absolute" from="3843,2664" to="3779,2664" stroked="true" strokeweight=".75pt" strokecolor="#858585"/>
            <v:line style="position:absolute" from="3843,2210" to="3779,2210" stroked="true" strokeweight=".75pt" strokecolor="#858585"/>
            <v:line style="position:absolute" from="3843,1756" to="3779,1756" stroked="true" strokeweight=".75pt" strokecolor="#858585"/>
            <v:rect style="position:absolute;left:2824;top:187;width:7080;height:3465" filled="false" stroked="true" strokeweight=".75pt" strokecolor="#858585"/>
            <v:shape style="position:absolute;left:3857;top:411;width:5014;height:800" type="#_x0000_t202" filled="false" stroked="false">
              <v:textbox inset="0,0,0,0">
                <w:txbxContent>
                  <w:p>
                    <w:pPr>
                      <w:spacing w:line="367" w:lineRule="exact" w:before="0"/>
                      <w:ind w:left="0" w:right="0" w:firstLine="0"/>
                      <w:jc w:val="center"/>
                      <w:rPr>
                        <w:rFonts w:ascii="Calibri" w:hAnsi="Calibri"/>
                        <w:b/>
                        <w:sz w:val="36"/>
                      </w:rPr>
                    </w:pPr>
                    <w:r>
                      <w:rPr>
                        <w:rFonts w:ascii="Calibri" w:hAnsi="Calibri"/>
                        <w:b/>
                        <w:sz w:val="36"/>
                      </w:rPr>
                      <w:t>EDAD AL MOMENTO DEL</w:t>
                    </w:r>
                    <w:r>
                      <w:rPr>
                        <w:rFonts w:ascii="Calibri" w:hAnsi="Calibri"/>
                        <w:b/>
                        <w:spacing w:val="-29"/>
                        <w:sz w:val="36"/>
                      </w:rPr>
                      <w:t> </w:t>
                    </w:r>
                    <w:r>
                      <w:rPr>
                        <w:rFonts w:ascii="Calibri" w:hAnsi="Calibri"/>
                        <w:b/>
                        <w:sz w:val="36"/>
                      </w:rPr>
                      <w:t>CÓDIGO</w:t>
                    </w:r>
                  </w:p>
                  <w:p>
                    <w:pPr>
                      <w:spacing w:line="433" w:lineRule="exact" w:before="0"/>
                      <w:ind w:left="2" w:right="0" w:firstLine="0"/>
                      <w:jc w:val="center"/>
                      <w:rPr>
                        <w:rFonts w:ascii="Calibri"/>
                        <w:b/>
                        <w:sz w:val="36"/>
                      </w:rPr>
                    </w:pPr>
                    <w:r>
                      <w:rPr>
                        <w:rFonts w:ascii="Calibri"/>
                        <w:b/>
                        <w:sz w:val="36"/>
                      </w:rPr>
                      <w:t>MATER</w:t>
                    </w:r>
                  </w:p>
                </w:txbxContent>
              </v:textbox>
              <w10:wrap type="none"/>
            </v:shape>
            <v:shape style="position:absolute;left:3392;top:1676;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60</w:t>
                    </w:r>
                  </w:p>
                </w:txbxContent>
              </v:textbox>
              <w10:wrap type="none"/>
            </v:shape>
            <v:shape style="position:absolute;left:5514;top:1779;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43</w:t>
                    </w:r>
                  </w:p>
                </w:txbxContent>
              </v:textbox>
              <w10:wrap type="none"/>
            </v:shape>
            <v:shape style="position:absolute;left:3392;top:2130;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40</w:t>
                    </w:r>
                  </w:p>
                </w:txbxContent>
              </v:textbox>
              <w10:wrap type="none"/>
            </v:shape>
            <v:shape style="position:absolute;left:6796;top:2187;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25</w:t>
                    </w:r>
                  </w:p>
                </w:txbxContent>
              </v:textbox>
              <w10:wrap type="none"/>
            </v:shape>
            <v:shape style="position:absolute;left:4232;top:2414;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15</w:t>
                    </w:r>
                  </w:p>
                </w:txbxContent>
              </v:textbox>
              <w10:wrap type="none"/>
            </v:shape>
            <v:shape style="position:absolute;left:3392;top:2584;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20</w:t>
                    </w:r>
                  </w:p>
                </w:txbxContent>
              </v:textbox>
              <w10:wrap type="none"/>
            </v:shape>
            <v:shape style="position:absolute;left:4649;top:2710;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17%</w:t>
                    </w:r>
                  </w:p>
                </w:txbxContent>
              </v:textbox>
              <w10:wrap type="none"/>
            </v:shape>
            <v:shape style="position:absolute;left:5734;top:2743;width:49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50.0%</w:t>
                    </w:r>
                  </w:p>
                </w:txbxContent>
              </v:textbox>
              <w10:wrap type="none"/>
            </v:shape>
            <v:shape style="position:absolute;left:7091;top:2747;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29%</w:t>
                    </w:r>
                  </w:p>
                </w:txbxContent>
              </v:textbox>
              <w10:wrap type="none"/>
            </v:shape>
            <v:shape style="position:absolute;left:8129;top:2686;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3</w:t>
                    </w:r>
                  </w:p>
                </w:txbxContent>
              </v:textbox>
              <w10:wrap type="none"/>
            </v:shape>
            <v:shape style="position:absolute;left:8424;top:2753;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w:t>
                    </w:r>
                  </w:p>
                </w:txbxContent>
              </v:textbox>
              <w10:wrap type="none"/>
            </v:shape>
            <v:shape style="position:absolute;left:3493;top:3037;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0</w:t>
                    </w:r>
                  </w:p>
                </w:txbxContent>
              </v:textbox>
              <w10:wrap type="none"/>
            </v:shape>
            <v:shape style="position:absolute;left:3909;top:3287;width:4790;height:200" type="#_x0000_t202" filled="false" stroked="false">
              <v:textbox inset="0,0,0,0">
                <w:txbxContent>
                  <w:p>
                    <w:pPr>
                      <w:tabs>
                        <w:tab w:pos="1282" w:val="left" w:leader="none"/>
                        <w:tab w:pos="2564" w:val="left" w:leader="none"/>
                        <w:tab w:pos="3928" w:val="left" w:leader="none"/>
                      </w:tabs>
                      <w:spacing w:line="199" w:lineRule="exact" w:before="0"/>
                      <w:ind w:left="0" w:right="0" w:firstLine="0"/>
                      <w:jc w:val="left"/>
                      <w:rPr>
                        <w:rFonts w:ascii="Calibri" w:hAnsi="Calibri"/>
                        <w:sz w:val="20"/>
                      </w:rPr>
                    </w:pPr>
                    <w:r>
                      <w:rPr>
                        <w:rFonts w:ascii="Calibri" w:hAnsi="Calibri"/>
                        <w:sz w:val="20"/>
                      </w:rPr>
                      <w:t>14</w:t>
                    </w:r>
                    <w:r>
                      <w:rPr>
                        <w:rFonts w:ascii="Calibri" w:hAnsi="Calibri"/>
                        <w:spacing w:val="-2"/>
                        <w:sz w:val="20"/>
                      </w:rPr>
                      <w:t> </w:t>
                    </w:r>
                    <w:r>
                      <w:rPr>
                        <w:rFonts w:ascii="Calibri" w:hAnsi="Calibri"/>
                        <w:sz w:val="20"/>
                      </w:rPr>
                      <w:t>-18</w:t>
                    </w:r>
                    <w:r>
                      <w:rPr>
                        <w:rFonts w:ascii="Calibri" w:hAnsi="Calibri"/>
                        <w:spacing w:val="-2"/>
                        <w:sz w:val="20"/>
                      </w:rPr>
                      <w:t> </w:t>
                    </w:r>
                    <w:r>
                      <w:rPr>
                        <w:rFonts w:ascii="Calibri" w:hAnsi="Calibri"/>
                        <w:sz w:val="20"/>
                      </w:rPr>
                      <w:t>AÑOS</w:t>
                      <w:tab/>
                      <w:t>19-</w:t>
                    </w:r>
                    <w:r>
                      <w:rPr>
                        <w:rFonts w:ascii="Calibri" w:hAnsi="Calibri"/>
                        <w:spacing w:val="-3"/>
                        <w:sz w:val="20"/>
                      </w:rPr>
                      <w:t> </w:t>
                    </w:r>
                    <w:r>
                      <w:rPr>
                        <w:rFonts w:ascii="Calibri" w:hAnsi="Calibri"/>
                        <w:sz w:val="20"/>
                      </w:rPr>
                      <w:t>29</w:t>
                    </w:r>
                    <w:r>
                      <w:rPr>
                        <w:rFonts w:ascii="Calibri" w:hAnsi="Calibri"/>
                        <w:spacing w:val="-1"/>
                        <w:sz w:val="20"/>
                      </w:rPr>
                      <w:t> </w:t>
                    </w:r>
                    <w:r>
                      <w:rPr>
                        <w:rFonts w:ascii="Calibri" w:hAnsi="Calibri"/>
                        <w:sz w:val="20"/>
                      </w:rPr>
                      <w:t>AÑOS</w:t>
                      <w:tab/>
                      <w:t>30-</w:t>
                    </w:r>
                    <w:r>
                      <w:rPr>
                        <w:rFonts w:ascii="Calibri" w:hAnsi="Calibri"/>
                        <w:spacing w:val="-3"/>
                        <w:sz w:val="20"/>
                      </w:rPr>
                      <w:t> </w:t>
                    </w:r>
                    <w:r>
                      <w:rPr>
                        <w:rFonts w:ascii="Calibri" w:hAnsi="Calibri"/>
                        <w:sz w:val="20"/>
                      </w:rPr>
                      <w:t>29</w:t>
                    </w:r>
                    <w:r>
                      <w:rPr>
                        <w:rFonts w:ascii="Calibri" w:hAnsi="Calibri"/>
                        <w:spacing w:val="-1"/>
                        <w:sz w:val="20"/>
                      </w:rPr>
                      <w:t> </w:t>
                    </w:r>
                    <w:r>
                      <w:rPr>
                        <w:rFonts w:ascii="Calibri" w:hAnsi="Calibri"/>
                        <w:sz w:val="20"/>
                      </w:rPr>
                      <w:t>AÑOS</w:t>
                      <w:tab/>
                      <w:t>&gt; 40</w:t>
                    </w:r>
                    <w:r>
                      <w:rPr>
                        <w:rFonts w:ascii="Calibri" w:hAnsi="Calibri"/>
                        <w:spacing w:val="-5"/>
                        <w:sz w:val="20"/>
                      </w:rPr>
                      <w:t> </w:t>
                    </w:r>
                    <w:r>
                      <w:rPr>
                        <w:rFonts w:ascii="Calibri" w:hAnsi="Calibri"/>
                        <w:sz w:val="20"/>
                      </w:rPr>
                      <w:t>AÑOS</w:t>
                    </w:r>
                  </w:p>
                </w:txbxContent>
              </v:textbox>
              <w10:wrap type="none"/>
            </v:shape>
            <w10:wrap type="topAndBottom"/>
          </v:group>
        </w:pict>
      </w:r>
    </w:p>
    <w:p>
      <w:pPr>
        <w:pStyle w:val="BodyText"/>
        <w:rPr>
          <w:sz w:val="27"/>
        </w:rPr>
      </w:pPr>
    </w:p>
    <w:p>
      <w:pPr>
        <w:spacing w:before="0"/>
        <w:ind w:left="2382" w:right="2385" w:firstLine="0"/>
        <w:jc w:val="center"/>
        <w:rPr>
          <w:b/>
          <w:sz w:val="14"/>
        </w:rPr>
      </w:pPr>
      <w:r>
        <w:rPr>
          <w:b/>
          <w:sz w:val="14"/>
        </w:rPr>
        <w:t>FUENTE: BASE DE DATOS, HMPMPS.</w:t>
      </w:r>
    </w:p>
    <w:p>
      <w:pPr>
        <w:spacing w:after="0"/>
        <w:jc w:val="center"/>
        <w:rPr>
          <w:sz w:val="14"/>
        </w:rPr>
        <w:sectPr>
          <w:footerReference w:type="default" r:id="rId24"/>
          <w:pgSz w:w="12240" w:h="15840"/>
          <w:pgMar w:footer="1925" w:header="0" w:top="1360" w:bottom="2120" w:left="1600" w:right="1080"/>
        </w:sectPr>
      </w:pPr>
    </w:p>
    <w:p>
      <w:pPr>
        <w:pStyle w:val="BodyText"/>
        <w:spacing w:line="360" w:lineRule="auto" w:before="54"/>
        <w:ind w:left="102" w:right="109" w:firstLine="67"/>
        <w:jc w:val="both"/>
      </w:pPr>
      <w:r>
        <w:rPr/>
        <w:t>En cuanto a su inicio de vida sexual activa se reporta un 62% (53) que iniciaron entre los 13 y 19 años de edad, entre los 20 y 28 años un 21% (18) y mayores de 30 años un 3 % (3), en el 14 % (12) no se encontró un registro de este rubro. Gráfica 2.</w:t>
      </w:r>
    </w:p>
    <w:p>
      <w:pPr>
        <w:pStyle w:val="BodyText"/>
        <w:spacing w:before="10"/>
        <w:rPr>
          <w:sz w:val="13"/>
        </w:rPr>
      </w:pPr>
      <w:r>
        <w:rPr/>
        <w:pict>
          <v:group style="position:absolute;margin-left:106.324997pt;margin-top:9.938901pt;width:424.35pt;height:174.85pt;mso-position-horizontal-relative:page;mso-position-vertical-relative:paragraph;z-index:2056;mso-wrap-distance-left:0;mso-wrap-distance-right:0" coordorigin="2126,199" coordsize="8487,3497">
            <v:line style="position:absolute" from="2652,3465" to="9691,3465" stroked="true" strokeweight=".72pt" strokecolor="#858585"/>
            <v:line style="position:absolute" from="3809,3062" to="5016,3062" stroked="true" strokeweight=".72pt" strokecolor="#858585"/>
            <v:line style="position:absolute" from="2652,3062" to="3257,3062" stroked="true" strokeweight=".72pt" strokecolor="#858585"/>
            <v:line style="position:absolute" from="3809,2659" to="9691,2659" stroked="true" strokeweight=".72pt" strokecolor="#858585"/>
            <v:line style="position:absolute" from="2652,2659" to="3257,2659" stroked="true" strokeweight=".72pt" strokecolor="#858585"/>
            <v:line style="position:absolute" from="3809,2255" to="9691,2255" stroked="true" strokeweight=".72pt" strokecolor="#858585"/>
            <v:line style="position:absolute" from="2652,2255" to="3257,2255" stroked="true" strokeweight=".72pt" strokecolor="#858585"/>
            <v:line style="position:absolute" from="3809,1855" to="9691,1855" stroked="true" strokeweight=".72pt" strokecolor="#858585"/>
            <v:line style="position:absolute" from="2652,1855" to="3257,1855" stroked="true" strokeweight=".72pt" strokecolor="#858585"/>
            <v:line style="position:absolute" from="3809,1451" to="9691,1451" stroked="true" strokeweight=".72pt" strokecolor="#858585"/>
            <v:line style="position:absolute" from="2652,1451" to="3257,1451" stroked="true" strokeweight=".72pt" strokecolor="#858585"/>
            <v:rect style="position:absolute;left:3257;top:1329;width:552;height:2136" filled="true" fillcolor="#4f81bc" stroked="false">
              <v:fill type="solid"/>
            </v:rect>
            <v:line style="position:absolute" from="5568,3062" to="6409,3062" stroked="true" strokeweight=".72pt" strokecolor="#858585"/>
            <v:rect style="position:absolute;left:5016;top:2740;width:552;height:725" filled="true" fillcolor="#4f81bc" stroked="false">
              <v:fill type="solid"/>
            </v:rect>
            <v:rect style="position:absolute;left:6775;top:3345;width:552;height:120" filled="true" fillcolor="#4f81bc" stroked="false">
              <v:fill type="solid"/>
            </v:rect>
            <v:line style="position:absolute" from="9086,3062" to="9691,3062" stroked="true" strokeweight=".72pt" strokecolor="#858585"/>
            <v:line style="position:absolute" from="7730,3062" to="8534,3062" stroked="true" strokeweight=".72pt" strokecolor="#858585"/>
            <v:rect style="position:absolute;left:8534;top:2983;width:552;height:482" filled="true" fillcolor="#4f81bc" stroked="false">
              <v:fill type="solid"/>
            </v:rect>
            <v:line style="position:absolute" from="5404,1048" to="9691,1048" stroked="true" strokeweight=".72pt" strokecolor="#858585"/>
            <v:line style="position:absolute" from="9691,3465" to="9691,1048" stroked="true" strokeweight=".72pt" strokecolor="#858585"/>
            <v:line style="position:absolute" from="2652,1048" to="3862,1048" stroked="true" strokeweight=".72pt" strokecolor="#858585"/>
            <v:line style="position:absolute" from="2652,3465" to="2652,1048" stroked="true" strokeweight=".72pt" strokecolor="#858585"/>
            <v:shape style="position:absolute;left:3533;top:1336;width:5278;height:2009" coordorigin="3533,1336" coordsize="5278,2009" path="m3533,1336l5292,2743,7051,3345,8810,2983e" filled="false" stroked="true" strokeweight="2.16pt" strokecolor="#bd4a47">
              <v:path arrowok="t"/>
            </v:shape>
            <v:rect style="position:absolute;left:3862;top:1025;width:1542;height:304" filled="false" stroked="true" strokeweight=".75pt" strokecolor="#585858"/>
            <v:rect style="position:absolute;left:5256;top:2302;width:1542;height:304" filled="false" stroked="true" strokeweight=".75pt" strokecolor="#585858"/>
            <v:rect style="position:absolute;left:6409;top:2814;width:1321;height:304" filled="false" stroked="true" strokeweight=".75pt" strokecolor="#585858"/>
            <v:rect style="position:absolute;left:7980;top:2675;width:1691;height:304" filled="true" fillcolor="#ffffff" stroked="false">
              <v:fill type="solid"/>
            </v:rect>
            <v:rect style="position:absolute;left:7980;top:2675;width:1691;height:304" filled="false" stroked="true" strokeweight=".75pt" strokecolor="#585858"/>
            <v:rect style="position:absolute;left:2134;top:206;width:8472;height:3482" filled="false" stroked="true" strokeweight=".75pt" strokecolor="#858585"/>
            <v:shape style="position:absolute;left:3257;top:1329;width:552;height:2136" type="#_x0000_t202" filled="false" stroked="false">
              <v:textbox inset="0,0,0,0">
                <w:txbxContent>
                  <w:p>
                    <w:pPr>
                      <w:spacing w:line="240" w:lineRule="auto" w:before="3"/>
                      <w:rPr>
                        <w:sz w:val="17"/>
                      </w:rPr>
                    </w:pPr>
                  </w:p>
                  <w:p>
                    <w:pPr>
                      <w:spacing w:before="0"/>
                      <w:ind w:left="151" w:right="0" w:firstLine="0"/>
                      <w:jc w:val="left"/>
                      <w:rPr>
                        <w:rFonts w:ascii="Calibri"/>
                        <w:sz w:val="20"/>
                      </w:rPr>
                    </w:pPr>
                    <w:r>
                      <w:rPr>
                        <w:rFonts w:ascii="Calibri"/>
                        <w:sz w:val="20"/>
                      </w:rPr>
                      <w:t>53</w:t>
                    </w:r>
                  </w:p>
                </w:txbxContent>
              </v:textbox>
              <w10:wrap type="none"/>
            </v:shape>
            <v:shape style="position:absolute;left:5016;top:2740;width:552;height:725" type="#_x0000_t202" filled="false" stroked="false">
              <v:textbox inset="0,0,0,0">
                <w:txbxContent>
                  <w:p>
                    <w:pPr>
                      <w:spacing w:before="101"/>
                      <w:ind w:left="176" w:right="0" w:firstLine="0"/>
                      <w:jc w:val="left"/>
                      <w:rPr>
                        <w:rFonts w:ascii="Calibri"/>
                        <w:sz w:val="20"/>
                      </w:rPr>
                    </w:pPr>
                    <w:r>
                      <w:rPr>
                        <w:rFonts w:ascii="Calibri"/>
                        <w:sz w:val="20"/>
                      </w:rPr>
                      <w:t>18</w:t>
                    </w:r>
                  </w:p>
                </w:txbxContent>
              </v:textbox>
              <w10:wrap type="none"/>
            </v:shape>
            <v:shape style="position:absolute;left:2265;top:955;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60</w:t>
                    </w:r>
                  </w:p>
                </w:txbxContent>
              </v:textbox>
              <w10:wrap type="none"/>
            </v:shape>
            <v:shape style="position:absolute;left:3924;top:430;width:4780;height:865" type="#_x0000_t202" filled="false" stroked="false">
              <v:textbox inset="0,0,0,0">
                <w:txbxContent>
                  <w:p>
                    <w:pPr>
                      <w:spacing w:line="367" w:lineRule="exact" w:before="0"/>
                      <w:ind w:left="114" w:right="-9" w:firstLine="0"/>
                      <w:jc w:val="left"/>
                      <w:rPr>
                        <w:rFonts w:ascii="Calibri"/>
                        <w:b/>
                        <w:sz w:val="36"/>
                      </w:rPr>
                    </w:pPr>
                    <w:r>
                      <w:rPr>
                        <w:rFonts w:ascii="Calibri"/>
                        <w:b/>
                        <w:sz w:val="36"/>
                      </w:rPr>
                      <w:t>INICIO DE VIDA SEXUAL</w:t>
                    </w:r>
                    <w:r>
                      <w:rPr>
                        <w:rFonts w:ascii="Calibri"/>
                        <w:b/>
                        <w:spacing w:val="-20"/>
                        <w:sz w:val="36"/>
                      </w:rPr>
                      <w:t> </w:t>
                    </w:r>
                    <w:r>
                      <w:rPr>
                        <w:rFonts w:ascii="Calibri"/>
                        <w:b/>
                        <w:spacing w:val="-5"/>
                        <w:sz w:val="36"/>
                      </w:rPr>
                      <w:t>ACTIVA</w:t>
                    </w:r>
                  </w:p>
                  <w:p>
                    <w:pPr>
                      <w:spacing w:line="240" w:lineRule="exact" w:before="257"/>
                      <w:ind w:left="0" w:right="-9" w:firstLine="0"/>
                      <w:jc w:val="left"/>
                      <w:rPr>
                        <w:rFonts w:ascii="Calibri" w:hAnsi="Calibri"/>
                        <w:sz w:val="20"/>
                      </w:rPr>
                    </w:pPr>
                    <w:r>
                      <w:rPr>
                        <w:rFonts w:ascii="Calibri" w:hAnsi="Calibri"/>
                        <w:sz w:val="20"/>
                      </w:rPr>
                      <w:t>13-19 AÑOS, 62%</w:t>
                    </w:r>
                  </w:p>
                </w:txbxContent>
              </v:textbox>
              <w10:wrap type="none"/>
            </v:shape>
            <v:shape style="position:absolute;left:2265;top:1359;width:203;height:2215" type="#_x0000_t202" filled="false" stroked="false">
              <v:textbox inset="0,0,0,0">
                <w:txbxContent>
                  <w:p>
                    <w:pPr>
                      <w:spacing w:line="203" w:lineRule="exact" w:before="0"/>
                      <w:ind w:left="-1" w:right="0" w:firstLine="0"/>
                      <w:jc w:val="center"/>
                      <w:rPr>
                        <w:rFonts w:ascii="Calibri"/>
                        <w:sz w:val="20"/>
                      </w:rPr>
                    </w:pPr>
                    <w:r>
                      <w:rPr>
                        <w:rFonts w:ascii="Calibri"/>
                        <w:spacing w:val="-1"/>
                        <w:sz w:val="20"/>
                      </w:rPr>
                      <w:t>50</w:t>
                    </w:r>
                  </w:p>
                  <w:p>
                    <w:pPr>
                      <w:spacing w:before="159"/>
                      <w:ind w:left="-1" w:right="0" w:firstLine="0"/>
                      <w:jc w:val="center"/>
                      <w:rPr>
                        <w:rFonts w:ascii="Calibri"/>
                        <w:sz w:val="20"/>
                      </w:rPr>
                    </w:pPr>
                    <w:r>
                      <w:rPr>
                        <w:rFonts w:ascii="Calibri"/>
                        <w:spacing w:val="-1"/>
                        <w:sz w:val="20"/>
                      </w:rPr>
                      <w:t>40</w:t>
                    </w:r>
                  </w:p>
                  <w:p>
                    <w:pPr>
                      <w:spacing w:before="159"/>
                      <w:ind w:left="-1" w:right="0" w:firstLine="0"/>
                      <w:jc w:val="center"/>
                      <w:rPr>
                        <w:rFonts w:ascii="Calibri"/>
                        <w:sz w:val="20"/>
                      </w:rPr>
                    </w:pPr>
                    <w:r>
                      <w:rPr>
                        <w:rFonts w:ascii="Calibri"/>
                        <w:spacing w:val="-1"/>
                        <w:sz w:val="20"/>
                      </w:rPr>
                      <w:t>30</w:t>
                    </w:r>
                  </w:p>
                  <w:p>
                    <w:pPr>
                      <w:spacing w:before="158"/>
                      <w:ind w:left="-1" w:right="0" w:firstLine="0"/>
                      <w:jc w:val="center"/>
                      <w:rPr>
                        <w:rFonts w:ascii="Calibri"/>
                        <w:sz w:val="20"/>
                      </w:rPr>
                    </w:pPr>
                    <w:r>
                      <w:rPr>
                        <w:rFonts w:ascii="Calibri"/>
                        <w:spacing w:val="-1"/>
                        <w:sz w:val="20"/>
                      </w:rPr>
                      <w:t>20</w:t>
                    </w:r>
                  </w:p>
                  <w:p>
                    <w:pPr>
                      <w:spacing w:before="159"/>
                      <w:ind w:left="-1" w:right="0" w:firstLine="0"/>
                      <w:jc w:val="center"/>
                      <w:rPr>
                        <w:rFonts w:ascii="Calibri"/>
                        <w:sz w:val="20"/>
                      </w:rPr>
                    </w:pPr>
                    <w:r>
                      <w:rPr>
                        <w:rFonts w:ascii="Calibri"/>
                        <w:spacing w:val="-1"/>
                        <w:sz w:val="20"/>
                      </w:rPr>
                      <w:t>10</w:t>
                    </w:r>
                  </w:p>
                  <w:p>
                    <w:pPr>
                      <w:spacing w:line="240" w:lineRule="exact" w:before="159"/>
                      <w:ind w:left="101" w:right="0" w:firstLine="0"/>
                      <w:jc w:val="center"/>
                      <w:rPr>
                        <w:rFonts w:ascii="Calibri"/>
                        <w:sz w:val="20"/>
                      </w:rPr>
                    </w:pPr>
                    <w:r>
                      <w:rPr>
                        <w:rFonts w:ascii="Calibri"/>
                        <w:w w:val="99"/>
                        <w:sz w:val="20"/>
                      </w:rPr>
                      <w:t>0</w:t>
                    </w:r>
                  </w:p>
                </w:txbxContent>
              </v:textbox>
              <w10:wrap type="none"/>
            </v:shape>
            <v:shape style="position:absolute;left:5318;top:2373;width:1419;height:200" type="#_x0000_t202" filled="false" stroked="false">
              <v:textbox inset="0,0,0,0">
                <w:txbxContent>
                  <w:p>
                    <w:pPr>
                      <w:spacing w:line="199" w:lineRule="exact" w:before="0"/>
                      <w:ind w:left="0" w:right="-14" w:firstLine="0"/>
                      <w:jc w:val="left"/>
                      <w:rPr>
                        <w:rFonts w:ascii="Calibri" w:hAnsi="Calibri"/>
                        <w:sz w:val="20"/>
                      </w:rPr>
                    </w:pPr>
                    <w:r>
                      <w:rPr>
                        <w:rFonts w:ascii="Calibri" w:hAnsi="Calibri"/>
                        <w:sz w:val="20"/>
                      </w:rPr>
                      <w:t>20-29 AÑOS,</w:t>
                    </w:r>
                    <w:r>
                      <w:rPr>
                        <w:rFonts w:ascii="Calibri" w:hAnsi="Calibri"/>
                        <w:spacing w:val="-9"/>
                        <w:sz w:val="20"/>
                      </w:rPr>
                      <w:t> </w:t>
                    </w:r>
                    <w:r>
                      <w:rPr>
                        <w:rFonts w:ascii="Calibri" w:hAnsi="Calibri"/>
                        <w:sz w:val="20"/>
                      </w:rPr>
                      <w:t>21%</w:t>
                    </w:r>
                  </w:p>
                </w:txbxContent>
              </v:textbox>
              <w10:wrap type="none"/>
            </v:shape>
            <v:shape style="position:absolute;left:6471;top:2885;width:1201;height:200" type="#_x0000_t202" filled="false" stroked="false">
              <v:textbox inset="0,0,0,0">
                <w:txbxContent>
                  <w:p>
                    <w:pPr>
                      <w:spacing w:line="199" w:lineRule="exact" w:before="0"/>
                      <w:ind w:left="0" w:right="-15" w:firstLine="0"/>
                      <w:jc w:val="left"/>
                      <w:rPr>
                        <w:rFonts w:ascii="Calibri" w:hAnsi="Calibri"/>
                        <w:sz w:val="20"/>
                      </w:rPr>
                    </w:pPr>
                    <w:r>
                      <w:rPr>
                        <w:rFonts w:ascii="Calibri" w:hAnsi="Calibri"/>
                        <w:sz w:val="20"/>
                      </w:rPr>
                      <w:t>&gt; 30 AÑOS,</w:t>
                    </w:r>
                    <w:r>
                      <w:rPr>
                        <w:rFonts w:ascii="Calibri" w:hAnsi="Calibri"/>
                        <w:spacing w:val="-6"/>
                        <w:sz w:val="20"/>
                      </w:rPr>
                      <w:t> </w:t>
                    </w:r>
                    <w:r>
                      <w:rPr>
                        <w:rFonts w:ascii="Calibri" w:hAnsi="Calibri"/>
                        <w:sz w:val="20"/>
                      </w:rPr>
                      <w:t>3%</w:t>
                    </w:r>
                  </w:p>
                </w:txbxContent>
              </v:textbox>
              <w10:wrap type="none"/>
            </v:shape>
            <v:shape style="position:absolute;left:8042;top:2746;width:1568;height:530" type="#_x0000_t202" filled="false" stroked="false">
              <v:textbox inset="0,0,0,0">
                <w:txbxContent>
                  <w:p>
                    <w:pPr>
                      <w:spacing w:line="203" w:lineRule="exact" w:before="0"/>
                      <w:ind w:left="0" w:right="0" w:firstLine="0"/>
                      <w:jc w:val="center"/>
                      <w:rPr>
                        <w:rFonts w:ascii="Calibri"/>
                        <w:sz w:val="20"/>
                      </w:rPr>
                    </w:pPr>
                    <w:r>
                      <w:rPr>
                        <w:rFonts w:ascii="Calibri"/>
                        <w:sz w:val="20"/>
                      </w:rPr>
                      <w:t>SIN REGISTRO,</w:t>
                    </w:r>
                    <w:r>
                      <w:rPr>
                        <w:rFonts w:ascii="Calibri"/>
                        <w:spacing w:val="-7"/>
                        <w:sz w:val="20"/>
                      </w:rPr>
                      <w:t> </w:t>
                    </w:r>
                    <w:r>
                      <w:rPr>
                        <w:rFonts w:ascii="Calibri"/>
                        <w:sz w:val="20"/>
                      </w:rPr>
                      <w:t>14%</w:t>
                    </w:r>
                  </w:p>
                  <w:p>
                    <w:pPr>
                      <w:spacing w:line="240" w:lineRule="exact" w:before="86"/>
                      <w:ind w:left="0" w:right="23" w:firstLine="0"/>
                      <w:jc w:val="center"/>
                      <w:rPr>
                        <w:rFonts w:ascii="Calibri"/>
                        <w:sz w:val="20"/>
                      </w:rPr>
                    </w:pPr>
                    <w:r>
                      <w:rPr>
                        <w:rFonts w:ascii="Calibri"/>
                        <w:sz w:val="20"/>
                      </w:rPr>
                      <w:t>12</w:t>
                    </w:r>
                  </w:p>
                </w:txbxContent>
              </v:textbox>
              <w10:wrap type="none"/>
            </v:shape>
            <v:shape style="position:absolute;left:6956;top:3375;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3</w:t>
                    </w:r>
                  </w:p>
                </w:txbxContent>
              </v:textbox>
              <w10:wrap type="none"/>
            </v:shape>
            <v:shape style="position:absolute;left:9879;top:955;width:599;height:2618" type="#_x0000_t202" filled="false" stroked="false">
              <v:textbox inset="0,0,0,0">
                <w:txbxContent>
                  <w:p>
                    <w:pPr>
                      <w:spacing w:line="203" w:lineRule="exact" w:before="0"/>
                      <w:ind w:left="0" w:right="0" w:firstLine="0"/>
                      <w:jc w:val="left"/>
                      <w:rPr>
                        <w:rFonts w:ascii="Calibri"/>
                        <w:sz w:val="20"/>
                      </w:rPr>
                    </w:pPr>
                    <w:r>
                      <w:rPr>
                        <w:rFonts w:ascii="Calibri"/>
                        <w:w w:val="95"/>
                        <w:sz w:val="20"/>
                      </w:rPr>
                      <w:t>70.00%</w:t>
                    </w:r>
                  </w:p>
                  <w:p>
                    <w:pPr>
                      <w:spacing w:before="101"/>
                      <w:ind w:left="0" w:right="0" w:firstLine="0"/>
                      <w:jc w:val="left"/>
                      <w:rPr>
                        <w:rFonts w:ascii="Calibri"/>
                        <w:sz w:val="20"/>
                      </w:rPr>
                    </w:pPr>
                    <w:r>
                      <w:rPr>
                        <w:rFonts w:ascii="Calibri"/>
                        <w:w w:val="95"/>
                        <w:sz w:val="20"/>
                      </w:rPr>
                      <w:t>60.00%</w:t>
                    </w:r>
                  </w:p>
                  <w:p>
                    <w:pPr>
                      <w:spacing w:before="101"/>
                      <w:ind w:left="0" w:right="0" w:firstLine="0"/>
                      <w:jc w:val="left"/>
                      <w:rPr>
                        <w:rFonts w:ascii="Calibri"/>
                        <w:sz w:val="20"/>
                      </w:rPr>
                    </w:pPr>
                    <w:r>
                      <w:rPr>
                        <w:rFonts w:ascii="Calibri"/>
                        <w:w w:val="95"/>
                        <w:sz w:val="20"/>
                      </w:rPr>
                      <w:t>50.00%</w:t>
                    </w:r>
                  </w:p>
                  <w:p>
                    <w:pPr>
                      <w:spacing w:before="101"/>
                      <w:ind w:left="0" w:right="0" w:firstLine="0"/>
                      <w:jc w:val="left"/>
                      <w:rPr>
                        <w:rFonts w:ascii="Calibri"/>
                        <w:sz w:val="20"/>
                      </w:rPr>
                    </w:pPr>
                    <w:r>
                      <w:rPr>
                        <w:rFonts w:ascii="Calibri"/>
                        <w:w w:val="95"/>
                        <w:sz w:val="20"/>
                      </w:rPr>
                      <w:t>40.00%</w:t>
                    </w:r>
                  </w:p>
                  <w:p>
                    <w:pPr>
                      <w:spacing w:before="101"/>
                      <w:ind w:left="0" w:right="0" w:firstLine="0"/>
                      <w:jc w:val="left"/>
                      <w:rPr>
                        <w:rFonts w:ascii="Calibri"/>
                        <w:sz w:val="20"/>
                      </w:rPr>
                    </w:pPr>
                    <w:r>
                      <w:rPr>
                        <w:rFonts w:ascii="Calibri"/>
                        <w:w w:val="95"/>
                        <w:sz w:val="20"/>
                      </w:rPr>
                      <w:t>30.00%</w:t>
                    </w:r>
                  </w:p>
                  <w:p>
                    <w:pPr>
                      <w:spacing w:before="101"/>
                      <w:ind w:left="0" w:right="0" w:firstLine="0"/>
                      <w:jc w:val="left"/>
                      <w:rPr>
                        <w:rFonts w:ascii="Calibri"/>
                        <w:sz w:val="20"/>
                      </w:rPr>
                    </w:pPr>
                    <w:r>
                      <w:rPr>
                        <w:rFonts w:ascii="Calibri"/>
                        <w:w w:val="95"/>
                        <w:sz w:val="20"/>
                      </w:rPr>
                      <w:t>20.00%</w:t>
                    </w:r>
                  </w:p>
                  <w:p>
                    <w:pPr>
                      <w:spacing w:before="101"/>
                      <w:ind w:left="0" w:right="0" w:firstLine="0"/>
                      <w:jc w:val="left"/>
                      <w:rPr>
                        <w:rFonts w:ascii="Calibri"/>
                        <w:sz w:val="20"/>
                      </w:rPr>
                    </w:pPr>
                    <w:r>
                      <w:rPr>
                        <w:rFonts w:ascii="Calibri"/>
                        <w:w w:val="95"/>
                        <w:sz w:val="20"/>
                      </w:rPr>
                      <w:t>10.00%</w:t>
                    </w:r>
                  </w:p>
                  <w:p>
                    <w:pPr>
                      <w:spacing w:line="240" w:lineRule="exact" w:before="101"/>
                      <w:ind w:left="0" w:right="0" w:firstLine="0"/>
                      <w:jc w:val="left"/>
                      <w:rPr>
                        <w:rFonts w:ascii="Calibri"/>
                        <w:sz w:val="20"/>
                      </w:rPr>
                    </w:pPr>
                    <w:r>
                      <w:rPr>
                        <w:rFonts w:ascii="Calibri"/>
                        <w:sz w:val="20"/>
                      </w:rPr>
                      <w:t>0.00%</w:t>
                    </w:r>
                  </w:p>
                </w:txbxContent>
              </v:textbox>
              <w10:wrap type="none"/>
            </v:shape>
            <w10:wrap type="topAndBottom"/>
          </v:group>
        </w:pict>
      </w:r>
    </w:p>
    <w:p>
      <w:pPr>
        <w:pStyle w:val="BodyText"/>
        <w:spacing w:before="3"/>
        <w:rPr>
          <w:sz w:val="28"/>
        </w:rPr>
      </w:pPr>
    </w:p>
    <w:p>
      <w:pPr>
        <w:spacing w:before="0"/>
        <w:ind w:left="2384" w:right="2385" w:firstLine="0"/>
        <w:jc w:val="center"/>
        <w:rPr>
          <w:b/>
          <w:sz w:val="14"/>
        </w:rPr>
      </w:pPr>
      <w:r>
        <w:rPr>
          <w:b/>
          <w:sz w:val="14"/>
        </w:rPr>
        <w:t>FUENTE: BASE DE DATOS, HMPMPS.</w:t>
      </w:r>
    </w:p>
    <w:p>
      <w:pPr>
        <w:pStyle w:val="BodyText"/>
        <w:rPr>
          <w:b/>
          <w:sz w:val="14"/>
        </w:rPr>
      </w:pPr>
    </w:p>
    <w:p>
      <w:pPr>
        <w:pStyle w:val="BodyText"/>
        <w:spacing w:line="360" w:lineRule="auto" w:before="122"/>
        <w:ind w:left="102" w:right="100" w:firstLine="201"/>
        <w:jc w:val="both"/>
      </w:pPr>
      <w:r>
        <w:rPr/>
        <w:t>De todas las pacientes llama la atención que el 72% (62) no utilizaban algún método de planificación familiar, encontrando que el más utilizado fue el uso de preservativo masculino en un 9 % (8), 8 % (7) usuarias de Dispositivo Intrauterino, un 3 % (3) utilizaba anticonceptivos de tipo hormonales orales, el 6 % (5) tenían oclusión tubárica bilateral y solo en una de las pacientes 1 % utilizaban algún otro método. Grafica 3.</w:t>
      </w:r>
    </w:p>
    <w:p>
      <w:pPr>
        <w:pStyle w:val="BodyText"/>
        <w:spacing w:before="9"/>
        <w:rPr>
          <w:sz w:val="13"/>
        </w:rPr>
      </w:pPr>
      <w:r>
        <w:rPr/>
        <w:pict>
          <v:group style="position:absolute;margin-left:127.324997pt;margin-top:9.898891pt;width:381.65pt;height:169pt;mso-position-horizontal-relative:page;mso-position-vertical-relative:paragraph;z-index:2416;mso-wrap-distance-left:0;mso-wrap-distance-right:0" coordorigin="2546,198" coordsize="7633,3380">
            <v:shape style="position:absolute;left:3033;top:981;width:6394;height:2370" type="#_x0000_t75" stroked="false">
              <v:imagedata r:id="rId27" o:title=""/>
            </v:shape>
            <v:line style="position:absolute" from="3034,3349" to="9427,3349" stroked="true" strokeweight=".72pt" strokecolor="#d9d9d9"/>
            <v:line style="position:absolute" from="9101,3010" to="9427,3010" stroked="true" strokeweight=".72pt" strokecolor="#d9d9d9"/>
            <v:line style="position:absolute" from="4769,3010" to="8839,3010" stroked="true" strokeweight=".72pt" strokecolor="#d9d9d9"/>
            <v:line style="position:absolute" from="3034,3010" to="4024,3010" stroked="true" strokeweight=".72pt" strokecolor="#d9d9d9"/>
            <v:line style="position:absolute" from="9101,2672" to="9427,2672" stroked="true" strokeweight=".72pt" strokecolor="#d9d9d9"/>
            <v:line style="position:absolute" from="4129,2672" to="8839,2672" stroked="true" strokeweight=".72pt" strokecolor="#d9d9d9"/>
            <v:line style="position:absolute" from="9101,2334" to="9427,2334" stroked="true" strokeweight=".72pt" strokecolor="#d9d9d9"/>
            <v:line style="position:absolute" from="5973,2334" to="8839,2334" stroked="true" strokeweight=".72pt" strokecolor="#d9d9d9"/>
            <v:line style="position:absolute" from="3034,2334" to="4578,2334" stroked="true" strokeweight=".72pt" strokecolor="#d9d9d9"/>
            <v:line style="position:absolute" from="9101,1995" to="9427,1995" stroked="true" strokeweight=".72pt" strokecolor="#d9d9d9"/>
            <v:line style="position:absolute" from="3034,1995" to="8839,1995" stroked="true" strokeweight=".72pt" strokecolor="#d9d9d9"/>
            <v:line style="position:absolute" from="9101,1657" to="9427,1657" stroked="true" strokeweight=".72pt" strokecolor="#d9d9d9"/>
            <v:line style="position:absolute" from="3034,1657" to="8839,1657" stroked="true" strokeweight=".72pt" strokecolor="#d9d9d9"/>
            <v:line style="position:absolute" from="9101,1318" to="9427,1318" stroked="true" strokeweight=".72pt" strokecolor="#d9d9d9"/>
            <v:line style="position:absolute" from="8564,1318" to="8839,1318" stroked="true" strokeweight=".72pt" strokecolor="#d9d9d9"/>
            <v:line style="position:absolute" from="3034,1318" to="7241,1318" stroked="true" strokeweight=".72pt" strokecolor="#d9d9d9"/>
            <v:line style="position:absolute" from="3034,980" to="9427,980" stroked="true" strokeweight=".72pt" strokecolor="#d9d9d9"/>
            <v:line style="position:absolute" from="3490,980" to="3490,2514" stroked="true" strokeweight=".72pt" strokecolor="#f1f1f1"/>
            <v:line style="position:absolute" from="3490,2794" to="3490,3080" stroked="true" strokeweight=".72pt" strokecolor="#f1f1f1"/>
            <v:line style="position:absolute" from="4404,980" to="4404,2827" stroked="true" strokeweight=".72pt" strokecolor="#f1f1f1"/>
            <v:line style="position:absolute" from="4404,3106" to="4404,3248" stroked="true" strokeweight=".72pt" strokecolor="#f1f1f1"/>
            <v:line style="position:absolute" from="5316,980" to="5316,2120" stroked="true" strokeweight=".72pt" strokecolor="#f1f1f1"/>
            <v:line style="position:absolute" from="5316,2400" to="5316,3349" stroked="true" strokeweight=".72pt" strokecolor="#f1f1f1"/>
            <v:line style="position:absolute" from="6230,980" to="6230,2658" stroked="true" strokeweight=".72pt" strokecolor="#f1f1f1"/>
            <v:line style="position:absolute" from="6230,2938" to="6230,3114" stroked="true" strokeweight=".72pt" strokecolor="#f1f1f1"/>
            <v:line style="position:absolute" from="7142,980" to="7142,2351" stroked="true" strokeweight=".72pt" strokecolor="#f1f1f1"/>
            <v:line style="position:absolute" from="7142,2630" to="7142,3181" stroked="true" strokeweight=".72pt" strokecolor="#f1f1f1"/>
            <v:line style="position:absolute" from="8057,980" to="8057,1043" stroked="true" strokeweight=".72pt" strokecolor="#f1f1f1"/>
            <v:line style="position:absolute" from="8057,1542" to="8057,3349" stroked="true" strokeweight=".72pt" strokecolor="#f1f1f1"/>
            <v:line style="position:absolute" from="8971,980" to="8971,1251" stroked="true" strokeweight=".72pt" strokecolor="#f1f1f1"/>
            <v:line style="position:absolute" from="3034,980" to="3034,3349" stroked="true" strokeweight=".72pt" strokecolor="#d9d9d9"/>
            <v:line style="position:absolute" from="3946,980" to="3946,2514" stroked="true" strokeweight=".72pt" strokecolor="#d9d9d9"/>
            <v:line style="position:absolute" from="3946,2794" to="3946,3349" stroked="true" strokeweight=".72pt" strokecolor="#d9d9d9"/>
            <v:line style="position:absolute" from="4860,980" to="4860,2120" stroked="true" strokeweight=".72pt" strokecolor="#d9d9d9"/>
            <v:line style="position:absolute" from="4860,2400" to="4860,3349" stroked="true" strokeweight=".72pt" strokecolor="#d9d9d9"/>
            <v:line style="position:absolute" from="5774,980" to="5774,2120" stroked="true" strokeweight=".72pt" strokecolor="#d9d9d9"/>
            <v:line style="position:absolute" from="5774,2400" to="5774,3349" stroked="true" strokeweight=".72pt" strokecolor="#d9d9d9"/>
            <v:line style="position:absolute" from="6686,980" to="6686,2041" stroked="true" strokeweight=".72pt" strokecolor="#d9d9d9"/>
            <v:line style="position:absolute" from="6686,2321" to="6686,3349" stroked="true" strokeweight=".72pt" strokecolor="#d9d9d9"/>
            <v:line style="position:absolute" from="7601,980" to="7601,1043" stroked="true" strokeweight=".72pt" strokecolor="#d9d9d9"/>
            <v:line style="position:absolute" from="7601,1542" to="7601,2351" stroked="true" strokeweight=".72pt" strokecolor="#d9d9d9"/>
            <v:line style="position:absolute" from="7601,2630" to="7601,3349" stroked="true" strokeweight=".72pt" strokecolor="#d9d9d9"/>
            <v:line style="position:absolute" from="8513,980" to="8513,1043" stroked="true" strokeweight=".72pt" strokecolor="#d9d9d9"/>
            <v:line style="position:absolute" from="8513,1542" to="8513,3349" stroked="true" strokeweight=".72pt" strokecolor="#d9d9d9"/>
            <v:line style="position:absolute" from="9427,980" to="9427,3349" stroked="true" strokeweight=".72pt" strokecolor="#d9d9d9"/>
            <v:rect style="position:absolute;left:8839;top:1251;width:262;height:2098" filled="true" fillcolor="#ff0000" stroked="false">
              <v:fill type="solid"/>
            </v:rect>
            <v:rect style="position:absolute;left:3358;top:3080;width:264;height:269" filled="true" fillcolor="#4f81bc" stroked="false">
              <v:fill type="solid"/>
            </v:rect>
            <v:rect style="position:absolute;left:4272;top:3248;width:262;height:101" filled="true" fillcolor="#4f81bc" stroked="false">
              <v:fill type="solid"/>
            </v:rect>
            <v:rect style="position:absolute;left:6098;top:3114;width:264;height:235" filled="true" fillcolor="#4f81bc" stroked="false">
              <v:fill type="solid"/>
            </v:rect>
            <v:rect style="position:absolute;left:7013;top:3181;width:262;height:168" filled="true" fillcolor="#4f81bc" stroked="false">
              <v:fill type="solid"/>
            </v:rect>
            <v:line style="position:absolute" from="7925,3332" to="8189,3332" stroked="true" strokeweight="1.68pt" strokecolor="#4f81bc"/>
            <v:shape style="position:absolute;left:3490;top:1215;width:5482;height:2134" coordorigin="3490,1215" coordsize="5482,2134" path="m3490,3075l4404,3246,5316,3349,6230,3109,7142,3178,8057,3315,8971,1215e" filled="false" stroked="true" strokeweight="1.68pt" strokecolor="#e36c09">
              <v:path arrowok="t"/>
            </v:shape>
            <v:line style="position:absolute" from="3581,3165" to="3399,2982" stroked="true" strokeweight="1.25pt" strokecolor="#974707"/>
            <v:line style="position:absolute" from="3490,2982" to="3490,3165" stroked="true" strokeweight="1.25pt" strokecolor="#974707"/>
            <v:line style="position:absolute" from="3399,3165" to="3581,2982" stroked="true" strokeweight="1.25pt" strokecolor="#974707"/>
            <v:line style="position:absolute" from="4493,3337" to="4311,3155" stroked="true" strokeweight="1.25pt" strokecolor="#974707"/>
            <v:line style="position:absolute" from="4402,3155" to="4402,3337" stroked="true" strokeweight="1.25pt" strokecolor="#974707"/>
            <v:line style="position:absolute" from="4311,3337" to="4493,3155" stroked="true" strokeweight="1.25pt" strokecolor="#974707"/>
            <v:line style="position:absolute" from="5408,3441" to="5225,3258" stroked="true" strokeweight="1.25pt" strokecolor="#974707"/>
            <v:line style="position:absolute" from="5316,3258" to="5316,3441" stroked="true" strokeweight="1.25pt" strokecolor="#974707"/>
            <v:line style="position:absolute" from="5225,3441" to="5408,3258" stroked="true" strokeweight="1.25pt" strokecolor="#974707"/>
            <v:line style="position:absolute" from="6320,3198" to="6137,3016" stroked="true" strokeweight="1.25pt" strokecolor="#974707"/>
            <v:line style="position:absolute" from="6228,3016" to="6228,3198" stroked="true" strokeweight="1.25pt" strokecolor="#974707"/>
            <v:line style="position:absolute" from="6137,3198" to="6320,3016" stroked="true" strokeweight="1.25pt" strokecolor="#974707"/>
            <v:line style="position:absolute" from="7234,3268" to="7052,3085" stroked="true" strokeweight="1.25pt" strokecolor="#974707"/>
            <v:line style="position:absolute" from="7143,3085" to="7143,3268" stroked="true" strokeweight="1.25pt" strokecolor="#974707"/>
            <v:line style="position:absolute" from="7052,3268" to="7234,3085" stroked="true" strokeweight="1.25pt" strokecolor="#974707"/>
            <v:line style="position:absolute" from="8146,3407" to="7964,3225" stroked="true" strokeweight="1.25pt" strokecolor="#974707"/>
            <v:line style="position:absolute" from="8055,3225" to="8055,3407" stroked="true" strokeweight="1.25pt" strokecolor="#974707"/>
            <v:line style="position:absolute" from="7964,3407" to="8146,3225" stroked="true" strokeweight="1.25pt" strokecolor="#974707"/>
            <v:line style="position:absolute" from="9060,1305" to="8878,1122" stroked="true" strokeweight="1.25pt" strokecolor="#974707"/>
            <v:line style="position:absolute" from="8969,1122" to="8969,1305" stroked="true" strokeweight="1.25pt" strokecolor="#974707"/>
            <v:line style="position:absolute" from="8878,1305" to="9060,1122" stroked="true" strokeweight="1.25pt" strokecolor="#974707"/>
            <v:rect style="position:absolute;left:3026;top:2514;width:1103;height:280" filled="true" fillcolor="#ffffff" stroked="false">
              <v:fill type="solid"/>
            </v:rect>
            <v:rect style="position:absolute;left:3026;top:2514;width:1103;height:280" filled="false" stroked="true" strokeweight=".75pt" strokecolor="#bebebe"/>
            <v:rect style="position:absolute;left:4024;top:2827;width:745;height:280" filled="true" fillcolor="#ffffff" stroked="false">
              <v:fill type="solid"/>
            </v:rect>
            <v:rect style="position:absolute;left:4024;top:2827;width:745;height:280" filled="false" stroked="true" strokeweight=".75pt" strokecolor="#bebebe"/>
            <v:rect style="position:absolute;left:4578;top:2120;width:1395;height:280" filled="true" fillcolor="#ffffff" stroked="false">
              <v:fill type="solid"/>
            </v:rect>
            <v:rect style="position:absolute;left:4578;top:2120;width:1395;height:280" filled="false" stroked="true" strokeweight=".75pt" strokecolor="#bebebe"/>
            <v:rect style="position:absolute;left:5872;top:2658;width:697;height:280" filled="true" fillcolor="#ffffff" stroked="false">
              <v:fill type="solid"/>
            </v:rect>
            <v:rect style="position:absolute;left:5872;top:2658;width:697;height:280" filled="false" stroked="true" strokeweight=".75pt" strokecolor="#bebebe"/>
            <v:rect style="position:absolute;left:6215;top:2041;width:730;height:280" filled="true" fillcolor="#ffffff" stroked="false">
              <v:fill type="solid"/>
            </v:rect>
            <v:rect style="position:absolute;left:6215;top:2041;width:730;height:280" filled="false" stroked="true" strokeweight=".75pt" strokecolor="#bebebe"/>
            <v:rect style="position:absolute;left:7086;top:2351;width:932;height:280" filled="true" fillcolor="#ffffff" stroked="false">
              <v:fill type="solid"/>
            </v:rect>
            <v:rect style="position:absolute;left:7086;top:2351;width:932;height:280" filled="false" stroked="true" strokeweight=".75pt" strokecolor="#bebebe"/>
            <v:rect style="position:absolute;left:7241;top:1043;width:1323;height:499" filled="true" fillcolor="#ffffff" stroked="false">
              <v:fill type="solid"/>
            </v:rect>
            <v:rect style="position:absolute;left:7241;top:1043;width:1323;height:499" filled="false" stroked="true" strokeweight=".75pt" strokecolor="#bebebe"/>
            <v:rect style="position:absolute;left:2554;top:205;width:7618;height:3365" filled="false" stroked="true" strokeweight=".75pt" strokecolor="#d9d9d9"/>
            <v:shape style="position:absolute;left:3509;top:403;width:5705;height:320" type="#_x0000_t202" filled="false" stroked="false">
              <v:textbox inset="0,0,0,0">
                <w:txbxContent>
                  <w:p>
                    <w:pPr>
                      <w:spacing w:line="319" w:lineRule="exact" w:before="0"/>
                      <w:ind w:left="0" w:right="-8" w:firstLine="0"/>
                      <w:jc w:val="left"/>
                      <w:rPr>
                        <w:rFonts w:ascii="Cambria" w:hAnsi="Cambria"/>
                        <w:b/>
                        <w:sz w:val="32"/>
                      </w:rPr>
                    </w:pPr>
                    <w:r>
                      <w:rPr>
                        <w:rFonts w:ascii="Cambria" w:hAnsi="Cambria"/>
                        <w:b/>
                        <w:color w:val="7E7E7E"/>
                        <w:sz w:val="32"/>
                      </w:rPr>
                      <w:t>MÉTODO DE PLANIFICACIÓN</w:t>
                    </w:r>
                    <w:r>
                      <w:rPr>
                        <w:rFonts w:ascii="Cambria" w:hAnsi="Cambria"/>
                        <w:b/>
                        <w:color w:val="7E7E7E"/>
                        <w:spacing w:val="-30"/>
                        <w:sz w:val="32"/>
                      </w:rPr>
                      <w:t> </w:t>
                    </w:r>
                    <w:r>
                      <w:rPr>
                        <w:rFonts w:ascii="Cambria" w:hAnsi="Cambria"/>
                        <w:b/>
                        <w:color w:val="7E7E7E"/>
                        <w:spacing w:val="-4"/>
                        <w:sz w:val="32"/>
                      </w:rPr>
                      <w:t>FAMILIAR</w:t>
                    </w:r>
                  </w:p>
                </w:txbxContent>
              </v:textbox>
              <w10:wrap type="none"/>
            </v:shape>
            <v:shape style="position:absolute;left:2685;top:898;width:183;height:2551" type="#_x0000_t202" filled="false" stroked="false">
              <v:textbox inset="0,0,0,0">
                <w:txbxContent>
                  <w:p>
                    <w:pPr>
                      <w:spacing w:line="183" w:lineRule="exact" w:before="0"/>
                      <w:ind w:left="0" w:right="-20" w:firstLine="0"/>
                      <w:jc w:val="left"/>
                      <w:rPr>
                        <w:rFonts w:ascii="Calibri"/>
                        <w:sz w:val="18"/>
                      </w:rPr>
                    </w:pPr>
                    <w:r>
                      <w:rPr>
                        <w:rFonts w:ascii="Calibri"/>
                        <w:color w:val="585858"/>
                        <w:sz w:val="18"/>
                      </w:rPr>
                      <w:t>70</w:t>
                    </w:r>
                  </w:p>
                  <w:p>
                    <w:pPr>
                      <w:spacing w:before="118"/>
                      <w:ind w:left="0" w:right="-20" w:firstLine="0"/>
                      <w:jc w:val="left"/>
                      <w:rPr>
                        <w:rFonts w:ascii="Calibri"/>
                        <w:sz w:val="18"/>
                      </w:rPr>
                    </w:pPr>
                    <w:r>
                      <w:rPr>
                        <w:rFonts w:ascii="Calibri"/>
                        <w:color w:val="585858"/>
                        <w:sz w:val="18"/>
                      </w:rPr>
                      <w:t>60</w:t>
                    </w:r>
                  </w:p>
                  <w:p>
                    <w:pPr>
                      <w:spacing w:before="119"/>
                      <w:ind w:left="0" w:right="-20" w:firstLine="0"/>
                      <w:jc w:val="left"/>
                      <w:rPr>
                        <w:rFonts w:ascii="Calibri"/>
                        <w:sz w:val="18"/>
                      </w:rPr>
                    </w:pPr>
                    <w:r>
                      <w:rPr>
                        <w:rFonts w:ascii="Calibri"/>
                        <w:color w:val="585858"/>
                        <w:sz w:val="18"/>
                      </w:rPr>
                      <w:t>50</w:t>
                    </w:r>
                  </w:p>
                  <w:p>
                    <w:pPr>
                      <w:spacing w:before="118"/>
                      <w:ind w:left="0" w:right="-20" w:firstLine="0"/>
                      <w:jc w:val="left"/>
                      <w:rPr>
                        <w:rFonts w:ascii="Calibri"/>
                        <w:sz w:val="18"/>
                      </w:rPr>
                    </w:pPr>
                    <w:r>
                      <w:rPr>
                        <w:rFonts w:ascii="Calibri"/>
                        <w:color w:val="585858"/>
                        <w:sz w:val="18"/>
                      </w:rPr>
                      <w:t>40</w:t>
                    </w:r>
                  </w:p>
                  <w:p>
                    <w:pPr>
                      <w:spacing w:before="118"/>
                      <w:ind w:left="0" w:right="-20" w:firstLine="0"/>
                      <w:jc w:val="left"/>
                      <w:rPr>
                        <w:rFonts w:ascii="Calibri"/>
                        <w:sz w:val="18"/>
                      </w:rPr>
                    </w:pPr>
                    <w:r>
                      <w:rPr>
                        <w:rFonts w:ascii="Calibri"/>
                        <w:color w:val="585858"/>
                        <w:sz w:val="18"/>
                      </w:rPr>
                      <w:t>30</w:t>
                    </w:r>
                  </w:p>
                  <w:p>
                    <w:pPr>
                      <w:spacing w:before="119"/>
                      <w:ind w:left="0" w:right="-20" w:firstLine="0"/>
                      <w:jc w:val="left"/>
                      <w:rPr>
                        <w:rFonts w:ascii="Calibri"/>
                        <w:sz w:val="18"/>
                      </w:rPr>
                    </w:pPr>
                    <w:r>
                      <w:rPr>
                        <w:rFonts w:ascii="Calibri"/>
                        <w:color w:val="585858"/>
                        <w:sz w:val="18"/>
                      </w:rPr>
                      <w:t>20</w:t>
                    </w:r>
                  </w:p>
                  <w:p>
                    <w:pPr>
                      <w:spacing w:before="118"/>
                      <w:ind w:left="0" w:right="-20" w:firstLine="0"/>
                      <w:jc w:val="left"/>
                      <w:rPr>
                        <w:rFonts w:ascii="Calibri"/>
                        <w:sz w:val="18"/>
                      </w:rPr>
                    </w:pPr>
                    <w:r>
                      <w:rPr>
                        <w:rFonts w:ascii="Calibri"/>
                        <w:color w:val="585858"/>
                        <w:sz w:val="18"/>
                      </w:rPr>
                      <w:t>10</w:t>
                    </w:r>
                  </w:p>
                  <w:p>
                    <w:pPr>
                      <w:spacing w:line="216" w:lineRule="exact" w:before="119"/>
                      <w:ind w:left="91" w:right="0" w:firstLine="0"/>
                      <w:jc w:val="left"/>
                      <w:rPr>
                        <w:rFonts w:ascii="Calibri"/>
                        <w:sz w:val="18"/>
                      </w:rPr>
                    </w:pPr>
                    <w:r>
                      <w:rPr>
                        <w:rFonts w:ascii="Calibri"/>
                        <w:color w:val="585858"/>
                        <w:sz w:val="18"/>
                      </w:rPr>
                      <w:t>0</w:t>
                    </w:r>
                  </w:p>
                </w:txbxContent>
              </v:textbox>
              <w10:wrap type="none"/>
            </v:shape>
            <v:shape style="position:absolute;left:7303;top:1110;width:1201;height:401" type="#_x0000_t202" filled="false" stroked="false">
              <v:textbox inset="0,0,0,0">
                <w:txbxContent>
                  <w:p>
                    <w:pPr>
                      <w:spacing w:line="183" w:lineRule="exact" w:before="0"/>
                      <w:ind w:left="-1" w:right="0" w:firstLine="0"/>
                      <w:jc w:val="center"/>
                      <w:rPr>
                        <w:rFonts w:ascii="Calibri" w:hAnsi="Calibri"/>
                        <w:sz w:val="18"/>
                      </w:rPr>
                    </w:pPr>
                    <w:r>
                      <w:rPr>
                        <w:rFonts w:ascii="Calibri" w:hAnsi="Calibri"/>
                        <w:color w:val="585858"/>
                        <w:sz w:val="18"/>
                      </w:rPr>
                      <w:t>SIN MÉTODO</w:t>
                    </w:r>
                    <w:r>
                      <w:rPr>
                        <w:rFonts w:ascii="Calibri" w:hAnsi="Calibri"/>
                        <w:color w:val="585858"/>
                        <w:spacing w:val="-9"/>
                        <w:sz w:val="18"/>
                      </w:rPr>
                      <w:t> </w:t>
                    </w:r>
                    <w:r>
                      <w:rPr>
                        <w:rFonts w:ascii="Calibri" w:hAnsi="Calibri"/>
                        <w:color w:val="585858"/>
                        <w:sz w:val="18"/>
                      </w:rPr>
                      <w:t>DE</w:t>
                    </w:r>
                  </w:p>
                  <w:p>
                    <w:pPr>
                      <w:spacing w:line="216" w:lineRule="exact" w:before="1"/>
                      <w:ind w:left="0" w:right="0" w:firstLine="0"/>
                      <w:jc w:val="center"/>
                      <w:rPr>
                        <w:rFonts w:ascii="Calibri"/>
                        <w:sz w:val="18"/>
                      </w:rPr>
                    </w:pPr>
                    <w:r>
                      <w:rPr>
                        <w:rFonts w:ascii="Calibri"/>
                        <w:color w:val="585858"/>
                        <w:sz w:val="18"/>
                      </w:rPr>
                      <w:t>PF, 72%</w:t>
                    </w:r>
                  </w:p>
                </w:txbxContent>
              </v:textbox>
              <w10:wrap type="none"/>
            </v:shape>
            <v:shape style="position:absolute;left:8875;top:1352;width:245;height:240" type="#_x0000_t202" filled="false" stroked="false">
              <v:textbox inset="0,0,0,0">
                <w:txbxContent>
                  <w:p>
                    <w:pPr>
                      <w:spacing w:line="240" w:lineRule="exact" w:before="0"/>
                      <w:ind w:left="0" w:right="-19" w:firstLine="0"/>
                      <w:jc w:val="left"/>
                      <w:rPr>
                        <w:rFonts w:ascii="Calibri"/>
                        <w:b/>
                        <w:i/>
                        <w:sz w:val="24"/>
                      </w:rPr>
                    </w:pPr>
                    <w:r>
                      <w:rPr>
                        <w:rFonts w:ascii="Calibri"/>
                        <w:b/>
                        <w:i/>
                        <w:color w:val="404040"/>
                        <w:sz w:val="24"/>
                      </w:rPr>
                      <w:t>62</w:t>
                    </w:r>
                  </w:p>
                </w:txbxContent>
              </v:textbox>
              <w10:wrap type="none"/>
            </v:shape>
            <v:shape style="position:absolute;left:4637;top:2187;width:1275;height:180" type="#_x0000_t202" filled="false" stroked="false">
              <v:textbox inset="0,0,0,0">
                <w:txbxContent>
                  <w:p>
                    <w:pPr>
                      <w:spacing w:line="180" w:lineRule="exact" w:before="0"/>
                      <w:ind w:left="0" w:right="-20" w:firstLine="0"/>
                      <w:jc w:val="left"/>
                      <w:rPr>
                        <w:rFonts w:ascii="Calibri"/>
                        <w:sz w:val="18"/>
                      </w:rPr>
                    </w:pPr>
                    <w:r>
                      <w:rPr>
                        <w:rFonts w:ascii="Calibri"/>
                        <w:color w:val="585858"/>
                        <w:sz w:val="18"/>
                      </w:rPr>
                      <w:t>INYECTABLES, 0%</w:t>
                    </w:r>
                  </w:p>
                </w:txbxContent>
              </v:textbox>
              <w10:wrap type="none"/>
            </v:shape>
            <v:shape style="position:absolute;left:6276;top:2108;width:611;height:180" type="#_x0000_t202" filled="false" stroked="false">
              <v:textbox inset="0,0,0,0">
                <w:txbxContent>
                  <w:p>
                    <w:pPr>
                      <w:spacing w:line="180" w:lineRule="exact" w:before="0"/>
                      <w:ind w:left="0" w:right="-20" w:firstLine="0"/>
                      <w:jc w:val="left"/>
                      <w:rPr>
                        <w:rFonts w:ascii="Calibri"/>
                        <w:sz w:val="18"/>
                      </w:rPr>
                    </w:pPr>
                    <w:r>
                      <w:rPr>
                        <w:rFonts w:ascii="Calibri"/>
                        <w:color w:val="585858"/>
                        <w:sz w:val="18"/>
                      </w:rPr>
                      <w:t>OTB, 6%</w:t>
                    </w:r>
                  </w:p>
                </w:txbxContent>
              </v:textbox>
              <w10:wrap type="none"/>
            </v:shape>
            <v:shape style="position:absolute;left:7147;top:2417;width:812;height:180" type="#_x0000_t202" filled="false" stroked="false">
              <v:textbox inset="0,0,0,0">
                <w:txbxContent>
                  <w:p>
                    <w:pPr>
                      <w:spacing w:line="180" w:lineRule="exact" w:before="0"/>
                      <w:ind w:left="0" w:right="-17" w:firstLine="0"/>
                      <w:jc w:val="left"/>
                      <w:rPr>
                        <w:rFonts w:ascii="Calibri"/>
                        <w:sz w:val="18"/>
                      </w:rPr>
                    </w:pPr>
                    <w:r>
                      <w:rPr>
                        <w:rFonts w:ascii="Calibri"/>
                        <w:color w:val="585858"/>
                        <w:sz w:val="18"/>
                      </w:rPr>
                      <w:t>OTROS,</w:t>
                    </w:r>
                    <w:r>
                      <w:rPr>
                        <w:rFonts w:ascii="Calibri"/>
                        <w:color w:val="585858"/>
                        <w:spacing w:val="-4"/>
                        <w:sz w:val="18"/>
                      </w:rPr>
                      <w:t> </w:t>
                    </w:r>
                    <w:r>
                      <w:rPr>
                        <w:rFonts w:ascii="Calibri"/>
                        <w:color w:val="585858"/>
                        <w:sz w:val="18"/>
                      </w:rPr>
                      <w:t>1%</w:t>
                    </w:r>
                  </w:p>
                </w:txbxContent>
              </v:textbox>
              <w10:wrap type="none"/>
            </v:shape>
            <v:shape style="position:absolute;left:3086;top:2582;width:983;height:732" type="#_x0000_t202" filled="false" stroked="false">
              <v:textbox inset="0,0,0,0">
                <w:txbxContent>
                  <w:p>
                    <w:pPr>
                      <w:spacing w:line="183" w:lineRule="exact" w:before="0"/>
                      <w:ind w:left="0" w:right="0" w:firstLine="0"/>
                      <w:jc w:val="center"/>
                      <w:rPr>
                        <w:rFonts w:ascii="Calibri" w:hAnsi="Calibri"/>
                        <w:sz w:val="18"/>
                      </w:rPr>
                    </w:pPr>
                    <w:r>
                      <w:rPr>
                        <w:rFonts w:ascii="Calibri" w:hAnsi="Calibri"/>
                        <w:color w:val="585858"/>
                        <w:sz w:val="18"/>
                      </w:rPr>
                      <w:t>CONDÓN, 9%</w:t>
                    </w:r>
                  </w:p>
                  <w:p>
                    <w:pPr>
                      <w:spacing w:line="240" w:lineRule="auto" w:before="4"/>
                      <w:rPr>
                        <w:sz w:val="18"/>
                      </w:rPr>
                    </w:pPr>
                  </w:p>
                  <w:p>
                    <w:pPr>
                      <w:spacing w:line="337" w:lineRule="exact" w:before="0"/>
                      <w:ind w:left="0" w:right="169" w:firstLine="0"/>
                      <w:jc w:val="center"/>
                      <w:rPr>
                        <w:rFonts w:ascii="Calibri"/>
                        <w:b/>
                        <w:i/>
                        <w:sz w:val="28"/>
                      </w:rPr>
                    </w:pPr>
                    <w:r>
                      <w:rPr>
                        <w:rFonts w:ascii="Calibri"/>
                        <w:b/>
                        <w:i/>
                        <w:color w:val="404040"/>
                        <w:w w:val="100"/>
                        <w:sz w:val="28"/>
                      </w:rPr>
                      <w:t>8</w:t>
                    </w:r>
                  </w:p>
                </w:txbxContent>
              </v:textbox>
              <w10:wrap type="none"/>
            </v:shape>
            <v:shape style="position:absolute;left:4073;top:2894;width:637;height:417" type="#_x0000_t202" filled="false" stroked="false">
              <v:textbox inset="0,0,0,0">
                <w:txbxContent>
                  <w:p>
                    <w:pPr>
                      <w:spacing w:line="156" w:lineRule="exact" w:before="0"/>
                      <w:ind w:left="11" w:right="-19" w:firstLine="0"/>
                      <w:jc w:val="left"/>
                      <w:rPr>
                        <w:rFonts w:ascii="Calibri"/>
                        <w:sz w:val="18"/>
                      </w:rPr>
                    </w:pPr>
                    <w:r>
                      <w:rPr>
                        <w:rFonts w:ascii="Calibri"/>
                        <w:color w:val="585858"/>
                        <w:sz w:val="18"/>
                      </w:rPr>
                      <w:t>ACO, 4%</w:t>
                    </w:r>
                  </w:p>
                  <w:p>
                    <w:pPr>
                      <w:spacing w:line="261" w:lineRule="exact" w:before="0"/>
                      <w:ind w:left="0" w:right="0" w:firstLine="0"/>
                      <w:jc w:val="left"/>
                      <w:rPr>
                        <w:rFonts w:ascii="Calibri"/>
                        <w:b/>
                        <w:i/>
                        <w:sz w:val="24"/>
                      </w:rPr>
                    </w:pPr>
                    <w:r>
                      <w:rPr>
                        <w:rFonts w:ascii="Calibri"/>
                        <w:b/>
                        <w:i/>
                        <w:color w:val="404040"/>
                        <w:sz w:val="24"/>
                      </w:rPr>
                      <w:t>3</w:t>
                    </w:r>
                  </w:p>
                </w:txbxContent>
              </v:textbox>
              <w10:wrap type="none"/>
            </v:shape>
            <v:shape style="position:absolute;left:5064;top:2955;width:122;height:240" type="#_x0000_t202" filled="false" stroked="false">
              <v:textbox inset="0,0,0,0">
                <w:txbxContent>
                  <w:p>
                    <w:pPr>
                      <w:spacing w:line="240" w:lineRule="exact" w:before="0"/>
                      <w:ind w:left="0" w:right="0" w:firstLine="0"/>
                      <w:jc w:val="left"/>
                      <w:rPr>
                        <w:rFonts w:ascii="Calibri"/>
                        <w:b/>
                        <w:i/>
                        <w:sz w:val="24"/>
                      </w:rPr>
                    </w:pPr>
                    <w:r>
                      <w:rPr>
                        <w:rFonts w:ascii="Calibri"/>
                        <w:b/>
                        <w:i/>
                        <w:color w:val="404040"/>
                        <w:sz w:val="24"/>
                      </w:rPr>
                      <w:t>0</w:t>
                    </w:r>
                  </w:p>
                </w:txbxContent>
              </v:textbox>
              <w10:wrap type="none"/>
            </v:shape>
            <v:shape style="position:absolute;left:5933;top:2725;width:578;height:564" type="#_x0000_t202" filled="false" stroked="false">
              <v:textbox inset="0,0,0,0">
                <w:txbxContent>
                  <w:p>
                    <w:pPr>
                      <w:spacing w:line="183" w:lineRule="exact" w:before="0"/>
                      <w:ind w:left="0" w:right="0" w:firstLine="0"/>
                      <w:jc w:val="center"/>
                      <w:rPr>
                        <w:rFonts w:ascii="Calibri"/>
                        <w:sz w:val="18"/>
                      </w:rPr>
                    </w:pPr>
                    <w:r>
                      <w:rPr>
                        <w:rFonts w:ascii="Calibri"/>
                        <w:color w:val="585858"/>
                        <w:sz w:val="18"/>
                      </w:rPr>
                      <w:t>DIU, 8%</w:t>
                    </w:r>
                  </w:p>
                  <w:p>
                    <w:pPr>
                      <w:spacing w:line="289" w:lineRule="exact" w:before="92"/>
                      <w:ind w:left="0" w:right="4" w:firstLine="0"/>
                      <w:jc w:val="center"/>
                      <w:rPr>
                        <w:rFonts w:ascii="Calibri"/>
                        <w:b/>
                        <w:i/>
                        <w:sz w:val="24"/>
                      </w:rPr>
                    </w:pPr>
                    <w:r>
                      <w:rPr>
                        <w:rFonts w:ascii="Calibri"/>
                        <w:b/>
                        <w:i/>
                        <w:color w:val="404040"/>
                        <w:sz w:val="24"/>
                      </w:rPr>
                      <w:t>7</w:t>
                    </w:r>
                  </w:p>
                </w:txbxContent>
              </v:textbox>
              <w10:wrap type="none"/>
            </v:shape>
            <v:shape style="position:absolute;left:7071;top:3065;width:122;height:240" type="#_x0000_t202" filled="false" stroked="false">
              <v:textbox inset="0,0,0,0">
                <w:txbxContent>
                  <w:p>
                    <w:pPr>
                      <w:spacing w:line="240" w:lineRule="exact" w:before="0"/>
                      <w:ind w:left="0" w:right="0" w:firstLine="0"/>
                      <w:jc w:val="left"/>
                      <w:rPr>
                        <w:rFonts w:ascii="Calibri"/>
                        <w:b/>
                        <w:i/>
                        <w:sz w:val="24"/>
                      </w:rPr>
                    </w:pPr>
                    <w:r>
                      <w:rPr>
                        <w:rFonts w:ascii="Calibri"/>
                        <w:b/>
                        <w:i/>
                        <w:color w:val="404040"/>
                        <w:sz w:val="24"/>
                      </w:rPr>
                      <w:t>5</w:t>
                    </w:r>
                  </w:p>
                </w:txbxContent>
              </v:textbox>
              <w10:wrap type="none"/>
            </v:shape>
            <v:shape style="position:absolute;left:8268;top:3035;width:122;height:240" type="#_x0000_t202" filled="false" stroked="false">
              <v:textbox inset="0,0,0,0">
                <w:txbxContent>
                  <w:p>
                    <w:pPr>
                      <w:spacing w:line="240" w:lineRule="exact" w:before="0"/>
                      <w:ind w:left="0" w:right="0" w:firstLine="0"/>
                      <w:jc w:val="left"/>
                      <w:rPr>
                        <w:rFonts w:ascii="Calibri"/>
                        <w:b/>
                        <w:i/>
                        <w:sz w:val="24"/>
                      </w:rPr>
                    </w:pPr>
                    <w:r>
                      <w:rPr>
                        <w:rFonts w:ascii="Calibri"/>
                        <w:b/>
                        <w:i/>
                        <w:color w:val="404040"/>
                        <w:sz w:val="24"/>
                      </w:rPr>
                      <w:t>1</w:t>
                    </w:r>
                  </w:p>
                </w:txbxContent>
              </v:textbox>
              <w10:wrap type="none"/>
            </v:shape>
            <v:shape style="position:absolute;left:9596;top:898;width:448;height:2551" type="#_x0000_t202" filled="false" stroked="false">
              <v:textbox inset="0,0,0,0">
                <w:txbxContent>
                  <w:p>
                    <w:pPr>
                      <w:spacing w:line="183" w:lineRule="exact" w:before="0"/>
                      <w:ind w:left="0" w:right="-20" w:firstLine="0"/>
                      <w:jc w:val="left"/>
                      <w:rPr>
                        <w:rFonts w:ascii="Calibri"/>
                        <w:sz w:val="18"/>
                      </w:rPr>
                    </w:pPr>
                    <w:r>
                      <w:rPr>
                        <w:rFonts w:ascii="Calibri"/>
                        <w:color w:val="585858"/>
                        <w:sz w:val="18"/>
                      </w:rPr>
                      <w:t>80.0%</w:t>
                    </w:r>
                  </w:p>
                  <w:p>
                    <w:pPr>
                      <w:spacing w:before="76"/>
                      <w:ind w:left="0" w:right="-20" w:firstLine="0"/>
                      <w:jc w:val="left"/>
                      <w:rPr>
                        <w:rFonts w:ascii="Calibri"/>
                        <w:sz w:val="18"/>
                      </w:rPr>
                    </w:pPr>
                    <w:r>
                      <w:rPr>
                        <w:rFonts w:ascii="Calibri"/>
                        <w:color w:val="585858"/>
                        <w:sz w:val="18"/>
                      </w:rPr>
                      <w:t>70.0%</w:t>
                    </w:r>
                  </w:p>
                  <w:p>
                    <w:pPr>
                      <w:spacing w:before="76"/>
                      <w:ind w:left="0" w:right="-20" w:firstLine="0"/>
                      <w:jc w:val="left"/>
                      <w:rPr>
                        <w:rFonts w:ascii="Calibri"/>
                        <w:sz w:val="18"/>
                      </w:rPr>
                    </w:pPr>
                    <w:r>
                      <w:rPr>
                        <w:rFonts w:ascii="Calibri"/>
                        <w:color w:val="585858"/>
                        <w:sz w:val="18"/>
                      </w:rPr>
                      <w:t>60.0%</w:t>
                    </w:r>
                  </w:p>
                  <w:p>
                    <w:pPr>
                      <w:spacing w:before="76"/>
                      <w:ind w:left="0" w:right="-20" w:firstLine="0"/>
                      <w:jc w:val="left"/>
                      <w:rPr>
                        <w:rFonts w:ascii="Calibri"/>
                        <w:sz w:val="18"/>
                      </w:rPr>
                    </w:pPr>
                    <w:r>
                      <w:rPr>
                        <w:rFonts w:ascii="Calibri"/>
                        <w:color w:val="585858"/>
                        <w:sz w:val="18"/>
                      </w:rPr>
                      <w:t>50.0%</w:t>
                    </w:r>
                  </w:p>
                  <w:p>
                    <w:pPr>
                      <w:spacing w:before="77"/>
                      <w:ind w:left="0" w:right="-20" w:firstLine="0"/>
                      <w:jc w:val="left"/>
                      <w:rPr>
                        <w:rFonts w:ascii="Calibri"/>
                        <w:sz w:val="18"/>
                      </w:rPr>
                    </w:pPr>
                    <w:r>
                      <w:rPr>
                        <w:rFonts w:ascii="Calibri"/>
                        <w:color w:val="585858"/>
                        <w:sz w:val="18"/>
                      </w:rPr>
                      <w:t>40.0%</w:t>
                    </w:r>
                  </w:p>
                  <w:p>
                    <w:pPr>
                      <w:spacing w:before="76"/>
                      <w:ind w:left="0" w:right="-20" w:firstLine="0"/>
                      <w:jc w:val="left"/>
                      <w:rPr>
                        <w:rFonts w:ascii="Calibri"/>
                        <w:sz w:val="18"/>
                      </w:rPr>
                    </w:pPr>
                    <w:r>
                      <w:rPr>
                        <w:rFonts w:ascii="Calibri"/>
                        <w:color w:val="585858"/>
                        <w:sz w:val="18"/>
                      </w:rPr>
                      <w:t>30.0%</w:t>
                    </w:r>
                  </w:p>
                  <w:p>
                    <w:pPr>
                      <w:spacing w:before="76"/>
                      <w:ind w:left="0" w:right="-20" w:firstLine="0"/>
                      <w:jc w:val="left"/>
                      <w:rPr>
                        <w:rFonts w:ascii="Calibri"/>
                        <w:sz w:val="18"/>
                      </w:rPr>
                    </w:pPr>
                    <w:r>
                      <w:rPr>
                        <w:rFonts w:ascii="Calibri"/>
                        <w:color w:val="585858"/>
                        <w:sz w:val="18"/>
                      </w:rPr>
                      <w:t>20.0%</w:t>
                    </w:r>
                  </w:p>
                  <w:p>
                    <w:pPr>
                      <w:spacing w:before="76"/>
                      <w:ind w:left="0" w:right="-20" w:firstLine="0"/>
                      <w:jc w:val="left"/>
                      <w:rPr>
                        <w:rFonts w:ascii="Calibri"/>
                        <w:sz w:val="18"/>
                      </w:rPr>
                    </w:pPr>
                    <w:r>
                      <w:rPr>
                        <w:rFonts w:ascii="Calibri"/>
                        <w:color w:val="585858"/>
                        <w:sz w:val="18"/>
                      </w:rPr>
                      <w:t>10.0%</w:t>
                    </w:r>
                  </w:p>
                  <w:p>
                    <w:pPr>
                      <w:spacing w:line="216" w:lineRule="exact" w:before="77"/>
                      <w:ind w:left="0" w:right="-20" w:firstLine="0"/>
                      <w:jc w:val="left"/>
                      <w:rPr>
                        <w:rFonts w:ascii="Calibri"/>
                        <w:sz w:val="18"/>
                      </w:rPr>
                    </w:pPr>
                    <w:r>
                      <w:rPr>
                        <w:rFonts w:ascii="Calibri"/>
                        <w:color w:val="585858"/>
                        <w:sz w:val="18"/>
                      </w:rPr>
                      <w:t>0.0%</w:t>
                    </w:r>
                  </w:p>
                </w:txbxContent>
              </v:textbox>
              <w10:wrap type="none"/>
            </v:shape>
            <w10:wrap type="topAndBottom"/>
          </v:group>
        </w:pict>
      </w:r>
    </w:p>
    <w:p>
      <w:pPr>
        <w:pStyle w:val="BodyText"/>
        <w:spacing w:before="1"/>
        <w:rPr>
          <w:sz w:val="28"/>
        </w:rPr>
      </w:pPr>
    </w:p>
    <w:p>
      <w:pPr>
        <w:spacing w:before="0"/>
        <w:ind w:left="2382" w:right="2385" w:firstLine="0"/>
        <w:jc w:val="center"/>
        <w:rPr>
          <w:b/>
          <w:sz w:val="14"/>
        </w:rPr>
      </w:pPr>
      <w:r>
        <w:rPr>
          <w:b/>
          <w:sz w:val="14"/>
        </w:rPr>
        <w:t>FUENTE: BASE DE DATOS, HMPMPS.</w:t>
      </w:r>
    </w:p>
    <w:p>
      <w:pPr>
        <w:spacing w:after="0"/>
        <w:jc w:val="center"/>
        <w:rPr>
          <w:sz w:val="14"/>
        </w:rPr>
        <w:sectPr>
          <w:footerReference w:type="default" r:id="rId26"/>
          <w:pgSz w:w="12240" w:h="15840"/>
          <w:pgMar w:footer="1517" w:header="0" w:top="1360" w:bottom="1700" w:left="1600" w:right="1080"/>
          <w:pgNumType w:start="32"/>
        </w:sectPr>
      </w:pPr>
    </w:p>
    <w:p>
      <w:pPr>
        <w:pStyle w:val="BodyText"/>
        <w:spacing w:line="360" w:lineRule="auto" w:before="54"/>
        <w:ind w:left="102" w:right="105" w:firstLine="201"/>
        <w:jc w:val="both"/>
      </w:pPr>
      <w:r>
        <w:rPr/>
        <w:t>En cuanto al número de gestaciones se encontró la siguiente distribución, el 41% (35) de estas pacientes eran primigestas, el 24 % (21) secundigestas, con más de tres embarazos 35 % (30). Grafica 4.</w:t>
      </w:r>
    </w:p>
    <w:p>
      <w:pPr>
        <w:pStyle w:val="BodyText"/>
        <w:spacing w:before="10"/>
        <w:rPr>
          <w:sz w:val="13"/>
        </w:rPr>
      </w:pPr>
      <w:r>
        <w:rPr/>
        <w:pict>
          <v:group style="position:absolute;margin-left:92.074997pt;margin-top:9.938901pt;width:452.25pt;height:207.75pt;mso-position-horizontal-relative:page;mso-position-vertical-relative:paragraph;z-index:2824;mso-wrap-distance-left:0;mso-wrap-distance-right:0" coordorigin="1841,199" coordsize="9045,4155">
            <v:rect style="position:absolute;left:4130;top:2841;width:458;height:761" filled="true" fillcolor="#4f81bc" stroked="false">
              <v:fill type="solid"/>
            </v:rect>
            <v:rect style="position:absolute;left:5849;top:3146;width:456;height:456" filled="true" fillcolor="#4f81bc" stroked="false">
              <v:fill type="solid"/>
            </v:rect>
            <v:rect style="position:absolute;left:7565;top:2949;width:458;height:653" filled="true" fillcolor="#4f81bc" stroked="false">
              <v:fill type="solid"/>
            </v:rect>
            <v:rect style="position:absolute;left:9283;top:1732;width:458;height:1870" filled="true" fillcolor="#4f81bc" stroked="false">
              <v:fill type="solid"/>
            </v:rect>
            <v:line style="position:absolute" from="4702,3597" to="5160,3597" stroked="true" strokeweight=".48pt" strokecolor="#c0504d"/>
            <v:line style="position:absolute" from="6420,3598" to="6878,3598" stroked="true" strokeweight=".36pt" strokecolor="#c0504d"/>
            <v:line style="position:absolute" from="8138,3597" to="8597,3597" stroked="true" strokeweight=".48pt" strokecolor="#c0504d"/>
            <v:line style="position:absolute" from="9857,3590" to="10315,3590" stroked="true" strokeweight="1.2pt" strokecolor="#c0504d"/>
            <v:line style="position:absolute" from="2069,3602" to="10658,3602" stroked="true" strokeweight=".72pt" strokecolor="#858585"/>
            <v:rect style="position:absolute;left:5162;top:974;width:110;height:110" filled="true" fillcolor="#4f81bc" stroked="false">
              <v:fill type="solid"/>
            </v:rect>
            <v:rect style="position:absolute;left:6432;top:974;width:108;height:110" filled="true" fillcolor="#c0504d" stroked="false">
              <v:fill type="solid"/>
            </v:rect>
            <v:rect style="position:absolute;left:1849;top:206;width:9030;height:4140" filled="false" stroked="true" strokeweight=".75pt" strokecolor="#858585"/>
            <v:shape style="position:absolute;left:3771;top:413;width:5187;height:724" type="#_x0000_t202" filled="false" stroked="false">
              <v:textbox inset="0,0,0,0">
                <w:txbxContent>
                  <w:p>
                    <w:pPr>
                      <w:spacing w:line="286" w:lineRule="exact" w:before="0"/>
                      <w:ind w:left="0" w:right="0" w:firstLine="0"/>
                      <w:jc w:val="left"/>
                      <w:rPr>
                        <w:rFonts w:ascii="Calibri" w:hAnsi="Calibri"/>
                        <w:b/>
                        <w:sz w:val="28"/>
                      </w:rPr>
                    </w:pPr>
                    <w:r>
                      <w:rPr>
                        <w:rFonts w:ascii="Calibri" w:hAnsi="Calibri"/>
                        <w:b/>
                        <w:spacing w:val="-5"/>
                        <w:sz w:val="28"/>
                      </w:rPr>
                      <w:t>PARIDAD </w:t>
                    </w:r>
                    <w:r>
                      <w:rPr>
                        <w:rFonts w:ascii="Calibri" w:hAnsi="Calibri"/>
                        <w:b/>
                        <w:sz w:val="28"/>
                      </w:rPr>
                      <w:t>AL </w:t>
                    </w:r>
                    <w:r>
                      <w:rPr>
                        <w:rFonts w:ascii="Calibri" w:hAnsi="Calibri"/>
                        <w:b/>
                        <w:spacing w:val="-3"/>
                        <w:sz w:val="28"/>
                      </w:rPr>
                      <w:t>MOMENTO </w:t>
                    </w:r>
                    <w:r>
                      <w:rPr>
                        <w:rFonts w:ascii="Calibri" w:hAnsi="Calibri"/>
                        <w:b/>
                        <w:sz w:val="28"/>
                      </w:rPr>
                      <w:t>DEL CÓDIGO </w:t>
                    </w:r>
                    <w:r>
                      <w:rPr>
                        <w:rFonts w:ascii="Calibri" w:hAnsi="Calibri"/>
                        <w:b/>
                        <w:spacing w:val="-6"/>
                        <w:sz w:val="28"/>
                      </w:rPr>
                      <w:t>MATER</w:t>
                    </w:r>
                  </w:p>
                  <w:p>
                    <w:pPr>
                      <w:tabs>
                        <w:tab w:pos="2819" w:val="left" w:leader="none"/>
                      </w:tabs>
                      <w:spacing w:line="240" w:lineRule="exact" w:before="197"/>
                      <w:ind w:left="1550" w:right="0" w:firstLine="0"/>
                      <w:jc w:val="left"/>
                      <w:rPr>
                        <w:rFonts w:ascii="Calibri"/>
                        <w:sz w:val="20"/>
                      </w:rPr>
                    </w:pPr>
                    <w:r>
                      <w:rPr>
                        <w:rFonts w:ascii="Calibri"/>
                        <w:sz w:val="20"/>
                      </w:rPr>
                      <w:t>PACIENTES</w:t>
                      <w:tab/>
                      <w:t>PORCENTAJE</w:t>
                    </w:r>
                  </w:p>
                </w:txbxContent>
              </v:textbox>
              <w10:wrap type="none"/>
            </v:shape>
            <v:shape style="position:absolute;left:9414;top:1440;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86</w:t>
                    </w:r>
                  </w:p>
                </w:txbxContent>
              </v:textbox>
              <w10:wrap type="none"/>
            </v:shape>
            <v:shape style="position:absolute;left:4259;top:2548;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35</w:t>
                    </w:r>
                  </w:p>
                </w:txbxContent>
              </v:textbox>
              <w10:wrap type="none"/>
            </v:shape>
            <v:shape style="position:absolute;left:7696;top:2657;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30</w:t>
                    </w:r>
                  </w:p>
                </w:txbxContent>
              </v:textbox>
              <w10:wrap type="none"/>
            </v:shape>
            <v:shape style="position:absolute;left:5977;top:2852;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21</w:t>
                    </w:r>
                  </w:p>
                </w:txbxContent>
              </v:textbox>
              <w10:wrap type="none"/>
            </v:shape>
            <v:shape style="position:absolute;left:2591;top:3308;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0</w:t>
                    </w:r>
                  </w:p>
                </w:txbxContent>
              </v:textbox>
              <w10:wrap type="none"/>
            </v:shape>
            <v:shape style="position:absolute;left:3164;top:3308;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0</w:t>
                    </w:r>
                  </w:p>
                </w:txbxContent>
              </v:textbox>
              <w10:wrap type="none"/>
            </v:shape>
            <v:shape style="position:absolute;left:4762;top:3299;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41%</w:t>
                    </w:r>
                  </w:p>
                </w:txbxContent>
              </v:textbox>
              <w10:wrap type="none"/>
            </v:shape>
            <v:shape style="position:absolute;left:6480;top:3303;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24%</w:t>
                    </w:r>
                  </w:p>
                </w:txbxContent>
              </v:textbox>
              <w10:wrap type="none"/>
            </v:shape>
            <v:shape style="position:absolute;left:8199;top:3301;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35%</w:t>
                    </w:r>
                  </w:p>
                </w:txbxContent>
              </v:textbox>
              <w10:wrap type="none"/>
            </v:shape>
            <v:shape style="position:absolute;left:9867;top:3286;width:445;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100%</w:t>
                    </w:r>
                  </w:p>
                </w:txbxContent>
              </v:textbox>
              <w10:wrap type="none"/>
            </v:shape>
            <v:shape style="position:absolute;left:2422;top:3769;width:1013;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NULIGESTAS</w:t>
                    </w:r>
                  </w:p>
                </w:txbxContent>
              </v:textbox>
              <w10:wrap type="none"/>
            </v:shape>
            <v:shape style="position:absolute;left:4094;top:3769;width:1105;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PRIMIGESTAS</w:t>
                    </w:r>
                  </w:p>
                </w:txbxContent>
              </v:textbox>
              <w10:wrap type="none"/>
            </v:shape>
            <v:shape style="position:absolute;left:5691;top:3769;width:1347;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SECUNDIGESTAS</w:t>
                    </w:r>
                  </w:p>
                </w:txbxContent>
              </v:textbox>
              <w10:wrap type="none"/>
            </v:shape>
            <v:shape style="position:absolute;left:7566;top:3769;width:1035;height:444" type="#_x0000_t202" filled="false" stroked="false">
              <v:textbox inset="0,0,0,0">
                <w:txbxContent>
                  <w:p>
                    <w:pPr>
                      <w:spacing w:line="203" w:lineRule="exact" w:before="0"/>
                      <w:ind w:left="5" w:right="6" w:firstLine="0"/>
                      <w:jc w:val="center"/>
                      <w:rPr>
                        <w:rFonts w:ascii="Calibri"/>
                        <w:sz w:val="20"/>
                      </w:rPr>
                    </w:pPr>
                    <w:r>
                      <w:rPr>
                        <w:rFonts w:ascii="Calibri"/>
                        <w:sz w:val="20"/>
                      </w:rPr>
                      <w:t>MAS DE</w:t>
                    </w:r>
                    <w:r>
                      <w:rPr>
                        <w:rFonts w:ascii="Calibri"/>
                        <w:spacing w:val="-4"/>
                        <w:sz w:val="20"/>
                      </w:rPr>
                      <w:t> </w:t>
                    </w:r>
                    <w:r>
                      <w:rPr>
                        <w:rFonts w:ascii="Calibri"/>
                        <w:sz w:val="20"/>
                      </w:rPr>
                      <w:t>3</w:t>
                    </w:r>
                  </w:p>
                  <w:p>
                    <w:pPr>
                      <w:spacing w:line="240" w:lineRule="exact" w:before="0"/>
                      <w:ind w:left="5" w:right="6" w:firstLine="0"/>
                      <w:jc w:val="center"/>
                      <w:rPr>
                        <w:rFonts w:ascii="Calibri"/>
                        <w:sz w:val="20"/>
                      </w:rPr>
                    </w:pPr>
                    <w:r>
                      <w:rPr>
                        <w:rFonts w:ascii="Calibri"/>
                        <w:w w:val="95"/>
                        <w:sz w:val="20"/>
                      </w:rPr>
                      <w:t>EMBARAZOS</w:t>
                    </w:r>
                  </w:p>
                </w:txbxContent>
              </v:textbox>
              <w10:wrap type="none"/>
            </v:shape>
            <v:shape style="position:absolute;left:9538;top:3769;width:528;height:200" type="#_x0000_t202" filled="false" stroked="false">
              <v:textbox inset="0,0,0,0">
                <w:txbxContent>
                  <w:p>
                    <w:pPr>
                      <w:spacing w:line="199" w:lineRule="exact" w:before="0"/>
                      <w:ind w:left="0" w:right="-20" w:firstLine="0"/>
                      <w:jc w:val="left"/>
                      <w:rPr>
                        <w:rFonts w:ascii="Calibri"/>
                        <w:sz w:val="20"/>
                      </w:rPr>
                    </w:pPr>
                    <w:r>
                      <w:rPr>
                        <w:rFonts w:ascii="Calibri"/>
                        <w:sz w:val="20"/>
                      </w:rPr>
                      <w:t>TOTAL</w:t>
                    </w:r>
                  </w:p>
                </w:txbxContent>
              </v:textbox>
              <w10:wrap type="none"/>
            </v:shape>
            <w10:wrap type="topAndBottom"/>
          </v:group>
        </w:pict>
      </w:r>
    </w:p>
    <w:p>
      <w:pPr>
        <w:spacing w:before="0"/>
        <w:ind w:left="2381" w:right="2385" w:firstLine="0"/>
        <w:jc w:val="center"/>
        <w:rPr>
          <w:b/>
          <w:sz w:val="14"/>
        </w:rPr>
      </w:pPr>
      <w:r>
        <w:rPr>
          <w:b/>
          <w:sz w:val="14"/>
        </w:rPr>
        <w:t>FUENTE: BASE DE DATOS, HMPMPS. 2015</w:t>
      </w:r>
    </w:p>
    <w:p>
      <w:pPr>
        <w:pStyle w:val="BodyText"/>
        <w:rPr>
          <w:b/>
          <w:sz w:val="14"/>
        </w:rPr>
      </w:pPr>
    </w:p>
    <w:p>
      <w:pPr>
        <w:pStyle w:val="BodyText"/>
        <w:spacing w:line="360" w:lineRule="auto" w:before="124"/>
        <w:ind w:left="102" w:right="106" w:firstLine="201"/>
        <w:jc w:val="both"/>
      </w:pPr>
      <w:r>
        <w:rPr/>
        <w:t>Más de la mitad de las pacientes se encontraban en puerperio 57% (49), de las  cuales un 31% (15) eran pos parto, 61% (30) pos cesárea y 8% (4) pos aborto. El </w:t>
      </w:r>
      <w:r>
        <w:rPr>
          <w:spacing w:val="33"/>
        </w:rPr>
        <w:t> </w:t>
      </w:r>
      <w:r>
        <w:rPr/>
        <w:t>43%</w:t>
      </w:r>
    </w:p>
    <w:p>
      <w:pPr>
        <w:pStyle w:val="ListParagraph"/>
        <w:numPr>
          <w:ilvl w:val="0"/>
          <w:numId w:val="10"/>
        </w:numPr>
        <w:tabs>
          <w:tab w:pos="666" w:val="left" w:leader="none"/>
        </w:tabs>
        <w:spacing w:line="360" w:lineRule="auto" w:before="5" w:after="0"/>
        <w:ind w:left="102" w:right="106" w:firstLine="0"/>
        <w:jc w:val="both"/>
        <w:rPr>
          <w:sz w:val="24"/>
        </w:rPr>
      </w:pPr>
      <w:r>
        <w:rPr>
          <w:sz w:val="24"/>
        </w:rPr>
        <w:t>de los casos fueron pacientes embarazadas, de las cuales en un 38% (14) cursaban un embarazo de término (entre las 37 y 41 SDG), y en un 43% (16) un embarazo pretérmino (&lt;36.6 SDG). Se reportan 2 embarazos ectópicos 5%, 4 abortos del primer trimestre 11% y un embarazo molar 3%. Grafica 5,6 Y</w:t>
      </w:r>
      <w:r>
        <w:rPr>
          <w:spacing w:val="-22"/>
          <w:sz w:val="24"/>
        </w:rPr>
        <w:t> </w:t>
      </w:r>
      <w:r>
        <w:rPr>
          <w:sz w:val="24"/>
        </w:rPr>
        <w:t>7.</w:t>
      </w:r>
    </w:p>
    <w:p>
      <w:pPr>
        <w:pStyle w:val="BodyText"/>
        <w:spacing w:before="8"/>
        <w:rPr>
          <w:sz w:val="13"/>
        </w:rPr>
      </w:pPr>
      <w:r>
        <w:rPr/>
        <w:pict>
          <v:group style="position:absolute;margin-left:137.824997pt;margin-top:9.858895pt;width:360.75pt;height:159.75pt;mso-position-horizontal-relative:page;mso-position-vertical-relative:paragraph;z-index:3064;mso-wrap-distance-left:0;mso-wrap-distance-right:0" coordorigin="2756,197" coordsize="7215,3195">
            <v:rect style="position:absolute;left:3434;top:2266;width:602;height:617" filled="true" fillcolor="#4f81bc" stroked="false">
              <v:fill type="solid"/>
            </v:rect>
            <v:rect style="position:absolute;left:5688;top:2206;width:602;height:677" filled="true" fillcolor="#4f81bc" stroked="false">
              <v:fill type="solid"/>
            </v:rect>
            <v:rect style="position:absolute;left:7942;top:1590;width:602;height:1294" filled="true" fillcolor="#4f81bc" stroked="false">
              <v:fill type="solid"/>
            </v:rect>
            <v:line style="position:absolute" from="4186,2880" to="4788,2880" stroked="true" strokeweight=".36pt" strokecolor="#c0504d"/>
            <v:line style="position:absolute" from="6439,2880" to="7042,2880" stroked="true" strokeweight=".36pt" strokecolor="#c0504d"/>
            <v:line style="position:absolute" from="8693,2876" to="9295,2876" stroked="true" strokeweight=".72pt" strokecolor="#c0504d"/>
            <v:line style="position:absolute" from="2986,2883" to="9744,2883" stroked="true" strokeweight=".72pt" strokecolor="#858585"/>
            <v:rect style="position:absolute;left:5165;top:925;width:110;height:108" filled="true" fillcolor="#4f81bc" stroked="false">
              <v:fill type="solid"/>
            </v:rect>
            <v:rect style="position:absolute;left:6432;top:925;width:110;height:108" filled="true" fillcolor="#c0504d" stroked="false">
              <v:fill type="solid"/>
            </v:rect>
            <v:rect style="position:absolute;left:2764;top:205;width:7200;height:3180" filled="false" stroked="true" strokeweight=".75pt" strokecolor="#858585"/>
            <v:shape style="position:absolute;left:3927;top:404;width:4870;height:1093" type="#_x0000_t202" filled="false" stroked="false">
              <v:textbox inset="0,0,0,0">
                <w:txbxContent>
                  <w:p>
                    <w:pPr>
                      <w:spacing w:line="244" w:lineRule="exact" w:before="0"/>
                      <w:ind w:left="0" w:right="-2" w:firstLine="0"/>
                      <w:jc w:val="left"/>
                      <w:rPr>
                        <w:rFonts w:ascii="Calibri" w:hAnsi="Calibri"/>
                        <w:b/>
                        <w:sz w:val="24"/>
                      </w:rPr>
                    </w:pPr>
                    <w:r>
                      <w:rPr>
                        <w:rFonts w:ascii="Calibri" w:hAnsi="Calibri"/>
                        <w:b/>
                        <w:spacing w:val="-5"/>
                        <w:sz w:val="24"/>
                      </w:rPr>
                      <w:t>ESTADO </w:t>
                    </w:r>
                    <w:r>
                      <w:rPr>
                        <w:rFonts w:ascii="Calibri" w:hAnsi="Calibri"/>
                        <w:b/>
                        <w:sz w:val="24"/>
                      </w:rPr>
                      <w:t>OBSTÉTRICO AL INGRESO</w:t>
                    </w:r>
                    <w:r>
                      <w:rPr>
                        <w:rFonts w:ascii="Calibri" w:hAnsi="Calibri"/>
                        <w:b/>
                        <w:spacing w:val="-34"/>
                        <w:sz w:val="24"/>
                      </w:rPr>
                      <w:t> </w:t>
                    </w:r>
                    <w:r>
                      <w:rPr>
                        <w:rFonts w:ascii="Calibri" w:hAnsi="Calibri"/>
                        <w:b/>
                        <w:sz w:val="24"/>
                      </w:rPr>
                      <w:t>HOSPITALARIO</w:t>
                    </w:r>
                  </w:p>
                  <w:p>
                    <w:pPr>
                      <w:tabs>
                        <w:tab w:pos="2663" w:val="left" w:leader="none"/>
                      </w:tabs>
                      <w:spacing w:before="197"/>
                      <w:ind w:left="1394" w:right="0" w:firstLine="0"/>
                      <w:jc w:val="left"/>
                      <w:rPr>
                        <w:rFonts w:ascii="Calibri"/>
                        <w:sz w:val="20"/>
                      </w:rPr>
                    </w:pPr>
                    <w:r>
                      <w:rPr>
                        <w:rFonts w:ascii="Calibri"/>
                        <w:sz w:val="20"/>
                      </w:rPr>
                      <w:t>PACIENTES</w:t>
                      <w:tab/>
                      <w:t>PORCENTAJE</w:t>
                    </w:r>
                  </w:p>
                  <w:p>
                    <w:pPr>
                      <w:spacing w:line="240" w:lineRule="exact" w:before="166"/>
                      <w:ind w:left="0" w:right="450" w:firstLine="0"/>
                      <w:jc w:val="right"/>
                      <w:rPr>
                        <w:rFonts w:ascii="Calibri"/>
                        <w:sz w:val="20"/>
                      </w:rPr>
                    </w:pPr>
                    <w:r>
                      <w:rPr>
                        <w:rFonts w:ascii="Calibri"/>
                        <w:sz w:val="20"/>
                      </w:rPr>
                      <w:t>86</w:t>
                    </w:r>
                  </w:p>
                </w:txbxContent>
              </v:textbox>
              <w10:wrap type="none"/>
            </v:shape>
            <v:shape style="position:absolute;left:3635;top:1974;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37</w:t>
                    </w:r>
                  </w:p>
                </w:txbxContent>
              </v:textbox>
              <w10:wrap type="none"/>
            </v:shape>
            <v:shape style="position:absolute;left:5889;top:1914;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49</w:t>
                    </w:r>
                  </w:p>
                </w:txbxContent>
              </v:textbox>
              <w10:wrap type="none"/>
            </v:shape>
            <v:shape style="position:absolute;left:4314;top:2584;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43%</w:t>
                    </w:r>
                  </w:p>
                </w:txbxContent>
              </v:textbox>
              <w10:wrap type="none"/>
            </v:shape>
            <v:shape style="position:absolute;left:6568;top:2584;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57%</w:t>
                    </w:r>
                  </w:p>
                </w:txbxContent>
              </v:textbox>
              <w10:wrap type="none"/>
            </v:shape>
            <v:shape style="position:absolute;left:8772;top:2576;width:445;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100%</w:t>
                    </w:r>
                  </w:p>
                </w:txbxContent>
              </v:textbox>
              <w10:wrap type="none"/>
            </v:shape>
            <v:shape style="position:absolute;left:3639;top:3053;width:943;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EMBARAZO</w:t>
                    </w:r>
                  </w:p>
                </w:txbxContent>
              </v:textbox>
              <w10:wrap type="none"/>
            </v:shape>
            <v:shape style="position:absolute;left:5900;top:3053;width:929;height:200" type="#_x0000_t202" filled="false" stroked="false">
              <v:textbox inset="0,0,0,0">
                <w:txbxContent>
                  <w:p>
                    <w:pPr>
                      <w:spacing w:line="199" w:lineRule="exact" w:before="0"/>
                      <w:ind w:left="0" w:right="-18" w:firstLine="0"/>
                      <w:jc w:val="left"/>
                      <w:rPr>
                        <w:rFonts w:ascii="Calibri"/>
                        <w:sz w:val="20"/>
                      </w:rPr>
                    </w:pPr>
                    <w:r>
                      <w:rPr>
                        <w:rFonts w:ascii="Calibri"/>
                        <w:w w:val="95"/>
                        <w:sz w:val="20"/>
                      </w:rPr>
                      <w:t>PUERPERIO</w:t>
                    </w:r>
                  </w:p>
                </w:txbxContent>
              </v:textbox>
              <w10:wrap type="none"/>
            </v:shape>
            <v:shape style="position:absolute;left:8355;top:3053;width:528;height:200" type="#_x0000_t202" filled="false" stroked="false">
              <v:textbox inset="0,0,0,0">
                <w:txbxContent>
                  <w:p>
                    <w:pPr>
                      <w:spacing w:line="199" w:lineRule="exact" w:before="0"/>
                      <w:ind w:left="0" w:right="-20" w:firstLine="0"/>
                      <w:jc w:val="left"/>
                      <w:rPr>
                        <w:rFonts w:ascii="Calibri"/>
                        <w:sz w:val="20"/>
                      </w:rPr>
                    </w:pPr>
                    <w:r>
                      <w:rPr>
                        <w:rFonts w:ascii="Calibri"/>
                        <w:sz w:val="20"/>
                      </w:rPr>
                      <w:t>TOTAL</w:t>
                    </w:r>
                  </w:p>
                </w:txbxContent>
              </v:textbox>
              <w10:wrap type="none"/>
            </v:shape>
            <w10:wrap type="topAndBottom"/>
          </v:group>
        </w:pict>
      </w:r>
    </w:p>
    <w:p>
      <w:pPr>
        <w:pStyle w:val="BodyText"/>
        <w:spacing w:before="4"/>
        <w:rPr>
          <w:sz w:val="23"/>
        </w:rPr>
      </w:pPr>
    </w:p>
    <w:p>
      <w:pPr>
        <w:spacing w:before="0"/>
        <w:ind w:left="2381" w:right="2385" w:firstLine="0"/>
        <w:jc w:val="center"/>
        <w:rPr>
          <w:b/>
          <w:sz w:val="14"/>
        </w:rPr>
      </w:pPr>
      <w:r>
        <w:rPr>
          <w:b/>
          <w:sz w:val="14"/>
        </w:rPr>
        <w:t>FUENTE: BASE DE DATOS, HMPMPS. 2015</w:t>
      </w:r>
    </w:p>
    <w:p>
      <w:pPr>
        <w:spacing w:after="0"/>
        <w:jc w:val="center"/>
        <w:rPr>
          <w:sz w:val="14"/>
        </w:rPr>
        <w:sectPr>
          <w:pgSz w:w="12240" w:h="15840"/>
          <w:pgMar w:header="0" w:footer="1517" w:top="1360" w:bottom="1720" w:left="1600" w:right="1080"/>
        </w:sectPr>
      </w:pPr>
    </w:p>
    <w:p>
      <w:pPr>
        <w:pStyle w:val="BodyText"/>
        <w:rPr>
          <w:b/>
          <w:sz w:val="20"/>
        </w:rPr>
      </w:pPr>
    </w:p>
    <w:p>
      <w:pPr>
        <w:pStyle w:val="BodyText"/>
        <w:spacing w:before="6"/>
        <w:rPr>
          <w:b/>
          <w:sz w:val="25"/>
        </w:rPr>
      </w:pPr>
    </w:p>
    <w:p>
      <w:pPr>
        <w:pStyle w:val="BodyText"/>
        <w:ind w:left="1051"/>
        <w:rPr>
          <w:sz w:val="20"/>
        </w:rPr>
      </w:pPr>
      <w:r>
        <w:rPr>
          <w:sz w:val="20"/>
        </w:rPr>
        <w:pict>
          <v:group style="width:360pt;height:180pt;mso-position-horizontal-relative:char;mso-position-vertical-relative:line" coordorigin="0,0" coordsize="7200,3600">
            <v:shape style="position:absolute;left:3600;top:1804;width:718;height:939" coordorigin="3600,1804" coordsize="718,939" path="m3600,1804l3600,2521,4282,2742,4301,2672,4313,2601,4318,2530,4315,2460,4306,2391,4290,2323,4268,2258,4239,2195,4205,2135,4165,2079,4120,2027,4070,1979,4015,1935,3955,1897,3890,1865,3822,1839,3712,1812,3600,1804xe" filled="true" fillcolor="#4f81bc" stroked="false">
              <v:path arrowok="t"/>
              <v:fill type="solid"/>
            </v:shape>
            <v:shape style="position:absolute;left:2883;top:1941;width:1399;height:1297" coordorigin="2883,1941" coordsize="1399,1297" path="m3179,1941l3122,1987,3070,2037,3025,2092,2986,2150,2953,2212,2926,2275,2906,2341,2892,2409,2884,2477,2883,2546,2889,2615,2901,2683,2921,2751,2947,2817,2980,2881,3020,2942,3066,2999,3117,3051,3171,3096,3230,3135,3291,3168,3355,3195,3421,3215,3488,3229,3556,3237,3625,3238,3694,3232,3763,3220,3830,3200,3896,3174,3960,3141,4022,3101,4080,3054,4133,3001,4181,2942,4221,2880,4255,2813,4282,2743,3600,2521,3179,1941xe" filled="true" fillcolor="#c0504d" stroked="false">
              <v:path arrowok="t"/>
              <v:fill type="solid"/>
            </v:shape>
            <v:shape style="position:absolute;left:3179;top:1804;width:422;height:718" coordorigin="3179,1804" coordsize="422,718" path="m3600,1804l3525,1808,3451,1819,3379,1839,3309,1866,3242,1900,3179,1941,3600,2521,3600,1804xe" filled="true" fillcolor="#9bba58" stroked="false">
              <v:path arrowok="t"/>
              <v:fill type="solid"/>
            </v:shape>
            <v:rect style="position:absolute;left:1412;top:1214;width:110;height:110" filled="true" fillcolor="#4f81bc" stroked="false">
              <v:fill type="solid"/>
            </v:rect>
            <v:rect style="position:absolute;left:2768;top:1214;width:110;height:110" filled="true" fillcolor="#c0504d" stroked="false">
              <v:fill type="solid"/>
            </v:rect>
            <v:rect style="position:absolute;left:4299;top:1214;width:110;height:110" filled="true" fillcolor="#9bba58" stroked="false">
              <v:fill type="solid"/>
            </v:rect>
            <v:rect style="position:absolute;left:8;top:8;width:7185;height:3585" filled="false" stroked="true" strokeweight=".75pt" strokecolor="#858585"/>
            <v:shape style="position:absolute;left:883;top:223;width:5433;height:711" type="#_x0000_t202" filled="false" stroked="false">
              <v:textbox inset="0,0,0,0">
                <w:txbxContent>
                  <w:p>
                    <w:pPr>
                      <w:spacing w:line="325" w:lineRule="exact" w:before="0"/>
                      <w:ind w:left="0" w:right="0" w:firstLine="0"/>
                      <w:jc w:val="center"/>
                      <w:rPr>
                        <w:rFonts w:ascii="Calibri"/>
                        <w:b/>
                        <w:sz w:val="32"/>
                      </w:rPr>
                    </w:pPr>
                    <w:r>
                      <w:rPr>
                        <w:rFonts w:ascii="Calibri"/>
                        <w:b/>
                        <w:spacing w:val="-4"/>
                        <w:sz w:val="32"/>
                      </w:rPr>
                      <w:t>PACIENTES </w:t>
                    </w:r>
                    <w:r>
                      <w:rPr>
                        <w:rFonts w:ascii="Calibri"/>
                        <w:b/>
                        <w:sz w:val="32"/>
                      </w:rPr>
                      <w:t>EN PUERPERIO AL </w:t>
                    </w:r>
                    <w:r>
                      <w:rPr>
                        <w:rFonts w:ascii="Calibri"/>
                        <w:b/>
                        <w:spacing w:val="-3"/>
                        <w:sz w:val="32"/>
                      </w:rPr>
                      <w:t>MOMENTO</w:t>
                    </w:r>
                  </w:p>
                  <w:p>
                    <w:pPr>
                      <w:spacing w:line="385" w:lineRule="exact" w:before="1"/>
                      <w:ind w:left="0" w:right="0" w:firstLine="0"/>
                      <w:jc w:val="center"/>
                      <w:rPr>
                        <w:rFonts w:ascii="Calibri" w:hAnsi="Calibri"/>
                        <w:b/>
                        <w:sz w:val="32"/>
                      </w:rPr>
                    </w:pPr>
                    <w:r>
                      <w:rPr>
                        <w:rFonts w:ascii="Calibri" w:hAnsi="Calibri"/>
                        <w:b/>
                        <w:sz w:val="32"/>
                      </w:rPr>
                      <w:t>DE ACTIVACIÓN DEL CÓDIGO MATER</w:t>
                    </w:r>
                  </w:p>
                </w:txbxContent>
              </v:textbox>
              <w10:wrap type="none"/>
            </v:shape>
            <v:shape style="position:absolute;left:1571;top:1177;width:929;height:200" type="#_x0000_t202" filled="false" stroked="false">
              <v:textbox inset="0,0,0,0">
                <w:txbxContent>
                  <w:p>
                    <w:pPr>
                      <w:spacing w:line="199" w:lineRule="exact" w:before="0"/>
                      <w:ind w:left="0" w:right="-18" w:firstLine="0"/>
                      <w:jc w:val="left"/>
                      <w:rPr>
                        <w:rFonts w:ascii="Calibri"/>
                        <w:sz w:val="20"/>
                      </w:rPr>
                    </w:pPr>
                    <w:r>
                      <w:rPr>
                        <w:rFonts w:ascii="Calibri"/>
                        <w:sz w:val="20"/>
                      </w:rPr>
                      <w:t>POS</w:t>
                    </w:r>
                    <w:r>
                      <w:rPr>
                        <w:rFonts w:ascii="Calibri"/>
                        <w:spacing w:val="-4"/>
                        <w:sz w:val="20"/>
                      </w:rPr>
                      <w:t> </w:t>
                    </w:r>
                    <w:r>
                      <w:rPr>
                        <w:rFonts w:ascii="Calibri"/>
                        <w:sz w:val="20"/>
                      </w:rPr>
                      <w:t>PARTO</w:t>
                    </w:r>
                  </w:p>
                </w:txbxContent>
              </v:textbox>
              <w10:wrap type="none"/>
            </v:shape>
            <v:shape style="position:absolute;left:2926;top:1177;width:1106;height:200" type="#_x0000_t202" filled="false" stroked="false">
              <v:textbox inset="0,0,0,0">
                <w:txbxContent>
                  <w:p>
                    <w:pPr>
                      <w:spacing w:line="199" w:lineRule="exact" w:before="0"/>
                      <w:ind w:left="0" w:right="-16" w:firstLine="0"/>
                      <w:jc w:val="left"/>
                      <w:rPr>
                        <w:rFonts w:ascii="Calibri"/>
                        <w:sz w:val="20"/>
                      </w:rPr>
                    </w:pPr>
                    <w:r>
                      <w:rPr>
                        <w:rFonts w:ascii="Calibri"/>
                        <w:sz w:val="20"/>
                      </w:rPr>
                      <w:t>POS</w:t>
                    </w:r>
                    <w:r>
                      <w:rPr>
                        <w:rFonts w:ascii="Calibri"/>
                        <w:spacing w:val="-5"/>
                        <w:sz w:val="20"/>
                      </w:rPr>
                      <w:t> </w:t>
                    </w:r>
                    <w:r>
                      <w:rPr>
                        <w:rFonts w:ascii="Calibri"/>
                        <w:sz w:val="20"/>
                      </w:rPr>
                      <w:t>CESAREA</w:t>
                    </w:r>
                  </w:p>
                </w:txbxContent>
              </v:textbox>
              <w10:wrap type="none"/>
            </v:shape>
            <v:shape style="position:absolute;left:4458;top:1177;width:1408;height:200" type="#_x0000_t202" filled="false" stroked="false">
              <v:textbox inset="0,0,0,0">
                <w:txbxContent>
                  <w:p>
                    <w:pPr>
                      <w:spacing w:line="199" w:lineRule="exact" w:before="0"/>
                      <w:ind w:left="0" w:right="-15" w:firstLine="0"/>
                      <w:jc w:val="left"/>
                      <w:rPr>
                        <w:rFonts w:ascii="Calibri"/>
                        <w:sz w:val="20"/>
                      </w:rPr>
                    </w:pPr>
                    <w:r>
                      <w:rPr>
                        <w:rFonts w:ascii="Calibri"/>
                        <w:sz w:val="20"/>
                      </w:rPr>
                      <w:t>POS</w:t>
                    </w:r>
                    <w:r>
                      <w:rPr>
                        <w:rFonts w:ascii="Calibri"/>
                        <w:spacing w:val="-6"/>
                        <w:sz w:val="20"/>
                      </w:rPr>
                      <w:t> </w:t>
                    </w:r>
                    <w:r>
                      <w:rPr>
                        <w:rFonts w:ascii="Calibri"/>
                        <w:sz w:val="20"/>
                      </w:rPr>
                      <w:t>ABORTO/LUI</w:t>
                    </w:r>
                  </w:p>
                </w:txbxContent>
              </v:textbox>
              <w10:wrap type="none"/>
            </v:shape>
            <v:shape style="position:absolute;left:3189;top:1593;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w:t>
                    </w:r>
                  </w:p>
                </w:txbxContent>
              </v:textbox>
              <w10:wrap type="none"/>
            </v:shape>
            <v:shape style="position:absolute;left:3774;top:2193;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30%</w:t>
                    </w:r>
                  </w:p>
                </w:txbxContent>
              </v:textbox>
              <w10:wrap type="none"/>
            </v:shape>
            <v:shape style="position:absolute;left:3114;top:2749;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60%</w:t>
                    </w:r>
                  </w:p>
                </w:txbxContent>
              </v:textbox>
              <w10:wrap type="none"/>
            </v:shape>
          </v:group>
        </w:pict>
      </w:r>
      <w:r>
        <w:rPr>
          <w:sz w:val="20"/>
        </w:rPr>
      </w:r>
    </w:p>
    <w:p>
      <w:pPr>
        <w:pStyle w:val="BodyText"/>
        <w:spacing w:before="2"/>
        <w:rPr>
          <w:b/>
          <w:sz w:val="22"/>
        </w:rPr>
      </w:pPr>
    </w:p>
    <w:p>
      <w:pPr>
        <w:pStyle w:val="BodyText"/>
        <w:spacing w:before="69"/>
        <w:ind w:left="3197" w:right="2676"/>
        <w:jc w:val="center"/>
      </w:pPr>
      <w:r>
        <w:rPr/>
        <w:t>GRÁFICA 6</w:t>
      </w:r>
    </w:p>
    <w:p>
      <w:pPr>
        <w:pStyle w:val="BodyText"/>
        <w:rPr>
          <w:sz w:val="29"/>
        </w:rPr>
      </w:pPr>
    </w:p>
    <w:p>
      <w:pPr>
        <w:spacing w:before="0"/>
        <w:ind w:left="3197" w:right="2683" w:firstLine="0"/>
        <w:jc w:val="center"/>
        <w:rPr>
          <w:b/>
          <w:sz w:val="14"/>
        </w:rPr>
      </w:pPr>
      <w:r>
        <w:rPr>
          <w:b/>
          <w:sz w:val="14"/>
        </w:rPr>
        <w:t>FUENTE: BASE DE DATOS, HMPMPS. 2015</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15"/>
        </w:rPr>
      </w:pPr>
      <w:r>
        <w:rPr/>
        <w:pict>
          <v:group style="position:absolute;margin-left:137.824997pt;margin-top:11.137448pt;width:360.75pt;height:216.75pt;mso-position-horizontal-relative:page;mso-position-vertical-relative:paragraph;z-index:3592;mso-wrap-distance-left:0;mso-wrap-distance-right:0" coordorigin="2756,223" coordsize="7215,4335">
            <v:rect style="position:absolute;left:3211;top:3068;width:300;height:739" filled="true" fillcolor="#4f81bc" stroked="false">
              <v:fill type="solid"/>
            </v:rect>
            <v:rect style="position:absolute;left:4337;top:2962;width:300;height:845" filled="true" fillcolor="#4f81bc" stroked="false">
              <v:fill type="solid"/>
            </v:rect>
            <v:rect style="position:absolute;left:5462;top:3596;width:302;height:211" filled="true" fillcolor="#4f81bc" stroked="false">
              <v:fill type="solid"/>
            </v:rect>
            <v:rect style="position:absolute;left:6590;top:3701;width:300;height:106" filled="true" fillcolor="#4f81bc" stroked="false">
              <v:fill type="solid"/>
            </v:rect>
            <v:line style="position:absolute" from="7716,3781" to="8018,3781" stroked="true" strokeweight="2.64pt" strokecolor="#4f81bc"/>
            <v:line style="position:absolute" from="8093,3806" to="8393,3806" stroked="true" strokeweight=".12pt" strokecolor="#c0504d"/>
            <v:rect style="position:absolute;left:8844;top:1856;width:300;height:1951" filled="true" fillcolor="#4f81bc" stroked="false">
              <v:fill type="solid"/>
            </v:rect>
            <v:line style="position:absolute" from="3586,3796" to="3886,3796" stroked="true" strokeweight="1.08pt" strokecolor="#c0504d"/>
            <v:line style="position:absolute" from="4711,3795" to="5014,3795" stroked="true" strokeweight="1.2pt" strokecolor="#c0504d"/>
            <v:line style="position:absolute" from="5839,3803" to="6139,3803" stroked="true" strokeweight=".36pt" strokecolor="#c0504d"/>
            <v:line style="position:absolute" from="6965,3805" to="7267,3805" stroked="true" strokeweight=".24pt" strokecolor="#c0504d"/>
            <v:line style="position:absolute" from="9218,3781" to="9518,3781" stroked="true" strokeweight="2.64pt" strokecolor="#c0504d"/>
            <v:line style="position:absolute" from="2986,3807" to="9744,3807" stroked="true" strokeweight=".72pt" strokecolor="#858585"/>
            <v:rect style="position:absolute;left:4776;top:1244;width:110;height:108" filled="true" fillcolor="#4f81bc" stroked="false">
              <v:fill type="solid"/>
            </v:rect>
            <v:rect style="position:absolute;left:6821;top:1244;width:110;height:108" filled="true" fillcolor="#c0504d" stroked="false">
              <v:fill type="solid"/>
            </v:rect>
            <v:rect style="position:absolute;left:2764;top:230;width:7200;height:4320" filled="false" stroked="true" strokeweight=".75pt" strokecolor="#858585"/>
            <v:shape style="position:absolute;left:3749;top:429;width:5347;height:1334" type="#_x0000_t202" filled="false" stroked="false">
              <v:textbox inset="0,0,0,0">
                <w:txbxContent>
                  <w:p>
                    <w:pPr>
                      <w:spacing w:line="245" w:lineRule="exact" w:before="0"/>
                      <w:ind w:left="-1" w:right="115" w:firstLine="0"/>
                      <w:jc w:val="center"/>
                      <w:rPr>
                        <w:rFonts w:ascii="Calibri" w:hAnsi="Calibri"/>
                        <w:b/>
                        <w:sz w:val="24"/>
                      </w:rPr>
                    </w:pPr>
                    <w:r>
                      <w:rPr>
                        <w:rFonts w:ascii="Calibri" w:hAnsi="Calibri"/>
                        <w:b/>
                        <w:sz w:val="24"/>
                      </w:rPr>
                      <w:t>TIPOS DE EMBARAZO AL MOMENTO DE</w:t>
                    </w:r>
                    <w:r>
                      <w:rPr>
                        <w:rFonts w:ascii="Calibri" w:hAnsi="Calibri"/>
                        <w:b/>
                        <w:spacing w:val="-38"/>
                        <w:sz w:val="24"/>
                      </w:rPr>
                      <w:t> </w:t>
                    </w:r>
                    <w:r>
                      <w:rPr>
                        <w:rFonts w:ascii="Calibri" w:hAnsi="Calibri"/>
                        <w:b/>
                        <w:sz w:val="24"/>
                      </w:rPr>
                      <w:t>ACTIVACIÓN</w:t>
                    </w:r>
                  </w:p>
                  <w:p>
                    <w:pPr>
                      <w:spacing w:before="0"/>
                      <w:ind w:left="1" w:right="115" w:firstLine="0"/>
                      <w:jc w:val="center"/>
                      <w:rPr>
                        <w:rFonts w:ascii="Calibri" w:hAnsi="Calibri"/>
                        <w:b/>
                        <w:sz w:val="24"/>
                      </w:rPr>
                    </w:pPr>
                    <w:r>
                      <w:rPr>
                        <w:rFonts w:ascii="Calibri" w:hAnsi="Calibri"/>
                        <w:b/>
                        <w:sz w:val="24"/>
                      </w:rPr>
                      <w:t>DEL CÓDIGO MATER</w:t>
                    </w:r>
                  </w:p>
                  <w:p>
                    <w:pPr>
                      <w:tabs>
                        <w:tab w:pos="3228" w:val="left" w:leader="none"/>
                      </w:tabs>
                      <w:spacing w:before="197"/>
                      <w:ind w:left="1185" w:right="0" w:firstLine="0"/>
                      <w:jc w:val="left"/>
                      <w:rPr>
                        <w:rFonts w:ascii="Calibri" w:hAnsi="Calibri"/>
                        <w:sz w:val="20"/>
                      </w:rPr>
                    </w:pPr>
                    <w:r>
                      <w:rPr>
                        <w:rFonts w:ascii="Calibri" w:hAnsi="Calibri"/>
                        <w:sz w:val="20"/>
                      </w:rPr>
                      <w:t>NÚMERO</w:t>
                    </w:r>
                    <w:r>
                      <w:rPr>
                        <w:rFonts w:ascii="Calibri" w:hAnsi="Calibri"/>
                        <w:spacing w:val="-1"/>
                        <w:sz w:val="20"/>
                      </w:rPr>
                      <w:t> </w:t>
                    </w:r>
                    <w:r>
                      <w:rPr>
                        <w:rFonts w:ascii="Calibri" w:hAnsi="Calibri"/>
                        <w:sz w:val="20"/>
                      </w:rPr>
                      <w:t>DE</w:t>
                    </w:r>
                    <w:r>
                      <w:rPr>
                        <w:rFonts w:ascii="Calibri" w:hAnsi="Calibri"/>
                        <w:spacing w:val="-3"/>
                        <w:sz w:val="20"/>
                      </w:rPr>
                      <w:t> </w:t>
                    </w:r>
                    <w:r>
                      <w:rPr>
                        <w:rFonts w:ascii="Calibri" w:hAnsi="Calibri"/>
                        <w:sz w:val="20"/>
                      </w:rPr>
                      <w:t>CASOS</w:t>
                      <w:tab/>
                      <w:t>PORCENTAJE</w:t>
                    </w:r>
                  </w:p>
                  <w:p>
                    <w:pPr>
                      <w:spacing w:line="240" w:lineRule="exact" w:before="113"/>
                      <w:ind w:left="0" w:right="0" w:firstLine="0"/>
                      <w:jc w:val="right"/>
                      <w:rPr>
                        <w:rFonts w:ascii="Calibri"/>
                        <w:sz w:val="20"/>
                      </w:rPr>
                    </w:pPr>
                    <w:r>
                      <w:rPr>
                        <w:rFonts w:ascii="Calibri"/>
                        <w:sz w:val="20"/>
                      </w:rPr>
                      <w:t>37</w:t>
                    </w:r>
                  </w:p>
                </w:txbxContent>
              </v:textbox>
              <w10:wrap type="none"/>
            </v:shape>
            <v:shape style="position:absolute;left:3259;top:2775;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14</w:t>
                    </w:r>
                  </w:p>
                </w:txbxContent>
              </v:textbox>
              <w10:wrap type="none"/>
            </v:shape>
            <v:shape style="position:absolute;left:4386;top:2670;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16</w:t>
                    </w:r>
                  </w:p>
                </w:txbxContent>
              </v:textbox>
              <w10:wrap type="none"/>
            </v:shape>
            <v:shape style="position:absolute;left:5564;top:3302;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4</w:t>
                    </w:r>
                  </w:p>
                </w:txbxContent>
              </v:textbox>
              <w10:wrap type="none"/>
            </v:shape>
            <v:shape style="position:absolute;left:3563;top:3493;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38%</w:t>
                    </w:r>
                  </w:p>
                </w:txbxContent>
              </v:textbox>
              <w10:wrap type="none"/>
            </v:shape>
            <v:shape style="position:absolute;left:4690;top:3490;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43%</w:t>
                    </w:r>
                  </w:p>
                </w:txbxContent>
              </v:textbox>
              <w10:wrap type="none"/>
            </v:shape>
            <v:shape style="position:absolute;left:5817;top:3507;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11%</w:t>
                    </w:r>
                  </w:p>
                </w:txbxContent>
              </v:textbox>
              <w10:wrap type="none"/>
            </v:shape>
            <v:shape style="position:absolute;left:6690;top:3408;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2</w:t>
                    </w:r>
                  </w:p>
                </w:txbxContent>
              </v:textbox>
              <w10:wrap type="none"/>
            </v:shape>
            <v:shape style="position:absolute;left:6994;top:3510;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w:t>
                    </w:r>
                  </w:p>
                </w:txbxContent>
              </v:textbox>
              <w10:wrap type="none"/>
            </v:shape>
            <v:shape style="position:absolute;left:7817;top:3460;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1</w:t>
                    </w:r>
                  </w:p>
                </w:txbxContent>
              </v:textbox>
              <w10:wrap type="none"/>
            </v:shape>
            <v:shape style="position:absolute;left:8121;top:3511;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w:t>
                    </w:r>
                  </w:p>
                </w:txbxContent>
              </v:textbox>
              <w10:wrap type="none"/>
            </v:shape>
            <v:shape style="position:absolute;left:9147;top:3460;width:445;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100%</w:t>
                    </w:r>
                  </w:p>
                </w:txbxContent>
              </v:textbox>
              <w10:wrap type="none"/>
            </v:shape>
            <v:shape style="position:absolute;left:3082;top:3974;width:6365;height:444" type="#_x0000_t202" filled="false" stroked="false">
              <v:textbox inset="0,0,0,0">
                <w:txbxContent>
                  <w:p>
                    <w:pPr>
                      <w:tabs>
                        <w:tab w:pos="2352" w:val="left" w:leader="none"/>
                        <w:tab w:pos="3374" w:val="left" w:leader="none"/>
                        <w:tab w:pos="5836" w:val="left" w:leader="none"/>
                      </w:tabs>
                      <w:spacing w:line="203" w:lineRule="exact" w:before="0"/>
                      <w:ind w:left="0" w:right="0" w:firstLine="0"/>
                      <w:jc w:val="left"/>
                      <w:rPr>
                        <w:rFonts w:ascii="Calibri" w:hAnsi="Calibri"/>
                        <w:sz w:val="20"/>
                      </w:rPr>
                    </w:pPr>
                    <w:r>
                      <w:rPr>
                        <w:rFonts w:ascii="Calibri" w:hAnsi="Calibri"/>
                        <w:sz w:val="20"/>
                      </w:rPr>
                      <w:t>TÉRMINO</w:t>
                    </w:r>
                    <w:r>
                      <w:rPr>
                        <w:rFonts w:ascii="Calibri" w:hAnsi="Calibri"/>
                        <w:spacing w:val="-1"/>
                        <w:sz w:val="20"/>
                      </w:rPr>
                      <w:t> </w:t>
                    </w:r>
                    <w:r>
                      <w:rPr>
                        <w:rFonts w:ascii="Calibri" w:hAnsi="Calibri"/>
                        <w:sz w:val="20"/>
                      </w:rPr>
                      <w:t>&gt; </w:t>
                    </w:r>
                    <w:r>
                      <w:rPr>
                        <w:rFonts w:ascii="Calibri" w:hAnsi="Calibri"/>
                        <w:spacing w:val="20"/>
                        <w:sz w:val="20"/>
                      </w:rPr>
                      <w:t> </w:t>
                    </w:r>
                    <w:r>
                      <w:rPr>
                        <w:rFonts w:ascii="Calibri" w:hAnsi="Calibri"/>
                        <w:sz w:val="20"/>
                      </w:rPr>
                      <w:t>PRETÉRMINO</w:t>
                      <w:tab/>
                      <w:t>&lt;</w:t>
                    </w:r>
                    <w:r>
                      <w:rPr>
                        <w:rFonts w:ascii="Calibri" w:hAnsi="Calibri"/>
                        <w:spacing w:val="-2"/>
                        <w:sz w:val="20"/>
                      </w:rPr>
                      <w:t> </w:t>
                    </w:r>
                    <w:r>
                      <w:rPr>
                        <w:rFonts w:ascii="Calibri" w:hAnsi="Calibri"/>
                        <w:sz w:val="20"/>
                      </w:rPr>
                      <w:t>12</w:t>
                    </w:r>
                    <w:r>
                      <w:rPr>
                        <w:rFonts w:ascii="Calibri" w:hAnsi="Calibri"/>
                        <w:spacing w:val="-2"/>
                        <w:sz w:val="20"/>
                      </w:rPr>
                      <w:t> </w:t>
                    </w:r>
                    <w:r>
                      <w:rPr>
                        <w:rFonts w:ascii="Calibri" w:hAnsi="Calibri"/>
                        <w:sz w:val="20"/>
                      </w:rPr>
                      <w:t>SDG</w:t>
                      <w:tab/>
                      <w:t>EMBARAZO  </w:t>
                    </w:r>
                    <w:r>
                      <w:rPr>
                        <w:rFonts w:ascii="Calibri" w:hAnsi="Calibri"/>
                        <w:spacing w:val="44"/>
                        <w:sz w:val="20"/>
                      </w:rPr>
                      <w:t> </w:t>
                    </w:r>
                    <w:r>
                      <w:rPr>
                        <w:rFonts w:ascii="Calibri" w:hAnsi="Calibri"/>
                        <w:sz w:val="20"/>
                      </w:rPr>
                      <w:t>EMBARAZO</w:t>
                      <w:tab/>
                      <w:t>TOTAL</w:t>
                    </w:r>
                  </w:p>
                  <w:p>
                    <w:pPr>
                      <w:tabs>
                        <w:tab w:pos="1150" w:val="left" w:leader="none"/>
                        <w:tab w:pos="3432" w:val="left" w:leader="none"/>
                        <w:tab w:pos="4667" w:val="left" w:leader="none"/>
                      </w:tabs>
                      <w:spacing w:line="240" w:lineRule="exact" w:before="0"/>
                      <w:ind w:left="170" w:right="0" w:firstLine="0"/>
                      <w:jc w:val="left"/>
                      <w:rPr>
                        <w:rFonts w:ascii="Calibri" w:hAnsi="Calibri"/>
                        <w:sz w:val="20"/>
                      </w:rPr>
                    </w:pPr>
                    <w:r>
                      <w:rPr>
                        <w:rFonts w:ascii="Calibri" w:hAnsi="Calibri"/>
                        <w:sz w:val="20"/>
                      </w:rPr>
                      <w:t>37</w:t>
                    </w:r>
                    <w:r>
                      <w:rPr>
                        <w:rFonts w:ascii="Calibri" w:hAnsi="Calibri"/>
                        <w:spacing w:val="-2"/>
                        <w:sz w:val="20"/>
                      </w:rPr>
                      <w:t> </w:t>
                    </w:r>
                    <w:r>
                      <w:rPr>
                        <w:rFonts w:ascii="Calibri" w:hAnsi="Calibri"/>
                        <w:sz w:val="20"/>
                      </w:rPr>
                      <w:t>SDG</w:t>
                      <w:tab/>
                      <w:t>&lt;</w:t>
                    </w:r>
                    <w:r>
                      <w:rPr>
                        <w:rFonts w:ascii="Calibri" w:hAnsi="Calibri"/>
                        <w:spacing w:val="-2"/>
                        <w:sz w:val="20"/>
                      </w:rPr>
                      <w:t> </w:t>
                    </w:r>
                    <w:r>
                      <w:rPr>
                        <w:rFonts w:ascii="Calibri" w:hAnsi="Calibri"/>
                        <w:sz w:val="20"/>
                      </w:rPr>
                      <w:t>36.6</w:t>
                    </w:r>
                    <w:r>
                      <w:rPr>
                        <w:rFonts w:ascii="Calibri" w:hAnsi="Calibri"/>
                        <w:spacing w:val="-2"/>
                        <w:sz w:val="20"/>
                      </w:rPr>
                      <w:t> </w:t>
                    </w:r>
                    <w:r>
                      <w:rPr>
                        <w:rFonts w:ascii="Calibri" w:hAnsi="Calibri"/>
                        <w:sz w:val="20"/>
                      </w:rPr>
                      <w:t>SDG</w:t>
                      <w:tab/>
                      <w:t>ECTÓPICO</w:t>
                      <w:tab/>
                      <w:t>MOLAR</w:t>
                    </w:r>
                  </w:p>
                </w:txbxContent>
              </v:textbox>
              <w10:wrap type="none"/>
            </v:shape>
            <w10:wrap type="topAndBottom"/>
          </v:group>
        </w:pict>
      </w:r>
    </w:p>
    <w:p>
      <w:pPr>
        <w:pStyle w:val="BodyText"/>
        <w:rPr>
          <w:b/>
          <w:sz w:val="14"/>
        </w:rPr>
      </w:pPr>
    </w:p>
    <w:p>
      <w:pPr>
        <w:pStyle w:val="BodyText"/>
        <w:spacing w:before="5"/>
        <w:rPr>
          <w:b/>
          <w:sz w:val="14"/>
        </w:rPr>
      </w:pPr>
    </w:p>
    <w:p>
      <w:pPr>
        <w:spacing w:before="0"/>
        <w:ind w:left="3196" w:right="2683" w:firstLine="0"/>
        <w:jc w:val="center"/>
        <w:rPr>
          <w:b/>
          <w:sz w:val="14"/>
        </w:rPr>
      </w:pPr>
      <w:r>
        <w:rPr>
          <w:b/>
          <w:sz w:val="14"/>
        </w:rPr>
        <w:t>FUENTE: BASE DE DATOS, HMPMPS. 2015</w:t>
      </w:r>
    </w:p>
    <w:p>
      <w:pPr>
        <w:pStyle w:val="BodyText"/>
        <w:rPr>
          <w:b/>
          <w:sz w:val="14"/>
        </w:rPr>
      </w:pPr>
    </w:p>
    <w:p>
      <w:pPr>
        <w:pStyle w:val="BodyText"/>
        <w:spacing w:before="124"/>
        <w:ind w:left="3197" w:right="2676"/>
        <w:jc w:val="center"/>
      </w:pPr>
      <w:r>
        <w:rPr/>
        <w:t>GRÁFICA 7</w:t>
      </w:r>
    </w:p>
    <w:p>
      <w:pPr>
        <w:spacing w:after="0"/>
        <w:jc w:val="center"/>
        <w:sectPr>
          <w:pgSz w:w="12240" w:h="15840"/>
          <w:pgMar w:header="0" w:footer="1517" w:top="1500" w:bottom="1700" w:left="1720" w:right="1720"/>
        </w:sectPr>
      </w:pPr>
    </w:p>
    <w:p>
      <w:pPr>
        <w:pStyle w:val="BodyText"/>
        <w:spacing w:line="360" w:lineRule="auto" w:before="54"/>
        <w:ind w:left="102" w:right="103" w:firstLine="201"/>
        <w:jc w:val="both"/>
      </w:pPr>
      <w:r>
        <w:rPr/>
        <w:t>El motivo de activación del Código Mater más frecuente fue la enfermedad hipertensiva, seguida por la hemorragia obstétrica, coincidiendo con las estadísticas nacionales. Un poco menos de la mitad 48% corresponden a Enfermedades Hipertensivas en el Embarazo, seguida de 39 % por Hemorragia obstétrica y 7% por Sepsis. Los resultados se pueden ver en la gráfica 8.</w:t>
      </w:r>
    </w:p>
    <w:p>
      <w:pPr>
        <w:pStyle w:val="BodyText"/>
      </w:pPr>
    </w:p>
    <w:p>
      <w:pPr>
        <w:pStyle w:val="BodyText"/>
      </w:pPr>
    </w:p>
    <w:p>
      <w:pPr>
        <w:pStyle w:val="BodyText"/>
        <w:spacing w:before="2"/>
        <w:rPr>
          <w:sz w:val="23"/>
        </w:rPr>
      </w:pPr>
    </w:p>
    <w:p>
      <w:pPr>
        <w:pStyle w:val="BodyText"/>
        <w:ind w:left="2384" w:right="2385"/>
        <w:jc w:val="center"/>
      </w:pPr>
      <w:r>
        <w:rPr/>
        <w:t>Gráfica 8. Causas de código mater</w:t>
      </w:r>
    </w:p>
    <w:p>
      <w:pPr>
        <w:pStyle w:val="BodyText"/>
        <w:rPr>
          <w:sz w:val="20"/>
        </w:rPr>
      </w:pPr>
    </w:p>
    <w:p>
      <w:pPr>
        <w:pStyle w:val="BodyText"/>
        <w:rPr>
          <w:sz w:val="20"/>
        </w:rPr>
      </w:pPr>
    </w:p>
    <w:p>
      <w:pPr>
        <w:pStyle w:val="BodyText"/>
        <w:rPr>
          <w:sz w:val="20"/>
        </w:rPr>
      </w:pPr>
    </w:p>
    <w:p>
      <w:pPr>
        <w:pStyle w:val="BodyText"/>
        <w:spacing w:before="10"/>
        <w:rPr>
          <w:sz w:val="18"/>
        </w:rPr>
      </w:pPr>
      <w:r>
        <w:rPr/>
        <w:pict>
          <v:group style="position:absolute;margin-left:113.824997pt;margin-top:12.80499pt;width:408.45pt;height:220.9pt;mso-position-horizontal-relative:page;mso-position-vertical-relative:paragraph;z-index:3808;mso-wrap-distance-left:0;mso-wrap-distance-right:0" coordorigin="2276,256" coordsize="8169,4418">
            <v:shape style="position:absolute;left:4939;top:1478;width:1372;height:2728" coordorigin="4939,1478" coordsize="1372,2728" path="m4939,1478l4939,2849,5139,4205,5213,4192,5285,4176,5356,4155,5425,4131,5492,4104,5557,4073,5620,4039,5681,4002,5740,3962,5796,3919,5850,3874,5901,3826,5950,3775,5996,3722,6040,3667,6080,3610,6117,3550,6152,3489,6183,3426,6211,3361,6236,3295,6257,3227,6275,3158,6290,3088,6300,3017,6307,2945,6310,2872,6310,2798,6305,2724,6296,2649,6283,2575,6266,2503,6246,2432,6221,2363,6194,2295,6163,2230,6129,2167,6091,2105,6051,2046,6008,1990,5962,1936,5913,1884,5862,1835,5808,1788,5752,1745,5694,1704,5634,1667,5571,1632,5507,1601,5441,1573,5373,1548,5304,1527,5234,1510,5162,1496,5089,1486,5014,1480,4939,1478xe" filled="true" fillcolor="#4f81bc" stroked="false">
              <v:path arrowok="t"/>
              <v:fill type="solid"/>
            </v:shape>
            <v:shape style="position:absolute;left:3568;top:1897;width:1571;height:2323" coordorigin="3568,1897" coordsize="1571,2323" path="m3952,1897l3901,1953,3854,2010,3811,2070,3771,2131,3734,2194,3702,2258,3672,2323,3647,2390,3625,2457,3606,2525,3592,2594,3580,2664,3573,2734,3569,2804,3568,2874,3571,2944,3578,3014,3588,3084,3602,3153,3619,3221,3640,3288,3664,3355,3692,3421,3724,3485,3759,3548,3798,3609,3840,3669,3885,3727,3935,3782,3987,3836,4046,3889,4107,3939,4171,3985,4237,4027,4305,4065,4375,4099,4447,4129,4520,4154,4595,4176,4670,4193,4747,4207,4825,4215,4903,4220,4981,4219,5060,4215,5139,4205,4939,2849,3952,1897xe" filled="true" fillcolor="#c0504d" stroked="false">
              <v:path arrowok="t"/>
              <v:fill type="solid"/>
            </v:shape>
            <v:shape style="position:absolute;left:3952;top:1568;width:988;height:1281" coordorigin="3952,1568" coordsize="988,1281" path="m4449,1568l4380,1597,4312,1630,4246,1666,4183,1705,4121,1748,4062,1795,4006,1844,3952,1897,4939,2849,4449,1568xe" filled="true" fillcolor="#9bba58" stroked="false">
              <v:path arrowok="t"/>
              <v:fill type="solid"/>
            </v:shape>
            <v:shape style="position:absolute;left:4449;top:1478;width:490;height:1371" coordorigin="4449,1478" coordsize="490,1371" path="m4939,1478l4856,1480,4773,1488,4690,1501,4609,1518,4528,1541,4449,1568,4939,2849,4939,1478xe" filled="true" fillcolor="#8063a1" stroked="false">
              <v:path arrowok="t"/>
              <v:fill type="solid"/>
            </v:shape>
            <v:rect style="position:absolute;left:7694;top:1769;width:108;height:108" filled="true" fillcolor="#4f81bc" stroked="false">
              <v:fill type="solid"/>
            </v:rect>
            <v:rect style="position:absolute;left:7694;top:2372;width:108;height:110" filled="true" fillcolor="#c0504d" stroked="false">
              <v:fill type="solid"/>
            </v:rect>
            <v:rect style="position:absolute;left:7694;top:2974;width:108;height:110" filled="true" fillcolor="#9bba58" stroked="false">
              <v:fill type="solid"/>
            </v:rect>
            <v:rect style="position:absolute;left:7694;top:3579;width:108;height:108" filled="true" fillcolor="#8063a1" stroked="false">
              <v:fill type="solid"/>
            </v:rect>
            <v:rect style="position:absolute;left:2284;top:264;width:8154;height:4403" filled="false" stroked="true" strokeweight=".75pt" strokecolor="#858585"/>
            <v:shape style="position:absolute;left:3638;top:462;width:5446;height:534" type="#_x0000_t202" filled="false" stroked="false">
              <v:textbox inset="0,0,0,0">
                <w:txbxContent>
                  <w:p>
                    <w:pPr>
                      <w:spacing w:line="244" w:lineRule="exact" w:before="0"/>
                      <w:ind w:left="-1" w:right="0" w:firstLine="0"/>
                      <w:jc w:val="center"/>
                      <w:rPr>
                        <w:rFonts w:ascii="Calibri" w:hAnsi="Calibri"/>
                        <w:b/>
                        <w:sz w:val="24"/>
                      </w:rPr>
                    </w:pPr>
                    <w:r>
                      <w:rPr>
                        <w:rFonts w:ascii="Calibri" w:hAnsi="Calibri"/>
                        <w:b/>
                        <w:sz w:val="24"/>
                      </w:rPr>
                      <w:t>CAUSAS</w:t>
                    </w:r>
                    <w:r>
                      <w:rPr>
                        <w:rFonts w:ascii="Calibri" w:hAnsi="Calibri"/>
                        <w:b/>
                        <w:spacing w:val="-6"/>
                        <w:sz w:val="24"/>
                      </w:rPr>
                      <w:t> </w:t>
                    </w:r>
                    <w:r>
                      <w:rPr>
                        <w:rFonts w:ascii="Calibri" w:hAnsi="Calibri"/>
                        <w:b/>
                        <w:sz w:val="24"/>
                      </w:rPr>
                      <w:t>DE</w:t>
                    </w:r>
                    <w:r>
                      <w:rPr>
                        <w:rFonts w:ascii="Calibri" w:hAnsi="Calibri"/>
                        <w:b/>
                        <w:spacing w:val="-7"/>
                        <w:sz w:val="24"/>
                      </w:rPr>
                      <w:t> </w:t>
                    </w:r>
                    <w:r>
                      <w:rPr>
                        <w:rFonts w:ascii="Calibri" w:hAnsi="Calibri"/>
                        <w:b/>
                        <w:sz w:val="24"/>
                      </w:rPr>
                      <w:t>ACTIVACIÓN</w:t>
                    </w:r>
                    <w:r>
                      <w:rPr>
                        <w:rFonts w:ascii="Calibri" w:hAnsi="Calibri"/>
                        <w:b/>
                        <w:spacing w:val="-11"/>
                        <w:sz w:val="24"/>
                      </w:rPr>
                      <w:t> </w:t>
                    </w:r>
                    <w:r>
                      <w:rPr>
                        <w:rFonts w:ascii="Calibri" w:hAnsi="Calibri"/>
                        <w:b/>
                        <w:sz w:val="24"/>
                      </w:rPr>
                      <w:t>DE</w:t>
                    </w:r>
                    <w:r>
                      <w:rPr>
                        <w:rFonts w:ascii="Calibri" w:hAnsi="Calibri"/>
                        <w:b/>
                        <w:spacing w:val="-7"/>
                        <w:sz w:val="24"/>
                      </w:rPr>
                      <w:t> </w:t>
                    </w:r>
                    <w:r>
                      <w:rPr>
                        <w:rFonts w:ascii="Calibri" w:hAnsi="Calibri"/>
                        <w:b/>
                        <w:sz w:val="24"/>
                      </w:rPr>
                      <w:t>CÓDIGO</w:t>
                    </w:r>
                    <w:r>
                      <w:rPr>
                        <w:rFonts w:ascii="Calibri" w:hAnsi="Calibri"/>
                        <w:b/>
                        <w:spacing w:val="-7"/>
                        <w:sz w:val="24"/>
                      </w:rPr>
                      <w:t> </w:t>
                    </w:r>
                    <w:r>
                      <w:rPr>
                        <w:rFonts w:ascii="Calibri" w:hAnsi="Calibri"/>
                        <w:b/>
                        <w:spacing w:val="-4"/>
                        <w:sz w:val="24"/>
                      </w:rPr>
                      <w:t>MATER</w:t>
                    </w:r>
                    <w:r>
                      <w:rPr>
                        <w:rFonts w:ascii="Calibri" w:hAnsi="Calibri"/>
                        <w:b/>
                        <w:spacing w:val="-7"/>
                        <w:sz w:val="24"/>
                      </w:rPr>
                      <w:t> </w:t>
                    </w:r>
                    <w:r>
                      <w:rPr>
                        <w:rFonts w:ascii="Calibri" w:hAnsi="Calibri"/>
                        <w:b/>
                        <w:sz w:val="24"/>
                      </w:rPr>
                      <w:t>2015</w:t>
                    </w:r>
                    <w:r>
                      <w:rPr>
                        <w:rFonts w:ascii="Calibri" w:hAnsi="Calibri"/>
                        <w:b/>
                        <w:spacing w:val="-7"/>
                        <w:sz w:val="24"/>
                      </w:rPr>
                      <w:t> </w:t>
                    </w:r>
                    <w:r>
                      <w:rPr>
                        <w:rFonts w:ascii="Calibri" w:hAnsi="Calibri"/>
                        <w:b/>
                        <w:sz w:val="24"/>
                      </w:rPr>
                      <w:t>HMP</w:t>
                    </w:r>
                  </w:p>
                  <w:p>
                    <w:pPr>
                      <w:spacing w:line="289" w:lineRule="exact" w:before="0"/>
                      <w:ind w:left="1" w:right="0" w:firstLine="0"/>
                      <w:jc w:val="center"/>
                      <w:rPr>
                        <w:rFonts w:ascii="Calibri" w:hAnsi="Calibri"/>
                        <w:b/>
                        <w:sz w:val="24"/>
                      </w:rPr>
                    </w:pPr>
                    <w:r>
                      <w:rPr>
                        <w:rFonts w:ascii="Calibri" w:hAnsi="Calibri"/>
                        <w:b/>
                        <w:sz w:val="24"/>
                      </w:rPr>
                      <w:t>"MONICA PRETELINI SÁENZ"</w:t>
                    </w:r>
                  </w:p>
                </w:txbxContent>
              </v:textbox>
              <w10:wrap type="none"/>
            </v:shape>
            <v:shape style="position:absolute;left:4626;top:1625;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6%</w:t>
                    </w:r>
                  </w:p>
                </w:txbxContent>
              </v:textbox>
              <w10:wrap type="none"/>
            </v:shape>
            <v:shape style="position:absolute;left:4191;top:1820;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7%</w:t>
                    </w:r>
                  </w:p>
                </w:txbxContent>
              </v:textbox>
              <w10:wrap type="none"/>
            </v:shape>
            <v:shape style="position:absolute;left:7851;top:1730;width:2202;height:803" type="#_x0000_t202" filled="false" stroked="false">
              <v:textbox inset="0,0,0,0">
                <w:txbxContent>
                  <w:p>
                    <w:pPr>
                      <w:spacing w:line="203" w:lineRule="exact" w:before="0"/>
                      <w:ind w:left="0" w:right="-14" w:firstLine="0"/>
                      <w:jc w:val="left"/>
                      <w:rPr>
                        <w:rFonts w:ascii="Calibri"/>
                        <w:sz w:val="20"/>
                      </w:rPr>
                    </w:pPr>
                    <w:r>
                      <w:rPr>
                        <w:rFonts w:ascii="Calibri"/>
                        <w:sz w:val="20"/>
                      </w:rPr>
                      <w:t>ENFERMEDADES</w:t>
                    </w:r>
                  </w:p>
                  <w:p>
                    <w:pPr>
                      <w:spacing w:before="0"/>
                      <w:ind w:left="0" w:right="-14" w:firstLine="0"/>
                      <w:jc w:val="left"/>
                      <w:rPr>
                        <w:rFonts w:ascii="Calibri"/>
                        <w:sz w:val="20"/>
                      </w:rPr>
                    </w:pPr>
                    <w:r>
                      <w:rPr>
                        <w:rFonts w:ascii="Calibri"/>
                        <w:sz w:val="20"/>
                      </w:rPr>
                      <w:t>HIPERTENSIVAS</w:t>
                    </w:r>
                  </w:p>
                  <w:p>
                    <w:pPr>
                      <w:spacing w:line="240" w:lineRule="exact" w:before="114"/>
                      <w:ind w:left="0" w:right="-14" w:firstLine="0"/>
                      <w:jc w:val="left"/>
                      <w:rPr>
                        <w:rFonts w:ascii="Calibri"/>
                        <w:sz w:val="20"/>
                      </w:rPr>
                    </w:pPr>
                    <w:r>
                      <w:rPr>
                        <w:rFonts w:ascii="Calibri"/>
                        <w:sz w:val="20"/>
                      </w:rPr>
                      <w:t>HEMORRAGIA</w:t>
                    </w:r>
                    <w:r>
                      <w:rPr>
                        <w:rFonts w:ascii="Calibri"/>
                        <w:spacing w:val="-8"/>
                        <w:sz w:val="20"/>
                      </w:rPr>
                      <w:t> </w:t>
                    </w:r>
                    <w:r>
                      <w:rPr>
                        <w:rFonts w:ascii="Calibri"/>
                        <w:sz w:val="20"/>
                      </w:rPr>
                      <w:t>OBSTETRICA</w:t>
                    </w:r>
                  </w:p>
                </w:txbxContent>
              </v:textbox>
              <w10:wrap type="none"/>
            </v:shape>
            <v:shape style="position:absolute;left:5796;top:2585;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48%</w:t>
                    </w:r>
                  </w:p>
                </w:txbxContent>
              </v:textbox>
              <w10:wrap type="none"/>
            </v:shape>
            <v:shape style="position:absolute;left:7851;top:2937;width:52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SEPSIS</w:t>
                    </w:r>
                  </w:p>
                </w:txbxContent>
              </v:textbox>
              <w10:wrap type="none"/>
            </v:shape>
            <v:shape style="position:absolute;left:3816;top:3290;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39%</w:t>
                    </w:r>
                  </w:p>
                </w:txbxContent>
              </v:textbox>
              <w10:wrap type="none"/>
            </v:shape>
            <v:shape style="position:absolute;left:7851;top:3541;width:2385;height:200" type="#_x0000_t202" filled="false" stroked="false">
              <v:textbox inset="0,0,0,0">
                <w:txbxContent>
                  <w:p>
                    <w:pPr>
                      <w:spacing w:line="199" w:lineRule="exact" w:before="0"/>
                      <w:ind w:left="0" w:right="-10" w:firstLine="0"/>
                      <w:jc w:val="left"/>
                      <w:rPr>
                        <w:rFonts w:ascii="Calibri"/>
                        <w:sz w:val="20"/>
                      </w:rPr>
                    </w:pPr>
                    <w:r>
                      <w:rPr>
                        <w:rFonts w:ascii="Calibri"/>
                        <w:sz w:val="20"/>
                      </w:rPr>
                      <w:t>OTRAS CAUSAS</w:t>
                    </w:r>
                    <w:r>
                      <w:rPr>
                        <w:rFonts w:ascii="Calibri"/>
                        <w:spacing w:val="-11"/>
                        <w:sz w:val="20"/>
                      </w:rPr>
                      <w:t> </w:t>
                    </w:r>
                    <w:r>
                      <w:rPr>
                        <w:rFonts w:ascii="Calibri"/>
                        <w:sz w:val="20"/>
                      </w:rPr>
                      <w:t>OBSTETRICAS</w:t>
                    </w:r>
                  </w:p>
                </w:txbxContent>
              </v:textbox>
              <w10:wrap type="none"/>
            </v:shape>
            <w10:wrap type="topAndBottom"/>
          </v:group>
        </w:pict>
      </w:r>
    </w:p>
    <w:p>
      <w:pPr>
        <w:pStyle w:val="BodyText"/>
        <w:spacing w:before="1"/>
      </w:pPr>
    </w:p>
    <w:p>
      <w:pPr>
        <w:spacing w:before="0"/>
        <w:ind w:left="2385" w:right="2354" w:firstLine="0"/>
        <w:jc w:val="center"/>
        <w:rPr>
          <w:b/>
          <w:sz w:val="14"/>
        </w:rPr>
      </w:pPr>
      <w:r>
        <w:rPr>
          <w:b/>
          <w:sz w:val="14"/>
        </w:rPr>
        <w:t>FUENTE: BASE DE DATOS, HMPMPS. 2015.</w:t>
      </w:r>
    </w:p>
    <w:p>
      <w:pPr>
        <w:spacing w:after="0"/>
        <w:jc w:val="center"/>
        <w:rPr>
          <w:sz w:val="14"/>
        </w:rPr>
        <w:sectPr>
          <w:footerReference w:type="default" r:id="rId28"/>
          <w:pgSz w:w="12240" w:h="15840"/>
          <w:pgMar w:footer="1802" w:header="0" w:top="1360" w:bottom="2000" w:left="1600" w:right="1080"/>
          <w:pgNumType w:start="35"/>
        </w:sectPr>
      </w:pPr>
    </w:p>
    <w:p>
      <w:pPr>
        <w:pStyle w:val="BodyText"/>
        <w:spacing w:line="360" w:lineRule="auto" w:before="54"/>
        <w:ind w:left="102" w:right="108" w:firstLine="134"/>
        <w:jc w:val="both"/>
      </w:pPr>
      <w:r>
        <w:rPr/>
        <w:t>Al evaluar la escala de MEOWS a las 6 horas, podemos observar que la mitad de la muestra tiene un puntaje mayor a 6 puntos 56% (48), seguido por un cuarto de la población que tiene más de 4 puntos 27% (23). Los datos se muestra a continuación (gráfica 9).</w:t>
      </w:r>
    </w:p>
    <w:p>
      <w:pPr>
        <w:pStyle w:val="BodyText"/>
      </w:pPr>
    </w:p>
    <w:p>
      <w:pPr>
        <w:pStyle w:val="BodyText"/>
      </w:pPr>
    </w:p>
    <w:p>
      <w:pPr>
        <w:pStyle w:val="BodyText"/>
        <w:spacing w:before="2"/>
        <w:rPr>
          <w:sz w:val="23"/>
        </w:rPr>
      </w:pPr>
    </w:p>
    <w:p>
      <w:pPr>
        <w:pStyle w:val="BodyText"/>
        <w:ind w:left="2385" w:right="2385"/>
        <w:jc w:val="center"/>
      </w:pPr>
      <w:r>
        <w:rPr/>
        <w:t>Gráfica 9. Puntuación MEOWS a las 6 horas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2"/>
        </w:rPr>
      </w:pPr>
      <w:r>
        <w:rPr/>
        <w:pict>
          <v:group style="position:absolute;margin-left:96.574997pt;margin-top:8.947873pt;width:442.65pt;height:211.1pt;mso-position-horizontal-relative:page;mso-position-vertical-relative:paragraph;z-index:4408;mso-wrap-distance-left:0;mso-wrap-distance-right:0" coordorigin="1931,179" coordsize="8853,4222">
            <v:line style="position:absolute" from="9319,3388" to="9965,3388" stroked="true" strokeweight=".72pt" strokecolor="#858585"/>
            <v:line style="position:absolute" from="7442,3388" to="8731,3388" stroked="true" strokeweight=".72pt" strokecolor="#858585"/>
            <v:line style="position:absolute" from="2458,3388" to="6854,3388" stroked="true" strokeweight=".72pt" strokecolor="#858585"/>
            <v:line style="position:absolute" from="7442,2884" to="8731,2884" stroked="true" strokeweight=".72pt" strokecolor="#858585"/>
            <v:line style="position:absolute" from="4183,2884" to="6854,2884" stroked="true" strokeweight=".72pt" strokecolor="#858585"/>
            <v:rect style="position:absolute;left:6854;top:2733;width:588;height:1159" filled="true" fillcolor="#4f81bc" stroked="false">
              <v:fill type="solid"/>
            </v:rect>
            <v:line style="position:absolute" from="9319,2884" to="9965,2884" stroked="true" strokeweight=".72pt" strokecolor="#858585"/>
            <v:line style="position:absolute" from="9319,2378" to="9965,2378" stroked="true" strokeweight=".72pt" strokecolor="#858585"/>
            <v:line style="position:absolute" from="2458,2378" to="8731,2378" stroked="true" strokeweight=".72pt" strokecolor="#858585"/>
            <v:line style="position:absolute" from="9319,1874" to="9965,1874" stroked="true" strokeweight=".72pt" strokecolor="#858585"/>
            <v:line style="position:absolute" from="7988,1874" to="8731,1874" stroked="true" strokeweight=".72pt" strokecolor="#858585"/>
            <v:rect style="position:absolute;left:8731;top:1470;width:588;height:2422" filled="true" fillcolor="#4f81bc" stroked="false">
              <v:fill type="solid"/>
            </v:rect>
            <v:line style="position:absolute" from="2458,1370" to="9965,1370" stroked="true" strokeweight=".72pt" strokecolor="#858585"/>
            <v:line style="position:absolute" from="2458,866" to="9965,866" stroked="true" strokeweight=".72pt" strokecolor="#858585"/>
            <v:line style="position:absolute" from="9965,3892" to="9965,866" stroked="true" strokeweight=".72pt" strokecolor="#858585"/>
            <v:line style="position:absolute" from="2458,2884" to="2597,2884" stroked="true" strokeweight=".72pt" strokecolor="#858585"/>
            <v:line style="position:absolute" from="2458,1874" to="6301,1874" stroked="true" strokeweight=".72pt" strokecolor="#858585"/>
            <v:line style="position:absolute" from="2458,3892" to="2458,866" stroked="true" strokeweight=".72pt" strokecolor="#858585"/>
            <v:line style="position:absolute" from="2458,3892" to="9965,3892" stroked="true" strokeweight=".72pt" strokecolor="#858585"/>
            <v:shape style="position:absolute;left:3396;top:1077;width:5631;height:2405" coordorigin="3396,1077" coordsize="5631,2405" path="m3396,3424l5273,3482,7150,2543,9026,1077e" filled="false" stroked="true" strokeweight="2.16pt" strokecolor="#bd4a47">
              <v:path arrowok="t"/>
            </v:shape>
            <v:rect style="position:absolute;left:2597;top:2803;width:1585;height:304" filled="true" fillcolor="#ffffff" stroked="false">
              <v:fill type="solid"/>
            </v:rect>
            <v:rect style="position:absolute;left:2597;top:2803;width:1585;height:304" filled="false" stroked="true" strokeweight=".75pt" strokecolor="#585858"/>
            <v:rect style="position:absolute;left:6301;top:1690;width:1687;height:304" filled="false" stroked="true" strokeweight=".75pt" strokecolor="#585858"/>
            <v:rect style="position:absolute;left:7347;top:865;width:1687;height:304" filled="true" fillcolor="#ffffff" stroked="false">
              <v:fill type="solid"/>
            </v:rect>
            <v:rect style="position:absolute;left:7347;top:865;width:1687;height:304" filled="false" stroked="true" strokeweight=".75pt" strokecolor="#585858"/>
            <v:rect style="position:absolute;left:1939;top:186;width:8838;height:4207" filled="false" stroked="true" strokeweight=".75pt" strokecolor="#858585"/>
            <v:shape style="position:absolute;left:4646;top:2453;width:1441;height:305" type="#_x0000_t202" filled="false" stroked="true" strokeweight=".75pt" strokecolor="#585858">
              <v:textbox inset="0,0,0,0">
                <w:txbxContent>
                  <w:p>
                    <w:pPr>
                      <w:spacing w:before="22"/>
                      <w:ind w:left="53" w:right="0" w:firstLine="0"/>
                      <w:jc w:val="left"/>
                      <w:rPr>
                        <w:rFonts w:ascii="Calibri"/>
                        <w:sz w:val="20"/>
                      </w:rPr>
                    </w:pPr>
                    <w:r>
                      <w:rPr>
                        <w:rFonts w:ascii="Calibri"/>
                        <w:sz w:val="20"/>
                      </w:rPr>
                      <w:t>3 PUNTOS, 8.1%</w:t>
                    </w:r>
                  </w:p>
                </w:txbxContent>
              </v:textbox>
              <w10:wrap type="none"/>
            </v:shape>
            <v:shape style="position:absolute;left:3101;top:3489;width:588;height:404" type="#_x0000_t202" filled="true" fillcolor="#4f81bc" stroked="false">
              <v:textbox inset="0,0,0,0">
                <w:txbxContent>
                  <w:p>
                    <w:pPr>
                      <w:spacing w:before="17"/>
                      <w:ind w:left="0" w:right="44" w:firstLine="0"/>
                      <w:jc w:val="center"/>
                      <w:rPr>
                        <w:rFonts w:ascii="Calibri"/>
                        <w:sz w:val="20"/>
                      </w:rPr>
                    </w:pPr>
                    <w:r>
                      <w:rPr>
                        <w:rFonts w:ascii="Calibri"/>
                        <w:w w:val="99"/>
                        <w:sz w:val="20"/>
                      </w:rPr>
                      <w:t>8</w:t>
                    </w:r>
                  </w:p>
                </w:txbxContent>
              </v:textbox>
              <v:fill type="solid"/>
              <w10:wrap type="none"/>
            </v:shape>
            <v:shape style="position:absolute;left:3165;top:368;width:6395;height:240" type="#_x0000_t202" filled="false" stroked="false">
              <v:textbox inset="0,0,0,0">
                <w:txbxContent>
                  <w:p>
                    <w:pPr>
                      <w:spacing w:line="240" w:lineRule="exact" w:before="0"/>
                      <w:ind w:left="0" w:right="-14" w:firstLine="0"/>
                      <w:jc w:val="left"/>
                      <w:rPr>
                        <w:b/>
                        <w:sz w:val="24"/>
                      </w:rPr>
                    </w:pPr>
                    <w:r>
                      <w:rPr>
                        <w:b/>
                        <w:sz w:val="24"/>
                      </w:rPr>
                      <w:t>MEOWS 6 HRS ANTES DE </w:t>
                    </w:r>
                    <w:r>
                      <w:rPr>
                        <w:b/>
                        <w:spacing w:val="-5"/>
                        <w:sz w:val="24"/>
                      </w:rPr>
                      <w:t>ACTIVAR </w:t>
                    </w:r>
                    <w:r>
                      <w:rPr>
                        <w:b/>
                        <w:sz w:val="24"/>
                      </w:rPr>
                      <w:t>EL CODIGO </w:t>
                    </w:r>
                    <w:r>
                      <w:rPr>
                        <w:b/>
                        <w:spacing w:val="-5"/>
                        <w:sz w:val="24"/>
                      </w:rPr>
                      <w:t>MATER</w:t>
                    </w:r>
                  </w:p>
                </w:txbxContent>
              </v:textbox>
              <w10:wrap type="none"/>
            </v:shape>
            <v:shape style="position:absolute;left:2069;top:772;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60</w:t>
                    </w:r>
                  </w:p>
                </w:txbxContent>
              </v:textbox>
              <w10:wrap type="none"/>
            </v:shape>
            <v:shape style="position:absolute;left:10151;top:772;width:498;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60.0%</w:t>
                    </w:r>
                  </w:p>
                </w:txbxContent>
              </v:textbox>
              <w10:wrap type="none"/>
            </v:shape>
            <v:shape style="position:absolute;left:7409;top:937;width:1564;height:200" type="#_x0000_t202" filled="false" stroked="false">
              <v:textbox inset="0,0,0,0">
                <w:txbxContent>
                  <w:p>
                    <w:pPr>
                      <w:spacing w:line="199" w:lineRule="exact" w:before="0"/>
                      <w:ind w:left="0" w:right="-18" w:firstLine="0"/>
                      <w:jc w:val="left"/>
                      <w:rPr>
                        <w:rFonts w:ascii="Calibri"/>
                        <w:sz w:val="20"/>
                      </w:rPr>
                    </w:pPr>
                    <w:r>
                      <w:rPr>
                        <w:rFonts w:ascii="Calibri"/>
                        <w:sz w:val="20"/>
                      </w:rPr>
                      <w:t>&gt; 6 PUNTOS,</w:t>
                    </w:r>
                    <w:r>
                      <w:rPr>
                        <w:rFonts w:ascii="Calibri"/>
                        <w:spacing w:val="-5"/>
                        <w:sz w:val="20"/>
                      </w:rPr>
                      <w:t> </w:t>
                    </w:r>
                    <w:r>
                      <w:rPr>
                        <w:rFonts w:ascii="Calibri"/>
                        <w:sz w:val="20"/>
                      </w:rPr>
                      <w:t>55.8%</w:t>
                    </w:r>
                  </w:p>
                </w:txbxContent>
              </v:textbox>
              <w10:wrap type="none"/>
            </v:shape>
            <v:shape style="position:absolute;left:2069;top:1277;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50</w:t>
                    </w:r>
                  </w:p>
                </w:txbxContent>
              </v:textbox>
              <w10:wrap type="none"/>
            </v:shape>
            <v:shape style="position:absolute;left:10151;top:1277;width:498;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50.0%</w:t>
                    </w:r>
                  </w:p>
                </w:txbxContent>
              </v:textbox>
              <w10:wrap type="none"/>
            </v:shape>
            <v:shape style="position:absolute;left:2069;top:1782;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40</w:t>
                    </w:r>
                  </w:p>
                </w:txbxContent>
              </v:textbox>
              <w10:wrap type="none"/>
            </v:shape>
            <v:shape style="position:absolute;left:6363;top:1761;width:1564;height:200" type="#_x0000_t202" filled="false" stroked="false">
              <v:textbox inset="0,0,0,0">
                <w:txbxContent>
                  <w:p>
                    <w:pPr>
                      <w:spacing w:line="199" w:lineRule="exact" w:before="0"/>
                      <w:ind w:left="0" w:right="-18" w:firstLine="0"/>
                      <w:jc w:val="left"/>
                      <w:rPr>
                        <w:rFonts w:ascii="Calibri"/>
                        <w:sz w:val="20"/>
                      </w:rPr>
                    </w:pPr>
                    <w:r>
                      <w:rPr>
                        <w:rFonts w:ascii="Calibri"/>
                        <w:sz w:val="20"/>
                      </w:rPr>
                      <w:t>&gt; 4 PUNTOS,</w:t>
                    </w:r>
                    <w:r>
                      <w:rPr>
                        <w:rFonts w:ascii="Calibri"/>
                        <w:spacing w:val="-5"/>
                        <w:sz w:val="20"/>
                      </w:rPr>
                      <w:t> </w:t>
                    </w:r>
                    <w:r>
                      <w:rPr>
                        <w:rFonts w:ascii="Calibri"/>
                        <w:sz w:val="20"/>
                      </w:rPr>
                      <w:t>26.7%</w:t>
                    </w:r>
                  </w:p>
                </w:txbxContent>
              </v:textbox>
              <w10:wrap type="none"/>
            </v:shape>
            <v:shape style="position:absolute;left:8926;top:1703;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48</w:t>
                    </w:r>
                  </w:p>
                </w:txbxContent>
              </v:textbox>
              <w10:wrap type="none"/>
            </v:shape>
            <v:shape style="position:absolute;left:10151;top:1782;width:498;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40.0%</w:t>
                    </w:r>
                  </w:p>
                </w:txbxContent>
              </v:textbox>
              <w10:wrap type="none"/>
            </v:shape>
            <v:shape style="position:absolute;left:2069;top:2287;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30</w:t>
                    </w:r>
                  </w:p>
                </w:txbxContent>
              </v:textbox>
              <w10:wrap type="none"/>
            </v:shape>
            <v:shape style="position:absolute;left:10151;top:2287;width:498;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30.0%</w:t>
                    </w:r>
                  </w:p>
                </w:txbxContent>
              </v:textbox>
              <w10:wrap type="none"/>
            </v:shape>
            <v:shape style="position:absolute;left:2069;top:2791;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20</w:t>
                    </w:r>
                  </w:p>
                </w:txbxContent>
              </v:textbox>
              <w10:wrap type="none"/>
            </v:shape>
            <v:shape style="position:absolute;left:2658;top:2875;width:1463;height:200" type="#_x0000_t202" filled="false" stroked="false">
              <v:textbox inset="0,0,0,0">
                <w:txbxContent>
                  <w:p>
                    <w:pPr>
                      <w:spacing w:line="199" w:lineRule="exact" w:before="0"/>
                      <w:ind w:left="0" w:right="-18" w:firstLine="0"/>
                      <w:jc w:val="left"/>
                      <w:rPr>
                        <w:rFonts w:ascii="Calibri"/>
                        <w:sz w:val="20"/>
                      </w:rPr>
                    </w:pPr>
                    <w:r>
                      <w:rPr>
                        <w:rFonts w:ascii="Calibri"/>
                        <w:sz w:val="20"/>
                      </w:rPr>
                      <w:t>&lt; 2 PUNTOS,</w:t>
                    </w:r>
                    <w:r>
                      <w:rPr>
                        <w:rFonts w:ascii="Calibri"/>
                        <w:spacing w:val="-5"/>
                        <w:sz w:val="20"/>
                      </w:rPr>
                      <w:t> </w:t>
                    </w:r>
                    <w:r>
                      <w:rPr>
                        <w:rFonts w:ascii="Calibri"/>
                        <w:sz w:val="20"/>
                      </w:rPr>
                      <w:t>9.3%</w:t>
                    </w:r>
                  </w:p>
                </w:txbxContent>
              </v:textbox>
              <w10:wrap type="none"/>
            </v:shape>
            <v:shape style="position:absolute;left:10151;top:2791;width:498;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20.0%</w:t>
                    </w:r>
                  </w:p>
                </w:txbxContent>
              </v:textbox>
              <w10:wrap type="none"/>
            </v:shape>
            <v:shape style="position:absolute;left:7049;top:3023;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23</w:t>
                    </w:r>
                  </w:p>
                </w:txbxContent>
              </v:textbox>
              <w10:wrap type="none"/>
            </v:shape>
            <v:shape style="position:absolute;left:2069;top:3296;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w:t>
                    </w:r>
                  </w:p>
                </w:txbxContent>
              </v:textbox>
              <w10:wrap type="none"/>
            </v:shape>
            <v:shape style="position:absolute;left:10151;top:3296;width:498;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10.0%</w:t>
                    </w:r>
                  </w:p>
                </w:txbxContent>
              </v:textbox>
              <w10:wrap type="none"/>
            </v:shape>
            <v:shape style="position:absolute;left:4978;top:3616;width:588;height:200" type="#_x0000_t202" filled="false" stroked="false">
              <v:textbox inset="0,0,0,0">
                <w:txbxContent>
                  <w:p>
                    <w:pPr>
                      <w:tabs>
                        <w:tab w:pos="587" w:val="left" w:leader="none"/>
                      </w:tabs>
                      <w:spacing w:line="199" w:lineRule="exact" w:before="0"/>
                      <w:ind w:left="0" w:right="0" w:firstLine="0"/>
                      <w:jc w:val="left"/>
                      <w:rPr>
                        <w:rFonts w:ascii="Calibri"/>
                        <w:sz w:val="20"/>
                      </w:rPr>
                    </w:pPr>
                    <w:r>
                      <w:rPr>
                        <w:rFonts w:ascii="Calibri"/>
                        <w:w w:val="99"/>
                        <w:sz w:val="20"/>
                        <w:shd w:fill="4F81BC" w:color="auto" w:val="clear"/>
                      </w:rPr>
                      <w:t> </w:t>
                    </w:r>
                    <w:r>
                      <w:rPr>
                        <w:rFonts w:ascii="Calibri"/>
                        <w:sz w:val="20"/>
                        <w:shd w:fill="4F81BC" w:color="auto" w:val="clear"/>
                      </w:rPr>
                      <w:t>   </w:t>
                    </w:r>
                    <w:r>
                      <w:rPr>
                        <w:rFonts w:ascii="Calibri"/>
                        <w:spacing w:val="18"/>
                        <w:sz w:val="20"/>
                        <w:shd w:fill="4F81BC" w:color="auto" w:val="clear"/>
                      </w:rPr>
                      <w:t> </w:t>
                    </w:r>
                    <w:r>
                      <w:rPr>
                        <w:rFonts w:ascii="Calibri"/>
                        <w:sz w:val="20"/>
                        <w:shd w:fill="4F81BC" w:color="auto" w:val="clear"/>
                      </w:rPr>
                      <w:t>7</w:t>
                      <w:tab/>
                    </w:r>
                  </w:p>
                </w:txbxContent>
              </v:textbox>
              <w10:wrap type="none"/>
            </v:shape>
            <v:shape style="position:absolute;left:2171;top:3801;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0</w:t>
                    </w:r>
                  </w:p>
                </w:txbxContent>
              </v:textbox>
              <w10:wrap type="none"/>
            </v:shape>
            <v:shape style="position:absolute;left:10151;top:3801;width:397;height:200" type="#_x0000_t202" filled="false" stroked="false">
              <v:textbox inset="0,0,0,0">
                <w:txbxContent>
                  <w:p>
                    <w:pPr>
                      <w:spacing w:line="199" w:lineRule="exact" w:before="0"/>
                      <w:ind w:left="0" w:right="-20" w:firstLine="0"/>
                      <w:jc w:val="left"/>
                      <w:rPr>
                        <w:rFonts w:ascii="Calibri"/>
                        <w:sz w:val="20"/>
                      </w:rPr>
                    </w:pPr>
                    <w:r>
                      <w:rPr>
                        <w:rFonts w:ascii="Calibri"/>
                        <w:sz w:val="20"/>
                      </w:rPr>
                      <w:t>0.0%</w:t>
                    </w:r>
                  </w:p>
                </w:txbxContent>
              </v:textbox>
              <w10:wrap type="none"/>
            </v:shape>
            <v:shape style="position:absolute;left:2909;top:4061;width:6605;height:200" type="#_x0000_t202" filled="false" stroked="false">
              <v:textbox inset="0,0,0,0">
                <w:txbxContent>
                  <w:p>
                    <w:pPr>
                      <w:tabs>
                        <w:tab w:pos="1949" w:val="left" w:leader="none"/>
                        <w:tab w:pos="3754" w:val="left" w:leader="none"/>
                        <w:tab w:pos="5630" w:val="left" w:leader="none"/>
                      </w:tabs>
                      <w:spacing w:line="199" w:lineRule="exact" w:before="0"/>
                      <w:ind w:left="0" w:right="0" w:firstLine="0"/>
                      <w:jc w:val="left"/>
                      <w:rPr>
                        <w:rFonts w:ascii="Calibri"/>
                        <w:sz w:val="20"/>
                      </w:rPr>
                    </w:pPr>
                    <w:r>
                      <w:rPr>
                        <w:rFonts w:ascii="Calibri"/>
                        <w:sz w:val="20"/>
                      </w:rPr>
                      <w:t>&lt;</w:t>
                    </w:r>
                    <w:r>
                      <w:rPr>
                        <w:rFonts w:ascii="Calibri"/>
                        <w:spacing w:val="-2"/>
                        <w:sz w:val="20"/>
                      </w:rPr>
                      <w:t> </w:t>
                    </w:r>
                    <w:r>
                      <w:rPr>
                        <w:rFonts w:ascii="Calibri"/>
                        <w:sz w:val="20"/>
                      </w:rPr>
                      <w:t>2</w:t>
                    </w:r>
                    <w:r>
                      <w:rPr>
                        <w:rFonts w:ascii="Calibri"/>
                        <w:spacing w:val="-1"/>
                        <w:sz w:val="20"/>
                      </w:rPr>
                      <w:t> </w:t>
                    </w:r>
                    <w:r>
                      <w:rPr>
                        <w:rFonts w:ascii="Calibri"/>
                        <w:sz w:val="20"/>
                      </w:rPr>
                      <w:t>PUNTOS</w:t>
                      <w:tab/>
                      <w:t>3</w:t>
                    </w:r>
                    <w:r>
                      <w:rPr>
                        <w:rFonts w:ascii="Calibri"/>
                        <w:spacing w:val="-3"/>
                        <w:sz w:val="20"/>
                      </w:rPr>
                      <w:t> </w:t>
                    </w:r>
                    <w:r>
                      <w:rPr>
                        <w:rFonts w:ascii="Calibri"/>
                        <w:sz w:val="20"/>
                      </w:rPr>
                      <w:t>PUNTOS</w:t>
                      <w:tab/>
                      <w:t>&gt;</w:t>
                    </w:r>
                    <w:r>
                      <w:rPr>
                        <w:rFonts w:ascii="Calibri"/>
                        <w:spacing w:val="-2"/>
                        <w:sz w:val="20"/>
                      </w:rPr>
                      <w:t> </w:t>
                    </w:r>
                    <w:r>
                      <w:rPr>
                        <w:rFonts w:ascii="Calibri"/>
                        <w:sz w:val="20"/>
                      </w:rPr>
                      <w:t>4</w:t>
                    </w:r>
                    <w:r>
                      <w:rPr>
                        <w:rFonts w:ascii="Calibri"/>
                        <w:spacing w:val="-1"/>
                        <w:sz w:val="20"/>
                      </w:rPr>
                      <w:t> </w:t>
                    </w:r>
                    <w:r>
                      <w:rPr>
                        <w:rFonts w:ascii="Calibri"/>
                        <w:sz w:val="20"/>
                      </w:rPr>
                      <w:t>PUNTOS</w:t>
                      <w:tab/>
                      <w:t>&gt; 6</w:t>
                    </w:r>
                    <w:r>
                      <w:rPr>
                        <w:rFonts w:ascii="Calibri"/>
                        <w:spacing w:val="-4"/>
                        <w:sz w:val="20"/>
                      </w:rPr>
                      <w:t> </w:t>
                    </w:r>
                    <w:r>
                      <w:rPr>
                        <w:rFonts w:ascii="Calibri"/>
                        <w:sz w:val="20"/>
                      </w:rPr>
                      <w:t>PUNTOS</w:t>
                    </w:r>
                  </w:p>
                </w:txbxContent>
              </v:textbox>
              <w10:wrap type="none"/>
            </v:shape>
            <w10:wrap type="topAndBottom"/>
          </v:group>
        </w:pict>
      </w:r>
    </w:p>
    <w:p>
      <w:pPr>
        <w:pStyle w:val="BodyText"/>
        <w:spacing w:before="8"/>
        <w:rPr>
          <w:sz w:val="27"/>
        </w:rPr>
      </w:pPr>
    </w:p>
    <w:p>
      <w:pPr>
        <w:spacing w:before="0"/>
        <w:ind w:left="2382" w:right="2385" w:firstLine="0"/>
        <w:jc w:val="center"/>
        <w:rPr>
          <w:b/>
          <w:sz w:val="14"/>
        </w:rPr>
      </w:pPr>
      <w:r>
        <w:rPr>
          <w:b/>
          <w:sz w:val="14"/>
        </w:rPr>
        <w:t>FUENTE: BASE DE DATOS, HMPMPS.</w:t>
      </w:r>
    </w:p>
    <w:p>
      <w:pPr>
        <w:spacing w:after="0"/>
        <w:jc w:val="center"/>
        <w:rPr>
          <w:sz w:val="14"/>
        </w:rPr>
        <w:sectPr>
          <w:pgSz w:w="12240" w:h="15840"/>
          <w:pgMar w:header="0" w:footer="1802" w:top="1360" w:bottom="2000" w:left="1600" w:right="1080"/>
        </w:sectPr>
      </w:pPr>
    </w:p>
    <w:p>
      <w:pPr>
        <w:pStyle w:val="BodyText"/>
        <w:spacing w:line="360" w:lineRule="auto" w:before="54"/>
        <w:ind w:left="102" w:right="108" w:firstLine="201"/>
        <w:jc w:val="both"/>
      </w:pPr>
      <w:r>
        <w:rPr/>
        <w:t>La misma medición pero 12 horas previas muestra una diferencia importante, ya que un 71% (61) se mostraba sin puntuación y solo un pequeño porcentaje de pacientes tenían una puntuación mayor a 6 puntos 9% (8). Gráfica 10. MEOWS 12 horas.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r>
        <w:rPr/>
        <w:pict>
          <v:group style="position:absolute;margin-left:110.074997pt;margin-top:13.843784pt;width:417pt;height:198.75pt;mso-position-horizontal-relative:page;mso-position-vertical-relative:paragraph;z-index:4720;mso-wrap-distance-left:0;mso-wrap-distance-right:0" coordorigin="2201,277" coordsize="8340,3975">
            <v:line style="position:absolute" from="9350,3426" to="9871,3426" stroked="true" strokeweight=".72pt" strokecolor="#b7b7b7"/>
            <v:line style="position:absolute" from="9350,3354" to="9871,3354" stroked="true" strokeweight=".72pt" strokecolor="#b7b7b7"/>
            <v:line style="position:absolute" from="9350,3282" to="9871,3282" stroked="true" strokeweight=".72pt" strokecolor="#b7b7b7"/>
            <v:line style="position:absolute" from="7922,3426" to="8964,3426" stroked="true" strokeweight=".72pt" strokecolor="#b7b7b7"/>
            <v:line style="position:absolute" from="6492,3426" to="7534,3426" stroked="true" strokeweight=".72pt" strokecolor="#b7b7b7"/>
            <v:line style="position:absolute" from="6492,3354" to="8964,3354" stroked="true" strokeweight=".72pt" strokecolor="#b7b7b7"/>
            <v:line style="position:absolute" from="5064,3426" to="6106,3426" stroked="true" strokeweight=".72pt" strokecolor="#b7b7b7"/>
            <v:line style="position:absolute" from="5064,3354" to="6106,3354" stroked="true" strokeweight=".72pt" strokecolor="#b7b7b7"/>
            <v:line style="position:absolute" from="5064,3282" to="8964,3282" stroked="true" strokeweight=".72pt" strokecolor="#b7b7b7"/>
            <v:line style="position:absolute" from="3634,3426" to="4675,3426" stroked="true" strokeweight=".72pt" strokecolor="#b7b7b7"/>
            <v:line style="position:absolute" from="3634,3354" to="4675,3354" stroked="true" strokeweight=".72pt" strokecolor="#b7b7b7"/>
            <v:line style="position:absolute" from="3634,3282" to="4675,3282" stroked="true" strokeweight=".72pt" strokecolor="#b7b7b7"/>
            <v:line style="position:absolute" from="3634,3210" to="9871,3210" stroked="true" strokeweight=".72pt" strokecolor="#b7b7b7"/>
            <v:line style="position:absolute" from="3634,3064" to="9871,3064" stroked="true" strokeweight=".72pt" strokecolor="#b7b7b7"/>
            <v:line style="position:absolute" from="3634,2992" to="9871,2992" stroked="true" strokeweight=".72pt" strokecolor="#b7b7b7"/>
            <v:line style="position:absolute" from="3634,2920" to="9871,2920" stroked="true" strokeweight=".72pt" strokecolor="#b7b7b7"/>
            <v:line style="position:absolute" from="3634,2848" to="9871,2848" stroked="true" strokeweight=".72pt" strokecolor="#b7b7b7"/>
            <v:line style="position:absolute" from="3634,3138" to="9871,3138" stroked="true" strokeweight=".72pt" strokecolor="#858585"/>
            <v:line style="position:absolute" from="3634,2702" to="9871,2702" stroked="true" strokeweight=".72pt" strokecolor="#b7b7b7"/>
            <v:line style="position:absolute" from="3634,2630" to="9871,2630" stroked="true" strokeweight=".72pt" strokecolor="#b7b7b7"/>
            <v:line style="position:absolute" from="3634,2558" to="9871,2558" stroked="true" strokeweight=".72pt" strokecolor="#b7b7b7"/>
            <v:line style="position:absolute" from="3634,2486" to="9871,2486" stroked="true" strokeweight=".72pt" strokecolor="#b7b7b7"/>
            <v:line style="position:absolute" from="3634,2776" to="9871,2776" stroked="true" strokeweight=".72pt" strokecolor="#858585"/>
            <v:line style="position:absolute" from="3634,2339" to="9871,2339" stroked="true" strokeweight=".72pt" strokecolor="#b7b7b7"/>
            <v:line style="position:absolute" from="3634,2267" to="9871,2267" stroked="true" strokeweight=".72pt" strokecolor="#b7b7b7"/>
            <v:line style="position:absolute" from="3634,2195" to="9871,2195" stroked="true" strokeweight=".72pt" strokecolor="#b7b7b7"/>
            <v:line style="position:absolute" from="3634,2123" to="9871,2123" stroked="true" strokeweight=".72pt" strokecolor="#b7b7b7"/>
            <v:line style="position:absolute" from="3634,2414" to="9871,2414" stroked="true" strokeweight=".72pt" strokecolor="#858585"/>
            <v:line style="position:absolute" from="3634,1977" to="9871,1977" stroked="true" strokeweight=".72pt" strokecolor="#b7b7b7"/>
            <v:line style="position:absolute" from="3634,1905" to="9871,1905" stroked="true" strokeweight=".72pt" strokecolor="#b7b7b7"/>
            <v:line style="position:absolute" from="3634,1833" to="9871,1833" stroked="true" strokeweight=".72pt" strokecolor="#b7b7b7"/>
            <v:line style="position:absolute" from="3634,1761" to="9871,1761" stroked="true" strokeweight=".72pt" strokecolor="#b7b7b7"/>
            <v:line style="position:absolute" from="3634,2051" to="9871,2051" stroked="true" strokeweight=".72pt" strokecolor="#858585"/>
            <v:line style="position:absolute" from="3634,1614" to="9871,1614" stroked="true" strokeweight=".72pt" strokecolor="#b7b7b7"/>
            <v:line style="position:absolute" from="3634,1542" to="9871,1542" stroked="true" strokeweight=".72pt" strokecolor="#b7b7b7"/>
            <v:line style="position:absolute" from="3634,1470" to="9871,1470" stroked="true" strokeweight=".72pt" strokecolor="#b7b7b7"/>
            <v:line style="position:absolute" from="3634,1398" to="9871,1398" stroked="true" strokeweight=".72pt" strokecolor="#b7b7b7"/>
            <v:line style="position:absolute" from="3634,1689" to="9871,1689" stroked="true" strokeweight=".72pt" strokecolor="#858585"/>
            <v:line style="position:absolute" from="2726,1252" to="9871,1252" stroked="true" strokeweight=".72pt" strokecolor="#b7b7b7"/>
            <v:line style="position:absolute" from="2726,1180" to="9871,1180" stroked="true" strokeweight=".72pt" strokecolor="#b7b7b7"/>
            <v:line style="position:absolute" from="2726,1108" to="9871,1108" stroked="true" strokeweight=".72pt" strokecolor="#b7b7b7"/>
            <v:line style="position:absolute" from="2726,1036" to="9871,1036" stroked="true" strokeweight=".72pt" strokecolor="#b7b7b7"/>
            <v:line style="position:absolute" from="3634,1326" to="9871,1326" stroked="true" strokeweight=".72pt" strokecolor="#858585"/>
            <v:line style="position:absolute" from="2726,3426" to="3247,3426" stroked="true" strokeweight=".72pt" strokecolor="#b7b7b7"/>
            <v:line style="position:absolute" from="2726,3354" to="3247,3354" stroked="true" strokeweight=".72pt" strokecolor="#b7b7b7"/>
            <v:line style="position:absolute" from="2726,3282" to="3247,3282" stroked="true" strokeweight=".72pt" strokecolor="#b7b7b7"/>
            <v:line style="position:absolute" from="2726,3210" to="3247,3210" stroked="true" strokeweight=".72pt" strokecolor="#b7b7b7"/>
            <v:line style="position:absolute" from="2726,3064" to="3247,3064" stroked="true" strokeweight=".72pt" strokecolor="#b7b7b7"/>
            <v:line style="position:absolute" from="2726,2992" to="3247,2992" stroked="true" strokeweight=".72pt" strokecolor="#b7b7b7"/>
            <v:line style="position:absolute" from="2726,2920" to="3247,2920" stroked="true" strokeweight=".72pt" strokecolor="#b7b7b7"/>
            <v:line style="position:absolute" from="2726,2848" to="3247,2848" stroked="true" strokeweight=".72pt" strokecolor="#b7b7b7"/>
            <v:line style="position:absolute" from="2726,3138" to="3247,3138" stroked="true" strokeweight=".72pt" strokecolor="#858585"/>
            <v:line style="position:absolute" from="2726,2702" to="3247,2702" stroked="true" strokeweight=".72pt" strokecolor="#b7b7b7"/>
            <v:line style="position:absolute" from="2726,2630" to="3247,2630" stroked="true" strokeweight=".72pt" strokecolor="#b7b7b7"/>
            <v:line style="position:absolute" from="2726,2558" to="3247,2558" stroked="true" strokeweight=".72pt" strokecolor="#b7b7b7"/>
            <v:line style="position:absolute" from="2726,2486" to="3247,2486" stroked="true" strokeweight=".72pt" strokecolor="#b7b7b7"/>
            <v:line style="position:absolute" from="2726,2776" to="3247,2776" stroked="true" strokeweight=".72pt" strokecolor="#858585"/>
            <v:line style="position:absolute" from="2726,2339" to="3247,2339" stroked="true" strokeweight=".72pt" strokecolor="#b7b7b7"/>
            <v:line style="position:absolute" from="2726,2267" to="3247,2267" stroked="true" strokeweight=".72pt" strokecolor="#b7b7b7"/>
            <v:line style="position:absolute" from="2726,2195" to="3247,2195" stroked="true" strokeweight=".72pt" strokecolor="#b7b7b7"/>
            <v:line style="position:absolute" from="2726,2123" to="3247,2123" stroked="true" strokeweight=".72pt" strokecolor="#b7b7b7"/>
            <v:line style="position:absolute" from="2726,2414" to="3247,2414" stroked="true" strokeweight=".72pt" strokecolor="#858585"/>
            <v:line style="position:absolute" from="2726,1977" to="3247,1977" stroked="true" strokeweight=".72pt" strokecolor="#b7b7b7"/>
            <v:line style="position:absolute" from="2726,1905" to="3247,1905" stroked="true" strokeweight=".72pt" strokecolor="#b7b7b7"/>
            <v:line style="position:absolute" from="2726,1833" to="3247,1833" stroked="true" strokeweight=".72pt" strokecolor="#b7b7b7"/>
            <v:line style="position:absolute" from="2726,1761" to="3247,1761" stroked="true" strokeweight=".72pt" strokecolor="#b7b7b7"/>
            <v:line style="position:absolute" from="2726,2051" to="3247,2051" stroked="true" strokeweight=".72pt" strokecolor="#858585"/>
            <v:line style="position:absolute" from="2726,1614" to="3247,1614" stroked="true" strokeweight=".72pt" strokecolor="#b7b7b7"/>
            <v:line style="position:absolute" from="2726,1542" to="3247,1542" stroked="true" strokeweight=".72pt" strokecolor="#b7b7b7"/>
            <v:line style="position:absolute" from="2726,1470" to="3247,1470" stroked="true" strokeweight=".72pt" strokecolor="#b7b7b7"/>
            <v:line style="position:absolute" from="2726,1398" to="3247,1398" stroked="true" strokeweight=".72pt" strokecolor="#b7b7b7"/>
            <v:line style="position:absolute" from="2726,1689" to="3247,1689" stroked="true" strokeweight=".72pt" strokecolor="#858585"/>
            <v:line style="position:absolute" from="2726,1326" to="3247,1326" stroked="true" strokeweight=".72pt" strokecolor="#858585"/>
            <v:line style="position:absolute" from="2726,964" to="9871,964" stroked="true" strokeweight=".72pt" strokecolor="#858585"/>
            <v:rect style="position:absolute;left:3247;top:1288;width:386;height:2213" filled="true" fillcolor="#4f81bc" stroked="false">
              <v:fill type="solid"/>
            </v:rect>
            <v:rect style="position:absolute;left:4675;top:3210;width:389;height:290" filled="true" fillcolor="#4f81bc" stroked="false">
              <v:fill type="solid"/>
            </v:rect>
            <v:rect style="position:absolute;left:6106;top:3318;width:386;height:182" filled="true" fillcolor="#4f81bc" stroked="false">
              <v:fill type="solid"/>
            </v:rect>
            <v:rect style="position:absolute;left:7534;top:3354;width:389;height:146" filled="true" fillcolor="#4f81bc" stroked="false">
              <v:fill type="solid"/>
            </v:rect>
            <v:rect style="position:absolute;left:8964;top:3210;width:386;height:290" filled="true" fillcolor="#4f81bc" stroked="false">
              <v:fill type="solid"/>
            </v:rect>
            <v:line style="position:absolute" from="9871,3501" to="9871,964" stroked="true" strokeweight=".72pt" strokecolor="#858585"/>
            <v:line style="position:absolute" from="2726,3501" to="2726,964" stroked="true" strokeweight=".72pt" strokecolor="#858585"/>
            <v:line style="position:absolute" from="2726,3501" to="9871,3501" stroked="true" strokeweight=".72pt" strokecolor="#858585"/>
            <v:line style="position:absolute" from="2726,3501" to="2726,3563" stroked="true" strokeweight=".72pt" strokecolor="#858585"/>
            <v:line style="position:absolute" from="4154,3501" to="4154,3563" stroked="true" strokeweight=".72pt" strokecolor="#858585"/>
            <v:line style="position:absolute" from="5585,3501" to="5585,3563" stroked="true" strokeweight=".72pt" strokecolor="#858585"/>
            <v:line style="position:absolute" from="7013,3501" to="7013,3563" stroked="true" strokeweight=".72pt" strokecolor="#858585"/>
            <v:line style="position:absolute" from="8443,3501" to="8443,3563" stroked="true" strokeweight=".72pt" strokecolor="#858585"/>
            <v:line style="position:absolute" from="9871,3501" to="9871,3563" stroked="true" strokeweight=".72pt" strokecolor="#858585"/>
            <v:shape style="position:absolute;left:3442;top:1250;width:5715;height:2103" coordorigin="3442,1250" coordsize="5715,2103" path="m3442,1250l4870,3206,6300,3316,7728,3352,9156,3206e" filled="false" stroked="true" strokeweight="2.16pt" strokecolor="#bd4a47">
              <v:path arrowok="t"/>
            </v:shape>
            <v:shape style="position:absolute;left:2209;top:284;width:8325;height:3960" coordorigin="2209,284" coordsize="8325,3960" path="m2209,484l2225,407,2268,343,2331,300,2409,284,10334,284,10412,300,10475,343,10518,407,10534,484,10534,4044,10518,4122,10475,4186,10412,4229,10334,4244,2409,4244,2331,4229,2268,4186,2225,4122,2209,4044,2209,484xe" filled="false" stroked="true" strokeweight=".75pt" strokecolor="#858585">
              <v:path arrowok="t"/>
            </v:shape>
            <v:shape style="position:absolute;left:3634;top:2594;width:6238;height:146" type="#_x0000_t202" filled="false" stroked="false">
              <v:textbox inset="0,0,0,0">
                <w:txbxContent>
                  <w:p>
                    <w:pPr>
                      <w:spacing w:line="145" w:lineRule="exact" w:before="0"/>
                      <w:ind w:left="1099" w:right="0" w:firstLine="0"/>
                      <w:jc w:val="left"/>
                      <w:rPr>
                        <w:rFonts w:ascii="Calibri"/>
                        <w:sz w:val="20"/>
                      </w:rPr>
                    </w:pPr>
                    <w:r>
                      <w:rPr>
                        <w:rFonts w:ascii="Calibri"/>
                        <w:sz w:val="20"/>
                      </w:rPr>
                      <w:t>9.3%</w:t>
                    </w:r>
                  </w:p>
                </w:txbxContent>
              </v:textbox>
              <w10:wrap type="none"/>
            </v:shape>
            <v:shape style="position:absolute;left:2340;top:870;width:203;height:2737" type="#_x0000_t202" filled="false" stroked="false">
              <v:textbox inset="0,0,0,0">
                <w:txbxContent>
                  <w:p>
                    <w:pPr>
                      <w:spacing w:line="203" w:lineRule="exact" w:before="0"/>
                      <w:ind w:left="-1" w:right="0" w:firstLine="0"/>
                      <w:jc w:val="center"/>
                      <w:rPr>
                        <w:rFonts w:ascii="Calibri"/>
                        <w:sz w:val="20"/>
                      </w:rPr>
                    </w:pPr>
                    <w:r>
                      <w:rPr>
                        <w:rFonts w:ascii="Calibri"/>
                        <w:spacing w:val="-1"/>
                        <w:sz w:val="20"/>
                      </w:rPr>
                      <w:t>70</w:t>
                    </w:r>
                  </w:p>
                  <w:p>
                    <w:pPr>
                      <w:spacing w:before="118"/>
                      <w:ind w:left="-1" w:right="0" w:firstLine="0"/>
                      <w:jc w:val="center"/>
                      <w:rPr>
                        <w:rFonts w:ascii="Calibri"/>
                        <w:sz w:val="20"/>
                      </w:rPr>
                    </w:pPr>
                    <w:r>
                      <w:rPr>
                        <w:rFonts w:ascii="Calibri"/>
                        <w:spacing w:val="-1"/>
                        <w:sz w:val="20"/>
                      </w:rPr>
                      <w:t>60</w:t>
                    </w:r>
                  </w:p>
                  <w:p>
                    <w:pPr>
                      <w:spacing w:before="118"/>
                      <w:ind w:left="-1" w:right="0" w:firstLine="0"/>
                      <w:jc w:val="center"/>
                      <w:rPr>
                        <w:rFonts w:ascii="Calibri"/>
                        <w:sz w:val="20"/>
                      </w:rPr>
                    </w:pPr>
                    <w:r>
                      <w:rPr>
                        <w:rFonts w:ascii="Calibri"/>
                        <w:spacing w:val="-1"/>
                        <w:sz w:val="20"/>
                      </w:rPr>
                      <w:t>50</w:t>
                    </w:r>
                  </w:p>
                  <w:p>
                    <w:pPr>
                      <w:spacing w:before="118"/>
                      <w:ind w:left="-1" w:right="0" w:firstLine="0"/>
                      <w:jc w:val="center"/>
                      <w:rPr>
                        <w:rFonts w:ascii="Calibri"/>
                        <w:sz w:val="20"/>
                      </w:rPr>
                    </w:pPr>
                    <w:r>
                      <w:rPr>
                        <w:rFonts w:ascii="Calibri"/>
                        <w:spacing w:val="-1"/>
                        <w:sz w:val="20"/>
                      </w:rPr>
                      <w:t>40</w:t>
                    </w:r>
                  </w:p>
                  <w:p>
                    <w:pPr>
                      <w:spacing w:before="119"/>
                      <w:ind w:left="-1" w:right="0" w:firstLine="0"/>
                      <w:jc w:val="center"/>
                      <w:rPr>
                        <w:rFonts w:ascii="Calibri"/>
                        <w:sz w:val="20"/>
                      </w:rPr>
                    </w:pPr>
                    <w:r>
                      <w:rPr>
                        <w:rFonts w:ascii="Calibri"/>
                        <w:spacing w:val="-1"/>
                        <w:sz w:val="20"/>
                      </w:rPr>
                      <w:t>30</w:t>
                    </w:r>
                  </w:p>
                  <w:p>
                    <w:pPr>
                      <w:spacing w:before="118"/>
                      <w:ind w:left="-1" w:right="0" w:firstLine="0"/>
                      <w:jc w:val="center"/>
                      <w:rPr>
                        <w:rFonts w:ascii="Calibri"/>
                        <w:sz w:val="20"/>
                      </w:rPr>
                    </w:pPr>
                    <w:r>
                      <w:rPr>
                        <w:rFonts w:ascii="Calibri"/>
                        <w:spacing w:val="-1"/>
                        <w:sz w:val="20"/>
                      </w:rPr>
                      <w:t>20</w:t>
                    </w:r>
                  </w:p>
                  <w:p>
                    <w:pPr>
                      <w:spacing w:before="118"/>
                      <w:ind w:left="-1" w:right="0" w:firstLine="0"/>
                      <w:jc w:val="center"/>
                      <w:rPr>
                        <w:rFonts w:ascii="Calibri"/>
                        <w:sz w:val="20"/>
                      </w:rPr>
                    </w:pPr>
                    <w:r>
                      <w:rPr>
                        <w:rFonts w:ascii="Calibri"/>
                        <w:spacing w:val="-1"/>
                        <w:sz w:val="20"/>
                      </w:rPr>
                      <w:t>10</w:t>
                    </w:r>
                  </w:p>
                  <w:p>
                    <w:pPr>
                      <w:spacing w:line="240" w:lineRule="exact" w:before="118"/>
                      <w:ind w:left="101" w:right="0" w:firstLine="0"/>
                      <w:jc w:val="center"/>
                      <w:rPr>
                        <w:rFonts w:ascii="Calibri"/>
                        <w:sz w:val="20"/>
                      </w:rPr>
                    </w:pPr>
                    <w:r>
                      <w:rPr>
                        <w:rFonts w:ascii="Calibri"/>
                        <w:w w:val="99"/>
                        <w:sz w:val="20"/>
                      </w:rPr>
                      <w:t>0</w:t>
                    </w:r>
                  </w:p>
                </w:txbxContent>
              </v:textbox>
              <w10:wrap type="none"/>
            </v:shape>
            <v:shape style="position:absolute;left:3110;top:466;width:6521;height:640" type="#_x0000_t202" filled="false" stroked="false">
              <v:textbox inset="0,0,0,0">
                <w:txbxContent>
                  <w:p>
                    <w:pPr>
                      <w:spacing w:line="245" w:lineRule="exact" w:before="0"/>
                      <w:ind w:left="0" w:right="-17" w:firstLine="0"/>
                      <w:jc w:val="left"/>
                      <w:rPr>
                        <w:b/>
                        <w:sz w:val="24"/>
                      </w:rPr>
                    </w:pPr>
                    <w:r>
                      <w:rPr>
                        <w:b/>
                        <w:sz w:val="24"/>
                      </w:rPr>
                      <w:t>MEOWS 12 HRS ANTES DE </w:t>
                    </w:r>
                    <w:r>
                      <w:rPr>
                        <w:b/>
                        <w:spacing w:val="-5"/>
                        <w:sz w:val="24"/>
                      </w:rPr>
                      <w:t>ACTIVAR </w:t>
                    </w:r>
                    <w:r>
                      <w:rPr>
                        <w:b/>
                        <w:sz w:val="24"/>
                      </w:rPr>
                      <w:t>EL CODIGO </w:t>
                    </w:r>
                    <w:r>
                      <w:rPr>
                        <w:b/>
                        <w:spacing w:val="-6"/>
                        <w:sz w:val="24"/>
                      </w:rPr>
                      <w:t>MATER</w:t>
                    </w:r>
                  </w:p>
                  <w:p>
                    <w:pPr>
                      <w:spacing w:line="240" w:lineRule="exact" w:before="154"/>
                      <w:ind w:left="85" w:right="-17" w:firstLine="0"/>
                      <w:jc w:val="left"/>
                      <w:rPr>
                        <w:rFonts w:ascii="Calibri"/>
                        <w:sz w:val="20"/>
                      </w:rPr>
                    </w:pPr>
                    <w:r>
                      <w:rPr>
                        <w:rFonts w:ascii="Calibri"/>
                        <w:sz w:val="20"/>
                      </w:rPr>
                      <w:t>70.9%</w:t>
                    </w:r>
                  </w:p>
                </w:txbxContent>
              </v:textbox>
              <w10:wrap type="none"/>
            </v:shape>
            <v:shape style="position:absolute;left:6105;top:2972;width:395;height:200" type="#_x0000_t202" filled="false" stroked="false">
              <v:textbox inset="0,0,0,0">
                <w:txbxContent>
                  <w:p>
                    <w:pPr>
                      <w:spacing w:line="199" w:lineRule="exact" w:before="0"/>
                      <w:ind w:left="0" w:right="-2" w:firstLine="0"/>
                      <w:jc w:val="left"/>
                      <w:rPr>
                        <w:rFonts w:ascii="Calibri"/>
                        <w:sz w:val="20"/>
                      </w:rPr>
                    </w:pPr>
                    <w:r>
                      <w:rPr>
                        <w:rFonts w:ascii="Calibri"/>
                        <w:w w:val="95"/>
                        <w:sz w:val="20"/>
                      </w:rPr>
                      <w:t>5.8%</w:t>
                    </w:r>
                  </w:p>
                </w:txbxContent>
              </v:textbox>
              <w10:wrap type="none"/>
            </v:shape>
            <v:shape style="position:absolute;left:7534;top:3009;width:395;height:200" type="#_x0000_t202" filled="false" stroked="false">
              <v:textbox inset="0,0,0,0">
                <w:txbxContent>
                  <w:p>
                    <w:pPr>
                      <w:spacing w:line="199" w:lineRule="exact" w:before="0"/>
                      <w:ind w:left="0" w:right="-2" w:firstLine="0"/>
                      <w:jc w:val="left"/>
                      <w:rPr>
                        <w:rFonts w:ascii="Calibri"/>
                        <w:sz w:val="20"/>
                      </w:rPr>
                    </w:pPr>
                    <w:r>
                      <w:rPr>
                        <w:rFonts w:ascii="Calibri"/>
                        <w:w w:val="95"/>
                        <w:sz w:val="20"/>
                      </w:rPr>
                      <w:t>4.7%</w:t>
                    </w:r>
                  </w:p>
                </w:txbxContent>
              </v:textbox>
              <w10:wrap type="none"/>
            </v:shape>
            <v:shape style="position:absolute;left:8964;top:2861;width:395;height:200" type="#_x0000_t202" filled="false" stroked="false">
              <v:textbox inset="0,0,0,0">
                <w:txbxContent>
                  <w:p>
                    <w:pPr>
                      <w:spacing w:line="199" w:lineRule="exact" w:before="0"/>
                      <w:ind w:left="0" w:right="-2" w:firstLine="0"/>
                      <w:jc w:val="left"/>
                      <w:rPr>
                        <w:rFonts w:ascii="Calibri"/>
                        <w:sz w:val="20"/>
                      </w:rPr>
                    </w:pPr>
                    <w:r>
                      <w:rPr>
                        <w:rFonts w:ascii="Calibri"/>
                        <w:w w:val="95"/>
                        <w:sz w:val="20"/>
                      </w:rPr>
                      <w:t>9.3%</w:t>
                    </w:r>
                  </w:p>
                </w:txbxContent>
              </v:textbox>
              <w10:wrap type="none"/>
            </v:shape>
            <v:shape style="position:absolute;left:10060;top:870;width:347;height:2737" type="#_x0000_t202" filled="false" stroked="false">
              <v:textbox inset="0,0,0,0">
                <w:txbxContent>
                  <w:p>
                    <w:pPr>
                      <w:spacing w:line="203" w:lineRule="exact" w:before="0"/>
                      <w:ind w:left="0" w:right="-19" w:firstLine="0"/>
                      <w:jc w:val="left"/>
                      <w:rPr>
                        <w:rFonts w:ascii="Calibri"/>
                        <w:sz w:val="20"/>
                      </w:rPr>
                    </w:pPr>
                    <w:r>
                      <w:rPr>
                        <w:rFonts w:ascii="Calibri"/>
                        <w:sz w:val="20"/>
                      </w:rPr>
                      <w:t>80%</w:t>
                    </w:r>
                  </w:p>
                  <w:p>
                    <w:pPr>
                      <w:spacing w:before="73"/>
                      <w:ind w:left="0" w:right="-19" w:firstLine="0"/>
                      <w:jc w:val="left"/>
                      <w:rPr>
                        <w:rFonts w:ascii="Calibri"/>
                        <w:sz w:val="20"/>
                      </w:rPr>
                    </w:pPr>
                    <w:r>
                      <w:rPr>
                        <w:rFonts w:ascii="Calibri"/>
                        <w:sz w:val="20"/>
                      </w:rPr>
                      <w:t>70%</w:t>
                    </w:r>
                  </w:p>
                  <w:p>
                    <w:pPr>
                      <w:spacing w:before="73"/>
                      <w:ind w:left="0" w:right="-19" w:firstLine="0"/>
                      <w:jc w:val="left"/>
                      <w:rPr>
                        <w:rFonts w:ascii="Calibri"/>
                        <w:sz w:val="20"/>
                      </w:rPr>
                    </w:pPr>
                    <w:r>
                      <w:rPr>
                        <w:rFonts w:ascii="Calibri"/>
                        <w:sz w:val="20"/>
                      </w:rPr>
                      <w:t>60%</w:t>
                    </w:r>
                  </w:p>
                  <w:p>
                    <w:pPr>
                      <w:spacing w:before="72"/>
                      <w:ind w:left="0" w:right="-19" w:firstLine="0"/>
                      <w:jc w:val="left"/>
                      <w:rPr>
                        <w:rFonts w:ascii="Calibri"/>
                        <w:sz w:val="20"/>
                      </w:rPr>
                    </w:pPr>
                    <w:r>
                      <w:rPr>
                        <w:rFonts w:ascii="Calibri"/>
                        <w:sz w:val="20"/>
                      </w:rPr>
                      <w:t>50%</w:t>
                    </w:r>
                  </w:p>
                  <w:p>
                    <w:pPr>
                      <w:spacing w:before="73"/>
                      <w:ind w:left="0" w:right="-19" w:firstLine="0"/>
                      <w:jc w:val="left"/>
                      <w:rPr>
                        <w:rFonts w:ascii="Calibri"/>
                        <w:sz w:val="20"/>
                      </w:rPr>
                    </w:pPr>
                    <w:r>
                      <w:rPr>
                        <w:rFonts w:ascii="Calibri"/>
                        <w:sz w:val="20"/>
                      </w:rPr>
                      <w:t>40%</w:t>
                    </w:r>
                  </w:p>
                  <w:p>
                    <w:pPr>
                      <w:spacing w:before="73"/>
                      <w:ind w:left="0" w:right="-19" w:firstLine="0"/>
                      <w:jc w:val="left"/>
                      <w:rPr>
                        <w:rFonts w:ascii="Calibri"/>
                        <w:sz w:val="20"/>
                      </w:rPr>
                    </w:pPr>
                    <w:r>
                      <w:rPr>
                        <w:rFonts w:ascii="Calibri"/>
                        <w:sz w:val="20"/>
                      </w:rPr>
                      <w:t>30%</w:t>
                    </w:r>
                  </w:p>
                  <w:p>
                    <w:pPr>
                      <w:spacing w:before="72"/>
                      <w:ind w:left="0" w:right="-19" w:firstLine="0"/>
                      <w:jc w:val="left"/>
                      <w:rPr>
                        <w:rFonts w:ascii="Calibri"/>
                        <w:sz w:val="20"/>
                      </w:rPr>
                    </w:pPr>
                    <w:r>
                      <w:rPr>
                        <w:rFonts w:ascii="Calibri"/>
                        <w:sz w:val="20"/>
                      </w:rPr>
                      <w:t>20%</w:t>
                    </w:r>
                  </w:p>
                  <w:p>
                    <w:pPr>
                      <w:spacing w:before="73"/>
                      <w:ind w:left="0" w:right="-19" w:firstLine="0"/>
                      <w:jc w:val="left"/>
                      <w:rPr>
                        <w:rFonts w:ascii="Calibri"/>
                        <w:sz w:val="20"/>
                      </w:rPr>
                    </w:pPr>
                    <w:r>
                      <w:rPr>
                        <w:rFonts w:ascii="Calibri"/>
                        <w:sz w:val="20"/>
                      </w:rPr>
                      <w:t>10%</w:t>
                    </w:r>
                  </w:p>
                  <w:p>
                    <w:pPr>
                      <w:spacing w:line="240" w:lineRule="exact" w:before="73"/>
                      <w:ind w:left="0" w:right="-19" w:firstLine="0"/>
                      <w:jc w:val="left"/>
                      <w:rPr>
                        <w:rFonts w:ascii="Calibri"/>
                        <w:sz w:val="20"/>
                      </w:rPr>
                    </w:pPr>
                    <w:r>
                      <w:rPr>
                        <w:rFonts w:ascii="Calibri"/>
                        <w:sz w:val="20"/>
                      </w:rPr>
                      <w:t>0%</w:t>
                    </w:r>
                  </w:p>
                </w:txbxContent>
              </v:textbox>
              <w10:wrap type="none"/>
            </v:shape>
            <v:shape style="position:absolute;left:2882;top:3668;width:1120;height:444" type="#_x0000_t202" filled="false" stroked="false">
              <v:textbox inset="0,0,0,0">
                <w:txbxContent>
                  <w:p>
                    <w:pPr>
                      <w:spacing w:line="203" w:lineRule="exact" w:before="0"/>
                      <w:ind w:left="0" w:right="0" w:firstLine="0"/>
                      <w:jc w:val="center"/>
                      <w:rPr>
                        <w:rFonts w:ascii="Calibri"/>
                        <w:sz w:val="20"/>
                      </w:rPr>
                    </w:pPr>
                    <w:r>
                      <w:rPr>
                        <w:rFonts w:ascii="Calibri"/>
                        <w:sz w:val="20"/>
                      </w:rPr>
                      <w:t>SIN</w:t>
                    </w:r>
                  </w:p>
                  <w:p>
                    <w:pPr>
                      <w:spacing w:line="240" w:lineRule="exact" w:before="0"/>
                      <w:ind w:left="0" w:right="0" w:firstLine="0"/>
                      <w:jc w:val="center"/>
                      <w:rPr>
                        <w:rFonts w:ascii="Calibri" w:hAnsi="Calibri"/>
                        <w:sz w:val="20"/>
                      </w:rPr>
                    </w:pPr>
                    <w:r>
                      <w:rPr>
                        <w:rFonts w:ascii="Calibri" w:hAnsi="Calibri"/>
                        <w:spacing w:val="-1"/>
                        <w:sz w:val="20"/>
                      </w:rPr>
                      <w:t>PUNTUACIÓN</w:t>
                    </w:r>
                  </w:p>
                </w:txbxContent>
              </v:textbox>
              <w10:wrap type="none"/>
            </v:shape>
            <v:shape style="position:absolute;left:4385;top:3668;width:974;height:200" type="#_x0000_t202" filled="false" stroked="false">
              <v:textbox inset="0,0,0,0">
                <w:txbxContent>
                  <w:p>
                    <w:pPr>
                      <w:spacing w:line="199" w:lineRule="exact" w:before="0"/>
                      <w:ind w:left="0" w:right="-20" w:firstLine="0"/>
                      <w:jc w:val="left"/>
                      <w:rPr>
                        <w:rFonts w:ascii="Calibri"/>
                        <w:sz w:val="20"/>
                      </w:rPr>
                    </w:pPr>
                    <w:r>
                      <w:rPr>
                        <w:rFonts w:ascii="Calibri"/>
                        <w:sz w:val="20"/>
                      </w:rPr>
                      <w:t>&lt; 2 PUNTOS</w:t>
                    </w:r>
                  </w:p>
                </w:txbxContent>
              </v:textbox>
              <w10:wrap type="none"/>
            </v:shape>
            <v:shape style="position:absolute;left:5887;top:3668;width:828;height:200" type="#_x0000_t202" filled="false" stroked="false">
              <v:textbox inset="0,0,0,0">
                <w:txbxContent>
                  <w:p>
                    <w:pPr>
                      <w:spacing w:line="199" w:lineRule="exact" w:before="0"/>
                      <w:ind w:left="0" w:right="-15" w:firstLine="0"/>
                      <w:jc w:val="left"/>
                      <w:rPr>
                        <w:rFonts w:ascii="Calibri"/>
                        <w:sz w:val="20"/>
                      </w:rPr>
                    </w:pPr>
                    <w:r>
                      <w:rPr>
                        <w:rFonts w:ascii="Calibri"/>
                        <w:sz w:val="20"/>
                      </w:rPr>
                      <w:t>3</w:t>
                    </w:r>
                    <w:r>
                      <w:rPr>
                        <w:rFonts w:ascii="Calibri"/>
                        <w:spacing w:val="-7"/>
                        <w:sz w:val="20"/>
                      </w:rPr>
                      <w:t> </w:t>
                    </w:r>
                    <w:r>
                      <w:rPr>
                        <w:rFonts w:ascii="Calibri"/>
                        <w:sz w:val="20"/>
                      </w:rPr>
                      <w:t>PUNTOS</w:t>
                    </w:r>
                  </w:p>
                </w:txbxContent>
              </v:textbox>
              <w10:wrap type="none"/>
            </v:shape>
            <v:shape style="position:absolute;left:7244;top:3668;width:974;height:200" type="#_x0000_t202" filled="false" stroked="false">
              <v:textbox inset="0,0,0,0">
                <w:txbxContent>
                  <w:p>
                    <w:pPr>
                      <w:spacing w:line="199" w:lineRule="exact" w:before="0"/>
                      <w:ind w:left="0" w:right="-20" w:firstLine="0"/>
                      <w:jc w:val="left"/>
                      <w:rPr>
                        <w:rFonts w:ascii="Calibri"/>
                        <w:sz w:val="20"/>
                      </w:rPr>
                    </w:pPr>
                    <w:r>
                      <w:rPr>
                        <w:rFonts w:ascii="Calibri"/>
                        <w:sz w:val="20"/>
                      </w:rPr>
                      <w:t>&gt; 4 PUNTOS</w:t>
                    </w:r>
                  </w:p>
                </w:txbxContent>
              </v:textbox>
              <w10:wrap type="none"/>
            </v:shape>
            <v:shape style="position:absolute;left:8673;top:3668;width:974;height:200" type="#_x0000_t202" filled="false" stroked="false">
              <v:textbox inset="0,0,0,0">
                <w:txbxContent>
                  <w:p>
                    <w:pPr>
                      <w:spacing w:line="199" w:lineRule="exact" w:before="0"/>
                      <w:ind w:left="0" w:right="-20" w:firstLine="0"/>
                      <w:jc w:val="left"/>
                      <w:rPr>
                        <w:rFonts w:ascii="Calibri"/>
                        <w:sz w:val="20"/>
                      </w:rPr>
                    </w:pPr>
                    <w:r>
                      <w:rPr>
                        <w:rFonts w:ascii="Calibri"/>
                        <w:sz w:val="20"/>
                      </w:rPr>
                      <w:t>&gt; 6 PUNTOS</w:t>
                    </w:r>
                  </w:p>
                </w:txbxContent>
              </v:textbox>
              <w10:wrap type="none"/>
            </v:shape>
            <w10:wrap type="topAndBottom"/>
          </v:group>
        </w:pict>
      </w:r>
    </w:p>
    <w:p>
      <w:pPr>
        <w:pStyle w:val="BodyText"/>
        <w:spacing w:before="4"/>
        <w:rPr>
          <w:sz w:val="28"/>
        </w:rPr>
      </w:pPr>
    </w:p>
    <w:p>
      <w:pPr>
        <w:spacing w:before="0"/>
        <w:ind w:left="2384" w:right="2385" w:firstLine="0"/>
        <w:jc w:val="center"/>
        <w:rPr>
          <w:b/>
          <w:sz w:val="14"/>
        </w:rPr>
      </w:pPr>
      <w:r>
        <w:rPr>
          <w:b/>
          <w:sz w:val="14"/>
        </w:rPr>
        <w:t>FUENTE: BASE DE DATOS, HMPMPS.</w:t>
      </w:r>
    </w:p>
    <w:p>
      <w:pPr>
        <w:spacing w:after="0"/>
        <w:jc w:val="center"/>
        <w:rPr>
          <w:sz w:val="14"/>
        </w:rPr>
        <w:sectPr>
          <w:pgSz w:w="12240" w:h="15840"/>
          <w:pgMar w:header="0" w:footer="1802" w:top="1360" w:bottom="2040" w:left="1600" w:right="1080"/>
        </w:sectPr>
      </w:pPr>
    </w:p>
    <w:p>
      <w:pPr>
        <w:pStyle w:val="BodyText"/>
        <w:spacing w:line="360" w:lineRule="auto" w:before="54"/>
        <w:ind w:left="102" w:right="109" w:firstLine="201"/>
        <w:jc w:val="both"/>
      </w:pPr>
      <w:r>
        <w:rPr/>
        <w:t>El lugar de activación del Código Mater con mayor frecuencia fue en la sala de choque 78 % (67), seguido por el área de tococirugía 14% (12) y con menor frecuencia en áreas como hospitalizacion 6 % (5) y codigo verde 2 % (2)</w:t>
      </w:r>
    </w:p>
    <w:p>
      <w:pPr>
        <w:pStyle w:val="BodyText"/>
        <w:spacing w:before="204"/>
        <w:ind w:left="102" w:right="179"/>
      </w:pPr>
      <w:r>
        <w:rPr/>
        <w:t>Gráfica 11. Área de activacion del Código Mater</w:t>
      </w:r>
    </w:p>
    <w:p>
      <w:pPr>
        <w:pStyle w:val="BodyText"/>
        <w:spacing w:before="5"/>
        <w:rPr>
          <w:sz w:val="25"/>
        </w:rPr>
      </w:pPr>
      <w:r>
        <w:rPr/>
        <w:pict>
          <v:group style="position:absolute;margin-left:97.324997pt;margin-top:16.622055pt;width:442.5pt;height:168pt;mso-position-horizontal-relative:page;mso-position-vertical-relative:paragraph;z-index:5104;mso-wrap-distance-left:0;mso-wrap-distance-right:0" coordorigin="1946,332" coordsize="8850,3360">
            <v:line style="position:absolute" from="9848,2711" to="9874,2711" stroked="true" strokeweight=".72pt" strokecolor="#858585"/>
            <v:line style="position:absolute" from="3686,2711" to="8086,2711" stroked="true" strokeweight=".72pt" strokecolor="#858585"/>
            <v:line style="position:absolute" from="2472,2711" to="3108,2711" stroked="true" strokeweight=".72pt" strokecolor="#858585"/>
            <v:line style="position:absolute" from="3686,2238" to="4650,2238" stroked="true" strokeweight=".72pt" strokecolor="#858585"/>
            <v:line style="position:absolute" from="2472,2238" to="3108,2238" stroked="true" strokeweight=".72pt" strokecolor="#858585"/>
            <v:line style="position:absolute" from="3686,1766" to="9874,1766" stroked="true" strokeweight=".72pt" strokecolor="#858585"/>
            <v:line style="position:absolute" from="2472,1766" to="3108,1766" stroked="true" strokeweight=".72pt" strokecolor="#858585"/>
            <v:rect style="position:absolute;left:3108;top:1602;width:578;height:1582" filled="true" fillcolor="#4f81bc" stroked="false">
              <v:fill type="solid"/>
            </v:rect>
            <v:rect style="position:absolute;left:6809;top:2901;width:578;height:283" filled="true" fillcolor="#4f81bc" stroked="false">
              <v:fill type="solid"/>
            </v:rect>
            <v:line style="position:absolute" from="8659,3160" to="9238,3160" stroked="true" strokeweight="2.4pt" strokecolor="#4f81bc"/>
            <v:line style="position:absolute" from="6298,2238" to="9874,2238" stroked="true" strokeweight=".72pt" strokecolor="#858585"/>
            <v:line style="position:absolute" from="4221,1295" to="9874,1295" stroked="true" strokeweight=".72pt" strokecolor="#858585"/>
            <v:line style="position:absolute" from="9874,3184" to="9874,1295" stroked="true" strokeweight=".72pt" strokecolor="#858585"/>
            <v:line style="position:absolute" from="9874,3184" to="9938,3184" stroked="true" strokeweight=".72pt" strokecolor="#858585"/>
            <v:line style="position:absolute" from="9874,2807" to="9938,2807" stroked="true" strokeweight=".72pt" strokecolor="#858585"/>
            <v:line style="position:absolute" from="9874,2428" to="9938,2428" stroked="true" strokeweight=".72pt" strokecolor="#858585"/>
            <v:line style="position:absolute" from="9874,2051" to="9938,2051" stroked="true" strokeweight=".72pt" strokecolor="#858585"/>
            <v:line style="position:absolute" from="9874,1672" to="9938,1672" stroked="true" strokeweight=".72pt" strokecolor="#858585"/>
            <v:line style="position:absolute" from="9874,1295" to="9938,1295" stroked="true" strokeweight=".72pt" strokecolor="#858585"/>
            <v:line style="position:absolute" from="2472,1295" to="2890,1295" stroked="true" strokeweight=".72pt" strokecolor="#858585"/>
            <v:line style="position:absolute" from="2472,3184" to="2472,1295" stroked="true" strokeweight=".72pt" strokecolor="#858585"/>
            <v:line style="position:absolute" from="2472,3184" to="9874,3184" stroked="true" strokeweight=".72pt" strokecolor="#858585"/>
            <v:shape style="position:absolute;left:3396;top:1713;width:5554;height:1428" coordorigin="3396,1713" coordsize="5554,1428" path="m3396,1713l5249,3074,7099,2920,8950,3141e" filled="false" stroked="true" strokeweight="2.16pt" strokecolor="#bd4a47">
              <v:path arrowok="t"/>
            </v:shape>
            <v:rect style="position:absolute;left:2890;top:1264;width:1330;height:304" filled="false" stroked="true" strokeweight=".75pt" strokecolor="#585858"/>
            <v:rect style="position:absolute;left:4650;top:2011;width:1648;height:548" filled="false" stroked="true" strokeweight=".75pt" strokecolor="#585858"/>
            <v:rect style="position:absolute;left:6419;top:2231;width:1761;height:304" filled="false" stroked="true" strokeweight=".75pt" strokecolor="#585858"/>
            <v:rect style="position:absolute;left:8086;top:2565;width:1761;height:304" filled="true" fillcolor="#ffffff" stroked="false">
              <v:fill type="solid"/>
            </v:rect>
            <v:rect style="position:absolute;left:8086;top:2565;width:1761;height:304" filled="false" stroked="true" strokeweight=".75pt" strokecolor="#585858"/>
            <v:rect style="position:absolute;left:1954;top:340;width:8835;height:3345" filled="false" stroked="true" strokeweight=".75pt" strokecolor="#858585"/>
            <v:shape style="position:absolute;left:3741;top:522;width:5263;height:516" type="#_x0000_t202" filled="false" stroked="false">
              <v:textbox inset="0,0,0,0">
                <w:txbxContent>
                  <w:p>
                    <w:pPr>
                      <w:spacing w:line="245" w:lineRule="exact" w:before="0"/>
                      <w:ind w:left="0" w:right="0" w:firstLine="0"/>
                      <w:jc w:val="center"/>
                      <w:rPr>
                        <w:b/>
                        <w:sz w:val="24"/>
                      </w:rPr>
                    </w:pPr>
                    <w:r>
                      <w:rPr>
                        <w:b/>
                        <w:sz w:val="24"/>
                      </w:rPr>
                      <w:t>LUGAR DE </w:t>
                    </w:r>
                    <w:r>
                      <w:rPr>
                        <w:b/>
                        <w:spacing w:val="-3"/>
                        <w:sz w:val="24"/>
                      </w:rPr>
                      <w:t>ACTIVACION </w:t>
                    </w:r>
                    <w:r>
                      <w:rPr>
                        <w:b/>
                        <w:sz w:val="24"/>
                      </w:rPr>
                      <w:t>DEL CODIGO </w:t>
                    </w:r>
                    <w:r>
                      <w:rPr>
                        <w:b/>
                        <w:spacing w:val="-6"/>
                        <w:sz w:val="24"/>
                      </w:rPr>
                      <w:t>MATER</w:t>
                    </w:r>
                  </w:p>
                  <w:p>
                    <w:pPr>
                      <w:spacing w:line="271" w:lineRule="exact" w:before="0"/>
                      <w:ind w:left="0" w:right="0" w:firstLine="0"/>
                      <w:jc w:val="center"/>
                      <w:rPr>
                        <w:b/>
                        <w:sz w:val="24"/>
                      </w:rPr>
                    </w:pPr>
                    <w:r>
                      <w:rPr>
                        <w:b/>
                        <w:sz w:val="24"/>
                      </w:rPr>
                      <w:t>2015, HMP "MONICA PRETELINI SAENZ"</w:t>
                    </w:r>
                  </w:p>
                </w:txbxContent>
              </v:textbox>
              <w10:wrap type="none"/>
            </v:shape>
            <v:shape style="position:absolute;left:2084;top:1202;width:202;height:672" type="#_x0000_t202" filled="false" stroked="false">
              <v:textbox inset="0,0,0,0">
                <w:txbxContent>
                  <w:p>
                    <w:pPr>
                      <w:spacing w:line="203" w:lineRule="exact" w:before="0"/>
                      <w:ind w:left="0" w:right="-19" w:firstLine="0"/>
                      <w:jc w:val="left"/>
                      <w:rPr>
                        <w:rFonts w:ascii="Calibri"/>
                        <w:sz w:val="20"/>
                      </w:rPr>
                    </w:pPr>
                    <w:r>
                      <w:rPr>
                        <w:rFonts w:ascii="Calibri"/>
                        <w:spacing w:val="-1"/>
                        <w:sz w:val="20"/>
                      </w:rPr>
                      <w:t>80</w:t>
                    </w:r>
                  </w:p>
                  <w:p>
                    <w:pPr>
                      <w:spacing w:line="240" w:lineRule="auto" w:before="10"/>
                      <w:rPr>
                        <w:sz w:val="19"/>
                      </w:rPr>
                    </w:pPr>
                  </w:p>
                  <w:p>
                    <w:pPr>
                      <w:spacing w:line="240" w:lineRule="exact" w:before="0"/>
                      <w:ind w:left="0" w:right="-19" w:firstLine="0"/>
                      <w:jc w:val="left"/>
                      <w:rPr>
                        <w:rFonts w:ascii="Calibri"/>
                        <w:sz w:val="20"/>
                      </w:rPr>
                    </w:pPr>
                    <w:r>
                      <w:rPr>
                        <w:rFonts w:ascii="Calibri"/>
                        <w:spacing w:val="-1"/>
                        <w:sz w:val="20"/>
                      </w:rPr>
                      <w:t>60</w:t>
                    </w:r>
                  </w:p>
                </w:txbxContent>
              </v:textbox>
              <w10:wrap type="none"/>
            </v:shape>
            <v:shape style="position:absolute;left:2951;top:1334;width:1210;height:514" type="#_x0000_t202" filled="false" stroked="false">
              <v:textbox inset="0,0,0,0">
                <w:txbxContent>
                  <w:p>
                    <w:pPr>
                      <w:spacing w:line="203" w:lineRule="exact" w:before="0"/>
                      <w:ind w:left="0" w:right="-14" w:firstLine="0"/>
                      <w:jc w:val="left"/>
                      <w:rPr>
                        <w:rFonts w:ascii="Calibri"/>
                        <w:sz w:val="20"/>
                      </w:rPr>
                    </w:pPr>
                    <w:r>
                      <w:rPr>
                        <w:rFonts w:ascii="Calibri"/>
                        <w:sz w:val="20"/>
                      </w:rPr>
                      <w:t>CHOQUE, 78</w:t>
                    </w:r>
                    <w:r>
                      <w:rPr>
                        <w:rFonts w:ascii="Calibri"/>
                        <w:spacing w:val="-7"/>
                        <w:sz w:val="20"/>
                      </w:rPr>
                      <w:t> </w:t>
                    </w:r>
                    <w:r>
                      <w:rPr>
                        <w:rFonts w:ascii="Calibri"/>
                        <w:sz w:val="20"/>
                      </w:rPr>
                      <w:t>%</w:t>
                    </w:r>
                  </w:p>
                  <w:p>
                    <w:pPr>
                      <w:spacing w:line="240" w:lineRule="exact" w:before="70"/>
                      <w:ind w:left="332" w:right="-14" w:firstLine="0"/>
                      <w:jc w:val="left"/>
                      <w:rPr>
                        <w:rFonts w:ascii="Calibri"/>
                        <w:sz w:val="20"/>
                      </w:rPr>
                    </w:pPr>
                    <w:r>
                      <w:rPr>
                        <w:rFonts w:ascii="Calibri"/>
                        <w:sz w:val="20"/>
                      </w:rPr>
                      <w:t>67</w:t>
                    </w:r>
                  </w:p>
                </w:txbxContent>
              </v:textbox>
              <w10:wrap type="none"/>
            </v:shape>
            <v:shape style="position:absolute;left:10062;top:1202;width:599;height:578" type="#_x0000_t202" filled="false" stroked="false">
              <v:textbox inset="0,0,0,0">
                <w:txbxContent>
                  <w:p>
                    <w:pPr>
                      <w:spacing w:line="203" w:lineRule="exact" w:before="0"/>
                      <w:ind w:left="0" w:right="0" w:firstLine="0"/>
                      <w:jc w:val="left"/>
                      <w:rPr>
                        <w:rFonts w:ascii="Calibri"/>
                        <w:sz w:val="20"/>
                      </w:rPr>
                    </w:pPr>
                    <w:r>
                      <w:rPr>
                        <w:rFonts w:ascii="Calibri"/>
                        <w:w w:val="95"/>
                        <w:sz w:val="20"/>
                      </w:rPr>
                      <w:t>100.0%</w:t>
                    </w:r>
                  </w:p>
                  <w:p>
                    <w:pPr>
                      <w:spacing w:line="240" w:lineRule="exact" w:before="134"/>
                      <w:ind w:left="0" w:right="0" w:firstLine="0"/>
                      <w:jc w:val="left"/>
                      <w:rPr>
                        <w:rFonts w:ascii="Calibri"/>
                        <w:sz w:val="20"/>
                      </w:rPr>
                    </w:pPr>
                    <w:r>
                      <w:rPr>
                        <w:rFonts w:ascii="Calibri"/>
                        <w:sz w:val="20"/>
                      </w:rPr>
                      <w:t>80.0%</w:t>
                    </w:r>
                  </w:p>
                </w:txbxContent>
              </v:textbox>
              <w10:wrap type="none"/>
            </v:shape>
            <v:shape style="position:absolute;left:2084;top:2147;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40</w:t>
                    </w:r>
                  </w:p>
                </w:txbxContent>
              </v:textbox>
              <w10:wrap type="none"/>
            </v:shape>
            <v:shape style="position:absolute;left:4712;top:2082;width:3408;height:444" type="#_x0000_t202" filled="false" stroked="false">
              <v:textbox inset="0,0,0,0">
                <w:txbxContent>
                  <w:p>
                    <w:pPr>
                      <w:spacing w:line="191" w:lineRule="exact" w:before="0"/>
                      <w:ind w:left="0" w:right="0" w:firstLine="0"/>
                      <w:jc w:val="left"/>
                      <w:rPr>
                        <w:rFonts w:ascii="Calibri" w:hAnsi="Calibri"/>
                        <w:sz w:val="20"/>
                      </w:rPr>
                    </w:pPr>
                    <w:r>
                      <w:rPr>
                        <w:rFonts w:ascii="Calibri" w:hAnsi="Calibri"/>
                        <w:sz w:val="20"/>
                      </w:rPr>
                      <w:t>HOSPITALIZACIÓN,</w:t>
                    </w:r>
                  </w:p>
                  <w:p>
                    <w:pPr>
                      <w:tabs>
                        <w:tab w:pos="1768" w:val="left" w:leader="none"/>
                      </w:tabs>
                      <w:spacing w:line="252" w:lineRule="exact" w:before="0"/>
                      <w:ind w:left="619" w:right="0" w:firstLine="0"/>
                      <w:jc w:val="left"/>
                      <w:rPr>
                        <w:rFonts w:ascii="Calibri"/>
                        <w:sz w:val="20"/>
                      </w:rPr>
                    </w:pPr>
                    <w:r>
                      <w:rPr>
                        <w:rFonts w:ascii="Calibri"/>
                        <w:position w:val="-1"/>
                        <w:sz w:val="20"/>
                      </w:rPr>
                      <w:t>6</w:t>
                    </w:r>
                    <w:r>
                      <w:rPr>
                        <w:rFonts w:ascii="Calibri"/>
                        <w:spacing w:val="-2"/>
                        <w:position w:val="-1"/>
                        <w:sz w:val="20"/>
                      </w:rPr>
                      <w:t> </w:t>
                    </w:r>
                    <w:r>
                      <w:rPr>
                        <w:rFonts w:ascii="Calibri"/>
                        <w:position w:val="-1"/>
                        <w:sz w:val="20"/>
                      </w:rPr>
                      <w:t>%</w:t>
                      <w:tab/>
                    </w:r>
                    <w:r>
                      <w:rPr>
                        <w:rFonts w:ascii="Calibri"/>
                        <w:sz w:val="20"/>
                      </w:rPr>
                      <w:t>TOCOCIRUGIA, 14</w:t>
                    </w:r>
                    <w:r>
                      <w:rPr>
                        <w:rFonts w:ascii="Calibri"/>
                        <w:spacing w:val="-9"/>
                        <w:sz w:val="20"/>
                      </w:rPr>
                      <w:t> </w:t>
                    </w:r>
                    <w:r>
                      <w:rPr>
                        <w:rFonts w:ascii="Calibri"/>
                        <w:sz w:val="20"/>
                      </w:rPr>
                      <w:t>%</w:t>
                    </w:r>
                  </w:p>
                </w:txbxContent>
              </v:textbox>
              <w10:wrap type="none"/>
            </v:shape>
            <v:shape style="position:absolute;left:2084;top:2619;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20</w:t>
                    </w:r>
                  </w:p>
                </w:txbxContent>
              </v:textbox>
              <w10:wrap type="none"/>
            </v:shape>
            <v:shape style="position:absolute;left:6999;top:2857;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12</w:t>
                    </w:r>
                  </w:p>
                </w:txbxContent>
              </v:textbox>
              <w10:wrap type="none"/>
            </v:shape>
            <v:shape style="position:absolute;left:8148;top:2636;width:1640;height:432" type="#_x0000_t202" filled="false" stroked="false">
              <v:textbox inset="0,0,0,0">
                <w:txbxContent>
                  <w:p>
                    <w:pPr>
                      <w:spacing w:line="197" w:lineRule="exact" w:before="0"/>
                      <w:ind w:left="0" w:right="-11" w:firstLine="0"/>
                      <w:jc w:val="left"/>
                      <w:rPr>
                        <w:rFonts w:ascii="Calibri"/>
                        <w:sz w:val="20"/>
                      </w:rPr>
                    </w:pPr>
                    <w:r>
                      <w:rPr>
                        <w:rFonts w:ascii="Calibri"/>
                        <w:sz w:val="20"/>
                      </w:rPr>
                      <w:t>CODIGO VERDE, 2</w:t>
                    </w:r>
                    <w:r>
                      <w:rPr>
                        <w:rFonts w:ascii="Calibri"/>
                        <w:spacing w:val="-11"/>
                        <w:sz w:val="20"/>
                      </w:rPr>
                      <w:t> </w:t>
                    </w:r>
                    <w:r>
                      <w:rPr>
                        <w:rFonts w:ascii="Calibri"/>
                        <w:sz w:val="20"/>
                      </w:rPr>
                      <w:t>%</w:t>
                    </w:r>
                  </w:p>
                  <w:p>
                    <w:pPr>
                      <w:spacing w:line="235" w:lineRule="exact" w:before="0"/>
                      <w:ind w:left="414" w:right="0" w:firstLine="0"/>
                      <w:jc w:val="center"/>
                      <w:rPr>
                        <w:rFonts w:ascii="Calibri"/>
                        <w:sz w:val="20"/>
                      </w:rPr>
                    </w:pPr>
                    <w:r>
                      <w:rPr>
                        <w:rFonts w:ascii="Calibri"/>
                        <w:w w:val="99"/>
                        <w:sz w:val="20"/>
                      </w:rPr>
                      <w:t>2</w:t>
                    </w:r>
                  </w:p>
                </w:txbxContent>
              </v:textbox>
              <w10:wrap type="none"/>
            </v:shape>
            <v:shape style="position:absolute;left:2186;top:3092;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0</w:t>
                    </w:r>
                  </w:p>
                </w:txbxContent>
              </v:textbox>
              <w10:wrap type="none"/>
            </v:shape>
            <v:shape style="position:absolute;left:10062;top:1958;width:498;height:1334" type="#_x0000_t202" filled="false" stroked="false">
              <v:textbox inset="0,0,0,0">
                <w:txbxContent>
                  <w:p>
                    <w:pPr>
                      <w:spacing w:line="203" w:lineRule="exact" w:before="0"/>
                      <w:ind w:left="0" w:right="0" w:firstLine="0"/>
                      <w:jc w:val="left"/>
                      <w:rPr>
                        <w:rFonts w:ascii="Calibri"/>
                        <w:sz w:val="20"/>
                      </w:rPr>
                    </w:pPr>
                    <w:r>
                      <w:rPr>
                        <w:rFonts w:ascii="Calibri"/>
                        <w:w w:val="95"/>
                        <w:sz w:val="20"/>
                      </w:rPr>
                      <w:t>60.0%</w:t>
                    </w:r>
                  </w:p>
                  <w:p>
                    <w:pPr>
                      <w:spacing w:before="134"/>
                      <w:ind w:left="0" w:right="0" w:firstLine="0"/>
                      <w:jc w:val="left"/>
                      <w:rPr>
                        <w:rFonts w:ascii="Calibri"/>
                        <w:sz w:val="20"/>
                      </w:rPr>
                    </w:pPr>
                    <w:r>
                      <w:rPr>
                        <w:rFonts w:ascii="Calibri"/>
                        <w:w w:val="95"/>
                        <w:sz w:val="20"/>
                      </w:rPr>
                      <w:t>40.0%</w:t>
                    </w:r>
                  </w:p>
                  <w:p>
                    <w:pPr>
                      <w:spacing w:before="133"/>
                      <w:ind w:left="0" w:right="0" w:firstLine="0"/>
                      <w:jc w:val="left"/>
                      <w:rPr>
                        <w:rFonts w:ascii="Calibri"/>
                        <w:sz w:val="20"/>
                      </w:rPr>
                    </w:pPr>
                    <w:r>
                      <w:rPr>
                        <w:rFonts w:ascii="Calibri"/>
                        <w:w w:val="95"/>
                        <w:sz w:val="20"/>
                      </w:rPr>
                      <w:t>20.0%</w:t>
                    </w:r>
                  </w:p>
                  <w:p>
                    <w:pPr>
                      <w:spacing w:line="240" w:lineRule="exact" w:before="134"/>
                      <w:ind w:left="0" w:right="0" w:firstLine="0"/>
                      <w:jc w:val="left"/>
                      <w:rPr>
                        <w:rFonts w:ascii="Calibri"/>
                        <w:sz w:val="20"/>
                      </w:rPr>
                    </w:pPr>
                    <w:r>
                      <w:rPr>
                        <w:rFonts w:ascii="Calibri"/>
                        <w:sz w:val="20"/>
                      </w:rPr>
                      <w:t>0.0%</w:t>
                    </w:r>
                  </w:p>
                </w:txbxContent>
              </v:textbox>
              <w10:wrap type="none"/>
            </v:shape>
            <v:shape style="position:absolute;left:3036;top:3352;width:724;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CHOQUE</w:t>
                    </w:r>
                  </w:p>
                </w:txbxContent>
              </v:textbox>
              <w10:wrap type="none"/>
            </v:shape>
            <v:shape style="position:absolute;left:4510;top:2972;width:1477;height:579" type="#_x0000_t202" filled="false" stroked="false">
              <v:textbox inset="0,0,0,0">
                <w:txbxContent>
                  <w:p>
                    <w:pPr>
                      <w:tabs>
                        <w:tab w:pos="578" w:val="left" w:leader="none"/>
                      </w:tabs>
                      <w:spacing w:line="203" w:lineRule="exact" w:before="0"/>
                      <w:ind w:left="0" w:right="0" w:firstLine="0"/>
                      <w:jc w:val="center"/>
                      <w:rPr>
                        <w:rFonts w:ascii="Calibri"/>
                        <w:sz w:val="20"/>
                      </w:rPr>
                    </w:pPr>
                    <w:r>
                      <w:rPr>
                        <w:rFonts w:ascii="Calibri"/>
                        <w:w w:val="99"/>
                        <w:sz w:val="20"/>
                        <w:u w:val="thick" w:color="4F81BC"/>
                      </w:rPr>
                      <w:t> </w:t>
                    </w:r>
                    <w:r>
                      <w:rPr>
                        <w:rFonts w:ascii="Calibri"/>
                        <w:sz w:val="20"/>
                        <w:u w:val="thick" w:color="4F81BC"/>
                      </w:rPr>
                      <w:t>  </w:t>
                    </w:r>
                    <w:r>
                      <w:rPr>
                        <w:rFonts w:ascii="Calibri"/>
                        <w:spacing w:val="17"/>
                        <w:sz w:val="20"/>
                        <w:u w:val="thick" w:color="4F81BC"/>
                      </w:rPr>
                      <w:t> </w:t>
                    </w:r>
                    <w:r>
                      <w:rPr>
                        <w:rFonts w:ascii="Calibri"/>
                        <w:sz w:val="20"/>
                        <w:u w:val="thick" w:color="4F81BC"/>
                      </w:rPr>
                      <w:t>5</w:t>
                      <w:tab/>
                    </w:r>
                  </w:p>
                  <w:p>
                    <w:pPr>
                      <w:spacing w:line="240" w:lineRule="exact" w:before="135"/>
                      <w:ind w:left="-1" w:right="0" w:firstLine="0"/>
                      <w:jc w:val="center"/>
                      <w:rPr>
                        <w:rFonts w:ascii="Calibri" w:hAnsi="Calibri"/>
                        <w:sz w:val="20"/>
                      </w:rPr>
                    </w:pPr>
                    <w:r>
                      <w:rPr>
                        <w:rFonts w:ascii="Calibri" w:hAnsi="Calibri"/>
                        <w:spacing w:val="-1"/>
                        <w:sz w:val="20"/>
                      </w:rPr>
                      <w:t>HOSPITALIZACIÓN</w:t>
                    </w:r>
                  </w:p>
                </w:txbxContent>
              </v:textbox>
              <w10:wrap type="none"/>
            </v:shape>
            <v:shape style="position:absolute;left:6522;top:3352;width:1154;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TOCOCIRUGIA</w:t>
                    </w:r>
                  </w:p>
                </w:txbxContent>
              </v:textbox>
              <w10:wrap type="none"/>
            </v:shape>
            <v:shape style="position:absolute;left:8322;top:3352;width:1256;height:200" type="#_x0000_t202" filled="false" stroked="false">
              <v:textbox inset="0,0,0,0">
                <w:txbxContent>
                  <w:p>
                    <w:pPr>
                      <w:spacing w:line="199" w:lineRule="exact" w:before="0"/>
                      <w:ind w:left="0" w:right="-12" w:firstLine="0"/>
                      <w:jc w:val="left"/>
                      <w:rPr>
                        <w:rFonts w:ascii="Calibri"/>
                        <w:sz w:val="20"/>
                      </w:rPr>
                    </w:pPr>
                    <w:r>
                      <w:rPr>
                        <w:rFonts w:ascii="Calibri"/>
                        <w:sz w:val="20"/>
                      </w:rPr>
                      <w:t>CODIGO</w:t>
                    </w:r>
                    <w:r>
                      <w:rPr>
                        <w:rFonts w:ascii="Calibri"/>
                        <w:spacing w:val="-9"/>
                        <w:sz w:val="20"/>
                      </w:rPr>
                      <w:t> </w:t>
                    </w:r>
                    <w:r>
                      <w:rPr>
                        <w:rFonts w:ascii="Calibri"/>
                        <w:sz w:val="20"/>
                      </w:rPr>
                      <w:t>VERDE</w:t>
                    </w:r>
                  </w:p>
                </w:txbxContent>
              </v:textbox>
              <w10:wrap type="none"/>
            </v:shape>
            <w10:wrap type="topAndBottom"/>
          </v:group>
        </w:pict>
      </w:r>
    </w:p>
    <w:p>
      <w:pPr>
        <w:pStyle w:val="BodyText"/>
        <w:rPr>
          <w:sz w:val="27"/>
        </w:rPr>
      </w:pPr>
    </w:p>
    <w:p>
      <w:pPr>
        <w:spacing w:before="1"/>
        <w:ind w:left="2382" w:right="2385" w:firstLine="0"/>
        <w:jc w:val="center"/>
        <w:rPr>
          <w:b/>
          <w:sz w:val="14"/>
        </w:rPr>
      </w:pPr>
      <w:r>
        <w:rPr>
          <w:b/>
          <w:sz w:val="14"/>
        </w:rPr>
        <w:t>FUENTE: BASE DE DATOS, HMPMPS.</w:t>
      </w:r>
    </w:p>
    <w:p>
      <w:pPr>
        <w:pStyle w:val="BodyText"/>
        <w:rPr>
          <w:b/>
          <w:sz w:val="14"/>
        </w:rPr>
      </w:pPr>
    </w:p>
    <w:p>
      <w:pPr>
        <w:pStyle w:val="BodyText"/>
        <w:spacing w:line="360" w:lineRule="auto" w:before="124"/>
        <w:ind w:left="102" w:right="108" w:firstLine="201"/>
        <w:jc w:val="both"/>
      </w:pPr>
      <w:r>
        <w:rPr/>
        <w:pict>
          <v:group style="position:absolute;margin-left:137.824997pt;margin-top:57.240852pt;width:360.75pt;height:207pt;mso-position-horizontal-relative:page;mso-position-vertical-relative:paragraph;z-index:-73816" coordorigin="2756,1145" coordsize="7215,4140">
            <v:shape style="position:absolute;left:4438;top:3600;width:5307;height:202" coordorigin="4438,3600" coordsize="5307,202" path="m7092,3802l9744,3802m6029,3802l6787,3802m4968,3802l5726,3802m4438,3802l4663,3802m4968,3600l5726,3600m4438,3600l4663,3600e" filled="false" stroked="true" strokeweight=".72pt" strokecolor="#858585">
              <v:path arrowok="t"/>
            </v:shape>
            <v:rect style="position:absolute;left:4663;top:3559;width:305;height:444" filled="true" fillcolor="#4f81bc" stroked="false">
              <v:fill type="solid"/>
            </v:rect>
            <v:shape style="position:absolute;left:4438;top:2998;width:2350;height:603" coordorigin="4438,2998" coordsize="2350,603" path="m6029,3600l6787,3600m6029,3399l6787,3399m4438,3399l5726,3399m6029,3199l6787,3199m4438,3199l5726,3199m6029,2998l6787,2998m4438,2998l5726,2998e" filled="false" stroked="true" strokeweight=".72pt" strokecolor="#858585">
              <v:path arrowok="t"/>
            </v:shape>
            <v:rect style="position:absolute;left:5726;top:2919;width:302;height:1085" filled="true" fillcolor="#4f81bc" stroked="false">
              <v:fill type="solid"/>
            </v:rect>
            <v:shape style="position:absolute;left:4438;top:2194;width:5307;height:1407" coordorigin="4438,2194" coordsize="5307,1407" path="m7092,3600l9744,3600m7092,3399l9744,3399m7092,3199l9744,3199m7092,2998l9744,2998m7092,2796l9744,2796m4438,2796l6787,2796m7092,2597l9744,2597m4438,2597l6787,2597m7092,2395l9744,2395m4438,2395l6787,2395m7092,2194l9744,2194m4438,2194l6787,2194e" filled="false" stroked="true" strokeweight=".72pt" strokecolor="#858585">
              <v:path arrowok="t"/>
            </v:shape>
            <v:rect style="position:absolute;left:6787;top:2115;width:305;height:1889" filled="true" fillcolor="#4f81bc" stroked="false">
              <v:fill type="solid"/>
            </v:rect>
            <v:line style="position:absolute" from="8911,3983" to="9214,3983" stroked="true" strokeweight="2.04pt" strokecolor="#4f81bc"/>
            <v:line style="position:absolute" from="4968,4000" to="5270,4000" stroked="true" strokeweight=".36pt" strokecolor="#c0504d"/>
            <v:line style="position:absolute" from="6029,3996" to="6334,3996" stroked="true" strokeweight=".72pt" strokecolor="#c0504d"/>
            <v:line style="position:absolute" from="7092,3991" to="7394,3991" stroked="true" strokeweight="1.2pt" strokecolor="#c0504d"/>
            <v:line style="position:absolute" from="9214,4002" to="9518,4002" stroked="true" strokeweight=".12pt" strokecolor="#c0504d"/>
            <v:shape style="position:absolute;left:3106;top:1995;width:6639;height:3183" coordorigin="3106,1995" coordsize="6639,3183" path="m4438,1995l9744,1995m4438,4003l4438,1995m4438,4003l9744,4003m4438,4003l9744,4003m4438,4003l4438,4553m5498,4003l5498,4553m6559,4003l6559,4553m7622,4003l7622,4553m8683,4003l8683,4553m9744,4003l9744,4553m3106,4553l9744,4553m3106,4553l3106,4865m4438,4553l4438,4865m5498,4553l5498,4865m6559,4553l6559,4865m7622,4553l7622,4865m8683,4553l8683,4865m9744,4553l9744,4865m3106,4865l9744,4865m3106,4865l3106,5177,9744,5177m4438,4865l4438,5177m5498,4865l5498,5177m6559,4865l6559,5177m7622,4865l7622,5177m8683,4865l8683,5177m9744,4865l9744,5177e" filled="false" stroked="true" strokeweight=".72pt" strokecolor="#858585">
              <v:path arrowok="t"/>
            </v:shape>
            <v:rect style="position:absolute;left:2764;top:1152;width:7200;height:4125" filled="false" stroked="true" strokeweight=".75pt" strokecolor="#858585"/>
            <v:shape style="position:absolute;left:5362;top:1377;width:2005;height:360" type="#_x0000_t202" filled="false" stroked="false">
              <v:textbox inset="0,0,0,0">
                <w:txbxContent>
                  <w:p>
                    <w:pPr>
                      <w:spacing w:line="360" w:lineRule="exact" w:before="0"/>
                      <w:ind w:left="0" w:right="-15" w:firstLine="0"/>
                      <w:jc w:val="left"/>
                      <w:rPr>
                        <w:rFonts w:ascii="Calibri"/>
                        <w:b/>
                        <w:sz w:val="36"/>
                      </w:rPr>
                    </w:pPr>
                    <w:r>
                      <w:rPr>
                        <w:rFonts w:ascii="Calibri"/>
                        <w:b/>
                        <w:spacing w:val="-6"/>
                        <w:sz w:val="36"/>
                      </w:rPr>
                      <w:t>ESTADO </w:t>
                    </w:r>
                    <w:r>
                      <w:rPr>
                        <w:rFonts w:ascii="Calibri"/>
                        <w:b/>
                        <w:sz w:val="36"/>
                      </w:rPr>
                      <w:t>CIVIL</w:t>
                    </w:r>
                  </w:p>
                </w:txbxContent>
              </v:textbox>
              <w10:wrap type="none"/>
            </v:shape>
            <v:shape style="position:absolute;left:4048;top:1902;width:203;height:2208" type="#_x0000_t202" filled="false" stroked="false">
              <v:textbox inset="0,0,0,0">
                <w:txbxContent>
                  <w:p>
                    <w:pPr>
                      <w:spacing w:line="182" w:lineRule="exact" w:before="0"/>
                      <w:ind w:left="0" w:right="0" w:firstLine="0"/>
                      <w:jc w:val="center"/>
                      <w:rPr>
                        <w:rFonts w:ascii="Calibri"/>
                        <w:sz w:val="20"/>
                      </w:rPr>
                    </w:pPr>
                    <w:r>
                      <w:rPr>
                        <w:rFonts w:ascii="Calibri"/>
                        <w:sz w:val="20"/>
                      </w:rPr>
                      <w:t>50</w:t>
                    </w:r>
                  </w:p>
                  <w:p>
                    <w:pPr>
                      <w:spacing w:line="201" w:lineRule="exact" w:before="0"/>
                      <w:ind w:left="0" w:right="0" w:firstLine="0"/>
                      <w:jc w:val="center"/>
                      <w:rPr>
                        <w:rFonts w:ascii="Calibri"/>
                        <w:sz w:val="20"/>
                      </w:rPr>
                    </w:pPr>
                    <w:r>
                      <w:rPr>
                        <w:rFonts w:ascii="Calibri"/>
                        <w:sz w:val="20"/>
                      </w:rPr>
                      <w:t>45</w:t>
                    </w:r>
                  </w:p>
                  <w:p>
                    <w:pPr>
                      <w:spacing w:line="201" w:lineRule="exact" w:before="0"/>
                      <w:ind w:left="0" w:right="0" w:firstLine="0"/>
                      <w:jc w:val="center"/>
                      <w:rPr>
                        <w:rFonts w:ascii="Calibri"/>
                        <w:sz w:val="20"/>
                      </w:rPr>
                    </w:pPr>
                    <w:r>
                      <w:rPr>
                        <w:rFonts w:ascii="Calibri"/>
                        <w:sz w:val="20"/>
                      </w:rPr>
                      <w:t>40</w:t>
                    </w:r>
                  </w:p>
                  <w:p>
                    <w:pPr>
                      <w:spacing w:line="201" w:lineRule="exact" w:before="0"/>
                      <w:ind w:left="0" w:right="0" w:firstLine="0"/>
                      <w:jc w:val="center"/>
                      <w:rPr>
                        <w:rFonts w:ascii="Calibri"/>
                        <w:sz w:val="20"/>
                      </w:rPr>
                    </w:pPr>
                    <w:r>
                      <w:rPr>
                        <w:rFonts w:ascii="Calibri"/>
                        <w:sz w:val="20"/>
                      </w:rPr>
                      <w:t>35</w:t>
                    </w:r>
                  </w:p>
                  <w:p>
                    <w:pPr>
                      <w:spacing w:line="201" w:lineRule="exact" w:before="0"/>
                      <w:ind w:left="0" w:right="0" w:firstLine="0"/>
                      <w:jc w:val="center"/>
                      <w:rPr>
                        <w:rFonts w:ascii="Calibri"/>
                        <w:sz w:val="20"/>
                      </w:rPr>
                    </w:pPr>
                    <w:r>
                      <w:rPr>
                        <w:rFonts w:ascii="Calibri"/>
                        <w:sz w:val="20"/>
                      </w:rPr>
                      <w:t>30</w:t>
                    </w:r>
                  </w:p>
                  <w:p>
                    <w:pPr>
                      <w:spacing w:line="201" w:lineRule="exact" w:before="0"/>
                      <w:ind w:left="0" w:right="0" w:firstLine="0"/>
                      <w:jc w:val="center"/>
                      <w:rPr>
                        <w:rFonts w:ascii="Calibri"/>
                        <w:sz w:val="20"/>
                      </w:rPr>
                    </w:pPr>
                    <w:r>
                      <w:rPr>
                        <w:rFonts w:ascii="Calibri"/>
                        <w:sz w:val="20"/>
                      </w:rPr>
                      <w:t>25</w:t>
                    </w:r>
                  </w:p>
                  <w:p>
                    <w:pPr>
                      <w:spacing w:line="201" w:lineRule="exact" w:before="0"/>
                      <w:ind w:left="0" w:right="0" w:firstLine="0"/>
                      <w:jc w:val="center"/>
                      <w:rPr>
                        <w:rFonts w:ascii="Calibri"/>
                        <w:sz w:val="20"/>
                      </w:rPr>
                    </w:pPr>
                    <w:r>
                      <w:rPr>
                        <w:rFonts w:ascii="Calibri"/>
                        <w:sz w:val="20"/>
                      </w:rPr>
                      <w:t>20</w:t>
                    </w:r>
                  </w:p>
                  <w:p>
                    <w:pPr>
                      <w:spacing w:line="201" w:lineRule="exact" w:before="0"/>
                      <w:ind w:left="0" w:right="0" w:firstLine="0"/>
                      <w:jc w:val="center"/>
                      <w:rPr>
                        <w:rFonts w:ascii="Calibri"/>
                        <w:sz w:val="20"/>
                      </w:rPr>
                    </w:pPr>
                    <w:r>
                      <w:rPr>
                        <w:rFonts w:ascii="Calibri"/>
                        <w:sz w:val="20"/>
                      </w:rPr>
                      <w:t>15</w:t>
                    </w:r>
                  </w:p>
                  <w:p>
                    <w:pPr>
                      <w:spacing w:line="201" w:lineRule="exact" w:before="0"/>
                      <w:ind w:left="0" w:right="0" w:firstLine="0"/>
                      <w:jc w:val="center"/>
                      <w:rPr>
                        <w:rFonts w:ascii="Calibri"/>
                        <w:sz w:val="20"/>
                      </w:rPr>
                    </w:pPr>
                    <w:r>
                      <w:rPr>
                        <w:rFonts w:ascii="Calibri"/>
                        <w:sz w:val="20"/>
                      </w:rPr>
                      <w:t>10</w:t>
                    </w:r>
                  </w:p>
                  <w:p>
                    <w:pPr>
                      <w:spacing w:line="201" w:lineRule="exact" w:before="0"/>
                      <w:ind w:left="101" w:right="0" w:firstLine="0"/>
                      <w:jc w:val="center"/>
                      <w:rPr>
                        <w:rFonts w:ascii="Calibri"/>
                        <w:sz w:val="20"/>
                      </w:rPr>
                    </w:pPr>
                    <w:r>
                      <w:rPr>
                        <w:rFonts w:ascii="Calibri"/>
                        <w:w w:val="99"/>
                        <w:sz w:val="20"/>
                      </w:rPr>
                      <w:t>5</w:t>
                    </w:r>
                  </w:p>
                  <w:p>
                    <w:pPr>
                      <w:spacing w:line="219" w:lineRule="exact" w:before="0"/>
                      <w:ind w:left="101" w:right="0" w:firstLine="0"/>
                      <w:jc w:val="center"/>
                      <w:rPr>
                        <w:rFonts w:ascii="Calibri"/>
                        <w:sz w:val="20"/>
                      </w:rPr>
                    </w:pPr>
                    <w:r>
                      <w:rPr>
                        <w:rFonts w:ascii="Calibri"/>
                        <w:w w:val="99"/>
                        <w:sz w:val="20"/>
                      </w:rPr>
                      <w:t>0</w:t>
                    </w:r>
                  </w:p>
                </w:txbxContent>
              </v:textbox>
              <w10:wrap type="none"/>
            </v:shape>
            <v:shape style="position:absolute;left:4604;top:4187;width:727;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SOLTERA</w:t>
                    </w:r>
                  </w:p>
                </w:txbxContent>
              </v:textbox>
              <w10:wrap type="none"/>
            </v:shape>
            <v:shape style="position:absolute;left:5695;top:4187;width:668;height:200" type="#_x0000_t202" filled="false" stroked="false">
              <v:textbox inset="0,0,0,0">
                <w:txbxContent>
                  <w:p>
                    <w:pPr>
                      <w:spacing w:line="199" w:lineRule="exact" w:before="0"/>
                      <w:ind w:left="0" w:right="-15" w:firstLine="0"/>
                      <w:jc w:val="left"/>
                      <w:rPr>
                        <w:rFonts w:ascii="Calibri"/>
                        <w:sz w:val="20"/>
                      </w:rPr>
                    </w:pPr>
                    <w:r>
                      <w:rPr>
                        <w:rFonts w:ascii="Calibri"/>
                        <w:spacing w:val="-1"/>
                        <w:sz w:val="20"/>
                      </w:rPr>
                      <w:t>CASADA</w:t>
                    </w:r>
                  </w:p>
                </w:txbxContent>
              </v:textbox>
              <w10:wrap type="none"/>
            </v:shape>
            <v:shape style="position:absolute;left:6807;top:4065;width:568;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UNION</w:t>
                    </w:r>
                  </w:p>
                </w:txbxContent>
              </v:textbox>
              <w10:wrap type="none"/>
            </v:shape>
            <v:shape style="position:absolute;left:7888;top:4187;width:531;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VIUDA</w:t>
                    </w:r>
                  </w:p>
                </w:txbxContent>
              </v:textbox>
              <w10:wrap type="none"/>
            </v:shape>
            <v:shape style="position:absolute;left:8979;top:4187;width:471;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OTRO</w:t>
                    </w:r>
                  </w:p>
                </w:txbxContent>
              </v:textbox>
              <w10:wrap type="none"/>
            </v:shape>
            <v:shape style="position:absolute;left:3332;top:4614;width:1052;height:511" type="#_x0000_t202" filled="false" stroked="false">
              <v:textbox inset="0,0,0,0">
                <w:txbxContent>
                  <w:p>
                    <w:pPr>
                      <w:spacing w:line="203" w:lineRule="exact" w:before="0"/>
                      <w:ind w:left="0" w:right="0" w:firstLine="0"/>
                      <w:jc w:val="left"/>
                      <w:rPr>
                        <w:rFonts w:ascii="Calibri"/>
                        <w:sz w:val="20"/>
                      </w:rPr>
                    </w:pPr>
                    <w:r>
                      <w:rPr>
                        <w:rFonts w:ascii="Calibri"/>
                        <w:sz w:val="20"/>
                      </w:rPr>
                      <w:t>SOLTERA</w:t>
                    </w:r>
                  </w:p>
                  <w:p>
                    <w:pPr>
                      <w:spacing w:line="240" w:lineRule="exact" w:before="67"/>
                      <w:ind w:left="0" w:right="0" w:firstLine="0"/>
                      <w:jc w:val="left"/>
                      <w:rPr>
                        <w:rFonts w:ascii="Calibri"/>
                        <w:sz w:val="20"/>
                      </w:rPr>
                    </w:pPr>
                    <w:r>
                      <w:rPr>
                        <w:rFonts w:ascii="Calibri"/>
                        <w:w w:val="95"/>
                        <w:sz w:val="20"/>
                      </w:rPr>
                      <w:t>PORCENTAJE</w:t>
                    </w:r>
                  </w:p>
                </w:txbxContent>
              </v:textbox>
              <w10:wrap type="none"/>
            </v:shape>
            <v:shape style="position:absolute;left:4795;top:4931;width:347;height:200" type="#_x0000_t202" filled="false" stroked="false">
              <v:textbox inset="0,0,0,0">
                <w:txbxContent>
                  <w:p>
                    <w:pPr>
                      <w:spacing w:line="199" w:lineRule="exact" w:before="0"/>
                      <w:ind w:left="0" w:right="-19" w:firstLine="0"/>
                      <w:jc w:val="left"/>
                      <w:rPr>
                        <w:rFonts w:ascii="Calibri"/>
                        <w:sz w:val="20"/>
                      </w:rPr>
                    </w:pPr>
                    <w:r>
                      <w:rPr>
                        <w:rFonts w:ascii="Calibri"/>
                        <w:sz w:val="20"/>
                      </w:rPr>
                      <w:t>13%</w:t>
                    </w:r>
                  </w:p>
                </w:txbxContent>
              </v:textbox>
              <w10:wrap type="none"/>
            </v:shape>
            <v:shape style="position:absolute;left:5856;top:4931;width:347;height:200" type="#_x0000_t202" filled="false" stroked="false">
              <v:textbox inset="0,0,0,0">
                <w:txbxContent>
                  <w:p>
                    <w:pPr>
                      <w:spacing w:line="199" w:lineRule="exact" w:before="0"/>
                      <w:ind w:left="0" w:right="-19" w:firstLine="0"/>
                      <w:jc w:val="left"/>
                      <w:rPr>
                        <w:rFonts w:ascii="Calibri"/>
                        <w:sz w:val="20"/>
                      </w:rPr>
                    </w:pPr>
                    <w:r>
                      <w:rPr>
                        <w:rFonts w:ascii="Calibri"/>
                        <w:sz w:val="20"/>
                      </w:rPr>
                      <w:t>31%</w:t>
                    </w:r>
                  </w:p>
                </w:txbxContent>
              </v:textbox>
              <w10:wrap type="none"/>
            </v:shape>
            <v:shape style="position:absolute;left:6918;top:4931;width:347;height:200" type="#_x0000_t202" filled="false" stroked="false">
              <v:textbox inset="0,0,0,0">
                <w:txbxContent>
                  <w:p>
                    <w:pPr>
                      <w:spacing w:line="199" w:lineRule="exact" w:before="0"/>
                      <w:ind w:left="0" w:right="-19" w:firstLine="0"/>
                      <w:jc w:val="left"/>
                      <w:rPr>
                        <w:rFonts w:ascii="Calibri"/>
                        <w:sz w:val="20"/>
                      </w:rPr>
                    </w:pPr>
                    <w:r>
                      <w:rPr>
                        <w:rFonts w:ascii="Calibri"/>
                        <w:sz w:val="20"/>
                      </w:rPr>
                      <w:t>55%</w:t>
                    </w:r>
                  </w:p>
                </w:txbxContent>
              </v:textbox>
              <w10:wrap type="none"/>
            </v:shape>
            <v:shape style="position:absolute;left:8031;top:4931;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0%</w:t>
                    </w:r>
                  </w:p>
                </w:txbxContent>
              </v:textbox>
              <w10:wrap type="none"/>
            </v:shape>
            <v:shape style="position:absolute;left:9093;top:4931;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w:t>
                    </w:r>
                  </w:p>
                </w:txbxContent>
              </v:textbox>
              <w10:wrap type="none"/>
            </v:shape>
            <w10:wrap type="none"/>
          </v:group>
        </w:pict>
      </w:r>
      <w:r>
        <w:rPr/>
        <w:pict>
          <v:shape style="position:absolute;margin-left:151.729996pt;margin-top:101.401527pt;width:12pt;height:105.55pt;mso-position-horizontal-relative:page;mso-position-vertical-relative:paragraph;z-index:5464" type="#_x0000_t202" filled="false" stroked="false">
            <v:textbox inset="0,0,0,0" style="layout-flow:vertical;mso-layout-flow-alt:bottom-to-top">
              <w:txbxContent>
                <w:p>
                  <w:pPr>
                    <w:spacing w:line="223" w:lineRule="exact" w:before="0"/>
                    <w:ind w:left="20" w:right="0" w:firstLine="0"/>
                    <w:jc w:val="left"/>
                    <w:rPr>
                      <w:rFonts w:ascii="Calibri"/>
                      <w:b/>
                      <w:sz w:val="20"/>
                    </w:rPr>
                  </w:pPr>
                  <w:r>
                    <w:rPr>
                      <w:rFonts w:ascii="Calibri"/>
                      <w:b/>
                      <w:spacing w:val="-1"/>
                      <w:w w:val="99"/>
                      <w:sz w:val="20"/>
                    </w:rPr>
                    <w:t>TO</w:t>
                  </w:r>
                  <w:r>
                    <w:rPr>
                      <w:rFonts w:ascii="Calibri"/>
                      <w:b/>
                      <w:w w:val="99"/>
                      <w:sz w:val="20"/>
                    </w:rPr>
                    <w:t>TAL</w:t>
                  </w:r>
                  <w:r>
                    <w:rPr>
                      <w:rFonts w:ascii="Calibri"/>
                      <w:b/>
                      <w:spacing w:val="3"/>
                      <w:sz w:val="20"/>
                    </w:rPr>
                    <w:t> </w:t>
                  </w:r>
                  <w:r>
                    <w:rPr>
                      <w:rFonts w:ascii="Calibri"/>
                      <w:b/>
                      <w:spacing w:val="-1"/>
                      <w:w w:val="99"/>
                      <w:sz w:val="20"/>
                    </w:rPr>
                    <w:t>D</w:t>
                  </w:r>
                  <w:r>
                    <w:rPr>
                      <w:rFonts w:ascii="Calibri"/>
                      <w:b/>
                      <w:w w:val="99"/>
                      <w:sz w:val="20"/>
                    </w:rPr>
                    <w:t>E</w:t>
                  </w:r>
                  <w:r>
                    <w:rPr>
                      <w:rFonts w:ascii="Calibri"/>
                      <w:b/>
                      <w:spacing w:val="2"/>
                      <w:sz w:val="20"/>
                    </w:rPr>
                    <w:t> </w:t>
                  </w:r>
                  <w:r>
                    <w:rPr>
                      <w:rFonts w:ascii="Calibri"/>
                      <w:b/>
                      <w:spacing w:val="-1"/>
                      <w:w w:val="99"/>
                      <w:sz w:val="20"/>
                    </w:rPr>
                    <w:t>PAC</w:t>
                  </w:r>
                  <w:r>
                    <w:rPr>
                      <w:rFonts w:ascii="Calibri"/>
                      <w:b/>
                      <w:w w:val="99"/>
                      <w:sz w:val="20"/>
                    </w:rPr>
                    <w:t>I</w:t>
                  </w:r>
                  <w:r>
                    <w:rPr>
                      <w:rFonts w:ascii="Calibri"/>
                      <w:b/>
                      <w:spacing w:val="-1"/>
                      <w:w w:val="99"/>
                      <w:sz w:val="20"/>
                    </w:rPr>
                    <w:t>E</w:t>
                  </w:r>
                  <w:r>
                    <w:rPr>
                      <w:rFonts w:ascii="Calibri"/>
                      <w:b/>
                      <w:spacing w:val="1"/>
                      <w:w w:val="99"/>
                      <w:sz w:val="20"/>
                    </w:rPr>
                    <w:t>N</w:t>
                  </w:r>
                  <w:r>
                    <w:rPr>
                      <w:rFonts w:ascii="Calibri"/>
                      <w:b/>
                      <w:spacing w:val="-1"/>
                      <w:w w:val="99"/>
                      <w:sz w:val="20"/>
                    </w:rPr>
                    <w:t>TES</w:t>
                  </w:r>
                  <w:r>
                    <w:rPr>
                      <w:rFonts w:ascii="Calibri"/>
                      <w:b/>
                      <w:w w:val="99"/>
                      <w:sz w:val="20"/>
                    </w:rPr>
                    <w:t>:</w:t>
                  </w:r>
                  <w:r>
                    <w:rPr>
                      <w:rFonts w:ascii="Calibri"/>
                      <w:b/>
                      <w:spacing w:val="8"/>
                      <w:sz w:val="20"/>
                    </w:rPr>
                    <w:t> </w:t>
                  </w:r>
                  <w:r>
                    <w:rPr>
                      <w:rFonts w:ascii="Calibri"/>
                      <w:b/>
                      <w:w w:val="99"/>
                      <w:sz w:val="20"/>
                    </w:rPr>
                    <w:t>86</w:t>
                  </w:r>
                </w:p>
              </w:txbxContent>
            </v:textbox>
            <w10:wrap type="none"/>
          </v:shape>
        </w:pict>
      </w:r>
      <w:r>
        <w:rPr/>
        <w:t>El estado civil de la muestra fue en su mayoría unión libre 55 % (47), seguido por casada 31 % (27) y en un 13 % (11) soltera. Gráfica 12. Estado civil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2"/>
        </w:rPr>
      </w:pPr>
    </w:p>
    <w:tbl>
      <w:tblPr>
        <w:tblW w:w="0" w:type="auto"/>
        <w:jc w:val="left"/>
        <w:tblInd w:w="15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0"/>
        <w:gridCol w:w="1152"/>
        <w:gridCol w:w="1061"/>
        <w:gridCol w:w="1061"/>
        <w:gridCol w:w="1063"/>
        <w:gridCol w:w="1061"/>
        <w:gridCol w:w="687"/>
      </w:tblGrid>
      <w:tr>
        <w:trPr>
          <w:trHeight w:val="304" w:hRule="exact"/>
        </w:trPr>
        <w:tc>
          <w:tcPr>
            <w:tcW w:w="3454" w:type="dxa"/>
            <w:gridSpan w:val="4"/>
          </w:tcPr>
          <w:p>
            <w:pPr/>
          </w:p>
        </w:tc>
        <w:tc>
          <w:tcPr>
            <w:tcW w:w="1063" w:type="dxa"/>
          </w:tcPr>
          <w:p>
            <w:pPr>
              <w:pStyle w:val="TableParagraph"/>
              <w:spacing w:line="203" w:lineRule="exact" w:before="0"/>
              <w:ind w:left="287" w:right="286"/>
              <w:jc w:val="center"/>
              <w:rPr>
                <w:sz w:val="20"/>
              </w:rPr>
            </w:pPr>
            <w:r>
              <w:rPr>
                <w:sz w:val="20"/>
              </w:rPr>
              <w:t>LIBRE</w:t>
            </w:r>
          </w:p>
        </w:tc>
        <w:tc>
          <w:tcPr>
            <w:tcW w:w="1748" w:type="dxa"/>
            <w:gridSpan w:val="2"/>
            <w:vMerge w:val="restart"/>
          </w:tcPr>
          <w:p>
            <w:pPr/>
          </w:p>
        </w:tc>
      </w:tr>
      <w:tr>
        <w:trPr>
          <w:trHeight w:val="90" w:hRule="exact"/>
        </w:trPr>
        <w:tc>
          <w:tcPr>
            <w:tcW w:w="180" w:type="dxa"/>
            <w:shd w:val="clear" w:color="auto" w:fill="4F81BC"/>
          </w:tcPr>
          <w:p>
            <w:pPr/>
          </w:p>
        </w:tc>
        <w:tc>
          <w:tcPr>
            <w:tcW w:w="1152" w:type="dxa"/>
          </w:tcPr>
          <w:p>
            <w:pPr/>
          </w:p>
        </w:tc>
        <w:tc>
          <w:tcPr>
            <w:tcW w:w="1061" w:type="dxa"/>
          </w:tcPr>
          <w:p>
            <w:pPr/>
          </w:p>
        </w:tc>
        <w:tc>
          <w:tcPr>
            <w:tcW w:w="1061" w:type="dxa"/>
          </w:tcPr>
          <w:p>
            <w:pPr/>
          </w:p>
        </w:tc>
        <w:tc>
          <w:tcPr>
            <w:tcW w:w="1063" w:type="dxa"/>
          </w:tcPr>
          <w:p>
            <w:pPr/>
          </w:p>
        </w:tc>
        <w:tc>
          <w:tcPr>
            <w:tcW w:w="1748" w:type="dxa"/>
            <w:gridSpan w:val="2"/>
            <w:vMerge/>
          </w:tcPr>
          <w:p>
            <w:pPr/>
          </w:p>
        </w:tc>
      </w:tr>
      <w:tr>
        <w:trPr>
          <w:trHeight w:val="221" w:hRule="exact"/>
        </w:trPr>
        <w:tc>
          <w:tcPr>
            <w:tcW w:w="180" w:type="dxa"/>
            <w:tcBorders>
              <w:top w:val="single" w:sz="44" w:space="0" w:color="4F81BC"/>
              <w:bottom w:val="single" w:sz="44" w:space="0" w:color="C0504D"/>
            </w:tcBorders>
          </w:tcPr>
          <w:p>
            <w:pPr/>
          </w:p>
        </w:tc>
        <w:tc>
          <w:tcPr>
            <w:tcW w:w="1152" w:type="dxa"/>
          </w:tcPr>
          <w:p>
            <w:pPr/>
          </w:p>
        </w:tc>
        <w:tc>
          <w:tcPr>
            <w:tcW w:w="1061" w:type="dxa"/>
          </w:tcPr>
          <w:p>
            <w:pPr>
              <w:pStyle w:val="TableParagraph"/>
              <w:spacing w:line="118" w:lineRule="exact" w:before="0"/>
              <w:ind w:left="408" w:right="409"/>
              <w:jc w:val="center"/>
              <w:rPr>
                <w:sz w:val="20"/>
              </w:rPr>
            </w:pPr>
            <w:r>
              <w:rPr>
                <w:sz w:val="20"/>
              </w:rPr>
              <w:t>11</w:t>
            </w:r>
          </w:p>
        </w:tc>
        <w:tc>
          <w:tcPr>
            <w:tcW w:w="1061" w:type="dxa"/>
          </w:tcPr>
          <w:p>
            <w:pPr>
              <w:pStyle w:val="TableParagraph"/>
              <w:spacing w:line="118" w:lineRule="exact" w:before="0"/>
              <w:ind w:left="408" w:right="408"/>
              <w:jc w:val="center"/>
              <w:rPr>
                <w:sz w:val="20"/>
              </w:rPr>
            </w:pPr>
            <w:r>
              <w:rPr>
                <w:sz w:val="20"/>
              </w:rPr>
              <w:t>27</w:t>
            </w:r>
          </w:p>
        </w:tc>
        <w:tc>
          <w:tcPr>
            <w:tcW w:w="1063" w:type="dxa"/>
          </w:tcPr>
          <w:p>
            <w:pPr>
              <w:pStyle w:val="TableParagraph"/>
              <w:spacing w:line="118" w:lineRule="exact" w:before="0"/>
              <w:ind w:left="286" w:right="286"/>
              <w:jc w:val="center"/>
              <w:rPr>
                <w:sz w:val="20"/>
              </w:rPr>
            </w:pPr>
            <w:r>
              <w:rPr>
                <w:sz w:val="20"/>
              </w:rPr>
              <w:t>47</w:t>
            </w:r>
          </w:p>
        </w:tc>
        <w:tc>
          <w:tcPr>
            <w:tcW w:w="1061" w:type="dxa"/>
          </w:tcPr>
          <w:p>
            <w:pPr>
              <w:pStyle w:val="TableParagraph"/>
              <w:spacing w:line="118" w:lineRule="exact" w:before="0"/>
              <w:ind w:left="0"/>
              <w:jc w:val="center"/>
              <w:rPr>
                <w:sz w:val="20"/>
              </w:rPr>
            </w:pPr>
            <w:r>
              <w:rPr>
                <w:w w:val="99"/>
                <w:sz w:val="20"/>
              </w:rPr>
              <w:t>0</w:t>
            </w:r>
          </w:p>
        </w:tc>
        <w:tc>
          <w:tcPr>
            <w:tcW w:w="687" w:type="dxa"/>
          </w:tcPr>
          <w:p>
            <w:pPr>
              <w:pStyle w:val="TableParagraph"/>
              <w:spacing w:line="118" w:lineRule="exact" w:before="0"/>
              <w:ind w:left="0" w:right="103"/>
              <w:jc w:val="right"/>
              <w:rPr>
                <w:sz w:val="20"/>
              </w:rPr>
            </w:pPr>
            <w:r>
              <w:rPr>
                <w:w w:val="99"/>
                <w:sz w:val="20"/>
              </w:rPr>
              <w:t>1</w:t>
            </w:r>
          </w:p>
        </w:tc>
      </w:tr>
      <w:tr>
        <w:trPr>
          <w:trHeight w:val="91" w:hRule="exact"/>
        </w:trPr>
        <w:tc>
          <w:tcPr>
            <w:tcW w:w="180" w:type="dxa"/>
            <w:shd w:val="clear" w:color="auto" w:fill="C0504D"/>
          </w:tcPr>
          <w:p>
            <w:pPr/>
          </w:p>
        </w:tc>
        <w:tc>
          <w:tcPr>
            <w:tcW w:w="1152" w:type="dxa"/>
          </w:tcPr>
          <w:p>
            <w:pPr/>
          </w:p>
        </w:tc>
        <w:tc>
          <w:tcPr>
            <w:tcW w:w="1061" w:type="dxa"/>
          </w:tcPr>
          <w:p>
            <w:pPr/>
          </w:p>
        </w:tc>
        <w:tc>
          <w:tcPr>
            <w:tcW w:w="1061" w:type="dxa"/>
          </w:tcPr>
          <w:p>
            <w:pPr/>
          </w:p>
        </w:tc>
        <w:tc>
          <w:tcPr>
            <w:tcW w:w="1063" w:type="dxa"/>
          </w:tcPr>
          <w:p>
            <w:pPr/>
          </w:p>
        </w:tc>
        <w:tc>
          <w:tcPr>
            <w:tcW w:w="1061" w:type="dxa"/>
          </w:tcPr>
          <w:p>
            <w:pPr/>
          </w:p>
        </w:tc>
        <w:tc>
          <w:tcPr>
            <w:tcW w:w="687" w:type="dxa"/>
          </w:tcPr>
          <w:p>
            <w:pPr/>
          </w:p>
        </w:tc>
      </w:tr>
    </w:tbl>
    <w:p>
      <w:pPr>
        <w:pStyle w:val="BodyText"/>
      </w:pPr>
    </w:p>
    <w:p>
      <w:pPr>
        <w:pStyle w:val="BodyText"/>
        <w:rPr>
          <w:sz w:val="29"/>
        </w:rPr>
      </w:pPr>
    </w:p>
    <w:p>
      <w:pPr>
        <w:spacing w:before="0"/>
        <w:ind w:left="2382" w:right="2385" w:firstLine="0"/>
        <w:jc w:val="center"/>
        <w:rPr>
          <w:b/>
          <w:sz w:val="14"/>
        </w:rPr>
      </w:pPr>
      <w:r>
        <w:rPr>
          <w:b/>
          <w:sz w:val="14"/>
        </w:rPr>
        <w:t>FUENTE: BASE DE DATOS, HMPMPS.</w:t>
      </w:r>
    </w:p>
    <w:p>
      <w:pPr>
        <w:spacing w:after="0"/>
        <w:jc w:val="center"/>
        <w:rPr>
          <w:sz w:val="14"/>
        </w:rPr>
        <w:sectPr>
          <w:footerReference w:type="default" r:id="rId29"/>
          <w:pgSz w:w="12240" w:h="15840"/>
          <w:pgMar w:footer="1524" w:header="0" w:top="1360" w:bottom="1720" w:left="1600" w:right="1080"/>
          <w:pgNumType w:start="38"/>
        </w:sectPr>
      </w:pPr>
    </w:p>
    <w:p>
      <w:pPr>
        <w:pStyle w:val="BodyText"/>
        <w:spacing w:line="360" w:lineRule="auto" w:before="54"/>
        <w:ind w:left="102" w:right="108" w:firstLine="201"/>
        <w:jc w:val="both"/>
      </w:pPr>
      <w:r>
        <w:rPr/>
        <w:t>Por su parte, la ocupación que más se presento entre las pacientes fue el hogar en  un 93% (80), seguida del 2 % (2) estudiantes y 5 % dedicandose a otras labores (gráfica13)</w:t>
      </w:r>
    </w:p>
    <w:p>
      <w:pPr>
        <w:pStyle w:val="BodyText"/>
        <w:spacing w:before="5"/>
        <w:ind w:left="2385" w:right="2385"/>
        <w:jc w:val="center"/>
      </w:pPr>
      <w:r>
        <w:rPr/>
        <w:t>Gráfica 13. Ocupación</w:t>
      </w:r>
    </w:p>
    <w:p>
      <w:pPr>
        <w:pStyle w:val="BodyText"/>
        <w:spacing w:before="5"/>
        <w:rPr>
          <w:sz w:val="25"/>
        </w:rPr>
      </w:pPr>
      <w:r>
        <w:rPr/>
        <w:pict>
          <v:group style="position:absolute;margin-left:137.824997pt;margin-top:16.582016pt;width:360.75pt;height:216.75pt;mso-position-horizontal-relative:page;mso-position-vertical-relative:paragraph;z-index:5704;mso-wrap-distance-left:0;mso-wrap-distance-right:0" coordorigin="2756,332" coordsize="7215,4335">
            <v:rect style="position:absolute;left:3492;top:1511;width:677;height:2647" filled="true" fillcolor="#4f81bc" stroked="false">
              <v:fill type="solid"/>
            </v:rect>
            <v:line style="position:absolute" from="5182,4142" to="5858,4142" stroked="true" strokeweight="1.68pt" strokecolor="#4f81bc"/>
            <v:line style="position:absolute" from="6871,4126" to="7548,4126" stroked="true" strokeweight="3.24pt" strokecolor="#4f81bc"/>
            <v:rect style="position:absolute;left:8561;top:4060;width:677;height:98" filled="true" fillcolor="#4f81bc" stroked="false">
              <v:fill type="solid"/>
            </v:rect>
            <v:line style="position:absolute" from="2986,4158" to="9744,4158" stroked="true" strokeweight=".72pt" strokecolor="#858585"/>
            <v:rect style="position:absolute;left:2764;top:339;width:7200;height:4320" filled="false" stroked="true" strokeweight=".75pt" strokecolor="#858585"/>
            <v:shape style="position:absolute;left:5458;top:563;width:1814;height:360" type="#_x0000_t202" filled="false" stroked="false">
              <v:textbox inset="0,0,0,0">
                <w:txbxContent>
                  <w:p>
                    <w:pPr>
                      <w:spacing w:line="360" w:lineRule="exact" w:before="0"/>
                      <w:ind w:left="0" w:right="-16" w:firstLine="0"/>
                      <w:jc w:val="left"/>
                      <w:rPr>
                        <w:rFonts w:ascii="Calibri" w:hAnsi="Calibri"/>
                        <w:b/>
                        <w:sz w:val="36"/>
                      </w:rPr>
                    </w:pPr>
                    <w:r>
                      <w:rPr>
                        <w:rFonts w:ascii="Calibri" w:hAnsi="Calibri"/>
                        <w:b/>
                        <w:spacing w:val="-4"/>
                        <w:sz w:val="36"/>
                      </w:rPr>
                      <w:t>OCUPACIÓN</w:t>
                    </w:r>
                  </w:p>
                </w:txbxContent>
              </v:textbox>
              <w10:wrap type="none"/>
            </v:shape>
            <v:shape style="position:absolute;left:3729;top:1216;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80</w:t>
                    </w:r>
                  </w:p>
                </w:txbxContent>
              </v:textbox>
              <w10:wrap type="none"/>
            </v:shape>
            <v:shape style="position:absolute;left:5470;top:3832;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1</w:t>
                    </w:r>
                  </w:p>
                </w:txbxContent>
              </v:textbox>
              <w10:wrap type="none"/>
            </v:shape>
            <v:shape style="position:absolute;left:7160;top:3799;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2</w:t>
                    </w:r>
                  </w:p>
                </w:txbxContent>
              </v:textbox>
              <w10:wrap type="none"/>
            </v:shape>
            <v:shape style="position:absolute;left:8850;top:3766;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3</w:t>
                    </w:r>
                  </w:p>
                </w:txbxContent>
              </v:textbox>
              <w10:wrap type="none"/>
            </v:shape>
            <v:shape style="position:absolute;left:3526;top:4326;width:608;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HOGAR</w:t>
                    </w:r>
                  </w:p>
                </w:txbxContent>
              </v:textbox>
              <w10:wrap type="none"/>
            </v:shape>
            <v:shape style="position:absolute;left:4913;top:4326;width:1213;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COMERCIANTE</w:t>
                    </w:r>
                  </w:p>
                </w:txbxContent>
              </v:textbox>
              <w10:wrap type="none"/>
            </v:shape>
            <v:shape style="position:absolute;left:6696;top:4326;width:1028;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ESTUDIANTE</w:t>
                    </w:r>
                  </w:p>
                </w:txbxContent>
              </v:textbox>
              <w10:wrap type="none"/>
            </v:shape>
            <v:shape style="position:absolute;left:8665;top:4326;width:471;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OTRO</w:t>
                    </w:r>
                  </w:p>
                </w:txbxContent>
              </v:textbox>
              <w10:wrap type="none"/>
            </v:shape>
            <w10:wrap type="topAndBottom"/>
          </v:group>
        </w:pict>
      </w:r>
    </w:p>
    <w:p>
      <w:pPr>
        <w:pStyle w:val="BodyText"/>
        <w:spacing w:before="4"/>
        <w:rPr>
          <w:sz w:val="28"/>
        </w:rPr>
      </w:pPr>
    </w:p>
    <w:p>
      <w:pPr>
        <w:spacing w:before="0"/>
        <w:ind w:left="2382" w:right="2385" w:firstLine="0"/>
        <w:jc w:val="center"/>
        <w:rPr>
          <w:b/>
          <w:sz w:val="14"/>
        </w:rPr>
      </w:pPr>
      <w:r>
        <w:rPr>
          <w:b/>
          <w:sz w:val="14"/>
        </w:rPr>
        <w:t>FUENTE: BASE DE DATOS, HMPMPS.</w:t>
      </w:r>
    </w:p>
    <w:p>
      <w:pPr>
        <w:pStyle w:val="BodyText"/>
        <w:rPr>
          <w:b/>
          <w:sz w:val="14"/>
        </w:rPr>
      </w:pPr>
    </w:p>
    <w:p>
      <w:pPr>
        <w:pStyle w:val="BodyText"/>
        <w:spacing w:line="360" w:lineRule="auto" w:before="124"/>
        <w:ind w:left="102" w:right="179" w:firstLine="201"/>
      </w:pPr>
      <w:r>
        <w:rPr/>
        <w:t>Por último, la escolaridad que más se presento en las pacientes fue la secundaria 43% (37), seguida de la primaria completa 20% (17), primaria incompleta 16 %(14),</w:t>
      </w:r>
    </w:p>
    <w:p>
      <w:pPr>
        <w:pStyle w:val="BodyText"/>
        <w:spacing w:before="5"/>
        <w:ind w:left="102" w:right="179"/>
      </w:pPr>
      <w:r>
        <w:rPr/>
        <w:t>licenciatura 12 % (10), preparatoria 8% (7) analfabeta 1% (1). Gráfica 14. Escolaridad</w:t>
      </w:r>
    </w:p>
    <w:p>
      <w:pPr>
        <w:pStyle w:val="BodyText"/>
        <w:spacing w:before="4"/>
        <w:rPr>
          <w:sz w:val="25"/>
        </w:rPr>
      </w:pPr>
      <w:r>
        <w:rPr/>
        <w:pict>
          <v:group style="position:absolute;margin-left:91.324997pt;margin-top:16.54203pt;width:453.65pt;height:185.75pt;mso-position-horizontal-relative:page;mso-position-vertical-relative:paragraph;z-index:5896;mso-wrap-distance-left:0;mso-wrap-distance-right:0" coordorigin="1826,331" coordsize="9073,3715">
            <v:line style="position:absolute" from="2544,2677" to="3029,2677" stroked="true" strokeweight="1.44pt" strokecolor="#4f81bc"/>
            <v:rect style="position:absolute;left:3756;top:2209;width:485;height:482" filled="true" fillcolor="#4f81bc" stroked="false">
              <v:fill type="solid"/>
            </v:rect>
            <v:rect style="position:absolute;left:4970;top:2086;width:485;height:605" filled="true" fillcolor="#4f81bc" stroked="false">
              <v:fill type="solid"/>
            </v:rect>
            <v:rect style="position:absolute;left:6182;top:1390;width:485;height:1301" filled="true" fillcolor="#4f81bc" stroked="false">
              <v:fill type="solid"/>
            </v:rect>
            <v:rect style="position:absolute;left:7397;top:2451;width:485;height:240" filled="true" fillcolor="#4f81bc" stroked="false">
              <v:fill type="solid"/>
            </v:rect>
            <v:rect style="position:absolute;left:8609;top:2329;width:485;height:362" filled="true" fillcolor="#4f81bc" stroked="false">
              <v:fill type="solid"/>
            </v:rect>
            <v:line style="position:absolute" from="2179,2691" to="10670,2691" stroked="true" strokeweight=".72pt" strokecolor="#858585"/>
            <v:shape style="position:absolute;left:2021;top:2899;width:808;height:808" type="#_x0000_t75" stroked="false">
              <v:imagedata r:id="rId30" o:title=""/>
            </v:shape>
            <v:shape style="position:absolute;left:3390;top:2854;width:741;height:668" type="#_x0000_t75" stroked="false">
              <v:imagedata r:id="rId31" o:title=""/>
            </v:shape>
            <v:shape style="position:absolute;left:4603;top:2854;width:741;height:668" type="#_x0000_t75" stroked="false">
              <v:imagedata r:id="rId32" o:title=""/>
            </v:shape>
            <v:shape style="position:absolute;left:5649;top:2901;width:820;height:794" type="#_x0000_t75" stroked="false">
              <v:imagedata r:id="rId33" o:title=""/>
            </v:shape>
            <v:shape style="position:absolute;left:6723;top:2899;width:961;height:930" type="#_x0000_t75" stroked="false">
              <v:imagedata r:id="rId34" o:title=""/>
            </v:shape>
            <v:shape style="position:absolute;left:7906;top:2900;width:989;height:956" type="#_x0000_t75" stroked="false">
              <v:imagedata r:id="rId35" o:title=""/>
            </v:shape>
            <v:shape style="position:absolute;left:9378;top:2892;width:707;height:708" type="#_x0000_t75" stroked="false">
              <v:imagedata r:id="rId36" o:title=""/>
            </v:shape>
            <v:rect style="position:absolute;left:1834;top:338;width:9058;height:3700" filled="false" stroked="true" strokeweight=".75pt" strokecolor="#858585"/>
            <v:shape style="position:absolute;left:3917;top:563;width:4892;height:734" type="#_x0000_t202" filled="false" stroked="false">
              <v:textbox inset="0,0,0,0">
                <w:txbxContent>
                  <w:p>
                    <w:pPr>
                      <w:spacing w:line="367" w:lineRule="exact" w:before="0"/>
                      <w:ind w:left="0" w:right="0" w:firstLine="0"/>
                      <w:jc w:val="center"/>
                      <w:rPr>
                        <w:rFonts w:ascii="Calibri"/>
                        <w:b/>
                        <w:sz w:val="36"/>
                      </w:rPr>
                    </w:pPr>
                    <w:r>
                      <w:rPr>
                        <w:rFonts w:ascii="Calibri"/>
                        <w:b/>
                        <w:sz w:val="36"/>
                      </w:rPr>
                      <w:t>ESCOLARIDAD DE LAS</w:t>
                    </w:r>
                    <w:r>
                      <w:rPr>
                        <w:rFonts w:ascii="Calibri"/>
                        <w:b/>
                        <w:spacing w:val="-14"/>
                        <w:sz w:val="36"/>
                      </w:rPr>
                      <w:t> </w:t>
                    </w:r>
                    <w:r>
                      <w:rPr>
                        <w:rFonts w:ascii="Calibri"/>
                        <w:b/>
                        <w:spacing w:val="-5"/>
                        <w:sz w:val="36"/>
                      </w:rPr>
                      <w:t>PACIENTES</w:t>
                    </w:r>
                  </w:p>
                  <w:p>
                    <w:pPr>
                      <w:spacing w:line="240" w:lineRule="exact" w:before="126"/>
                      <w:ind w:left="129" w:right="0" w:firstLine="0"/>
                      <w:jc w:val="center"/>
                      <w:rPr>
                        <w:rFonts w:ascii="Calibri"/>
                        <w:sz w:val="20"/>
                      </w:rPr>
                    </w:pPr>
                    <w:r>
                      <w:rPr>
                        <w:rFonts w:ascii="Calibri"/>
                        <w:sz w:val="20"/>
                      </w:rPr>
                      <w:t>43%</w:t>
                    </w:r>
                  </w:p>
                </w:txbxContent>
              </v:textbox>
              <w10:wrap type="none"/>
            </v:shape>
            <v:shape style="position:absolute;left:3829;top:1915;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16%</w:t>
                    </w:r>
                  </w:p>
                </w:txbxContent>
              </v:textbox>
              <w10:wrap type="none"/>
            </v:shape>
            <v:shape style="position:absolute;left:5042;top:1794;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20%</w:t>
                    </w:r>
                  </w:p>
                </w:txbxContent>
              </v:textbox>
              <w10:wrap type="none"/>
            </v:shape>
            <v:shape style="position:absolute;left:7520;top:2157;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8%</w:t>
                    </w:r>
                  </w:p>
                </w:txbxContent>
              </v:textbox>
              <w10:wrap type="none"/>
            </v:shape>
            <v:shape style="position:absolute;left:8683;top:203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12%</w:t>
                    </w:r>
                  </w:p>
                </w:txbxContent>
              </v:textbox>
              <w10:wrap type="none"/>
            </v:shape>
            <v:shape style="position:absolute;left:2665;top:2369;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w:t>
                    </w:r>
                  </w:p>
                </w:txbxContent>
              </v:textbox>
              <w10:wrap type="none"/>
            </v:shape>
            <v:shape style="position:absolute;left:9947;top:2400;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0%</w:t>
                    </w:r>
                  </w:p>
                </w:txbxContent>
              </v:textbox>
              <w10:wrap type="none"/>
            </v:shape>
            <w10:wrap type="topAndBottom"/>
          </v:group>
        </w:pict>
      </w:r>
    </w:p>
    <w:p>
      <w:pPr>
        <w:spacing w:before="58"/>
        <w:ind w:left="2385" w:right="2385" w:firstLine="0"/>
        <w:jc w:val="center"/>
        <w:rPr>
          <w:b/>
          <w:sz w:val="14"/>
        </w:rPr>
      </w:pPr>
      <w:r>
        <w:rPr>
          <w:b/>
          <w:sz w:val="14"/>
        </w:rPr>
        <w:t>FUENTE: BASE DE DATOS, HMPMPS.</w:t>
      </w:r>
    </w:p>
    <w:p>
      <w:pPr>
        <w:spacing w:after="0"/>
        <w:jc w:val="center"/>
        <w:rPr>
          <w:sz w:val="14"/>
        </w:rPr>
        <w:sectPr>
          <w:pgSz w:w="12240" w:h="15840"/>
          <w:pgMar w:header="0" w:footer="1524" w:top="1360" w:bottom="1720" w:left="1600" w:right="1080"/>
        </w:sectPr>
      </w:pPr>
    </w:p>
    <w:p>
      <w:pPr>
        <w:spacing w:before="54"/>
        <w:ind w:left="102" w:right="179" w:firstLine="0"/>
        <w:jc w:val="left"/>
        <w:rPr>
          <w:b/>
          <w:sz w:val="24"/>
        </w:rPr>
      </w:pPr>
      <w:r>
        <w:rPr>
          <w:b/>
          <w:sz w:val="24"/>
        </w:rPr>
        <w:t>DISCUSIÓN</w:t>
      </w:r>
    </w:p>
    <w:p>
      <w:pPr>
        <w:pStyle w:val="BodyText"/>
        <w:rPr>
          <w:b/>
        </w:rPr>
      </w:pPr>
    </w:p>
    <w:p>
      <w:pPr>
        <w:pStyle w:val="BodyText"/>
        <w:rPr>
          <w:b/>
        </w:rPr>
      </w:pPr>
    </w:p>
    <w:p>
      <w:pPr>
        <w:pStyle w:val="BodyText"/>
        <w:spacing w:line="360" w:lineRule="auto"/>
        <w:ind w:left="102" w:right="106" w:firstLine="201"/>
        <w:jc w:val="both"/>
      </w:pPr>
      <w:r>
        <w:rPr/>
        <w:t>Se utilizaron para fines estadísticos los datos de 86 pacientes que cumplieron los criterios de inclusión, a las cuales por alguna causa se activó el código Mater en el Hospital Materno Perinatal Mónica Pretelini Sáenz durante el periodo comprendido del 1 de Enero del 2015 al 31 de Diciembre del</w:t>
      </w:r>
      <w:r>
        <w:rPr>
          <w:spacing w:val="-20"/>
        </w:rPr>
        <w:t> </w:t>
      </w:r>
      <w:r>
        <w:rPr/>
        <w:t>2015.</w:t>
      </w:r>
    </w:p>
    <w:p>
      <w:pPr>
        <w:pStyle w:val="BodyText"/>
      </w:pPr>
    </w:p>
    <w:p>
      <w:pPr>
        <w:pStyle w:val="BodyText"/>
        <w:spacing w:line="360" w:lineRule="auto" w:before="142"/>
        <w:ind w:left="102" w:right="102" w:firstLine="201"/>
        <w:jc w:val="both"/>
      </w:pPr>
      <w:r>
        <w:rPr/>
        <w:t>La edad promedio de las 86 pacientes que se incluyeron fue de 27 años de edad, con un inicio de vida sexual activa entre los 13 y 19 años de edad en un 61,6%. El 43% de estas pacientes presentó un nivel básico de estudios (secundaria), seguida de nivel básico primaria completo 20,0% y solo un 11,8% con educación superior. En un 93%  se dedican al hogar. De todas las pacientes llama la atención que un 72% no utilizaba algún método de planificación familiar, y en un 40,6% cursaban su primera gestación. Es por eso que se deben reforzar los sistemas de salud para lograr una cobertura sanitaria universal, resolver las desigualdades en la calidad de los servicios de atención a la salud reproductiva con acceso a información con enfoque de</w:t>
      </w:r>
      <w:r>
        <w:rPr>
          <w:spacing w:val="-23"/>
        </w:rPr>
        <w:t> </w:t>
      </w:r>
      <w:r>
        <w:rPr/>
        <w:t>prevención.</w:t>
      </w:r>
    </w:p>
    <w:p>
      <w:pPr>
        <w:pStyle w:val="BodyText"/>
      </w:pPr>
    </w:p>
    <w:p>
      <w:pPr>
        <w:pStyle w:val="BodyText"/>
        <w:spacing w:line="360" w:lineRule="auto" w:before="142"/>
        <w:ind w:left="102" w:right="99" w:firstLine="201"/>
        <w:jc w:val="both"/>
      </w:pPr>
      <w:r>
        <w:rPr/>
        <w:t>La frecuencia de los diagnósticos encontrados son similares a los que la amplia literatura menciona, siendo la patología más frecuentemente encontrada la Enfermedad Hipertensiva (48%) seguida por la Hemorragia obstétrica (39%), lo que concuerda con las principales causas de muerte materna en el año 2014 en México, según la Secretaria de Salud. De estas pacientes, la mayoría se encontraba cursando su puerperio 57 %, cabe mencionar que la mayor parte presento un puerperio quirúrgico, es decir, Cesárea en un 61% y tan solo en un 31% en puerperio pos parto vaginal, solo una pequeña parte se encontraba en puerperio pos aborto, 8 %. En cuanto al lugar de activación del Código Mater con mayor frecuencia se encontró en el área de Choque (78%), ya que por ser un hospital de referencia, en esta área se recibe y estabilizan a pacientes con riesgo obstétrico. El segundo lugar en frecuencia, con el 14% de los casos se encuentra el área de unidad toco quirúrgica, siendo así las dos áreas con mayor activación en el hospital.</w:t>
      </w:r>
    </w:p>
    <w:p>
      <w:pPr>
        <w:spacing w:after="0" w:line="360" w:lineRule="auto"/>
        <w:jc w:val="both"/>
        <w:sectPr>
          <w:footerReference w:type="default" r:id="rId37"/>
          <w:pgSz w:w="12240" w:h="15840"/>
          <w:pgMar w:footer="1747" w:header="0" w:top="1360" w:bottom="1940" w:left="1600" w:right="1080"/>
          <w:pgNumType w:start="40"/>
        </w:sectPr>
      </w:pPr>
    </w:p>
    <w:p>
      <w:pPr>
        <w:pStyle w:val="BodyText"/>
        <w:spacing w:line="360" w:lineRule="auto" w:before="54"/>
        <w:ind w:left="102" w:right="116" w:firstLine="335"/>
        <w:jc w:val="both"/>
      </w:pPr>
      <w:r>
        <w:rPr/>
        <w:t>La muerte materna implica varias alteraciones no solo en el contexto materno- perinatal, sino también de manera social al tomar en cuenta factores familiares, daño psicológico tanto del que sufre el padecimiento como de quien la acompaña en el proceso. Está comprobado por diversos estudios (ANEXO 5) que se deben tomar estrategias para contribuir en la disminución de la muerte materna, implementando una escala de detección temprana en la mujer obstétrica, que nos permite prevenir complicaciones, de esta forma, detectar las alteraciones en los signos vitales y así poder implementar un plan de respuesta oportuna. De las 86 pacientes que se incluyeron en éste, se puede observar que más de la mitad de la muestra (56%) se encontraba con una puntuación mayor de 6 puntos, 6 hrs previas a la activación del Código Mater, lo que justificaba el manejo multidisciplinario, se ha descrito que hasta</w:t>
      </w:r>
    </w:p>
    <w:p>
      <w:pPr>
        <w:pStyle w:val="BodyText"/>
        <w:spacing w:line="350" w:lineRule="auto" w:before="5"/>
        <w:ind w:left="102" w:right="117"/>
        <w:jc w:val="both"/>
      </w:pPr>
      <w:r>
        <w:rPr/>
        <w:t>un 84% de las pacientes obstétricas hospitalizadas que desarrollan colapso materno presentaba signos de deterioro en las 8 horas previas al paro cardiorespiratorio.</w:t>
      </w:r>
      <w:r>
        <w:rPr>
          <w:position w:val="11"/>
          <w:sz w:val="16"/>
        </w:rPr>
        <w:t>8 </w:t>
      </w:r>
      <w:r>
        <w:rPr/>
        <w:t>Sin embargo se mostró que 12 hrs previas a la activación de dicho Código solo un 14% mostro una puntuación mayor de 4 puntos, y en el 70,9% se manejó sin puntuación </w:t>
      </w:r>
      <w:r>
        <w:rPr>
          <w:spacing w:val="54"/>
        </w:rPr>
        <w:t> </w:t>
      </w:r>
      <w:r>
        <w:rPr/>
        <w:t>ya</w:t>
      </w:r>
    </w:p>
    <w:p>
      <w:pPr>
        <w:pStyle w:val="BodyText"/>
        <w:spacing w:line="360" w:lineRule="auto" w:before="16"/>
        <w:ind w:left="102" w:right="121"/>
        <w:jc w:val="both"/>
      </w:pPr>
      <w:r>
        <w:rPr/>
        <w:t>que faltaba el apego a la monitorización de algunos signos vitales tales como la saturación de oxígeno, la función renal o el cálculo del índice de choque, estas pacientes más tarde presentaron algún evento adverso.</w:t>
      </w:r>
    </w:p>
    <w:p>
      <w:pPr>
        <w:pStyle w:val="BodyText"/>
      </w:pPr>
    </w:p>
    <w:p>
      <w:pPr>
        <w:pStyle w:val="BodyText"/>
        <w:spacing w:line="360" w:lineRule="auto" w:before="142"/>
        <w:ind w:left="102" w:right="116" w:firstLine="201"/>
        <w:jc w:val="both"/>
      </w:pPr>
      <w:r>
        <w:rPr/>
        <w:t>En general, el estudio muestra que el empleo del MEOWS, es útil ya que mejora el registro y la frecuencia de la monitorización, y por tanto sirve como soporte en la detección y vigilancia ante el riesgo de inestabilidad clínica de la paciente permitiéndonos intervenir oportunamente, limitando el deterioro clínico de la misma.</w:t>
      </w:r>
    </w:p>
    <w:p>
      <w:pPr>
        <w:pStyle w:val="BodyText"/>
      </w:pPr>
    </w:p>
    <w:p>
      <w:pPr>
        <w:pStyle w:val="BodyText"/>
        <w:spacing w:line="362" w:lineRule="auto" w:before="142"/>
        <w:ind w:left="102" w:right="128" w:firstLine="201"/>
        <w:jc w:val="both"/>
      </w:pPr>
      <w:r>
        <w:rPr/>
        <w:t>Finalmente, durante la atención de la paciente obstétrica puede implementarse como estrategia el utilizar de forma rutinaria una puntuación de alerta obstétrica.</w:t>
      </w:r>
    </w:p>
    <w:p>
      <w:pPr>
        <w:pStyle w:val="BodyText"/>
      </w:pPr>
    </w:p>
    <w:p>
      <w:pPr>
        <w:pStyle w:val="BodyText"/>
        <w:spacing w:line="360" w:lineRule="auto" w:before="163"/>
        <w:ind w:left="102" w:right="125" w:firstLine="201"/>
        <w:jc w:val="both"/>
      </w:pPr>
      <w:r>
        <w:rPr/>
        <w:t>El Sistema de Alerta Temprana Modificado para Obstetricia, no debe emplearse  como único recurso para identificar deterioro, ya que el juicio clínico es esencial pues difiere de factores que no se incluyen en algunos de estos sistemas, como la edad,</w:t>
      </w:r>
      <w:r>
        <w:rPr>
          <w:spacing w:val="-29"/>
        </w:rPr>
        <w:t> </w:t>
      </w:r>
      <w:r>
        <w:rPr/>
        <w:t>la</w:t>
      </w:r>
    </w:p>
    <w:p>
      <w:pPr>
        <w:spacing w:after="0" w:line="360" w:lineRule="auto"/>
        <w:jc w:val="both"/>
        <w:sectPr>
          <w:pgSz w:w="12240" w:h="15840"/>
          <w:pgMar w:header="0" w:footer="1747" w:top="1360" w:bottom="1940" w:left="1600" w:right="1060"/>
        </w:sectPr>
      </w:pPr>
    </w:p>
    <w:p>
      <w:pPr>
        <w:pStyle w:val="BodyText"/>
        <w:spacing w:line="360" w:lineRule="auto" w:before="54"/>
        <w:ind w:left="102" w:right="105"/>
        <w:jc w:val="both"/>
      </w:pPr>
      <w:r>
        <w:rPr/>
        <w:t>presencia de enfermedad crónica, la valoración de presencia de sintomatología del paciente frente a alteraciones de los signos vitales. Son necesarios más estudios que evalúen la validez de esta herramienta.</w:t>
      </w:r>
    </w:p>
    <w:p>
      <w:pPr>
        <w:pStyle w:val="BodyText"/>
      </w:pPr>
    </w:p>
    <w:p>
      <w:pPr>
        <w:pStyle w:val="BodyText"/>
        <w:spacing w:line="360" w:lineRule="auto" w:before="168"/>
        <w:ind w:left="102" w:right="98" w:firstLine="165"/>
        <w:jc w:val="both"/>
      </w:pPr>
      <w:r>
        <w:rPr/>
        <w:t>El Sistema de Alerta Temprana Modificado para Obstetricia impone un reto al grupo interdisciplinario que lo enfrenta por ser una entidad asociada a un alto grado de morbimortalidad materna y perinatal, sin embargo es un foco rojo y por tanto un alerta que nos permite llamar y poner más atención en pacientes con una puntuación en  grupo de riesgo, esto no significa que pacientes con puntuación baja e incluso sin puntuación dejen de ser vigiladas. Realización de simulacros y uso de ayudas cognitivas como las listas de chequeo para minimizar la posibilidad de omisión de pasos críticos durante la activación del código</w:t>
      </w:r>
      <w:r>
        <w:rPr>
          <w:spacing w:val="-17"/>
        </w:rPr>
        <w:t> </w:t>
      </w:r>
      <w:r>
        <w:rPr/>
        <w:t>MATER.</w:t>
      </w:r>
    </w:p>
    <w:p>
      <w:pPr>
        <w:pStyle w:val="BodyText"/>
      </w:pPr>
    </w:p>
    <w:p>
      <w:pPr>
        <w:pStyle w:val="BodyText"/>
        <w:spacing w:line="360" w:lineRule="auto" w:before="168"/>
        <w:ind w:left="102" w:right="105" w:firstLine="201"/>
        <w:jc w:val="both"/>
      </w:pPr>
      <w:r>
        <w:rPr/>
        <w:t>Dentro de las fortalezas del estudio, la muestra permite realizar una descripción básica para crear nuevas hipótesis y preguntas de investigación y proponer estudios de seguimiento con muestras más representativas. El diseño ideal, sería una propuesta que permitiera identificar el efecto de utilizar el MEOWS sobre la mortalidad de la  madre y además que evaluara el impacto económico sobre el sistema de</w:t>
      </w:r>
      <w:r>
        <w:rPr>
          <w:spacing w:val="-23"/>
        </w:rPr>
        <w:t> </w:t>
      </w:r>
      <w:r>
        <w:rPr/>
        <w:t>salud.</w:t>
      </w:r>
    </w:p>
    <w:p>
      <w:pPr>
        <w:spacing w:after="0" w:line="360" w:lineRule="auto"/>
        <w:jc w:val="both"/>
        <w:sectPr>
          <w:footerReference w:type="default" r:id="rId38"/>
          <w:pgSz w:w="12240" w:h="15840"/>
          <w:pgMar w:footer="1517" w:header="0" w:top="1360" w:bottom="1700" w:left="1600" w:right="1080"/>
        </w:sectPr>
      </w:pPr>
    </w:p>
    <w:p>
      <w:pPr>
        <w:spacing w:before="54"/>
        <w:ind w:left="102" w:right="179" w:firstLine="0"/>
        <w:jc w:val="left"/>
        <w:rPr>
          <w:b/>
          <w:sz w:val="24"/>
        </w:rPr>
      </w:pPr>
      <w:r>
        <w:rPr>
          <w:b/>
          <w:sz w:val="24"/>
        </w:rPr>
        <w:t>CONCLUSIONES</w:t>
      </w:r>
    </w:p>
    <w:p>
      <w:pPr>
        <w:pStyle w:val="BodyText"/>
        <w:rPr>
          <w:b/>
        </w:rPr>
      </w:pPr>
    </w:p>
    <w:p>
      <w:pPr>
        <w:pStyle w:val="BodyText"/>
        <w:rPr>
          <w:b/>
        </w:rPr>
      </w:pPr>
    </w:p>
    <w:p>
      <w:pPr>
        <w:pStyle w:val="BodyText"/>
        <w:rPr>
          <w:b/>
        </w:rPr>
      </w:pPr>
    </w:p>
    <w:p>
      <w:pPr>
        <w:pStyle w:val="ListParagraph"/>
        <w:numPr>
          <w:ilvl w:val="0"/>
          <w:numId w:val="11"/>
        </w:numPr>
        <w:tabs>
          <w:tab w:pos="821" w:val="left" w:leader="none"/>
          <w:tab w:pos="822" w:val="left" w:leader="none"/>
        </w:tabs>
        <w:spacing w:line="240" w:lineRule="auto" w:before="139" w:after="0"/>
        <w:ind w:left="822" w:right="0" w:hanging="360"/>
        <w:jc w:val="left"/>
        <w:rPr>
          <w:sz w:val="24"/>
        </w:rPr>
      </w:pPr>
      <w:r>
        <w:rPr>
          <w:sz w:val="24"/>
        </w:rPr>
        <w:t>El MEOWS es una herramienta simple y fácil  de</w:t>
      </w:r>
      <w:r>
        <w:rPr>
          <w:spacing w:val="-21"/>
          <w:sz w:val="24"/>
        </w:rPr>
        <w:t> </w:t>
      </w:r>
      <w:r>
        <w:rPr>
          <w:sz w:val="24"/>
        </w:rPr>
        <w:t>utilizar.</w:t>
      </w:r>
    </w:p>
    <w:p>
      <w:pPr>
        <w:pStyle w:val="BodyText"/>
      </w:pPr>
    </w:p>
    <w:p>
      <w:pPr>
        <w:pStyle w:val="BodyText"/>
      </w:pPr>
    </w:p>
    <w:p>
      <w:pPr>
        <w:pStyle w:val="ListParagraph"/>
        <w:numPr>
          <w:ilvl w:val="0"/>
          <w:numId w:val="11"/>
        </w:numPr>
        <w:tabs>
          <w:tab w:pos="821" w:val="left" w:leader="none"/>
          <w:tab w:pos="822" w:val="left" w:leader="none"/>
        </w:tabs>
        <w:spacing w:line="360" w:lineRule="auto" w:before="0" w:after="0"/>
        <w:ind w:left="822" w:right="108" w:hanging="360"/>
        <w:jc w:val="left"/>
        <w:rPr>
          <w:sz w:val="24"/>
        </w:rPr>
      </w:pPr>
      <w:r>
        <w:rPr>
          <w:sz w:val="24"/>
        </w:rPr>
        <w:t>Detectando el 82% de las mujeres 6 horas antes de presentar el evento adverso y/o activación del código MATER, con una puntuación igual o mayor a 4</w:t>
      </w:r>
      <w:r>
        <w:rPr>
          <w:spacing w:val="-27"/>
          <w:sz w:val="24"/>
        </w:rPr>
        <w:t> </w:t>
      </w:r>
      <w:r>
        <w:rPr>
          <w:sz w:val="24"/>
        </w:rPr>
        <w:t>puntos.</w:t>
      </w:r>
    </w:p>
    <w:p>
      <w:pPr>
        <w:pStyle w:val="BodyText"/>
        <w:spacing w:before="11"/>
        <w:rPr>
          <w:sz w:val="27"/>
        </w:rPr>
      </w:pPr>
    </w:p>
    <w:p>
      <w:pPr>
        <w:pStyle w:val="ListParagraph"/>
        <w:numPr>
          <w:ilvl w:val="0"/>
          <w:numId w:val="11"/>
        </w:numPr>
        <w:tabs>
          <w:tab w:pos="821" w:val="left" w:leader="none"/>
          <w:tab w:pos="822" w:val="left" w:leader="none"/>
        </w:tabs>
        <w:spacing w:line="362" w:lineRule="auto" w:before="0" w:after="0"/>
        <w:ind w:left="822" w:right="100" w:hanging="360"/>
        <w:jc w:val="left"/>
        <w:rPr>
          <w:sz w:val="24"/>
        </w:rPr>
      </w:pPr>
      <w:r>
        <w:rPr>
          <w:sz w:val="24"/>
        </w:rPr>
        <w:t>Solo el 14% a las 12 horas antes de las pacientes presentaron eventos adversos.</w:t>
      </w:r>
    </w:p>
    <w:p>
      <w:pPr>
        <w:pStyle w:val="BodyText"/>
        <w:spacing w:before="6"/>
        <w:rPr>
          <w:sz w:val="27"/>
        </w:rPr>
      </w:pPr>
    </w:p>
    <w:p>
      <w:pPr>
        <w:pStyle w:val="ListParagraph"/>
        <w:numPr>
          <w:ilvl w:val="0"/>
          <w:numId w:val="11"/>
        </w:numPr>
        <w:tabs>
          <w:tab w:pos="821" w:val="left" w:leader="none"/>
          <w:tab w:pos="822" w:val="left" w:leader="none"/>
        </w:tabs>
        <w:spacing w:line="360" w:lineRule="auto" w:before="0" w:after="0"/>
        <w:ind w:left="822" w:right="106" w:hanging="360"/>
        <w:jc w:val="left"/>
        <w:rPr>
          <w:sz w:val="24"/>
        </w:rPr>
      </w:pPr>
      <w:r>
        <w:rPr>
          <w:sz w:val="24"/>
        </w:rPr>
        <w:t>En general, el estudio muestra que el empleo del MEOWS, mejora el registro y  la frecuencia de la</w:t>
      </w:r>
      <w:r>
        <w:rPr>
          <w:spacing w:val="-13"/>
          <w:sz w:val="24"/>
        </w:rPr>
        <w:t> </w:t>
      </w:r>
      <w:r>
        <w:rPr>
          <w:sz w:val="24"/>
        </w:rPr>
        <w:t>monitorización.</w:t>
      </w:r>
    </w:p>
    <w:p>
      <w:pPr>
        <w:pStyle w:val="BodyText"/>
        <w:spacing w:before="9"/>
        <w:rPr>
          <w:sz w:val="27"/>
        </w:rPr>
      </w:pPr>
    </w:p>
    <w:p>
      <w:pPr>
        <w:pStyle w:val="ListParagraph"/>
        <w:numPr>
          <w:ilvl w:val="0"/>
          <w:numId w:val="11"/>
        </w:numPr>
        <w:tabs>
          <w:tab w:pos="821" w:val="left" w:leader="none"/>
          <w:tab w:pos="822" w:val="left" w:leader="none"/>
        </w:tabs>
        <w:spacing w:line="360" w:lineRule="auto" w:before="0" w:after="0"/>
        <w:ind w:left="822" w:right="108" w:hanging="360"/>
        <w:jc w:val="left"/>
        <w:rPr>
          <w:sz w:val="24"/>
        </w:rPr>
      </w:pPr>
      <w:r>
        <w:rPr>
          <w:sz w:val="24"/>
        </w:rPr>
        <w:t>Sirve como soporte en la detección y comunicación de inestabilidad clínica de la paciente.</w:t>
      </w:r>
    </w:p>
    <w:p>
      <w:pPr>
        <w:pStyle w:val="BodyText"/>
        <w:spacing w:before="11"/>
        <w:rPr>
          <w:sz w:val="27"/>
        </w:rPr>
      </w:pPr>
    </w:p>
    <w:p>
      <w:pPr>
        <w:pStyle w:val="ListParagraph"/>
        <w:numPr>
          <w:ilvl w:val="0"/>
          <w:numId w:val="11"/>
        </w:numPr>
        <w:tabs>
          <w:tab w:pos="821" w:val="left" w:leader="none"/>
          <w:tab w:pos="822" w:val="left" w:leader="none"/>
        </w:tabs>
        <w:spacing w:line="240" w:lineRule="auto" w:before="0" w:after="0"/>
        <w:ind w:left="822" w:right="0" w:hanging="360"/>
        <w:jc w:val="left"/>
        <w:rPr>
          <w:sz w:val="24"/>
        </w:rPr>
      </w:pPr>
      <w:r>
        <w:rPr>
          <w:sz w:val="24"/>
        </w:rPr>
        <w:t>Mejora la seguridad</w:t>
      </w:r>
      <w:r>
        <w:rPr>
          <w:spacing w:val="-9"/>
          <w:sz w:val="24"/>
        </w:rPr>
        <w:t> </w:t>
      </w:r>
      <w:r>
        <w:rPr>
          <w:sz w:val="24"/>
        </w:rPr>
        <w:t>clínica.</w:t>
      </w:r>
    </w:p>
    <w:p>
      <w:pPr>
        <w:spacing w:after="0" w:line="240" w:lineRule="auto"/>
        <w:jc w:val="left"/>
        <w:rPr>
          <w:sz w:val="24"/>
        </w:rPr>
        <w:sectPr>
          <w:footerReference w:type="default" r:id="rId39"/>
          <w:pgSz w:w="12240" w:h="15840"/>
          <w:pgMar w:footer="1747" w:header="0" w:top="1360" w:bottom="1940" w:left="1600" w:right="1080"/>
          <w:pgNumType w:start="43"/>
        </w:sectPr>
      </w:pPr>
    </w:p>
    <w:p>
      <w:pPr>
        <w:pStyle w:val="Heading1"/>
        <w:ind w:right="179"/>
      </w:pPr>
      <w:r>
        <w:rPr/>
        <w:t>RECOMENDACIONES</w:t>
      </w:r>
    </w:p>
    <w:p>
      <w:pPr>
        <w:pStyle w:val="BodyText"/>
        <w:rPr>
          <w:b/>
        </w:rPr>
      </w:pPr>
    </w:p>
    <w:p>
      <w:pPr>
        <w:pStyle w:val="BodyText"/>
        <w:rPr>
          <w:b/>
        </w:rPr>
      </w:pPr>
    </w:p>
    <w:p>
      <w:pPr>
        <w:pStyle w:val="ListParagraph"/>
        <w:numPr>
          <w:ilvl w:val="0"/>
          <w:numId w:val="11"/>
        </w:numPr>
        <w:tabs>
          <w:tab w:pos="822" w:val="left" w:leader="none"/>
        </w:tabs>
        <w:spacing w:line="360" w:lineRule="auto" w:before="209" w:after="0"/>
        <w:ind w:left="822" w:right="107" w:hanging="360"/>
        <w:jc w:val="both"/>
        <w:rPr>
          <w:sz w:val="24"/>
        </w:rPr>
      </w:pPr>
      <w:r>
        <w:rPr>
          <w:sz w:val="24"/>
        </w:rPr>
        <w:t>El Sistema de Alerta Temprana Modificada para Obstetricia (MEOWS), debe ser una herramienta cotidiana en todas las pacientes que ingresan a esta unidad hospitalaria, independientemente del área a la que ingrese la paciente o las condiciones en las que se</w:t>
      </w:r>
      <w:r>
        <w:rPr>
          <w:spacing w:val="-10"/>
          <w:sz w:val="24"/>
        </w:rPr>
        <w:t> </w:t>
      </w:r>
      <w:r>
        <w:rPr>
          <w:sz w:val="24"/>
        </w:rPr>
        <w:t>encuentre.</w:t>
      </w:r>
    </w:p>
    <w:p>
      <w:pPr>
        <w:pStyle w:val="BodyText"/>
      </w:pPr>
    </w:p>
    <w:p>
      <w:pPr>
        <w:pStyle w:val="ListParagraph"/>
        <w:numPr>
          <w:ilvl w:val="0"/>
          <w:numId w:val="11"/>
        </w:numPr>
        <w:tabs>
          <w:tab w:pos="890" w:val="left" w:leader="none"/>
        </w:tabs>
        <w:spacing w:line="360" w:lineRule="auto" w:before="142" w:after="0"/>
        <w:ind w:left="822" w:right="104" w:hanging="360"/>
        <w:jc w:val="both"/>
        <w:rPr>
          <w:sz w:val="24"/>
        </w:rPr>
      </w:pPr>
      <w:r>
        <w:rPr>
          <w:sz w:val="24"/>
        </w:rPr>
        <w:t>El sistema de alerta temprana modificada para obstetricia, no debe emplearse como único recurso para identificar deterioro, ya que el juicio clínico es esencial pues difiere de factores que no se incluyen en algunos de estos sistemas, como la edad, presencia de enfermedad crónica, la valoración de presencia de sintomatología del paciente frente a alteraciones de los signos</w:t>
      </w:r>
      <w:r>
        <w:rPr>
          <w:spacing w:val="-26"/>
          <w:sz w:val="24"/>
        </w:rPr>
        <w:t> </w:t>
      </w:r>
      <w:r>
        <w:rPr>
          <w:sz w:val="24"/>
        </w:rPr>
        <w:t>vitales.</w:t>
      </w:r>
    </w:p>
    <w:p>
      <w:pPr>
        <w:pStyle w:val="BodyText"/>
        <w:spacing w:before="11"/>
        <w:rPr>
          <w:sz w:val="27"/>
        </w:rPr>
      </w:pPr>
    </w:p>
    <w:p>
      <w:pPr>
        <w:pStyle w:val="ListParagraph"/>
        <w:numPr>
          <w:ilvl w:val="0"/>
          <w:numId w:val="11"/>
        </w:numPr>
        <w:tabs>
          <w:tab w:pos="822" w:val="left" w:leader="none"/>
        </w:tabs>
        <w:spacing w:line="360" w:lineRule="auto" w:before="0" w:after="0"/>
        <w:ind w:left="822" w:right="99" w:hanging="360"/>
        <w:jc w:val="both"/>
        <w:rPr>
          <w:sz w:val="24"/>
        </w:rPr>
      </w:pPr>
      <w:r>
        <w:rPr>
          <w:sz w:val="24"/>
        </w:rPr>
        <w:t>Dar a conocer la escala de Sistema de Alerta Temprana Modificada para Obstetricia (MEOWS), a todo el personal de salud que </w:t>
      </w:r>
      <w:r>
        <w:rPr>
          <w:spacing w:val="3"/>
          <w:sz w:val="24"/>
        </w:rPr>
        <w:t>se </w:t>
      </w:r>
      <w:r>
        <w:rPr>
          <w:sz w:val="24"/>
        </w:rPr>
        <w:t>encuentren en contacto con la paciente obstétrica, familiarizándose con ella, ponerle en práctica y realizar los ajustes pertinentes al manejo de acuerdo a la puntuación</w:t>
      </w:r>
      <w:r>
        <w:rPr>
          <w:spacing w:val="-28"/>
          <w:sz w:val="24"/>
        </w:rPr>
        <w:t> </w:t>
      </w:r>
      <w:r>
        <w:rPr>
          <w:sz w:val="24"/>
        </w:rPr>
        <w:t>obtenida.</w:t>
      </w:r>
    </w:p>
    <w:p>
      <w:pPr>
        <w:pStyle w:val="BodyText"/>
        <w:rPr>
          <w:sz w:val="28"/>
        </w:rPr>
      </w:pPr>
    </w:p>
    <w:p>
      <w:pPr>
        <w:pStyle w:val="ListParagraph"/>
        <w:numPr>
          <w:ilvl w:val="0"/>
          <w:numId w:val="11"/>
        </w:numPr>
        <w:tabs>
          <w:tab w:pos="822" w:val="left" w:leader="none"/>
        </w:tabs>
        <w:spacing w:line="360" w:lineRule="auto" w:before="0" w:after="0"/>
        <w:ind w:left="822" w:right="98" w:hanging="360"/>
        <w:jc w:val="both"/>
        <w:rPr>
          <w:sz w:val="24"/>
        </w:rPr>
      </w:pPr>
      <w:r>
        <w:rPr>
          <w:sz w:val="24"/>
        </w:rPr>
        <w:t>Es necesario más capacitación por medio de cursos y talleres para el manejo de estas pacientes y dar a conocer a todo el personal hospitalario el protocolo de respuesta ante estos eventos</w:t>
      </w:r>
      <w:r>
        <w:rPr>
          <w:spacing w:val="-11"/>
          <w:sz w:val="24"/>
        </w:rPr>
        <w:t> </w:t>
      </w:r>
      <w:r>
        <w:rPr>
          <w:sz w:val="24"/>
        </w:rPr>
        <w:t>adversos.</w:t>
      </w:r>
    </w:p>
    <w:p>
      <w:pPr>
        <w:pStyle w:val="BodyText"/>
      </w:pPr>
    </w:p>
    <w:p>
      <w:pPr>
        <w:pStyle w:val="ListParagraph"/>
        <w:numPr>
          <w:ilvl w:val="0"/>
          <w:numId w:val="11"/>
        </w:numPr>
        <w:tabs>
          <w:tab w:pos="821" w:val="left" w:leader="none"/>
          <w:tab w:pos="822" w:val="left" w:leader="none"/>
        </w:tabs>
        <w:spacing w:line="240" w:lineRule="auto" w:before="142" w:after="0"/>
        <w:ind w:left="822" w:right="0" w:hanging="360"/>
        <w:jc w:val="left"/>
        <w:rPr>
          <w:sz w:val="24"/>
        </w:rPr>
      </w:pPr>
      <w:r>
        <w:rPr>
          <w:sz w:val="24"/>
        </w:rPr>
        <w:t>Son necesarios más estudios que evalúen la validez de esta</w:t>
      </w:r>
      <w:r>
        <w:rPr>
          <w:spacing w:val="-28"/>
          <w:sz w:val="24"/>
        </w:rPr>
        <w:t> </w:t>
      </w:r>
      <w:r>
        <w:rPr>
          <w:sz w:val="24"/>
        </w:rPr>
        <w:t>herramienta.</w:t>
      </w:r>
    </w:p>
    <w:p>
      <w:pPr>
        <w:spacing w:after="0" w:line="240" w:lineRule="auto"/>
        <w:jc w:val="left"/>
        <w:rPr>
          <w:sz w:val="24"/>
        </w:rPr>
        <w:sectPr>
          <w:pgSz w:w="12240" w:h="15840"/>
          <w:pgMar w:header="0" w:footer="1747" w:top="1360" w:bottom="2160" w:left="1600" w:right="1080"/>
        </w:sectPr>
      </w:pPr>
    </w:p>
    <w:p>
      <w:pPr>
        <w:spacing w:before="54"/>
        <w:ind w:left="102" w:right="2718" w:firstLine="0"/>
        <w:jc w:val="left"/>
        <w:rPr>
          <w:b/>
          <w:sz w:val="24"/>
        </w:rPr>
      </w:pPr>
      <w:r>
        <w:rPr>
          <w:b/>
          <w:sz w:val="24"/>
        </w:rPr>
        <w:t>BIBLIOGRAFIA</w:t>
      </w:r>
    </w:p>
    <w:p>
      <w:pPr>
        <w:pStyle w:val="BodyText"/>
        <w:spacing w:before="5"/>
        <w:rPr>
          <w:b/>
          <w:sz w:val="29"/>
        </w:rPr>
      </w:pPr>
    </w:p>
    <w:p>
      <w:pPr>
        <w:pStyle w:val="ListParagraph"/>
        <w:numPr>
          <w:ilvl w:val="1"/>
          <w:numId w:val="10"/>
        </w:numPr>
        <w:tabs>
          <w:tab w:pos="822" w:val="left" w:leader="none"/>
          <w:tab w:pos="2338" w:val="left" w:leader="none"/>
          <w:tab w:pos="4546" w:val="left" w:leader="none"/>
          <w:tab w:pos="6568" w:val="left" w:leader="none"/>
          <w:tab w:pos="8857" w:val="left" w:leader="none"/>
        </w:tabs>
        <w:spacing w:line="360" w:lineRule="auto" w:before="0" w:after="0"/>
        <w:ind w:left="822" w:right="120" w:hanging="360"/>
        <w:jc w:val="both"/>
        <w:rPr>
          <w:sz w:val="24"/>
        </w:rPr>
      </w:pPr>
      <w:r>
        <w:rPr>
          <w:sz w:val="24"/>
        </w:rPr>
        <w:t>Evolución de la mortalidad materna: 1990-2015. Estimaciones de la OMS, el UNICEF, el UNFPA, el Grupo del Banco Mundial y la División de Población de las</w:t>
        <w:tab/>
        <w:t>Naciones</w:t>
        <w:tab/>
        <w:t>Unidas.</w:t>
        <w:tab/>
        <w:t>Diciembre</w:t>
        <w:tab/>
        <w:t>2015. </w:t>
      </w:r>
      <w:hyperlink r:id="rId41">
        <w:r>
          <w:rPr>
            <w:sz w:val="24"/>
          </w:rPr>
          <w:t>http://www.who.int/reproductivehealth/publications/monitoring/maternal-mortality-</w:t>
        </w:r>
      </w:hyperlink>
      <w:r>
        <w:rPr>
          <w:sz w:val="24"/>
        </w:rPr>
        <w:t> 2015/es/</w:t>
      </w:r>
    </w:p>
    <w:p>
      <w:pPr>
        <w:pStyle w:val="ListParagraph"/>
        <w:numPr>
          <w:ilvl w:val="1"/>
          <w:numId w:val="10"/>
        </w:numPr>
        <w:tabs>
          <w:tab w:pos="822" w:val="left" w:leader="none"/>
        </w:tabs>
        <w:spacing w:line="360" w:lineRule="auto" w:before="5" w:after="0"/>
        <w:ind w:left="822" w:right="125" w:hanging="360"/>
        <w:jc w:val="both"/>
        <w:rPr>
          <w:sz w:val="24"/>
        </w:rPr>
      </w:pPr>
      <w:r>
        <w:rPr>
          <w:sz w:val="24"/>
        </w:rPr>
        <w:t>Organización WH. Mortalidad maternal. Datos y cifras. Vol. Nota descriptiva 348. Noviembre 2015. En</w:t>
      </w:r>
      <w:r>
        <w:rPr>
          <w:spacing w:val="-19"/>
          <w:sz w:val="24"/>
        </w:rPr>
        <w:t> </w:t>
      </w:r>
      <w:hyperlink r:id="rId42">
        <w:r>
          <w:rPr>
            <w:sz w:val="24"/>
          </w:rPr>
          <w:t>http://who.int/mediacentre/factssheets/fs348/es/</w:t>
        </w:r>
      </w:hyperlink>
      <w:r>
        <w:rPr>
          <w:sz w:val="24"/>
        </w:rPr>
        <w:t>.</w:t>
      </w:r>
    </w:p>
    <w:p>
      <w:pPr>
        <w:pStyle w:val="ListParagraph"/>
        <w:numPr>
          <w:ilvl w:val="1"/>
          <w:numId w:val="10"/>
        </w:numPr>
        <w:tabs>
          <w:tab w:pos="822" w:val="left" w:leader="none"/>
        </w:tabs>
        <w:spacing w:line="360" w:lineRule="auto" w:before="5" w:after="0"/>
        <w:ind w:left="822" w:right="125" w:hanging="360"/>
        <w:jc w:val="both"/>
        <w:rPr>
          <w:sz w:val="24"/>
        </w:rPr>
      </w:pPr>
      <w:r>
        <w:rPr>
          <w:sz w:val="24"/>
        </w:rPr>
        <w:t>Langer A. Hernández B. La Mortalidad materna. Una prioridad para la investigación y la acción. Gac Med Mex. 2000; 136 (supl 3):</w:t>
      </w:r>
      <w:r>
        <w:rPr>
          <w:spacing w:val="-14"/>
          <w:sz w:val="24"/>
        </w:rPr>
        <w:t> </w:t>
      </w:r>
      <w:r>
        <w:rPr>
          <w:sz w:val="24"/>
        </w:rPr>
        <w:t>S49-S53</w:t>
      </w:r>
    </w:p>
    <w:p>
      <w:pPr>
        <w:pStyle w:val="ListParagraph"/>
        <w:numPr>
          <w:ilvl w:val="1"/>
          <w:numId w:val="10"/>
        </w:numPr>
        <w:tabs>
          <w:tab w:pos="822" w:val="left" w:leader="none"/>
          <w:tab w:pos="2705" w:val="left" w:leader="none"/>
          <w:tab w:pos="6387" w:val="left" w:leader="none"/>
          <w:tab w:pos="8855" w:val="left" w:leader="none"/>
        </w:tabs>
        <w:spacing w:line="360" w:lineRule="auto" w:before="5" w:after="0"/>
        <w:ind w:left="822" w:right="121" w:hanging="360"/>
        <w:jc w:val="both"/>
        <w:rPr>
          <w:sz w:val="24"/>
        </w:rPr>
      </w:pPr>
      <w:r>
        <w:rPr>
          <w:sz w:val="24"/>
        </w:rPr>
        <w:t>Cubos</w:t>
        <w:tab/>
        <w:t>dinámicos-Defunciones</w:t>
        <w:tab/>
        <w:t>(Mortalidad)</w:t>
        <w:tab/>
        <w:t>2014. </w:t>
      </w:r>
      <w:hyperlink r:id="rId43">
        <w:r>
          <w:rPr>
            <w:spacing w:val="-1"/>
            <w:sz w:val="24"/>
          </w:rPr>
          <w:t>http://www.dgis.salud.gob.mx/contenidos/basesdedatos/bdc_defunciones.html.ac</w:t>
        </w:r>
      </w:hyperlink>
      <w:r>
        <w:rPr>
          <w:spacing w:val="-1"/>
          <w:sz w:val="24"/>
        </w:rPr>
        <w:t> </w:t>
      </w:r>
      <w:r>
        <w:rPr>
          <w:sz w:val="24"/>
        </w:rPr>
        <w:t>cessed 05 de abril del</w:t>
      </w:r>
      <w:r>
        <w:rPr>
          <w:spacing w:val="-14"/>
          <w:sz w:val="24"/>
        </w:rPr>
        <w:t> </w:t>
      </w:r>
      <w:r>
        <w:rPr>
          <w:sz w:val="24"/>
        </w:rPr>
        <w:t>2016.</w:t>
      </w:r>
    </w:p>
    <w:p>
      <w:pPr>
        <w:pStyle w:val="ListParagraph"/>
        <w:numPr>
          <w:ilvl w:val="1"/>
          <w:numId w:val="10"/>
        </w:numPr>
        <w:tabs>
          <w:tab w:pos="822" w:val="left" w:leader="none"/>
        </w:tabs>
        <w:spacing w:line="360" w:lineRule="auto" w:before="2" w:after="0"/>
        <w:ind w:left="822" w:right="127" w:hanging="360"/>
        <w:jc w:val="both"/>
        <w:rPr>
          <w:sz w:val="24"/>
        </w:rPr>
      </w:pPr>
      <w:r>
        <w:rPr>
          <w:sz w:val="24"/>
        </w:rPr>
        <w:t>ONU. Objetivos del desarrollo sostenible. 17 Objetivos para transformar nuestro mundo. disponible en:</w:t>
      </w:r>
      <w:r>
        <w:rPr>
          <w:spacing w:val="-29"/>
          <w:sz w:val="24"/>
        </w:rPr>
        <w:t> </w:t>
      </w:r>
      <w:hyperlink r:id="rId44">
        <w:r>
          <w:rPr>
            <w:sz w:val="24"/>
          </w:rPr>
          <w:t>http://www.un.org/sustainabledevelopment/es/health</w:t>
        </w:r>
      </w:hyperlink>
    </w:p>
    <w:p>
      <w:pPr>
        <w:pStyle w:val="ListParagraph"/>
        <w:numPr>
          <w:ilvl w:val="1"/>
          <w:numId w:val="10"/>
        </w:numPr>
        <w:tabs>
          <w:tab w:pos="822" w:val="left" w:leader="none"/>
        </w:tabs>
        <w:spacing w:line="362" w:lineRule="auto" w:before="2" w:after="0"/>
        <w:ind w:left="822" w:right="118" w:hanging="360"/>
        <w:jc w:val="both"/>
        <w:rPr>
          <w:sz w:val="24"/>
        </w:rPr>
      </w:pPr>
      <w:r>
        <w:rPr>
          <w:sz w:val="24"/>
        </w:rPr>
        <w:t>Gobierno de México. Los objetivos de Desarrollo del Milenio en México: informe de Avance</w:t>
      </w:r>
      <w:r>
        <w:rPr>
          <w:spacing w:val="-7"/>
          <w:sz w:val="24"/>
        </w:rPr>
        <w:t> </w:t>
      </w:r>
      <w:r>
        <w:rPr>
          <w:sz w:val="24"/>
        </w:rPr>
        <w:t>2014.</w:t>
      </w:r>
    </w:p>
    <w:p>
      <w:pPr>
        <w:pStyle w:val="ListParagraph"/>
        <w:numPr>
          <w:ilvl w:val="1"/>
          <w:numId w:val="10"/>
        </w:numPr>
        <w:tabs>
          <w:tab w:pos="822" w:val="left" w:leader="none"/>
        </w:tabs>
        <w:spacing w:line="360" w:lineRule="auto" w:before="0" w:after="0"/>
        <w:ind w:left="822" w:right="127" w:hanging="360"/>
        <w:jc w:val="both"/>
        <w:rPr>
          <w:sz w:val="24"/>
        </w:rPr>
      </w:pPr>
      <w:r>
        <w:rPr>
          <w:sz w:val="24"/>
        </w:rPr>
        <w:t>Triage Obstetrico, Código Mater y Equipo de Respuesta Inmediata Obstétrica. Lineamiento técnico. 2016. Primera edición. SSA. Centro Nacional de Equidad de Género y Salud Reproductiva.</w:t>
      </w:r>
      <w:r>
        <w:rPr>
          <w:spacing w:val="-17"/>
          <w:sz w:val="24"/>
        </w:rPr>
        <w:t> </w:t>
      </w:r>
      <w:r>
        <w:rPr>
          <w:sz w:val="24"/>
        </w:rPr>
        <w:t>cnegsr.salud.gob.mx</w:t>
      </w:r>
    </w:p>
    <w:p>
      <w:pPr>
        <w:pStyle w:val="ListParagraph"/>
        <w:numPr>
          <w:ilvl w:val="1"/>
          <w:numId w:val="10"/>
        </w:numPr>
        <w:tabs>
          <w:tab w:pos="822" w:val="left" w:leader="none"/>
        </w:tabs>
        <w:spacing w:line="360" w:lineRule="auto" w:before="2" w:after="0"/>
        <w:ind w:left="822" w:right="121" w:hanging="360"/>
        <w:jc w:val="both"/>
        <w:rPr>
          <w:sz w:val="24"/>
        </w:rPr>
      </w:pPr>
      <w:r>
        <w:rPr>
          <w:sz w:val="24"/>
        </w:rPr>
        <w:t>Gosman GG, Baldisseri MR, Stein KL, Nelson TA, Pedaline SH, Waters JH, et al. Introduction of an obstetric specific medical emergency team for obstetric crises: implementation and experience. Am J Obstet Gynecol.</w:t>
      </w:r>
      <w:r>
        <w:rPr>
          <w:spacing w:val="-29"/>
          <w:sz w:val="24"/>
        </w:rPr>
        <w:t> </w:t>
      </w:r>
      <w:r>
        <w:rPr>
          <w:sz w:val="24"/>
        </w:rPr>
        <w:t>2008;198:367.</w:t>
      </w:r>
    </w:p>
    <w:p>
      <w:pPr>
        <w:pStyle w:val="ListParagraph"/>
        <w:numPr>
          <w:ilvl w:val="1"/>
          <w:numId w:val="10"/>
        </w:numPr>
        <w:tabs>
          <w:tab w:pos="822" w:val="left" w:leader="none"/>
          <w:tab w:pos="4042" w:val="left" w:leader="none"/>
        </w:tabs>
        <w:spacing w:line="360" w:lineRule="auto" w:before="5" w:after="0"/>
        <w:ind w:left="822" w:right="116" w:hanging="360"/>
        <w:jc w:val="both"/>
        <w:rPr>
          <w:sz w:val="24"/>
        </w:rPr>
      </w:pPr>
      <w:r>
        <w:rPr>
          <w:sz w:val="24"/>
        </w:rPr>
        <w:t>Maternal Collapse in Pregnancy and the Puerperium. [Visitado 2016 Ago 20]. Disponible</w:t>
        <w:tab/>
        <w:t>en:</w:t>
      </w:r>
      <w:hyperlink r:id="rId45">
        <w:r>
          <w:rPr>
            <w:sz w:val="24"/>
          </w:rPr>
          <w:t>https://www.rcog.org.uk/en/guidelines-research-</w:t>
        </w:r>
      </w:hyperlink>
      <w:r>
        <w:rPr>
          <w:sz w:val="24"/>
        </w:rPr>
        <w:t> </w:t>
      </w:r>
      <w:hyperlink r:id="rId45">
        <w:r>
          <w:rPr>
            <w:sz w:val="24"/>
          </w:rPr>
          <w:t>services/guidelines/gtg56/</w:t>
        </w:r>
      </w:hyperlink>
    </w:p>
    <w:p>
      <w:pPr>
        <w:pStyle w:val="ListParagraph"/>
        <w:numPr>
          <w:ilvl w:val="1"/>
          <w:numId w:val="10"/>
        </w:numPr>
        <w:tabs>
          <w:tab w:pos="822" w:val="left" w:leader="none"/>
        </w:tabs>
        <w:spacing w:line="360" w:lineRule="auto" w:before="2" w:after="0"/>
        <w:ind w:left="822" w:right="118" w:hanging="360"/>
        <w:jc w:val="both"/>
        <w:rPr>
          <w:sz w:val="24"/>
        </w:rPr>
      </w:pPr>
      <w:r>
        <w:rPr>
          <w:sz w:val="24"/>
        </w:rPr>
        <w:t>Singh S, McGlennan A, England A, Simons R. A validation study of the CEMACH recommended modified early obstetric warning system (MEOWS). Anaesthesia. 2012;67:12-8.</w:t>
      </w:r>
    </w:p>
    <w:p>
      <w:pPr>
        <w:spacing w:after="0" w:line="360" w:lineRule="auto"/>
        <w:jc w:val="both"/>
        <w:rPr>
          <w:sz w:val="24"/>
        </w:rPr>
        <w:sectPr>
          <w:footerReference w:type="default" r:id="rId40"/>
          <w:pgSz w:w="12240" w:h="15840"/>
          <w:pgMar w:footer="1574" w:header="0" w:top="1360" w:bottom="1760" w:left="1600" w:right="1060"/>
        </w:sectPr>
      </w:pPr>
    </w:p>
    <w:p>
      <w:pPr>
        <w:pStyle w:val="ListParagraph"/>
        <w:numPr>
          <w:ilvl w:val="1"/>
          <w:numId w:val="10"/>
        </w:numPr>
        <w:tabs>
          <w:tab w:pos="702" w:val="left" w:leader="none"/>
        </w:tabs>
        <w:spacing w:line="360" w:lineRule="auto" w:before="54" w:after="0"/>
        <w:ind w:left="702" w:right="119" w:hanging="360"/>
        <w:jc w:val="both"/>
        <w:rPr>
          <w:sz w:val="24"/>
        </w:rPr>
      </w:pPr>
      <w:r>
        <w:rPr>
          <w:sz w:val="24"/>
        </w:rPr>
        <w:t>Rojas JA, González M, Monsalve G, Escobar MF, Vasco M. Consenso colombiano para la definición de los criterios de ingreso a unidades de cuidados intensivos en la paciente embarazada críticamente enferma. Rev Colomb Obstet Ginecol.</w:t>
      </w:r>
      <w:r>
        <w:rPr>
          <w:spacing w:val="-7"/>
          <w:sz w:val="24"/>
        </w:rPr>
        <w:t> </w:t>
      </w:r>
      <w:r>
        <w:rPr>
          <w:sz w:val="24"/>
        </w:rPr>
        <w:t>2014;65:47-74.</w:t>
      </w:r>
    </w:p>
    <w:p>
      <w:pPr>
        <w:pStyle w:val="ListParagraph"/>
        <w:numPr>
          <w:ilvl w:val="1"/>
          <w:numId w:val="10"/>
        </w:numPr>
        <w:tabs>
          <w:tab w:pos="702" w:val="left" w:leader="none"/>
        </w:tabs>
        <w:spacing w:line="360" w:lineRule="auto" w:before="2" w:after="0"/>
        <w:ind w:left="702" w:right="120" w:hanging="360"/>
        <w:jc w:val="both"/>
        <w:rPr>
          <w:sz w:val="24"/>
        </w:rPr>
      </w:pPr>
      <w:r>
        <w:rPr>
          <w:sz w:val="24"/>
        </w:rPr>
        <w:t>Vanden Hoek TL, Morrison LJ, Shuster M, Donnino M, Sinz E, Lavonas EJ et al. Part 12: Cardiac arrest in special situations: 2010 American Heart Association Guidelines for Cardiopulmonar y Resuscitation and Emergency Cardiovascular Care. Circulation. 2010;122(18 Suppl.</w:t>
      </w:r>
      <w:r>
        <w:rPr>
          <w:spacing w:val="-12"/>
          <w:sz w:val="24"/>
        </w:rPr>
        <w:t> </w:t>
      </w:r>
      <w:r>
        <w:rPr>
          <w:sz w:val="24"/>
        </w:rPr>
        <w:t>3):S829-861.</w:t>
      </w:r>
    </w:p>
    <w:p>
      <w:pPr>
        <w:pStyle w:val="ListParagraph"/>
        <w:numPr>
          <w:ilvl w:val="1"/>
          <w:numId w:val="10"/>
        </w:numPr>
        <w:tabs>
          <w:tab w:pos="702" w:val="left" w:leader="none"/>
        </w:tabs>
        <w:spacing w:line="362" w:lineRule="auto" w:before="2" w:after="0"/>
        <w:ind w:left="702" w:right="129" w:hanging="360"/>
        <w:jc w:val="both"/>
        <w:rPr>
          <w:sz w:val="24"/>
        </w:rPr>
      </w:pPr>
      <w:r>
        <w:rPr>
          <w:sz w:val="24"/>
        </w:rPr>
        <w:t>Ramsay G, Paglia M, Bourjeily G. When the Heart Stops: A Review of Cardiac Arrest in Pregnancy. J Intensive Care Med.</w:t>
      </w:r>
      <w:r>
        <w:rPr>
          <w:spacing w:val="-18"/>
          <w:sz w:val="24"/>
        </w:rPr>
        <w:t> </w:t>
      </w:r>
      <w:r>
        <w:rPr>
          <w:sz w:val="24"/>
        </w:rPr>
        <w:t>2013;28:204-14.</w:t>
      </w:r>
    </w:p>
    <w:p>
      <w:pPr>
        <w:pStyle w:val="ListParagraph"/>
        <w:numPr>
          <w:ilvl w:val="1"/>
          <w:numId w:val="10"/>
        </w:numPr>
        <w:tabs>
          <w:tab w:pos="702" w:val="left" w:leader="none"/>
        </w:tabs>
        <w:spacing w:line="360" w:lineRule="auto" w:before="0" w:after="0"/>
        <w:ind w:left="702" w:right="125" w:hanging="360"/>
        <w:jc w:val="both"/>
        <w:rPr>
          <w:sz w:val="24"/>
        </w:rPr>
      </w:pPr>
      <w:r>
        <w:rPr>
          <w:sz w:val="24"/>
        </w:rPr>
        <w:t>King SE, Gabbott DA. Maternal cardiac arrest rarely occurs, rarely researched. Resuscitation. 2011;82:</w:t>
      </w:r>
      <w:r>
        <w:rPr>
          <w:spacing w:val="-9"/>
          <w:sz w:val="24"/>
        </w:rPr>
        <w:t> </w:t>
      </w:r>
      <w:r>
        <w:rPr>
          <w:sz w:val="24"/>
        </w:rPr>
        <w:t>795-6.</w:t>
      </w:r>
    </w:p>
    <w:p>
      <w:pPr>
        <w:pStyle w:val="ListParagraph"/>
        <w:numPr>
          <w:ilvl w:val="1"/>
          <w:numId w:val="10"/>
        </w:numPr>
        <w:tabs>
          <w:tab w:pos="702" w:val="left" w:leader="none"/>
        </w:tabs>
        <w:spacing w:line="360" w:lineRule="auto" w:before="2" w:after="0"/>
        <w:ind w:left="702" w:right="127" w:hanging="360"/>
        <w:jc w:val="both"/>
        <w:rPr>
          <w:sz w:val="24"/>
        </w:rPr>
      </w:pPr>
      <w:r>
        <w:rPr>
          <w:sz w:val="24"/>
        </w:rPr>
        <w:t>Suresh MS, LaToya Mason C, Munnur U. Cardiopulmonary resuscitation and the parturient. Best Pract Res Clin Obstet Gynaecol.</w:t>
      </w:r>
      <w:r>
        <w:rPr>
          <w:spacing w:val="-16"/>
          <w:sz w:val="24"/>
        </w:rPr>
        <w:t> </w:t>
      </w:r>
      <w:r>
        <w:rPr>
          <w:sz w:val="24"/>
        </w:rPr>
        <w:t>2010;24:383-400.</w:t>
      </w:r>
    </w:p>
    <w:p>
      <w:pPr>
        <w:pStyle w:val="ListParagraph"/>
        <w:numPr>
          <w:ilvl w:val="1"/>
          <w:numId w:val="10"/>
        </w:numPr>
        <w:tabs>
          <w:tab w:pos="702" w:val="left" w:leader="none"/>
        </w:tabs>
        <w:spacing w:line="360" w:lineRule="auto" w:before="2" w:after="0"/>
        <w:ind w:left="702" w:right="125" w:hanging="360"/>
        <w:jc w:val="both"/>
        <w:rPr>
          <w:sz w:val="24"/>
        </w:rPr>
      </w:pPr>
      <w:r>
        <w:rPr>
          <w:sz w:val="24"/>
        </w:rPr>
        <w:t>Author P, Mauritz A. Reduction of Maternal Mortality in Ghana: IsanObstetricEarlyWarningSystemtheanswer? 2011;</w:t>
      </w:r>
      <w:r>
        <w:rPr>
          <w:spacing w:val="-16"/>
          <w:sz w:val="24"/>
        </w:rPr>
        <w:t> </w:t>
      </w:r>
      <w:r>
        <w:rPr>
          <w:sz w:val="24"/>
        </w:rPr>
        <w:t>2011.</w:t>
      </w:r>
    </w:p>
    <w:p>
      <w:pPr>
        <w:pStyle w:val="ListParagraph"/>
        <w:numPr>
          <w:ilvl w:val="1"/>
          <w:numId w:val="10"/>
        </w:numPr>
        <w:tabs>
          <w:tab w:pos="702" w:val="left" w:leader="none"/>
          <w:tab w:pos="4734" w:val="left" w:leader="none"/>
          <w:tab w:pos="6496" w:val="left" w:leader="none"/>
          <w:tab w:pos="8741" w:val="left" w:leader="none"/>
        </w:tabs>
        <w:spacing w:line="360" w:lineRule="auto" w:before="2" w:after="0"/>
        <w:ind w:left="702" w:right="117" w:hanging="360"/>
        <w:jc w:val="both"/>
        <w:rPr>
          <w:sz w:val="24"/>
        </w:rPr>
      </w:pPr>
      <w:r>
        <w:rPr>
          <w:sz w:val="24"/>
        </w:rPr>
        <w:t>Lewis G. (ed) 2007. The confidentialEnquiryinto Maternal and ChildHealth (CEMACH) SavingMotherLives: reviwing maternal deaths to makemotherhoodsafer</w:t>
        <w:tab/>
        <w:t>–</w:t>
        <w:tab/>
        <w:t>2003-</w:t>
        <w:tab/>
      </w:r>
      <w:r>
        <w:rPr>
          <w:spacing w:val="-1"/>
          <w:sz w:val="24"/>
        </w:rPr>
        <w:t>2005. </w:t>
      </w:r>
      <w:r>
        <w:rPr>
          <w:sz w:val="24"/>
        </w:rPr>
        <w:t>TheSeventhReportonConfidentialEnquiriesinto Maternal Deaths in theUnidedKingdom. London:</w:t>
      </w:r>
      <w:r>
        <w:rPr>
          <w:spacing w:val="-15"/>
          <w:sz w:val="24"/>
        </w:rPr>
        <w:t> </w:t>
      </w:r>
      <w:r>
        <w:rPr>
          <w:sz w:val="24"/>
        </w:rPr>
        <w:t>CEMACH.</w:t>
      </w:r>
    </w:p>
    <w:p>
      <w:pPr>
        <w:pStyle w:val="ListParagraph"/>
        <w:numPr>
          <w:ilvl w:val="1"/>
          <w:numId w:val="10"/>
        </w:numPr>
        <w:tabs>
          <w:tab w:pos="702" w:val="left" w:leader="none"/>
        </w:tabs>
        <w:spacing w:line="360" w:lineRule="auto" w:before="5" w:after="0"/>
        <w:ind w:left="702" w:right="127" w:hanging="360"/>
        <w:jc w:val="both"/>
        <w:rPr>
          <w:sz w:val="24"/>
        </w:rPr>
      </w:pPr>
      <w:r>
        <w:rPr>
          <w:sz w:val="24"/>
        </w:rPr>
        <w:t>NICE (2010) Hypertension in pregnancy. Themanagement of hypertensivedisorders in pregnancy. (Clinical guideline107)</w:t>
      </w:r>
      <w:r>
        <w:rPr>
          <w:spacing w:val="-20"/>
          <w:sz w:val="24"/>
        </w:rPr>
        <w:t> </w:t>
      </w:r>
      <w:r>
        <w:rPr>
          <w:sz w:val="24"/>
        </w:rPr>
        <w:t>London.</w:t>
      </w:r>
    </w:p>
    <w:p>
      <w:pPr>
        <w:pStyle w:val="ListParagraph"/>
        <w:numPr>
          <w:ilvl w:val="1"/>
          <w:numId w:val="10"/>
        </w:numPr>
        <w:tabs>
          <w:tab w:pos="702" w:val="left" w:leader="none"/>
        </w:tabs>
        <w:spacing w:line="360" w:lineRule="auto" w:before="5" w:after="0"/>
        <w:ind w:left="702" w:right="118" w:hanging="360"/>
        <w:jc w:val="both"/>
        <w:rPr>
          <w:sz w:val="24"/>
        </w:rPr>
      </w:pPr>
      <w:r>
        <w:rPr>
          <w:sz w:val="24"/>
        </w:rPr>
        <w:t>Statement P. 1 EarlyWarning Score (EWS) Management Protocol. 2013; 11 (June):</w:t>
      </w:r>
      <w:r>
        <w:rPr>
          <w:spacing w:val="-5"/>
          <w:sz w:val="24"/>
        </w:rPr>
        <w:t> </w:t>
      </w:r>
      <w:r>
        <w:rPr>
          <w:sz w:val="24"/>
        </w:rPr>
        <w:t>1-8.</w:t>
      </w:r>
    </w:p>
    <w:p>
      <w:pPr>
        <w:pStyle w:val="ListParagraph"/>
        <w:numPr>
          <w:ilvl w:val="1"/>
          <w:numId w:val="10"/>
        </w:numPr>
        <w:tabs>
          <w:tab w:pos="702" w:val="left" w:leader="none"/>
        </w:tabs>
        <w:spacing w:line="240" w:lineRule="auto" w:before="5" w:after="0"/>
        <w:ind w:left="702" w:right="0" w:hanging="360"/>
        <w:jc w:val="left"/>
        <w:rPr>
          <w:sz w:val="24"/>
        </w:rPr>
      </w:pPr>
      <w:hyperlink r:id="rId47">
        <w:r>
          <w:rPr>
            <w:sz w:val="24"/>
          </w:rPr>
          <w:t>http://www.who.int/maternal_child_adolescent/topics/maternal/maternal_perinatal</w:t>
        </w:r>
      </w:hyperlink>
    </w:p>
    <w:p>
      <w:pPr>
        <w:pStyle w:val="BodyText"/>
        <w:spacing w:before="137"/>
        <w:ind w:left="701"/>
      </w:pPr>
      <w:r>
        <w:rPr/>
        <w:t>/es/</w:t>
      </w:r>
    </w:p>
    <w:p>
      <w:pPr>
        <w:pStyle w:val="ListParagraph"/>
        <w:numPr>
          <w:ilvl w:val="1"/>
          <w:numId w:val="10"/>
        </w:numPr>
        <w:tabs>
          <w:tab w:pos="702" w:val="left" w:leader="none"/>
        </w:tabs>
        <w:spacing w:line="360" w:lineRule="auto" w:before="139" w:after="0"/>
        <w:ind w:left="702" w:right="117" w:hanging="360"/>
        <w:jc w:val="both"/>
        <w:rPr>
          <w:sz w:val="24"/>
        </w:rPr>
      </w:pPr>
      <w:r>
        <w:rPr>
          <w:sz w:val="24"/>
        </w:rPr>
        <w:t>Global Strategy for Women´s, Children´s and adolescents´Health 2016-2030. New York: United</w:t>
      </w:r>
      <w:r>
        <w:rPr>
          <w:spacing w:val="-7"/>
          <w:sz w:val="24"/>
        </w:rPr>
        <w:t> </w:t>
      </w:r>
      <w:r>
        <w:rPr>
          <w:sz w:val="24"/>
        </w:rPr>
        <w:t>Nations;2015</w:t>
      </w:r>
    </w:p>
    <w:p>
      <w:pPr>
        <w:pStyle w:val="BodyText"/>
      </w:pPr>
    </w:p>
    <w:p>
      <w:pPr>
        <w:pStyle w:val="Heading1"/>
        <w:spacing w:before="142"/>
        <w:ind w:left="4867" w:right="4286"/>
        <w:jc w:val="center"/>
      </w:pPr>
      <w:r>
        <w:rPr/>
        <w:t>46</w:t>
      </w:r>
    </w:p>
    <w:p>
      <w:pPr>
        <w:spacing w:after="0"/>
        <w:jc w:val="center"/>
        <w:sectPr>
          <w:footerReference w:type="default" r:id="rId46"/>
          <w:pgSz w:w="12240" w:h="15840"/>
          <w:pgMar w:footer="0" w:header="0" w:top="1360" w:bottom="280" w:left="1720" w:right="1060"/>
        </w:sectPr>
      </w:pPr>
    </w:p>
    <w:p>
      <w:pPr>
        <w:pStyle w:val="ListParagraph"/>
        <w:numPr>
          <w:ilvl w:val="1"/>
          <w:numId w:val="10"/>
        </w:numPr>
        <w:tabs>
          <w:tab w:pos="702" w:val="left" w:leader="none"/>
        </w:tabs>
        <w:spacing w:line="362" w:lineRule="auto" w:before="54" w:after="0"/>
        <w:ind w:left="702" w:right="126" w:hanging="360"/>
        <w:jc w:val="both"/>
        <w:rPr>
          <w:sz w:val="24"/>
        </w:rPr>
      </w:pPr>
      <w:r>
        <w:rPr>
          <w:sz w:val="24"/>
        </w:rPr>
        <w:t>Organización Mundial de la Salud. Objetivos de Desarrollo del Milenio de la ONU 2000.</w:t>
      </w:r>
    </w:p>
    <w:p>
      <w:pPr>
        <w:pStyle w:val="ListParagraph"/>
        <w:numPr>
          <w:ilvl w:val="1"/>
          <w:numId w:val="10"/>
        </w:numPr>
        <w:tabs>
          <w:tab w:pos="702" w:val="left" w:leader="none"/>
        </w:tabs>
        <w:spacing w:line="360" w:lineRule="auto" w:before="0" w:after="0"/>
        <w:ind w:left="702" w:right="126" w:hanging="360"/>
        <w:jc w:val="both"/>
        <w:rPr>
          <w:sz w:val="24"/>
        </w:rPr>
      </w:pPr>
      <w:r>
        <w:rPr>
          <w:sz w:val="24"/>
        </w:rPr>
        <w:t>Duncan KD. McMullan C. Mills BM. Early warning systems: the next level of rapid response. Nursing 2015.</w:t>
      </w:r>
      <w:r>
        <w:rPr>
          <w:spacing w:val="-14"/>
          <w:sz w:val="24"/>
        </w:rPr>
        <w:t> </w:t>
      </w:r>
      <w:r>
        <w:rPr>
          <w:sz w:val="24"/>
        </w:rPr>
        <w:t>2012;42(2):38-44</w:t>
      </w:r>
    </w:p>
    <w:p>
      <w:pPr>
        <w:pStyle w:val="ListParagraph"/>
        <w:numPr>
          <w:ilvl w:val="1"/>
          <w:numId w:val="10"/>
        </w:numPr>
        <w:tabs>
          <w:tab w:pos="702" w:val="left" w:leader="none"/>
        </w:tabs>
        <w:spacing w:line="360" w:lineRule="auto" w:before="2" w:after="0"/>
        <w:ind w:left="702" w:right="121" w:hanging="360"/>
        <w:jc w:val="both"/>
        <w:rPr>
          <w:sz w:val="24"/>
        </w:rPr>
      </w:pPr>
      <w:r>
        <w:rPr>
          <w:sz w:val="24"/>
        </w:rPr>
        <w:t>Secretaria de Salud/Centro Nacional de Excelencia Tecnológica. Guía de Practica Clínica. Triage hospitalario de primer contacto en los servicios de urgencias adultos para el Segundo y tercer nivel. CENETEC-SALUD México: 2015.</w:t>
      </w:r>
    </w:p>
    <w:p>
      <w:pPr>
        <w:pStyle w:val="ListParagraph"/>
        <w:numPr>
          <w:ilvl w:val="1"/>
          <w:numId w:val="10"/>
        </w:numPr>
        <w:tabs>
          <w:tab w:pos="702" w:val="left" w:leader="none"/>
        </w:tabs>
        <w:spacing w:line="360" w:lineRule="auto" w:before="2" w:after="0"/>
        <w:ind w:left="702" w:right="121" w:hanging="360"/>
        <w:jc w:val="both"/>
        <w:rPr>
          <w:sz w:val="24"/>
        </w:rPr>
      </w:pPr>
      <w:r>
        <w:rPr>
          <w:sz w:val="24"/>
        </w:rPr>
        <w:t>Say L, Chou D, Gemmill A, Tunçalp Ö, Moller AB, Daniels JD, et al. Global Causes of Maternal Death: A WHO Systematic Analysis. Lancet Global Health. 2014;2(6):</w:t>
      </w:r>
      <w:r>
        <w:rPr>
          <w:spacing w:val="-6"/>
          <w:sz w:val="24"/>
        </w:rPr>
        <w:t> </w:t>
      </w:r>
      <w:r>
        <w:rPr>
          <w:sz w:val="24"/>
        </w:rPr>
        <w:t>e323-e333.</w:t>
      </w:r>
    </w:p>
    <w:p>
      <w:pPr>
        <w:pStyle w:val="ListParagraph"/>
        <w:numPr>
          <w:ilvl w:val="1"/>
          <w:numId w:val="10"/>
        </w:numPr>
        <w:tabs>
          <w:tab w:pos="702" w:val="left" w:leader="none"/>
        </w:tabs>
        <w:spacing w:line="360" w:lineRule="auto" w:before="5" w:after="0"/>
        <w:ind w:left="702" w:right="117" w:hanging="360"/>
        <w:jc w:val="left"/>
        <w:rPr>
          <w:sz w:val="24"/>
        </w:rPr>
      </w:pPr>
      <w:r>
        <w:rPr>
          <w:sz w:val="24"/>
        </w:rPr>
        <w:t>Tejada Pérez Paúl, Cohen Aaron, Font Arreaza Ingrid J, Bermúdez Carlos, Schuitemaker Requena Juan B. Modificaciones fisiológicas del embarazo e implicaciones farmacológicas: maternas, fetales y neonatales. Rev Obstet Ginecol Venez [Internet]. 2007 Dic [citado 2016 Oct 02] ; 67( 4 ): 246-67. Disponibleen</w:t>
      </w:r>
      <w:hyperlink r:id="rId49">
        <w:r>
          <w:rPr>
            <w:sz w:val="24"/>
          </w:rPr>
          <w:t>:htt</w:t>
        </w:r>
      </w:hyperlink>
      <w:r>
        <w:rPr>
          <w:sz w:val="24"/>
        </w:rPr>
        <w:t>p</w:t>
      </w:r>
      <w:hyperlink r:id="rId49">
        <w:r>
          <w:rPr>
            <w:sz w:val="24"/>
          </w:rPr>
          <w:t>://www.scielo.org.ve/scielo.php?script=sci_arttext&amp;pid=S0048-</w:t>
        </w:r>
      </w:hyperlink>
      <w:r>
        <w:rPr>
          <w:sz w:val="24"/>
        </w:rPr>
        <w:t> 77322007000400006&amp;lng=es</w:t>
      </w:r>
    </w:p>
    <w:p>
      <w:pPr>
        <w:pStyle w:val="ListParagraph"/>
        <w:numPr>
          <w:ilvl w:val="1"/>
          <w:numId w:val="10"/>
        </w:numPr>
        <w:tabs>
          <w:tab w:pos="702" w:val="left" w:leader="none"/>
        </w:tabs>
        <w:spacing w:line="360" w:lineRule="auto" w:before="5" w:after="0"/>
        <w:ind w:left="702" w:right="123" w:hanging="360"/>
        <w:jc w:val="both"/>
        <w:rPr>
          <w:sz w:val="24"/>
        </w:rPr>
      </w:pPr>
      <w:r>
        <w:rPr>
          <w:sz w:val="24"/>
        </w:rPr>
        <w:t>Canal Ortiz L.A. Empleo del sistema de alerta temprana “Modified Early Warning Score(mews)”. Una visión de enfermería.</w:t>
      </w:r>
      <w:r>
        <w:rPr>
          <w:spacing w:val="-17"/>
          <w:sz w:val="24"/>
        </w:rPr>
        <w:t> </w:t>
      </w:r>
      <w:r>
        <w:rPr>
          <w:sz w:val="24"/>
        </w:rPr>
        <w:t>2016.</w:t>
      </w:r>
    </w:p>
    <w:p>
      <w:pPr>
        <w:spacing w:after="0" w:line="360" w:lineRule="auto"/>
        <w:jc w:val="both"/>
        <w:rPr>
          <w:sz w:val="24"/>
        </w:rPr>
        <w:sectPr>
          <w:footerReference w:type="default" r:id="rId48"/>
          <w:pgSz w:w="12240" w:h="15840"/>
          <w:pgMar w:footer="1773" w:header="0" w:top="1360" w:bottom="1960" w:left="1720" w:right="1060"/>
        </w:sectPr>
      </w:pPr>
    </w:p>
    <w:p>
      <w:pPr>
        <w:spacing w:before="54"/>
        <w:ind w:left="262" w:right="0" w:firstLine="0"/>
        <w:jc w:val="left"/>
        <w:rPr>
          <w:b/>
          <w:sz w:val="24"/>
        </w:rPr>
      </w:pPr>
      <w:r>
        <w:rPr>
          <w:b/>
          <w:sz w:val="24"/>
        </w:rPr>
        <w:t>ANEXOS</w:t>
      </w:r>
    </w:p>
    <w:p>
      <w:pPr>
        <w:pStyle w:val="BodyText"/>
        <w:rPr>
          <w:b/>
        </w:rPr>
      </w:pPr>
    </w:p>
    <w:p>
      <w:pPr>
        <w:pStyle w:val="BodyText"/>
        <w:rPr>
          <w:b/>
        </w:rPr>
      </w:pPr>
    </w:p>
    <w:p>
      <w:pPr>
        <w:pStyle w:val="BodyText"/>
        <w:ind w:left="262"/>
      </w:pPr>
      <w:r>
        <w:rPr>
          <w:b/>
        </w:rPr>
        <w:t>Anexo 1. </w:t>
      </w:r>
      <w:r>
        <w:rPr/>
        <w:t>Esquema de clasificación de las muertes maternas directas más comunes.</w:t>
      </w:r>
    </w:p>
    <w:p>
      <w:pPr>
        <w:pStyle w:val="BodyText"/>
        <w:spacing w:before="1"/>
        <w:rPr>
          <w:sz w:val="13"/>
        </w:rPr>
      </w:pPr>
    </w:p>
    <w:tbl>
      <w:tblPr>
        <w:tblW w:w="0" w:type="auto"/>
        <w:jc w:val="left"/>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4801"/>
        <w:gridCol w:w="4801"/>
      </w:tblGrid>
      <w:tr>
        <w:trPr>
          <w:trHeight w:val="760" w:hRule="exact"/>
        </w:trPr>
        <w:tc>
          <w:tcPr>
            <w:tcW w:w="4801" w:type="dxa"/>
            <w:tcBorders>
              <w:top w:val="nil"/>
              <w:bottom w:val="single" w:sz="24" w:space="0" w:color="FFFFFF"/>
            </w:tcBorders>
            <w:shd w:val="clear" w:color="auto" w:fill="4F81BC"/>
          </w:tcPr>
          <w:p>
            <w:pPr>
              <w:pStyle w:val="TableParagraph"/>
              <w:spacing w:before="65"/>
              <w:ind w:left="1583" w:right="1587"/>
              <w:jc w:val="center"/>
              <w:rPr>
                <w:rFonts w:ascii="Arial" w:hAnsi="Arial"/>
                <w:b/>
                <w:sz w:val="14"/>
              </w:rPr>
            </w:pPr>
            <w:r>
              <w:rPr>
                <w:rFonts w:ascii="Arial" w:hAnsi="Arial"/>
                <w:b/>
                <w:sz w:val="14"/>
              </w:rPr>
              <w:t>DIAGNÓSTICO BÁSICO</w:t>
            </w:r>
          </w:p>
        </w:tc>
        <w:tc>
          <w:tcPr>
            <w:tcW w:w="4801" w:type="dxa"/>
            <w:tcBorders>
              <w:top w:val="nil"/>
              <w:bottom w:val="single" w:sz="24" w:space="0" w:color="FFFFFF"/>
            </w:tcBorders>
            <w:shd w:val="clear" w:color="auto" w:fill="4F81BC"/>
          </w:tcPr>
          <w:p>
            <w:pPr>
              <w:pStyle w:val="TableParagraph"/>
              <w:spacing w:before="65"/>
              <w:ind w:left="1452"/>
              <w:rPr>
                <w:rFonts w:ascii="Arial" w:hAnsi="Arial"/>
                <w:b/>
                <w:sz w:val="14"/>
              </w:rPr>
            </w:pPr>
            <w:r>
              <w:rPr>
                <w:rFonts w:ascii="Arial" w:hAnsi="Arial"/>
                <w:b/>
                <w:sz w:val="14"/>
              </w:rPr>
              <w:t>DIAGNÓSTICO ESPECÍFICO</w:t>
            </w:r>
          </w:p>
        </w:tc>
      </w:tr>
      <w:tr>
        <w:trPr>
          <w:trHeight w:val="906" w:hRule="exact"/>
        </w:trPr>
        <w:tc>
          <w:tcPr>
            <w:tcW w:w="4801" w:type="dxa"/>
            <w:tcBorders>
              <w:top w:val="single" w:sz="24" w:space="0" w:color="FFFFFF"/>
            </w:tcBorders>
            <w:shd w:val="clear" w:color="auto" w:fill="D0D7E8"/>
          </w:tcPr>
          <w:p>
            <w:pPr>
              <w:pStyle w:val="TableParagraph"/>
              <w:spacing w:before="65"/>
              <w:ind w:left="134"/>
              <w:rPr>
                <w:rFonts w:ascii="Arial"/>
                <w:b/>
                <w:sz w:val="14"/>
              </w:rPr>
            </w:pPr>
            <w:r>
              <w:rPr>
                <w:rFonts w:ascii="Arial"/>
                <w:b/>
                <w:sz w:val="14"/>
              </w:rPr>
              <w:t>MUERTE DURANTE EL EMBARAZO TEMPRANO</w:t>
            </w:r>
          </w:p>
        </w:tc>
        <w:tc>
          <w:tcPr>
            <w:tcW w:w="4801" w:type="dxa"/>
            <w:tcBorders>
              <w:top w:val="single" w:sz="24" w:space="0" w:color="FFFFFF"/>
            </w:tcBorders>
            <w:shd w:val="clear" w:color="auto" w:fill="D0D7E8"/>
          </w:tcPr>
          <w:p>
            <w:pPr>
              <w:pStyle w:val="TableParagraph"/>
              <w:numPr>
                <w:ilvl w:val="0"/>
                <w:numId w:val="12"/>
              </w:numPr>
              <w:tabs>
                <w:tab w:pos="854" w:val="left" w:leader="none"/>
                <w:tab w:pos="855" w:val="left" w:leader="none"/>
              </w:tabs>
              <w:spacing w:line="240" w:lineRule="auto" w:before="65" w:after="0"/>
              <w:ind w:left="854" w:right="0" w:hanging="360"/>
              <w:jc w:val="left"/>
              <w:rPr>
                <w:rFonts w:ascii="Arial" w:hAnsi="Arial"/>
                <w:b/>
                <w:sz w:val="14"/>
              </w:rPr>
            </w:pPr>
            <w:r>
              <w:rPr>
                <w:rFonts w:ascii="Arial" w:hAnsi="Arial"/>
                <w:b/>
                <w:sz w:val="14"/>
              </w:rPr>
              <w:t>ECTÓPICO</w:t>
            </w:r>
          </w:p>
          <w:p>
            <w:pPr>
              <w:pStyle w:val="TableParagraph"/>
              <w:numPr>
                <w:ilvl w:val="0"/>
                <w:numId w:val="12"/>
              </w:numPr>
              <w:tabs>
                <w:tab w:pos="854" w:val="left" w:leader="none"/>
                <w:tab w:pos="855" w:val="left" w:leader="none"/>
              </w:tabs>
              <w:spacing w:line="240" w:lineRule="auto" w:before="79" w:after="0"/>
              <w:ind w:left="854" w:right="0" w:hanging="360"/>
              <w:jc w:val="left"/>
              <w:rPr>
                <w:rFonts w:ascii="Arial"/>
                <w:b/>
                <w:sz w:val="14"/>
              </w:rPr>
            </w:pPr>
            <w:r>
              <w:rPr>
                <w:rFonts w:ascii="Arial"/>
                <w:b/>
                <w:sz w:val="14"/>
              </w:rPr>
              <w:t>ABORTO</w:t>
            </w:r>
          </w:p>
          <w:p>
            <w:pPr>
              <w:pStyle w:val="TableParagraph"/>
              <w:tabs>
                <w:tab w:pos="854" w:val="left" w:leader="none"/>
              </w:tabs>
              <w:spacing w:before="81"/>
              <w:ind w:left="494"/>
              <w:rPr>
                <w:rFonts w:ascii="Arial" w:hAnsi="Arial"/>
                <w:b/>
                <w:sz w:val="14"/>
              </w:rPr>
            </w:pPr>
            <w:r>
              <w:rPr>
                <w:rFonts w:ascii="Arial" w:hAnsi="Arial"/>
                <w:sz w:val="14"/>
              </w:rPr>
              <w:t>-</w:t>
              <w:tab/>
            </w:r>
            <w:r>
              <w:rPr>
                <w:rFonts w:ascii="Arial" w:hAnsi="Arial"/>
                <w:b/>
                <w:sz w:val="14"/>
              </w:rPr>
              <w:t>ESPONTÁNEO, INDUCIDO,</w:t>
            </w:r>
            <w:r>
              <w:rPr>
                <w:rFonts w:ascii="Arial" w:hAnsi="Arial"/>
                <w:b/>
                <w:spacing w:val="-13"/>
                <w:sz w:val="14"/>
              </w:rPr>
              <w:t> </w:t>
            </w:r>
            <w:r>
              <w:rPr>
                <w:rFonts w:ascii="Arial" w:hAnsi="Arial"/>
                <w:b/>
                <w:sz w:val="14"/>
              </w:rPr>
              <w:t>SÉPTICO</w:t>
            </w:r>
          </w:p>
        </w:tc>
      </w:tr>
      <w:tr>
        <w:trPr>
          <w:trHeight w:val="749" w:hRule="exact"/>
        </w:trPr>
        <w:tc>
          <w:tcPr>
            <w:tcW w:w="4801" w:type="dxa"/>
            <w:shd w:val="clear" w:color="auto" w:fill="E9ECF4"/>
          </w:tcPr>
          <w:p>
            <w:pPr>
              <w:pStyle w:val="TableParagraph"/>
              <w:spacing w:before="68"/>
              <w:ind w:left="134"/>
              <w:rPr>
                <w:rFonts w:ascii="Arial"/>
                <w:b/>
                <w:sz w:val="14"/>
              </w:rPr>
            </w:pPr>
            <w:r>
              <w:rPr>
                <w:rFonts w:ascii="Arial"/>
                <w:b/>
                <w:sz w:val="14"/>
              </w:rPr>
              <w:t>SANGRADO ANTES DEL PARTO</w:t>
            </w:r>
          </w:p>
        </w:tc>
        <w:tc>
          <w:tcPr>
            <w:tcW w:w="4801" w:type="dxa"/>
            <w:shd w:val="clear" w:color="auto" w:fill="E9ECF4"/>
          </w:tcPr>
          <w:p>
            <w:pPr>
              <w:pStyle w:val="TableParagraph"/>
              <w:numPr>
                <w:ilvl w:val="0"/>
                <w:numId w:val="13"/>
              </w:numPr>
              <w:tabs>
                <w:tab w:pos="854" w:val="left" w:leader="none"/>
                <w:tab w:pos="855" w:val="left" w:leader="none"/>
              </w:tabs>
              <w:spacing w:line="240" w:lineRule="auto" w:before="68" w:after="0"/>
              <w:ind w:left="854" w:right="0" w:hanging="360"/>
              <w:jc w:val="left"/>
              <w:rPr>
                <w:rFonts w:ascii="Arial"/>
                <w:b/>
                <w:sz w:val="14"/>
              </w:rPr>
            </w:pPr>
            <w:r>
              <w:rPr>
                <w:rFonts w:ascii="Arial"/>
                <w:b/>
                <w:sz w:val="14"/>
              </w:rPr>
              <w:t>PLACENTA</w:t>
            </w:r>
            <w:r>
              <w:rPr>
                <w:rFonts w:ascii="Arial"/>
                <w:b/>
                <w:spacing w:val="-9"/>
                <w:sz w:val="14"/>
              </w:rPr>
              <w:t> </w:t>
            </w:r>
            <w:r>
              <w:rPr>
                <w:rFonts w:ascii="Arial"/>
                <w:b/>
                <w:sz w:val="14"/>
              </w:rPr>
              <w:t>PREVIA</w:t>
            </w:r>
          </w:p>
          <w:p>
            <w:pPr>
              <w:pStyle w:val="TableParagraph"/>
              <w:numPr>
                <w:ilvl w:val="0"/>
                <w:numId w:val="13"/>
              </w:numPr>
              <w:tabs>
                <w:tab w:pos="854" w:val="left" w:leader="none"/>
                <w:tab w:pos="855" w:val="left" w:leader="none"/>
              </w:tabs>
              <w:spacing w:line="240" w:lineRule="auto" w:before="79" w:after="0"/>
              <w:ind w:left="854" w:right="0" w:hanging="360"/>
              <w:jc w:val="left"/>
              <w:rPr>
                <w:rFonts w:ascii="Arial"/>
                <w:b/>
                <w:sz w:val="14"/>
              </w:rPr>
            </w:pPr>
            <w:r>
              <w:rPr>
                <w:rFonts w:ascii="Arial"/>
                <w:b/>
                <w:sz w:val="14"/>
              </w:rPr>
              <w:t>DESPRENDIMIENTO PREMATURO DE</w:t>
            </w:r>
            <w:r>
              <w:rPr>
                <w:rFonts w:ascii="Arial"/>
                <w:b/>
                <w:spacing w:val="-13"/>
                <w:sz w:val="14"/>
              </w:rPr>
              <w:t> </w:t>
            </w:r>
            <w:r>
              <w:rPr>
                <w:rFonts w:ascii="Arial"/>
                <w:b/>
                <w:sz w:val="14"/>
              </w:rPr>
              <w:t>PLACENTA</w:t>
            </w:r>
          </w:p>
        </w:tc>
      </w:tr>
      <w:tr>
        <w:trPr>
          <w:trHeight w:val="749" w:hRule="exact"/>
        </w:trPr>
        <w:tc>
          <w:tcPr>
            <w:tcW w:w="4801" w:type="dxa"/>
            <w:shd w:val="clear" w:color="auto" w:fill="D0D7E8"/>
          </w:tcPr>
          <w:p>
            <w:pPr>
              <w:pStyle w:val="TableParagraph"/>
              <w:spacing w:before="65"/>
              <w:ind w:left="134"/>
              <w:rPr>
                <w:rFonts w:ascii="Arial"/>
                <w:b/>
                <w:sz w:val="14"/>
              </w:rPr>
            </w:pPr>
            <w:r>
              <w:rPr>
                <w:rFonts w:ascii="Arial"/>
                <w:b/>
                <w:sz w:val="14"/>
              </w:rPr>
              <w:t>SANGRADO DURANTE EL PARTO</w:t>
            </w:r>
          </w:p>
        </w:tc>
        <w:tc>
          <w:tcPr>
            <w:tcW w:w="4801" w:type="dxa"/>
            <w:shd w:val="clear" w:color="auto" w:fill="D0D7E8"/>
          </w:tcPr>
          <w:p>
            <w:pPr>
              <w:pStyle w:val="TableParagraph"/>
              <w:spacing w:before="65"/>
              <w:ind w:left="134"/>
              <w:rPr>
                <w:rFonts w:ascii="Arial"/>
                <w:b/>
                <w:sz w:val="14"/>
              </w:rPr>
            </w:pPr>
            <w:r>
              <w:rPr>
                <w:rFonts w:ascii="Arial"/>
                <w:b/>
                <w:sz w:val="14"/>
              </w:rPr>
              <w:t>PLACENTA RETENIDA</w:t>
            </w:r>
          </w:p>
        </w:tc>
      </w:tr>
      <w:tr>
        <w:trPr>
          <w:trHeight w:val="888" w:hRule="exact"/>
        </w:trPr>
        <w:tc>
          <w:tcPr>
            <w:tcW w:w="4801" w:type="dxa"/>
            <w:shd w:val="clear" w:color="auto" w:fill="E9ECF4"/>
          </w:tcPr>
          <w:p>
            <w:pPr>
              <w:pStyle w:val="TableParagraph"/>
              <w:spacing w:before="65"/>
              <w:ind w:left="134"/>
              <w:rPr>
                <w:rFonts w:ascii="Arial"/>
                <w:b/>
                <w:sz w:val="14"/>
              </w:rPr>
            </w:pPr>
            <w:r>
              <w:rPr>
                <w:rFonts w:ascii="Arial"/>
                <w:b/>
                <w:sz w:val="14"/>
              </w:rPr>
              <w:t>SANGRADO POS PARTO</w:t>
            </w:r>
          </w:p>
        </w:tc>
        <w:tc>
          <w:tcPr>
            <w:tcW w:w="4801" w:type="dxa"/>
            <w:shd w:val="clear" w:color="auto" w:fill="E9ECF4"/>
          </w:tcPr>
          <w:p>
            <w:pPr>
              <w:pStyle w:val="TableParagraph"/>
              <w:numPr>
                <w:ilvl w:val="0"/>
                <w:numId w:val="14"/>
              </w:numPr>
              <w:tabs>
                <w:tab w:pos="854" w:val="left" w:leader="none"/>
                <w:tab w:pos="855" w:val="left" w:leader="none"/>
              </w:tabs>
              <w:spacing w:line="240" w:lineRule="auto" w:before="65" w:after="0"/>
              <w:ind w:left="854" w:right="0" w:hanging="360"/>
              <w:jc w:val="left"/>
              <w:rPr>
                <w:rFonts w:ascii="Arial"/>
                <w:b/>
                <w:sz w:val="14"/>
              </w:rPr>
            </w:pPr>
            <w:r>
              <w:rPr>
                <w:rFonts w:ascii="Arial"/>
                <w:b/>
                <w:sz w:val="14"/>
              </w:rPr>
              <w:t>ATONIA</w:t>
            </w:r>
            <w:r>
              <w:rPr>
                <w:rFonts w:ascii="Arial"/>
                <w:b/>
                <w:spacing w:val="-6"/>
                <w:sz w:val="14"/>
              </w:rPr>
              <w:t> </w:t>
            </w:r>
            <w:r>
              <w:rPr>
                <w:rFonts w:ascii="Arial"/>
                <w:b/>
                <w:sz w:val="14"/>
              </w:rPr>
              <w:t>UTERINA</w:t>
            </w:r>
          </w:p>
          <w:p>
            <w:pPr>
              <w:pStyle w:val="TableParagraph"/>
              <w:numPr>
                <w:ilvl w:val="0"/>
                <w:numId w:val="14"/>
              </w:numPr>
              <w:tabs>
                <w:tab w:pos="854" w:val="left" w:leader="none"/>
                <w:tab w:pos="855" w:val="left" w:leader="none"/>
              </w:tabs>
              <w:spacing w:line="240" w:lineRule="auto" w:before="81" w:after="0"/>
              <w:ind w:left="854" w:right="0" w:hanging="360"/>
              <w:jc w:val="left"/>
              <w:rPr>
                <w:rFonts w:ascii="Arial"/>
                <w:b/>
                <w:sz w:val="14"/>
              </w:rPr>
            </w:pPr>
            <w:r>
              <w:rPr>
                <w:rFonts w:ascii="Arial"/>
                <w:b/>
                <w:sz w:val="14"/>
              </w:rPr>
              <w:t>TRAUMA</w:t>
            </w:r>
          </w:p>
          <w:p>
            <w:pPr>
              <w:pStyle w:val="TableParagraph"/>
              <w:numPr>
                <w:ilvl w:val="0"/>
                <w:numId w:val="14"/>
              </w:numPr>
              <w:tabs>
                <w:tab w:pos="854" w:val="left" w:leader="none"/>
                <w:tab w:pos="855" w:val="left" w:leader="none"/>
              </w:tabs>
              <w:spacing w:line="240" w:lineRule="auto" w:before="79" w:after="0"/>
              <w:ind w:left="854" w:right="0" w:hanging="360"/>
              <w:jc w:val="left"/>
              <w:rPr>
                <w:rFonts w:ascii="Arial"/>
                <w:b/>
                <w:sz w:val="14"/>
              </w:rPr>
            </w:pPr>
            <w:r>
              <w:rPr>
                <w:rFonts w:ascii="Arial"/>
                <w:b/>
                <w:sz w:val="14"/>
              </w:rPr>
              <w:t>RETENSION DE RESTOS</w:t>
            </w:r>
            <w:r>
              <w:rPr>
                <w:rFonts w:ascii="Arial"/>
                <w:b/>
                <w:spacing w:val="-15"/>
                <w:sz w:val="14"/>
              </w:rPr>
              <w:t> </w:t>
            </w:r>
            <w:r>
              <w:rPr>
                <w:rFonts w:ascii="Arial"/>
                <w:b/>
                <w:sz w:val="14"/>
              </w:rPr>
              <w:t>PLACENTARIOS</w:t>
            </w:r>
          </w:p>
        </w:tc>
      </w:tr>
      <w:tr>
        <w:trPr>
          <w:trHeight w:val="749" w:hRule="exact"/>
        </w:trPr>
        <w:tc>
          <w:tcPr>
            <w:tcW w:w="4801" w:type="dxa"/>
            <w:shd w:val="clear" w:color="auto" w:fill="D0D7E8"/>
          </w:tcPr>
          <w:p>
            <w:pPr>
              <w:pStyle w:val="TableParagraph"/>
              <w:spacing w:before="65"/>
              <w:ind w:left="134"/>
              <w:rPr>
                <w:rFonts w:ascii="Arial"/>
                <w:b/>
                <w:sz w:val="14"/>
              </w:rPr>
            </w:pPr>
            <w:r>
              <w:rPr>
                <w:rFonts w:ascii="Arial"/>
                <w:b/>
                <w:sz w:val="14"/>
              </w:rPr>
              <w:t>PARTO OBSTRUIDO</w:t>
            </w:r>
          </w:p>
        </w:tc>
        <w:tc>
          <w:tcPr>
            <w:tcW w:w="4801" w:type="dxa"/>
            <w:shd w:val="clear" w:color="auto" w:fill="D0D7E8"/>
          </w:tcPr>
          <w:p>
            <w:pPr>
              <w:pStyle w:val="TableParagraph"/>
              <w:spacing w:line="362" w:lineRule="auto" w:before="65"/>
              <w:ind w:left="134" w:right="3282"/>
              <w:rPr>
                <w:rFonts w:ascii="Arial"/>
                <w:b/>
                <w:sz w:val="14"/>
              </w:rPr>
            </w:pPr>
            <w:r>
              <w:rPr>
                <w:rFonts w:ascii="Arial"/>
                <w:b/>
                <w:sz w:val="14"/>
              </w:rPr>
              <w:t>RUPTURA UTERINA OTRA CAUSA</w:t>
            </w:r>
          </w:p>
        </w:tc>
      </w:tr>
      <w:tr>
        <w:trPr>
          <w:trHeight w:val="888" w:hRule="exact"/>
        </w:trPr>
        <w:tc>
          <w:tcPr>
            <w:tcW w:w="4801" w:type="dxa"/>
            <w:shd w:val="clear" w:color="auto" w:fill="E9ECF4"/>
          </w:tcPr>
          <w:p>
            <w:pPr>
              <w:pStyle w:val="TableParagraph"/>
              <w:spacing w:before="65"/>
              <w:ind w:left="134"/>
              <w:rPr>
                <w:rFonts w:ascii="Arial"/>
                <w:b/>
                <w:sz w:val="14"/>
              </w:rPr>
            </w:pPr>
            <w:r>
              <w:rPr>
                <w:rFonts w:ascii="Arial"/>
                <w:b/>
                <w:sz w:val="14"/>
              </w:rPr>
              <w:t>ENFERMEDAD HIPERTENSIVA</w:t>
            </w:r>
          </w:p>
        </w:tc>
        <w:tc>
          <w:tcPr>
            <w:tcW w:w="4801" w:type="dxa"/>
            <w:shd w:val="clear" w:color="auto" w:fill="E9ECF4"/>
          </w:tcPr>
          <w:p>
            <w:pPr>
              <w:pStyle w:val="TableParagraph"/>
              <w:numPr>
                <w:ilvl w:val="0"/>
                <w:numId w:val="15"/>
              </w:numPr>
              <w:tabs>
                <w:tab w:pos="854" w:val="left" w:leader="none"/>
                <w:tab w:pos="855" w:val="left" w:leader="none"/>
              </w:tabs>
              <w:spacing w:line="240" w:lineRule="auto" w:before="65" w:after="0"/>
              <w:ind w:left="854" w:right="0" w:hanging="360"/>
              <w:jc w:val="left"/>
              <w:rPr>
                <w:rFonts w:ascii="Arial"/>
                <w:b/>
                <w:sz w:val="14"/>
              </w:rPr>
            </w:pPr>
            <w:r>
              <w:rPr>
                <w:rFonts w:ascii="Arial"/>
                <w:b/>
                <w:sz w:val="14"/>
              </w:rPr>
              <w:t>PREECLAMPSIA</w:t>
            </w:r>
          </w:p>
          <w:p>
            <w:pPr>
              <w:pStyle w:val="TableParagraph"/>
              <w:numPr>
                <w:ilvl w:val="0"/>
                <w:numId w:val="15"/>
              </w:numPr>
              <w:tabs>
                <w:tab w:pos="854" w:val="left" w:leader="none"/>
                <w:tab w:pos="855" w:val="left" w:leader="none"/>
              </w:tabs>
              <w:spacing w:line="240" w:lineRule="auto" w:before="81" w:after="0"/>
              <w:ind w:left="854" w:right="0" w:hanging="360"/>
              <w:jc w:val="left"/>
              <w:rPr>
                <w:rFonts w:ascii="Arial"/>
                <w:b/>
                <w:sz w:val="14"/>
              </w:rPr>
            </w:pPr>
            <w:r>
              <w:rPr>
                <w:rFonts w:ascii="Arial"/>
                <w:b/>
                <w:sz w:val="14"/>
              </w:rPr>
              <w:t>ECLAMPSIA</w:t>
            </w:r>
          </w:p>
          <w:p>
            <w:pPr>
              <w:pStyle w:val="TableParagraph"/>
              <w:numPr>
                <w:ilvl w:val="0"/>
                <w:numId w:val="15"/>
              </w:numPr>
              <w:tabs>
                <w:tab w:pos="854" w:val="left" w:leader="none"/>
                <w:tab w:pos="855" w:val="left" w:leader="none"/>
              </w:tabs>
              <w:spacing w:line="240" w:lineRule="auto" w:before="79" w:after="0"/>
              <w:ind w:left="854" w:right="0" w:hanging="360"/>
              <w:jc w:val="left"/>
              <w:rPr>
                <w:rFonts w:ascii="Arial" w:hAnsi="Arial"/>
                <w:b/>
                <w:sz w:val="14"/>
              </w:rPr>
            </w:pPr>
            <w:r>
              <w:rPr>
                <w:rFonts w:ascii="Arial" w:hAnsi="Arial"/>
                <w:b/>
                <w:sz w:val="14"/>
              </w:rPr>
              <w:t>HIPERTENSIÓN</w:t>
            </w:r>
            <w:r>
              <w:rPr>
                <w:rFonts w:ascii="Arial" w:hAnsi="Arial"/>
                <w:b/>
                <w:spacing w:val="-8"/>
                <w:sz w:val="14"/>
              </w:rPr>
              <w:t> </w:t>
            </w:r>
            <w:r>
              <w:rPr>
                <w:rFonts w:ascii="Arial" w:hAnsi="Arial"/>
                <w:b/>
                <w:sz w:val="14"/>
              </w:rPr>
              <w:t>CRÓNICA</w:t>
            </w:r>
          </w:p>
        </w:tc>
      </w:tr>
      <w:tr>
        <w:trPr>
          <w:trHeight w:val="1121" w:hRule="exact"/>
        </w:trPr>
        <w:tc>
          <w:tcPr>
            <w:tcW w:w="4801" w:type="dxa"/>
            <w:tcBorders>
              <w:bottom w:val="nil"/>
            </w:tcBorders>
            <w:shd w:val="clear" w:color="auto" w:fill="D0D7E8"/>
          </w:tcPr>
          <w:p>
            <w:pPr/>
          </w:p>
        </w:tc>
        <w:tc>
          <w:tcPr>
            <w:tcW w:w="4801" w:type="dxa"/>
            <w:tcBorders>
              <w:bottom w:val="nil"/>
            </w:tcBorders>
            <w:shd w:val="clear" w:color="auto" w:fill="D0D7E8"/>
          </w:tcPr>
          <w:p>
            <w:pPr>
              <w:pStyle w:val="TableParagraph"/>
              <w:numPr>
                <w:ilvl w:val="0"/>
                <w:numId w:val="16"/>
              </w:numPr>
              <w:tabs>
                <w:tab w:pos="854" w:val="left" w:leader="none"/>
                <w:tab w:pos="855" w:val="left" w:leader="none"/>
              </w:tabs>
              <w:spacing w:line="240" w:lineRule="auto" w:before="66" w:after="0"/>
              <w:ind w:left="854" w:right="0" w:hanging="360"/>
              <w:jc w:val="left"/>
              <w:rPr>
                <w:rFonts w:ascii="Arial"/>
                <w:b/>
                <w:sz w:val="14"/>
              </w:rPr>
            </w:pPr>
            <w:r>
              <w:rPr>
                <w:rFonts w:ascii="Arial"/>
                <w:b/>
                <w:sz w:val="14"/>
              </w:rPr>
              <w:t>RELACIONADOS CON</w:t>
            </w:r>
            <w:r>
              <w:rPr>
                <w:rFonts w:ascii="Arial"/>
                <w:b/>
                <w:spacing w:val="-11"/>
                <w:sz w:val="14"/>
              </w:rPr>
              <w:t> </w:t>
            </w:r>
            <w:r>
              <w:rPr>
                <w:rFonts w:ascii="Arial"/>
                <w:b/>
                <w:sz w:val="14"/>
              </w:rPr>
              <w:t>RPM</w:t>
            </w:r>
          </w:p>
          <w:p>
            <w:pPr>
              <w:pStyle w:val="TableParagraph"/>
              <w:numPr>
                <w:ilvl w:val="0"/>
                <w:numId w:val="16"/>
              </w:numPr>
              <w:tabs>
                <w:tab w:pos="854" w:val="left" w:leader="none"/>
                <w:tab w:pos="855" w:val="left" w:leader="none"/>
              </w:tabs>
              <w:spacing w:line="240" w:lineRule="auto" w:before="81" w:after="0"/>
              <w:ind w:left="854" w:right="0" w:hanging="360"/>
              <w:jc w:val="left"/>
              <w:rPr>
                <w:rFonts w:ascii="Arial"/>
                <w:b/>
                <w:sz w:val="14"/>
              </w:rPr>
            </w:pPr>
            <w:r>
              <w:rPr>
                <w:rFonts w:ascii="Arial"/>
                <w:b/>
                <w:sz w:val="14"/>
              </w:rPr>
              <w:t>TEJIDO PLACENTARIO</w:t>
            </w:r>
            <w:r>
              <w:rPr>
                <w:rFonts w:ascii="Arial"/>
                <w:b/>
                <w:spacing w:val="-13"/>
                <w:sz w:val="14"/>
              </w:rPr>
              <w:t> </w:t>
            </w:r>
            <w:r>
              <w:rPr>
                <w:rFonts w:ascii="Arial"/>
                <w:b/>
                <w:sz w:val="14"/>
              </w:rPr>
              <w:t>RETEDINO</w:t>
            </w:r>
          </w:p>
          <w:p>
            <w:pPr>
              <w:pStyle w:val="TableParagraph"/>
              <w:numPr>
                <w:ilvl w:val="0"/>
                <w:numId w:val="16"/>
              </w:numPr>
              <w:tabs>
                <w:tab w:pos="854" w:val="left" w:leader="none"/>
                <w:tab w:pos="855" w:val="left" w:leader="none"/>
              </w:tabs>
              <w:spacing w:line="240" w:lineRule="auto" w:before="79" w:after="0"/>
              <w:ind w:left="854" w:right="0" w:hanging="360"/>
              <w:jc w:val="left"/>
              <w:rPr>
                <w:rFonts w:ascii="Arial"/>
                <w:b/>
                <w:sz w:val="14"/>
              </w:rPr>
            </w:pPr>
            <w:r>
              <w:rPr>
                <w:rFonts w:ascii="Arial"/>
                <w:b/>
                <w:sz w:val="14"/>
              </w:rPr>
              <w:t>VIAS</w:t>
            </w:r>
            <w:r>
              <w:rPr>
                <w:rFonts w:ascii="Arial"/>
                <w:b/>
                <w:spacing w:val="-10"/>
                <w:sz w:val="14"/>
              </w:rPr>
              <w:t> </w:t>
            </w:r>
            <w:r>
              <w:rPr>
                <w:rFonts w:ascii="Arial"/>
                <w:b/>
                <w:sz w:val="14"/>
              </w:rPr>
              <w:t>URINARIAS</w:t>
            </w:r>
          </w:p>
          <w:p>
            <w:pPr>
              <w:pStyle w:val="TableParagraph"/>
              <w:numPr>
                <w:ilvl w:val="0"/>
                <w:numId w:val="16"/>
              </w:numPr>
              <w:tabs>
                <w:tab w:pos="854" w:val="left" w:leader="none"/>
                <w:tab w:pos="855" w:val="left" w:leader="none"/>
              </w:tabs>
              <w:spacing w:line="240" w:lineRule="auto" w:before="81" w:after="0"/>
              <w:ind w:left="854" w:right="0" w:hanging="360"/>
              <w:jc w:val="left"/>
              <w:rPr>
                <w:rFonts w:ascii="Arial"/>
                <w:b/>
                <w:sz w:val="14"/>
              </w:rPr>
            </w:pPr>
            <w:r>
              <w:rPr>
                <w:rFonts w:ascii="Arial"/>
                <w:b/>
                <w:sz w:val="14"/>
              </w:rPr>
              <w:t>POSOPERATORIAS</w:t>
            </w:r>
          </w:p>
        </w:tc>
      </w:tr>
    </w:tbl>
    <w:p>
      <w:pPr>
        <w:spacing w:after="0" w:line="240" w:lineRule="auto"/>
        <w:jc w:val="left"/>
        <w:rPr>
          <w:rFonts w:ascii="Arial"/>
          <w:sz w:val="14"/>
        </w:rPr>
        <w:sectPr>
          <w:footerReference w:type="default" r:id="rId50"/>
          <w:pgSz w:w="12240" w:h="15840"/>
          <w:pgMar w:footer="1550" w:header="0" w:top="1360" w:bottom="1740" w:left="1440" w:right="960"/>
          <w:pgNumType w:start="48"/>
        </w:sectPr>
      </w:pPr>
    </w:p>
    <w:p>
      <w:pPr>
        <w:pStyle w:val="BodyText"/>
        <w:spacing w:before="54"/>
        <w:ind w:left="262"/>
      </w:pPr>
      <w:r>
        <w:rPr>
          <w:b/>
        </w:rPr>
        <w:t>Anexo 2. </w:t>
      </w:r>
      <w:r>
        <w:rPr/>
        <w:t>Esquema de clasificación de las muertes maternas indirectas más comunes.</w:t>
      </w:r>
    </w:p>
    <w:p>
      <w:pPr>
        <w:pStyle w:val="BodyText"/>
        <w:rPr>
          <w:sz w:val="20"/>
        </w:rPr>
      </w:pPr>
    </w:p>
    <w:p>
      <w:pPr>
        <w:pStyle w:val="BodyText"/>
        <w:spacing w:before="2"/>
        <w:rPr>
          <w:sz w:val="28"/>
        </w:rPr>
      </w:pPr>
    </w:p>
    <w:tbl>
      <w:tblPr>
        <w:tblW w:w="0" w:type="auto"/>
        <w:jc w:val="left"/>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4832"/>
        <w:gridCol w:w="4830"/>
      </w:tblGrid>
      <w:tr>
        <w:trPr>
          <w:trHeight w:val="680" w:hRule="exact"/>
        </w:trPr>
        <w:tc>
          <w:tcPr>
            <w:tcW w:w="4832" w:type="dxa"/>
            <w:tcBorders>
              <w:top w:val="nil"/>
              <w:bottom w:val="single" w:sz="24" w:space="0" w:color="FFFFFF"/>
            </w:tcBorders>
            <w:shd w:val="clear" w:color="auto" w:fill="4F81BC"/>
          </w:tcPr>
          <w:p>
            <w:pPr>
              <w:pStyle w:val="TableParagraph"/>
              <w:spacing w:before="68"/>
              <w:ind w:left="265" w:right="268"/>
              <w:jc w:val="center"/>
              <w:rPr>
                <w:b/>
                <w:sz w:val="14"/>
              </w:rPr>
            </w:pPr>
            <w:r>
              <w:rPr>
                <w:b/>
                <w:sz w:val="14"/>
              </w:rPr>
              <w:t>DIAGNÓSTICO BÁSICO</w:t>
            </w:r>
          </w:p>
        </w:tc>
        <w:tc>
          <w:tcPr>
            <w:tcW w:w="4830" w:type="dxa"/>
            <w:tcBorders>
              <w:top w:val="nil"/>
              <w:bottom w:val="single" w:sz="24" w:space="0" w:color="FFFFFF"/>
            </w:tcBorders>
            <w:shd w:val="clear" w:color="auto" w:fill="4F81BC"/>
          </w:tcPr>
          <w:p>
            <w:pPr>
              <w:pStyle w:val="TableParagraph"/>
              <w:spacing w:before="68"/>
              <w:ind w:left="1624" w:right="1627"/>
              <w:jc w:val="center"/>
              <w:rPr>
                <w:b/>
                <w:sz w:val="14"/>
              </w:rPr>
            </w:pPr>
            <w:r>
              <w:rPr>
                <w:b/>
                <w:sz w:val="14"/>
              </w:rPr>
              <w:t>DIAGNÓSTICO ESPECÍFICO</w:t>
            </w:r>
          </w:p>
        </w:tc>
      </w:tr>
      <w:tr>
        <w:trPr>
          <w:trHeight w:val="1220" w:hRule="exact"/>
        </w:trPr>
        <w:tc>
          <w:tcPr>
            <w:tcW w:w="4832" w:type="dxa"/>
            <w:tcBorders>
              <w:top w:val="single" w:sz="24" w:space="0" w:color="FFFFFF"/>
            </w:tcBorders>
            <w:shd w:val="clear" w:color="auto" w:fill="D0D7E8"/>
          </w:tcPr>
          <w:p>
            <w:pPr>
              <w:pStyle w:val="TableParagraph"/>
              <w:spacing w:before="68"/>
              <w:ind w:left="265" w:right="268"/>
              <w:jc w:val="center"/>
              <w:rPr>
                <w:b/>
                <w:sz w:val="14"/>
              </w:rPr>
            </w:pPr>
            <w:r>
              <w:rPr>
                <w:b/>
                <w:sz w:val="14"/>
              </w:rPr>
              <w:t>ENFERMEDADES DE LA SANGRA Y DE LOS ÓRGANOS HEMATOPOYÉTICOS</w:t>
            </w:r>
          </w:p>
        </w:tc>
        <w:tc>
          <w:tcPr>
            <w:tcW w:w="4830" w:type="dxa"/>
            <w:tcBorders>
              <w:top w:val="single" w:sz="24" w:space="0" w:color="FFFFFF"/>
            </w:tcBorders>
            <w:shd w:val="clear" w:color="auto" w:fill="D0D7E8"/>
          </w:tcPr>
          <w:p>
            <w:pPr>
              <w:pStyle w:val="TableParagraph"/>
              <w:numPr>
                <w:ilvl w:val="0"/>
                <w:numId w:val="17"/>
              </w:numPr>
              <w:tabs>
                <w:tab w:pos="852" w:val="left" w:leader="none"/>
                <w:tab w:pos="853" w:val="left" w:leader="none"/>
              </w:tabs>
              <w:spacing w:line="240" w:lineRule="auto" w:before="68" w:after="0"/>
              <w:ind w:left="852" w:right="0" w:hanging="360"/>
              <w:jc w:val="left"/>
              <w:rPr>
                <w:b/>
                <w:sz w:val="14"/>
              </w:rPr>
            </w:pPr>
            <w:r>
              <w:rPr>
                <w:b/>
                <w:sz w:val="14"/>
              </w:rPr>
              <w:t>ANEMIA</w:t>
            </w:r>
            <w:r>
              <w:rPr>
                <w:b/>
                <w:spacing w:val="-9"/>
                <w:sz w:val="14"/>
              </w:rPr>
              <w:t> </w:t>
            </w:r>
            <w:r>
              <w:rPr>
                <w:b/>
                <w:sz w:val="14"/>
              </w:rPr>
              <w:t>HEMOLITICA</w:t>
            </w:r>
          </w:p>
          <w:p>
            <w:pPr>
              <w:pStyle w:val="TableParagraph"/>
              <w:numPr>
                <w:ilvl w:val="0"/>
                <w:numId w:val="17"/>
              </w:numPr>
              <w:tabs>
                <w:tab w:pos="852" w:val="left" w:leader="none"/>
                <w:tab w:pos="853" w:val="left" w:leader="none"/>
              </w:tabs>
              <w:spacing w:line="240" w:lineRule="auto" w:before="83" w:after="0"/>
              <w:ind w:left="852" w:right="0" w:hanging="360"/>
              <w:jc w:val="left"/>
              <w:rPr>
                <w:b/>
                <w:sz w:val="14"/>
              </w:rPr>
            </w:pPr>
            <w:r>
              <w:rPr>
                <w:b/>
                <w:sz w:val="14"/>
              </w:rPr>
              <w:t>DEFECTOS DE LA</w:t>
            </w:r>
            <w:r>
              <w:rPr>
                <w:b/>
                <w:spacing w:val="-13"/>
                <w:sz w:val="14"/>
              </w:rPr>
              <w:t> </w:t>
            </w:r>
            <w:r>
              <w:rPr>
                <w:b/>
                <w:sz w:val="14"/>
              </w:rPr>
              <w:t>COAGULACIÓN</w:t>
            </w:r>
          </w:p>
          <w:p>
            <w:pPr>
              <w:pStyle w:val="TableParagraph"/>
              <w:numPr>
                <w:ilvl w:val="0"/>
                <w:numId w:val="17"/>
              </w:numPr>
              <w:tabs>
                <w:tab w:pos="852" w:val="left" w:leader="none"/>
                <w:tab w:pos="853" w:val="left" w:leader="none"/>
              </w:tabs>
              <w:spacing w:line="240" w:lineRule="auto" w:before="86" w:after="0"/>
              <w:ind w:left="852" w:right="0" w:hanging="360"/>
              <w:jc w:val="left"/>
              <w:rPr>
                <w:b/>
                <w:sz w:val="14"/>
              </w:rPr>
            </w:pPr>
            <w:r>
              <w:rPr>
                <w:b/>
                <w:sz w:val="14"/>
              </w:rPr>
              <w:t>PÚRPURA Y OTRAS AFECCIONES</w:t>
            </w:r>
            <w:r>
              <w:rPr>
                <w:b/>
                <w:spacing w:val="-19"/>
                <w:sz w:val="14"/>
              </w:rPr>
              <w:t> </w:t>
            </w:r>
            <w:r>
              <w:rPr>
                <w:b/>
                <w:sz w:val="14"/>
              </w:rPr>
              <w:t>HEMORRÁGICAS</w:t>
            </w:r>
          </w:p>
          <w:p>
            <w:pPr>
              <w:pStyle w:val="TableParagraph"/>
              <w:numPr>
                <w:ilvl w:val="0"/>
                <w:numId w:val="17"/>
              </w:numPr>
              <w:tabs>
                <w:tab w:pos="852" w:val="left" w:leader="none"/>
                <w:tab w:pos="853" w:val="left" w:leader="none"/>
              </w:tabs>
              <w:spacing w:line="240" w:lineRule="auto" w:before="86" w:after="0"/>
              <w:ind w:left="852" w:right="0" w:hanging="360"/>
              <w:jc w:val="left"/>
              <w:rPr>
                <w:b/>
                <w:sz w:val="14"/>
              </w:rPr>
            </w:pPr>
            <w:r>
              <w:rPr>
                <w:b/>
                <w:sz w:val="14"/>
              </w:rPr>
              <w:t>LEUCEMIAS Y</w:t>
            </w:r>
            <w:r>
              <w:rPr>
                <w:b/>
                <w:spacing w:val="-11"/>
                <w:sz w:val="14"/>
              </w:rPr>
              <w:t> </w:t>
            </w:r>
            <w:r>
              <w:rPr>
                <w:b/>
                <w:sz w:val="14"/>
              </w:rPr>
              <w:t>LINFOMAS</w:t>
            </w:r>
          </w:p>
        </w:tc>
      </w:tr>
      <w:tr>
        <w:trPr>
          <w:trHeight w:val="744" w:hRule="exact"/>
        </w:trPr>
        <w:tc>
          <w:tcPr>
            <w:tcW w:w="4832" w:type="dxa"/>
            <w:shd w:val="clear" w:color="auto" w:fill="E9ECF4"/>
          </w:tcPr>
          <w:p>
            <w:pPr>
              <w:pStyle w:val="TableParagraph"/>
              <w:spacing w:before="68"/>
              <w:ind w:left="265" w:right="268"/>
              <w:jc w:val="center"/>
              <w:rPr>
                <w:b/>
                <w:sz w:val="14"/>
              </w:rPr>
            </w:pPr>
            <w:r>
              <w:rPr>
                <w:b/>
                <w:sz w:val="14"/>
              </w:rPr>
              <w:t>ENFERMEDADES ENDÓCRINAS, NUTRICIONALES Y METABÓLICAS</w:t>
            </w:r>
          </w:p>
        </w:tc>
        <w:tc>
          <w:tcPr>
            <w:tcW w:w="4830" w:type="dxa"/>
            <w:shd w:val="clear" w:color="auto" w:fill="E9ECF4"/>
          </w:tcPr>
          <w:p>
            <w:pPr>
              <w:pStyle w:val="TableParagraph"/>
              <w:numPr>
                <w:ilvl w:val="0"/>
                <w:numId w:val="18"/>
              </w:numPr>
              <w:tabs>
                <w:tab w:pos="852" w:val="left" w:leader="none"/>
                <w:tab w:pos="853" w:val="left" w:leader="none"/>
              </w:tabs>
              <w:spacing w:line="240" w:lineRule="auto" w:before="68" w:after="0"/>
              <w:ind w:left="852" w:right="0" w:hanging="360"/>
              <w:jc w:val="left"/>
              <w:rPr>
                <w:b/>
                <w:sz w:val="14"/>
              </w:rPr>
            </w:pPr>
            <w:r>
              <w:rPr>
                <w:b/>
                <w:sz w:val="14"/>
              </w:rPr>
              <w:t>ENFERMEDADES</w:t>
            </w:r>
            <w:r>
              <w:rPr>
                <w:b/>
                <w:spacing w:val="-14"/>
                <w:sz w:val="14"/>
              </w:rPr>
              <w:t> </w:t>
            </w:r>
            <w:r>
              <w:rPr>
                <w:b/>
                <w:sz w:val="14"/>
              </w:rPr>
              <w:t>TIROIDEAS</w:t>
            </w:r>
          </w:p>
          <w:p>
            <w:pPr>
              <w:pStyle w:val="TableParagraph"/>
              <w:numPr>
                <w:ilvl w:val="0"/>
                <w:numId w:val="18"/>
              </w:numPr>
              <w:tabs>
                <w:tab w:pos="852" w:val="left" w:leader="none"/>
                <w:tab w:pos="853" w:val="left" w:leader="none"/>
              </w:tabs>
              <w:spacing w:line="240" w:lineRule="auto" w:before="86" w:after="0"/>
              <w:ind w:left="852" w:right="0" w:hanging="360"/>
              <w:jc w:val="left"/>
              <w:rPr>
                <w:b/>
                <w:sz w:val="14"/>
              </w:rPr>
            </w:pPr>
            <w:r>
              <w:rPr>
                <w:b/>
                <w:sz w:val="14"/>
              </w:rPr>
              <w:t>DIABETES</w:t>
            </w:r>
            <w:r>
              <w:rPr>
                <w:b/>
                <w:spacing w:val="-10"/>
                <w:sz w:val="14"/>
              </w:rPr>
              <w:t> </w:t>
            </w:r>
            <w:r>
              <w:rPr>
                <w:b/>
                <w:sz w:val="14"/>
              </w:rPr>
              <w:t>MELLITUS</w:t>
            </w:r>
          </w:p>
        </w:tc>
      </w:tr>
      <w:tr>
        <w:trPr>
          <w:trHeight w:val="1702" w:hRule="exact"/>
        </w:trPr>
        <w:tc>
          <w:tcPr>
            <w:tcW w:w="4832" w:type="dxa"/>
            <w:shd w:val="clear" w:color="auto" w:fill="D0D7E8"/>
          </w:tcPr>
          <w:p>
            <w:pPr>
              <w:pStyle w:val="TableParagraph"/>
              <w:spacing w:before="69"/>
              <w:ind w:left="265" w:right="268"/>
              <w:jc w:val="center"/>
              <w:rPr>
                <w:b/>
                <w:sz w:val="14"/>
              </w:rPr>
            </w:pPr>
            <w:r>
              <w:rPr>
                <w:b/>
                <w:sz w:val="14"/>
              </w:rPr>
              <w:t>ENFERMEDADES DEL SISTEMA CIRCULATORIO</w:t>
            </w:r>
          </w:p>
        </w:tc>
        <w:tc>
          <w:tcPr>
            <w:tcW w:w="4830" w:type="dxa"/>
            <w:shd w:val="clear" w:color="auto" w:fill="D0D7E8"/>
          </w:tcPr>
          <w:p>
            <w:pPr>
              <w:pStyle w:val="TableParagraph"/>
              <w:numPr>
                <w:ilvl w:val="0"/>
                <w:numId w:val="19"/>
              </w:numPr>
              <w:tabs>
                <w:tab w:pos="852" w:val="left" w:leader="none"/>
                <w:tab w:pos="853" w:val="left" w:leader="none"/>
              </w:tabs>
              <w:spacing w:line="240" w:lineRule="auto" w:before="69" w:after="0"/>
              <w:ind w:left="852" w:right="0" w:hanging="360"/>
              <w:jc w:val="left"/>
              <w:rPr>
                <w:b/>
                <w:sz w:val="14"/>
              </w:rPr>
            </w:pPr>
            <w:r>
              <w:rPr>
                <w:b/>
                <w:sz w:val="14"/>
              </w:rPr>
              <w:t>INSUFICIENCIA</w:t>
            </w:r>
            <w:r>
              <w:rPr>
                <w:b/>
                <w:spacing w:val="-12"/>
                <w:sz w:val="14"/>
              </w:rPr>
              <w:t> </w:t>
            </w:r>
            <w:r>
              <w:rPr>
                <w:b/>
                <w:sz w:val="14"/>
              </w:rPr>
              <w:t>CARDIÁCA</w:t>
            </w:r>
          </w:p>
          <w:p>
            <w:pPr>
              <w:pStyle w:val="TableParagraph"/>
              <w:numPr>
                <w:ilvl w:val="0"/>
                <w:numId w:val="19"/>
              </w:numPr>
              <w:tabs>
                <w:tab w:pos="852" w:val="left" w:leader="none"/>
                <w:tab w:pos="853" w:val="left" w:leader="none"/>
              </w:tabs>
              <w:spacing w:line="240" w:lineRule="auto" w:before="86" w:after="0"/>
              <w:ind w:left="852" w:right="0" w:hanging="360"/>
              <w:jc w:val="left"/>
              <w:rPr>
                <w:b/>
                <w:sz w:val="14"/>
              </w:rPr>
            </w:pPr>
            <w:r>
              <w:rPr>
                <w:b/>
                <w:sz w:val="14"/>
              </w:rPr>
              <w:t>HIPERTENSIÓN ARTERIAL</w:t>
            </w:r>
            <w:r>
              <w:rPr>
                <w:b/>
                <w:spacing w:val="-20"/>
                <w:sz w:val="14"/>
              </w:rPr>
              <w:t> </w:t>
            </w:r>
            <w:r>
              <w:rPr>
                <w:b/>
                <w:sz w:val="14"/>
              </w:rPr>
              <w:t>CRÓNICA</w:t>
            </w:r>
          </w:p>
          <w:p>
            <w:pPr>
              <w:pStyle w:val="TableParagraph"/>
              <w:numPr>
                <w:ilvl w:val="0"/>
                <w:numId w:val="19"/>
              </w:numPr>
              <w:tabs>
                <w:tab w:pos="852" w:val="left" w:leader="none"/>
                <w:tab w:pos="853" w:val="left" w:leader="none"/>
              </w:tabs>
              <w:spacing w:line="240" w:lineRule="auto" w:before="86" w:after="0"/>
              <w:ind w:left="852" w:right="0" w:hanging="360"/>
              <w:jc w:val="left"/>
              <w:rPr>
                <w:b/>
                <w:sz w:val="14"/>
              </w:rPr>
            </w:pPr>
            <w:r>
              <w:rPr>
                <w:b/>
                <w:sz w:val="14"/>
              </w:rPr>
              <w:t>CORONARIOPATIAS</w:t>
            </w:r>
          </w:p>
          <w:p>
            <w:pPr>
              <w:pStyle w:val="TableParagraph"/>
              <w:numPr>
                <w:ilvl w:val="0"/>
                <w:numId w:val="19"/>
              </w:numPr>
              <w:tabs>
                <w:tab w:pos="852" w:val="left" w:leader="none"/>
                <w:tab w:pos="853" w:val="left" w:leader="none"/>
              </w:tabs>
              <w:spacing w:line="240" w:lineRule="auto" w:before="86" w:after="0"/>
              <w:ind w:left="852" w:right="0" w:hanging="360"/>
              <w:jc w:val="left"/>
              <w:rPr>
                <w:b/>
                <w:sz w:val="14"/>
              </w:rPr>
            </w:pPr>
            <w:r>
              <w:rPr>
                <w:b/>
                <w:sz w:val="14"/>
              </w:rPr>
              <w:t>CARDIOPATIAS</w:t>
            </w:r>
          </w:p>
          <w:p>
            <w:pPr>
              <w:pStyle w:val="TableParagraph"/>
              <w:numPr>
                <w:ilvl w:val="0"/>
                <w:numId w:val="19"/>
              </w:numPr>
              <w:tabs>
                <w:tab w:pos="852" w:val="left" w:leader="none"/>
                <w:tab w:pos="853" w:val="left" w:leader="none"/>
              </w:tabs>
              <w:spacing w:line="240" w:lineRule="auto" w:before="86" w:after="0"/>
              <w:ind w:left="852" w:right="0" w:hanging="360"/>
              <w:jc w:val="left"/>
              <w:rPr>
                <w:b/>
                <w:sz w:val="14"/>
              </w:rPr>
            </w:pPr>
            <w:r>
              <w:rPr>
                <w:b/>
                <w:sz w:val="14"/>
              </w:rPr>
              <w:t>ARRITMIAS</w:t>
            </w:r>
            <w:r>
              <w:rPr>
                <w:b/>
                <w:spacing w:val="-10"/>
                <w:sz w:val="14"/>
              </w:rPr>
              <w:t> </w:t>
            </w:r>
            <w:r>
              <w:rPr>
                <w:b/>
                <w:sz w:val="14"/>
              </w:rPr>
              <w:t>CARDIÁCAS</w:t>
            </w:r>
          </w:p>
          <w:p>
            <w:pPr>
              <w:pStyle w:val="TableParagraph"/>
              <w:numPr>
                <w:ilvl w:val="0"/>
                <w:numId w:val="19"/>
              </w:numPr>
              <w:tabs>
                <w:tab w:pos="852" w:val="left" w:leader="none"/>
                <w:tab w:pos="853" w:val="left" w:leader="none"/>
              </w:tabs>
              <w:spacing w:line="240" w:lineRule="auto" w:before="83" w:after="0"/>
              <w:ind w:left="852" w:right="0" w:hanging="360"/>
              <w:jc w:val="left"/>
              <w:rPr>
                <w:b/>
                <w:sz w:val="14"/>
              </w:rPr>
            </w:pPr>
            <w:r>
              <w:rPr>
                <w:b/>
                <w:sz w:val="14"/>
              </w:rPr>
              <w:t>MALFORMACIONES</w:t>
            </w:r>
            <w:r>
              <w:rPr>
                <w:b/>
                <w:spacing w:val="-16"/>
                <w:sz w:val="14"/>
              </w:rPr>
              <w:t> </w:t>
            </w:r>
            <w:r>
              <w:rPr>
                <w:b/>
                <w:sz w:val="14"/>
              </w:rPr>
              <w:t>ARTERIOVENOSAS</w:t>
            </w:r>
          </w:p>
        </w:tc>
      </w:tr>
      <w:tr>
        <w:trPr>
          <w:trHeight w:val="1202" w:hRule="exact"/>
        </w:trPr>
        <w:tc>
          <w:tcPr>
            <w:tcW w:w="4832" w:type="dxa"/>
            <w:shd w:val="clear" w:color="auto" w:fill="E9ECF4"/>
          </w:tcPr>
          <w:p>
            <w:pPr>
              <w:pStyle w:val="TableParagraph"/>
              <w:spacing w:before="70"/>
              <w:ind w:left="265" w:right="267"/>
              <w:jc w:val="center"/>
              <w:rPr>
                <w:b/>
                <w:sz w:val="14"/>
              </w:rPr>
            </w:pPr>
            <w:r>
              <w:rPr>
                <w:b/>
                <w:sz w:val="14"/>
              </w:rPr>
              <w:t>ENFERMEDADES DEL SISTEMA RESPIRATORIO</w:t>
            </w:r>
          </w:p>
        </w:tc>
        <w:tc>
          <w:tcPr>
            <w:tcW w:w="4830" w:type="dxa"/>
            <w:shd w:val="clear" w:color="auto" w:fill="E9ECF4"/>
          </w:tcPr>
          <w:p>
            <w:pPr>
              <w:pStyle w:val="TableParagraph"/>
              <w:numPr>
                <w:ilvl w:val="0"/>
                <w:numId w:val="20"/>
              </w:numPr>
              <w:tabs>
                <w:tab w:pos="852" w:val="left" w:leader="none"/>
                <w:tab w:pos="853" w:val="left" w:leader="none"/>
              </w:tabs>
              <w:spacing w:line="240" w:lineRule="auto" w:before="70" w:after="0"/>
              <w:ind w:left="852" w:right="0" w:hanging="360"/>
              <w:jc w:val="left"/>
              <w:rPr>
                <w:b/>
                <w:sz w:val="14"/>
              </w:rPr>
            </w:pPr>
            <w:r>
              <w:rPr>
                <w:b/>
                <w:sz w:val="14"/>
              </w:rPr>
              <w:t>TUBERCULOSIS</w:t>
            </w:r>
          </w:p>
          <w:p>
            <w:pPr>
              <w:pStyle w:val="TableParagraph"/>
              <w:numPr>
                <w:ilvl w:val="0"/>
                <w:numId w:val="20"/>
              </w:numPr>
              <w:tabs>
                <w:tab w:pos="852" w:val="left" w:leader="none"/>
                <w:tab w:pos="853" w:val="left" w:leader="none"/>
              </w:tabs>
              <w:spacing w:line="240" w:lineRule="auto" w:before="83" w:after="0"/>
              <w:ind w:left="852" w:right="0" w:hanging="360"/>
              <w:jc w:val="left"/>
              <w:rPr>
                <w:b/>
                <w:sz w:val="14"/>
              </w:rPr>
            </w:pPr>
            <w:r>
              <w:rPr>
                <w:b/>
                <w:sz w:val="14"/>
              </w:rPr>
              <w:t>NEUMONIAS</w:t>
            </w:r>
          </w:p>
          <w:p>
            <w:pPr>
              <w:pStyle w:val="TableParagraph"/>
              <w:numPr>
                <w:ilvl w:val="0"/>
                <w:numId w:val="20"/>
              </w:numPr>
              <w:tabs>
                <w:tab w:pos="852" w:val="left" w:leader="none"/>
                <w:tab w:pos="853" w:val="left" w:leader="none"/>
              </w:tabs>
              <w:spacing w:line="240" w:lineRule="auto" w:before="86" w:after="0"/>
              <w:ind w:left="852" w:right="0" w:hanging="360"/>
              <w:jc w:val="left"/>
              <w:rPr>
                <w:b/>
                <w:sz w:val="14"/>
              </w:rPr>
            </w:pPr>
            <w:r>
              <w:rPr>
                <w:b/>
                <w:sz w:val="14"/>
              </w:rPr>
              <w:t>OTRAS</w:t>
            </w:r>
            <w:r>
              <w:rPr>
                <w:b/>
                <w:spacing w:val="-10"/>
                <w:sz w:val="14"/>
              </w:rPr>
              <w:t> </w:t>
            </w:r>
            <w:r>
              <w:rPr>
                <w:b/>
                <w:sz w:val="14"/>
              </w:rPr>
              <w:t>INFECCIONES</w:t>
            </w:r>
          </w:p>
          <w:p>
            <w:pPr>
              <w:pStyle w:val="TableParagraph"/>
              <w:numPr>
                <w:ilvl w:val="0"/>
                <w:numId w:val="20"/>
              </w:numPr>
              <w:tabs>
                <w:tab w:pos="852" w:val="left" w:leader="none"/>
                <w:tab w:pos="853" w:val="left" w:leader="none"/>
              </w:tabs>
              <w:spacing w:line="240" w:lineRule="auto" w:before="86" w:after="0"/>
              <w:ind w:left="852" w:right="0" w:hanging="360"/>
              <w:jc w:val="left"/>
              <w:rPr>
                <w:b/>
                <w:sz w:val="14"/>
              </w:rPr>
            </w:pPr>
            <w:r>
              <w:rPr>
                <w:b/>
                <w:sz w:val="14"/>
              </w:rPr>
              <w:t>INSUFICIENCIA</w:t>
            </w:r>
            <w:r>
              <w:rPr>
                <w:b/>
                <w:spacing w:val="-13"/>
                <w:sz w:val="14"/>
              </w:rPr>
              <w:t> </w:t>
            </w:r>
            <w:r>
              <w:rPr>
                <w:b/>
                <w:sz w:val="14"/>
              </w:rPr>
              <w:t>RESPIRATORIA</w:t>
            </w:r>
          </w:p>
        </w:tc>
      </w:tr>
      <w:tr>
        <w:trPr>
          <w:trHeight w:val="1200" w:hRule="exact"/>
        </w:trPr>
        <w:tc>
          <w:tcPr>
            <w:tcW w:w="4832" w:type="dxa"/>
            <w:shd w:val="clear" w:color="auto" w:fill="D0D7E8"/>
          </w:tcPr>
          <w:p>
            <w:pPr>
              <w:pStyle w:val="TableParagraph"/>
              <w:spacing w:before="68"/>
              <w:ind w:left="265" w:right="267"/>
              <w:jc w:val="center"/>
              <w:rPr>
                <w:b/>
                <w:sz w:val="14"/>
              </w:rPr>
            </w:pPr>
            <w:r>
              <w:rPr>
                <w:b/>
                <w:sz w:val="14"/>
              </w:rPr>
              <w:t>ENFERMEDADES DEL SISTEMA DIGESTIVO</w:t>
            </w:r>
          </w:p>
        </w:tc>
        <w:tc>
          <w:tcPr>
            <w:tcW w:w="4830" w:type="dxa"/>
            <w:shd w:val="clear" w:color="auto" w:fill="D0D7E8"/>
          </w:tcPr>
          <w:p>
            <w:pPr>
              <w:pStyle w:val="TableParagraph"/>
              <w:numPr>
                <w:ilvl w:val="0"/>
                <w:numId w:val="21"/>
              </w:numPr>
              <w:tabs>
                <w:tab w:pos="852" w:val="left" w:leader="none"/>
                <w:tab w:pos="853" w:val="left" w:leader="none"/>
              </w:tabs>
              <w:spacing w:line="240" w:lineRule="auto" w:before="68" w:after="0"/>
              <w:ind w:left="852" w:right="0" w:hanging="360"/>
              <w:jc w:val="left"/>
              <w:rPr>
                <w:b/>
                <w:sz w:val="14"/>
              </w:rPr>
            </w:pPr>
            <w:r>
              <w:rPr>
                <w:b/>
                <w:sz w:val="14"/>
              </w:rPr>
              <w:t>ÚLCERA</w:t>
            </w:r>
            <w:r>
              <w:rPr>
                <w:b/>
                <w:spacing w:val="-12"/>
                <w:sz w:val="14"/>
              </w:rPr>
              <w:t> </w:t>
            </w:r>
            <w:r>
              <w:rPr>
                <w:b/>
                <w:sz w:val="14"/>
              </w:rPr>
              <w:t>GASTRODUEODENAL</w:t>
            </w:r>
          </w:p>
          <w:p>
            <w:pPr>
              <w:pStyle w:val="TableParagraph"/>
              <w:numPr>
                <w:ilvl w:val="0"/>
                <w:numId w:val="21"/>
              </w:numPr>
              <w:tabs>
                <w:tab w:pos="852" w:val="left" w:leader="none"/>
                <w:tab w:pos="853" w:val="left" w:leader="none"/>
              </w:tabs>
              <w:spacing w:line="240" w:lineRule="auto" w:before="86" w:after="0"/>
              <w:ind w:left="852" w:right="0" w:hanging="360"/>
              <w:jc w:val="left"/>
              <w:rPr>
                <w:b/>
                <w:sz w:val="14"/>
              </w:rPr>
            </w:pPr>
            <w:r>
              <w:rPr>
                <w:b/>
                <w:sz w:val="14"/>
              </w:rPr>
              <w:t>APENDICITIS</w:t>
            </w:r>
          </w:p>
          <w:p>
            <w:pPr>
              <w:pStyle w:val="TableParagraph"/>
              <w:numPr>
                <w:ilvl w:val="0"/>
                <w:numId w:val="21"/>
              </w:numPr>
              <w:tabs>
                <w:tab w:pos="852" w:val="left" w:leader="none"/>
                <w:tab w:pos="853" w:val="left" w:leader="none"/>
              </w:tabs>
              <w:spacing w:line="240" w:lineRule="auto" w:before="86" w:after="0"/>
              <w:ind w:left="852" w:right="0" w:hanging="360"/>
              <w:jc w:val="left"/>
              <w:rPr>
                <w:b/>
                <w:sz w:val="14"/>
              </w:rPr>
            </w:pPr>
            <w:r>
              <w:rPr>
                <w:b/>
                <w:sz w:val="14"/>
              </w:rPr>
              <w:t>HEPATOPATIAS</w:t>
            </w:r>
          </w:p>
          <w:p>
            <w:pPr>
              <w:pStyle w:val="TableParagraph"/>
              <w:numPr>
                <w:ilvl w:val="0"/>
                <w:numId w:val="21"/>
              </w:numPr>
              <w:tabs>
                <w:tab w:pos="852" w:val="left" w:leader="none"/>
                <w:tab w:pos="853" w:val="left" w:leader="none"/>
              </w:tabs>
              <w:spacing w:line="240" w:lineRule="auto" w:before="83" w:after="0"/>
              <w:ind w:left="852" w:right="0" w:hanging="360"/>
              <w:jc w:val="left"/>
              <w:rPr>
                <w:b/>
                <w:sz w:val="14"/>
              </w:rPr>
            </w:pPr>
            <w:r>
              <w:rPr>
                <w:b/>
                <w:sz w:val="14"/>
              </w:rPr>
              <w:t>COLECISTOPATIAS</w:t>
            </w:r>
          </w:p>
        </w:tc>
      </w:tr>
      <w:tr>
        <w:trPr>
          <w:trHeight w:val="737" w:hRule="exact"/>
        </w:trPr>
        <w:tc>
          <w:tcPr>
            <w:tcW w:w="4832" w:type="dxa"/>
            <w:tcBorders>
              <w:bottom w:val="nil"/>
            </w:tcBorders>
            <w:shd w:val="clear" w:color="auto" w:fill="E9ECF4"/>
          </w:tcPr>
          <w:p>
            <w:pPr>
              <w:pStyle w:val="TableParagraph"/>
              <w:spacing w:before="68"/>
              <w:ind w:left="265" w:right="267"/>
              <w:jc w:val="center"/>
              <w:rPr>
                <w:b/>
                <w:sz w:val="14"/>
              </w:rPr>
            </w:pPr>
            <w:r>
              <w:rPr>
                <w:b/>
                <w:sz w:val="14"/>
              </w:rPr>
              <w:t>OTROS</w:t>
            </w:r>
          </w:p>
        </w:tc>
        <w:tc>
          <w:tcPr>
            <w:tcW w:w="4830" w:type="dxa"/>
            <w:tcBorders>
              <w:bottom w:val="nil"/>
            </w:tcBorders>
            <w:shd w:val="clear" w:color="auto" w:fill="E9ECF4"/>
          </w:tcPr>
          <w:p>
            <w:pPr>
              <w:pStyle w:val="TableParagraph"/>
              <w:spacing w:line="360" w:lineRule="auto" w:before="68"/>
              <w:ind w:left="132" w:right="161"/>
              <w:rPr>
                <w:b/>
                <w:sz w:val="14"/>
              </w:rPr>
            </w:pPr>
            <w:r>
              <w:rPr>
                <w:b/>
                <w:sz w:val="14"/>
              </w:rPr>
              <w:t>PATOLOGIAS PRESENTES DESDE ANTES DEL EMBARAZO QUE SON AGRAVADAS POR LA GESTACIÓN, PARTO O PUERPERIO</w:t>
            </w:r>
          </w:p>
        </w:tc>
      </w:tr>
    </w:tbl>
    <w:p>
      <w:pPr>
        <w:spacing w:after="0" w:line="360" w:lineRule="auto"/>
        <w:rPr>
          <w:sz w:val="14"/>
        </w:rPr>
        <w:sectPr>
          <w:pgSz w:w="12240" w:h="15840"/>
          <w:pgMar w:header="0" w:footer="1550" w:top="1360" w:bottom="1920" w:left="1440" w:right="900"/>
        </w:sectPr>
      </w:pPr>
    </w:p>
    <w:p>
      <w:pPr>
        <w:pStyle w:val="BodyText"/>
        <w:spacing w:line="362" w:lineRule="auto" w:before="54"/>
        <w:ind w:left="222" w:right="82"/>
      </w:pPr>
      <w:r>
        <w:rPr>
          <w:b/>
        </w:rPr>
        <w:t>Anexo 3</w:t>
      </w:r>
      <w:r>
        <w:rPr/>
        <w:t>. GUIA PARA EL USO DE ATENSION OBSTETRICA MODIFICADO PARA LA DETECCION DE LA MUJER GRAVEMENTE ENFERMA</w:t>
      </w:r>
    </w:p>
    <w:p>
      <w:pPr>
        <w:pStyle w:val="BodyText"/>
        <w:spacing w:before="8"/>
        <w:rPr>
          <w:sz w:val="35"/>
        </w:rPr>
      </w:pPr>
    </w:p>
    <w:p>
      <w:pPr>
        <w:spacing w:before="0"/>
        <w:ind w:left="222" w:right="82" w:firstLine="0"/>
        <w:jc w:val="left"/>
        <w:rPr>
          <w:sz w:val="16"/>
        </w:rPr>
      </w:pPr>
      <w:r>
        <w:rPr>
          <w:b/>
          <w:color w:val="00AF50"/>
          <w:sz w:val="16"/>
        </w:rPr>
        <w:t>MEOWS &lt;2 </w:t>
      </w:r>
      <w:r>
        <w:rPr>
          <w:sz w:val="16"/>
        </w:rPr>
        <w:t>CONTINUAR CON EL TRATAMIENTO ESTABLECIDO. VIGILANCIA ESTABLECIDA.</w:t>
      </w:r>
    </w:p>
    <w:p>
      <w:pPr>
        <w:spacing w:line="362" w:lineRule="auto" w:before="92"/>
        <w:ind w:left="222" w:right="457" w:firstLine="0"/>
        <w:jc w:val="left"/>
        <w:rPr>
          <w:sz w:val="16"/>
        </w:rPr>
      </w:pPr>
      <w:r>
        <w:rPr>
          <w:b/>
          <w:color w:val="FFC000"/>
          <w:sz w:val="16"/>
        </w:rPr>
        <w:t>MEOWS = 3 </w:t>
      </w:r>
      <w:r>
        <w:rPr>
          <w:sz w:val="16"/>
        </w:rPr>
        <w:t>INFORMAR AL MEDICO DE HOSPITALIZACION, UNIDAD TOCOQUIRURGICA. REPETIR TOMA DE SIGNOS VITALES. CONSIDERAR REVISION POR MEDICO DE MAYOR JERARQUIA O MEDICO TRATANTE.</w:t>
      </w:r>
    </w:p>
    <w:p>
      <w:pPr>
        <w:spacing w:line="362" w:lineRule="auto" w:before="0"/>
        <w:ind w:left="222" w:right="457" w:firstLine="0"/>
        <w:jc w:val="left"/>
        <w:rPr>
          <w:sz w:val="16"/>
        </w:rPr>
      </w:pPr>
      <w:r>
        <w:rPr>
          <w:b/>
          <w:color w:val="933634"/>
          <w:sz w:val="16"/>
        </w:rPr>
        <w:t>MEOWS&gt;4 </w:t>
      </w:r>
      <w:r>
        <w:rPr>
          <w:sz w:val="16"/>
        </w:rPr>
        <w:t>INFORMAR DE FORMA INMEDIATA A MEDICO DE GUARDIA, MÉDICO TRATANTE, O CONSIDERAR ACTIVACION DE CÓDIGO MATER</w:t>
      </w:r>
    </w:p>
    <w:p>
      <w:pPr>
        <w:spacing w:line="182" w:lineRule="exact" w:before="0"/>
        <w:ind w:left="222" w:right="82" w:firstLine="0"/>
        <w:jc w:val="left"/>
        <w:rPr>
          <w:sz w:val="16"/>
        </w:rPr>
      </w:pPr>
      <w:r>
        <w:rPr>
          <w:b/>
          <w:color w:val="FF0000"/>
          <w:sz w:val="16"/>
        </w:rPr>
        <w:t>MEOWS &gt;6 </w:t>
      </w:r>
      <w:r>
        <w:rPr>
          <w:sz w:val="16"/>
        </w:rPr>
        <w:t>CODIGO MATER</w:t>
      </w:r>
    </w:p>
    <w:p>
      <w:pPr>
        <w:pStyle w:val="ListParagraph"/>
        <w:numPr>
          <w:ilvl w:val="2"/>
          <w:numId w:val="10"/>
        </w:numPr>
        <w:tabs>
          <w:tab w:pos="941" w:val="left" w:leader="none"/>
          <w:tab w:pos="942" w:val="left" w:leader="none"/>
        </w:tabs>
        <w:spacing w:line="240" w:lineRule="auto" w:before="94" w:after="0"/>
        <w:ind w:left="942" w:right="0" w:hanging="360"/>
        <w:jc w:val="left"/>
        <w:rPr>
          <w:sz w:val="16"/>
        </w:rPr>
      </w:pPr>
      <w:r>
        <w:rPr>
          <w:sz w:val="16"/>
        </w:rPr>
        <w:t>VIA</w:t>
      </w:r>
      <w:r>
        <w:rPr>
          <w:spacing w:val="-2"/>
          <w:sz w:val="16"/>
        </w:rPr>
        <w:t> </w:t>
      </w:r>
      <w:r>
        <w:rPr>
          <w:sz w:val="16"/>
        </w:rPr>
        <w:t>AÉREA</w:t>
      </w:r>
    </w:p>
    <w:p>
      <w:pPr>
        <w:pStyle w:val="ListParagraph"/>
        <w:numPr>
          <w:ilvl w:val="2"/>
          <w:numId w:val="10"/>
        </w:numPr>
        <w:tabs>
          <w:tab w:pos="941" w:val="left" w:leader="none"/>
          <w:tab w:pos="942" w:val="left" w:leader="none"/>
        </w:tabs>
        <w:spacing w:line="240" w:lineRule="auto" w:before="92" w:after="0"/>
        <w:ind w:left="942" w:right="0" w:hanging="360"/>
        <w:jc w:val="left"/>
        <w:rPr>
          <w:sz w:val="16"/>
        </w:rPr>
      </w:pPr>
      <w:r>
        <w:rPr>
          <w:sz w:val="16"/>
        </w:rPr>
        <w:t>RESPIRACION</w:t>
      </w:r>
    </w:p>
    <w:p>
      <w:pPr>
        <w:pStyle w:val="ListParagraph"/>
        <w:numPr>
          <w:ilvl w:val="2"/>
          <w:numId w:val="10"/>
        </w:numPr>
        <w:tabs>
          <w:tab w:pos="941" w:val="left" w:leader="none"/>
          <w:tab w:pos="942" w:val="left" w:leader="none"/>
        </w:tabs>
        <w:spacing w:line="240" w:lineRule="auto" w:before="92" w:after="0"/>
        <w:ind w:left="942" w:right="0" w:hanging="360"/>
        <w:jc w:val="left"/>
        <w:rPr>
          <w:sz w:val="16"/>
        </w:rPr>
      </w:pPr>
      <w:r>
        <w:rPr>
          <w:sz w:val="16"/>
        </w:rPr>
        <w:t>CIRCULACION</w:t>
      </w:r>
    </w:p>
    <w:p>
      <w:pPr>
        <w:pStyle w:val="ListParagraph"/>
        <w:numPr>
          <w:ilvl w:val="2"/>
          <w:numId w:val="10"/>
        </w:numPr>
        <w:tabs>
          <w:tab w:pos="941" w:val="left" w:leader="none"/>
          <w:tab w:pos="942" w:val="left" w:leader="none"/>
        </w:tabs>
        <w:spacing w:line="240" w:lineRule="auto" w:before="92" w:after="0"/>
        <w:ind w:left="942" w:right="0" w:hanging="360"/>
        <w:jc w:val="left"/>
        <w:rPr>
          <w:sz w:val="16"/>
        </w:rPr>
      </w:pPr>
      <w:r>
        <w:rPr>
          <w:sz w:val="16"/>
        </w:rPr>
        <w:t>DECÚBITO LATERAL IZQUIERDO</w:t>
      </w:r>
      <w:r>
        <w:rPr>
          <w:spacing w:val="-10"/>
          <w:sz w:val="16"/>
        </w:rPr>
        <w:t> </w:t>
      </w:r>
      <w:r>
        <w:rPr>
          <w:sz w:val="16"/>
        </w:rPr>
        <w:t>(EMBARAZO)</w:t>
      </w:r>
    </w:p>
    <w:p>
      <w:pPr>
        <w:pStyle w:val="ListParagraph"/>
        <w:numPr>
          <w:ilvl w:val="2"/>
          <w:numId w:val="10"/>
        </w:numPr>
        <w:tabs>
          <w:tab w:pos="941" w:val="left" w:leader="none"/>
          <w:tab w:pos="942" w:val="left" w:leader="none"/>
        </w:tabs>
        <w:spacing w:line="240" w:lineRule="auto" w:before="92" w:after="0"/>
        <w:ind w:left="942" w:right="0" w:hanging="360"/>
        <w:jc w:val="left"/>
        <w:rPr>
          <w:sz w:val="16"/>
        </w:rPr>
      </w:pPr>
      <w:r>
        <w:rPr>
          <w:sz w:val="16"/>
        </w:rPr>
        <w:t>MONITORIZACION</w:t>
      </w:r>
      <w:r>
        <w:rPr>
          <w:spacing w:val="-3"/>
          <w:sz w:val="16"/>
        </w:rPr>
        <w:t> </w:t>
      </w:r>
      <w:r>
        <w:rPr>
          <w:sz w:val="16"/>
        </w:rPr>
        <w:t>(FC,</w:t>
      </w:r>
      <w:r>
        <w:rPr>
          <w:spacing w:val="-1"/>
          <w:sz w:val="16"/>
        </w:rPr>
        <w:t> </w:t>
      </w:r>
      <w:r>
        <w:rPr>
          <w:sz w:val="16"/>
        </w:rPr>
        <w:t>FR,</w:t>
      </w:r>
      <w:r>
        <w:rPr>
          <w:spacing w:val="-3"/>
          <w:sz w:val="16"/>
        </w:rPr>
        <w:t> </w:t>
      </w:r>
      <w:r>
        <w:rPr>
          <w:sz w:val="16"/>
        </w:rPr>
        <w:t>TA,</w:t>
      </w:r>
      <w:r>
        <w:rPr>
          <w:spacing w:val="-3"/>
          <w:sz w:val="16"/>
        </w:rPr>
        <w:t> </w:t>
      </w:r>
      <w:r>
        <w:rPr>
          <w:sz w:val="16"/>
        </w:rPr>
        <w:t>ESTADO</w:t>
      </w:r>
      <w:r>
        <w:rPr>
          <w:spacing w:val="-2"/>
          <w:sz w:val="16"/>
        </w:rPr>
        <w:t> </w:t>
      </w:r>
      <w:r>
        <w:rPr>
          <w:sz w:val="16"/>
        </w:rPr>
        <w:t>DE</w:t>
      </w:r>
      <w:r>
        <w:rPr>
          <w:spacing w:val="-3"/>
          <w:sz w:val="16"/>
        </w:rPr>
        <w:t> </w:t>
      </w:r>
      <w:r>
        <w:rPr>
          <w:sz w:val="16"/>
        </w:rPr>
        <w:t>ALERTA,</w:t>
      </w:r>
      <w:r>
        <w:rPr>
          <w:spacing w:val="-3"/>
          <w:sz w:val="16"/>
        </w:rPr>
        <w:t> </w:t>
      </w:r>
      <w:r>
        <w:rPr>
          <w:sz w:val="16"/>
        </w:rPr>
        <w:t>URESIS,</w:t>
      </w:r>
      <w:r>
        <w:rPr>
          <w:spacing w:val="-5"/>
          <w:sz w:val="16"/>
        </w:rPr>
        <w:t> </w:t>
      </w:r>
      <w:r>
        <w:rPr>
          <w:sz w:val="16"/>
        </w:rPr>
        <w:t>SATURACION</w:t>
      </w:r>
      <w:r>
        <w:rPr>
          <w:spacing w:val="-5"/>
          <w:sz w:val="16"/>
        </w:rPr>
        <w:t> </w:t>
      </w:r>
      <w:r>
        <w:rPr>
          <w:sz w:val="16"/>
        </w:rPr>
        <w:t>POR</w:t>
      </w:r>
      <w:r>
        <w:rPr>
          <w:spacing w:val="-5"/>
          <w:sz w:val="16"/>
        </w:rPr>
        <w:t> </w:t>
      </w:r>
      <w:r>
        <w:rPr>
          <w:sz w:val="16"/>
        </w:rPr>
        <w:t>OXIMETRO</w:t>
      </w:r>
      <w:r>
        <w:rPr>
          <w:spacing w:val="-2"/>
          <w:sz w:val="16"/>
        </w:rPr>
        <w:t> </w:t>
      </w:r>
      <w:r>
        <w:rPr>
          <w:sz w:val="16"/>
        </w:rPr>
        <w:t>DE</w:t>
      </w:r>
      <w:r>
        <w:rPr>
          <w:spacing w:val="-1"/>
          <w:sz w:val="16"/>
        </w:rPr>
        <w:t> </w:t>
      </w:r>
      <w:r>
        <w:rPr>
          <w:sz w:val="16"/>
        </w:rPr>
        <w:t>PULSO</w:t>
      </w:r>
    </w:p>
    <w:p>
      <w:pPr>
        <w:pStyle w:val="ListParagraph"/>
        <w:numPr>
          <w:ilvl w:val="2"/>
          <w:numId w:val="10"/>
        </w:numPr>
        <w:tabs>
          <w:tab w:pos="941" w:val="left" w:leader="none"/>
          <w:tab w:pos="942" w:val="left" w:leader="none"/>
        </w:tabs>
        <w:spacing w:line="240" w:lineRule="auto" w:before="92" w:after="0"/>
        <w:ind w:left="942" w:right="0" w:hanging="360"/>
        <w:jc w:val="left"/>
        <w:rPr>
          <w:sz w:val="16"/>
        </w:rPr>
      </w:pPr>
      <w:r>
        <w:rPr>
          <w:sz w:val="16"/>
        </w:rPr>
        <w:t>MONITORIZACION FETAL</w:t>
      </w:r>
      <w:r>
        <w:rPr>
          <w:spacing w:val="-7"/>
          <w:sz w:val="16"/>
        </w:rPr>
        <w:t> </w:t>
      </w:r>
      <w:r>
        <w:rPr>
          <w:sz w:val="16"/>
        </w:rPr>
        <w:t>(FCF)</w:t>
      </w:r>
    </w:p>
    <w:p>
      <w:pPr>
        <w:pStyle w:val="ListParagraph"/>
        <w:numPr>
          <w:ilvl w:val="2"/>
          <w:numId w:val="10"/>
        </w:numPr>
        <w:tabs>
          <w:tab w:pos="942" w:val="left" w:leader="none"/>
        </w:tabs>
        <w:spacing w:line="360" w:lineRule="auto" w:before="92" w:after="0"/>
        <w:ind w:left="942" w:right="5600" w:hanging="360"/>
        <w:jc w:val="left"/>
        <w:rPr>
          <w:sz w:val="16"/>
        </w:rPr>
      </w:pPr>
      <w:r>
        <w:rPr>
          <w:sz w:val="16"/>
        </w:rPr>
        <w:t>POSIBLE CAUSA (SEPSIS Y/O</w:t>
      </w:r>
      <w:r>
        <w:rPr>
          <w:spacing w:val="-13"/>
          <w:sz w:val="16"/>
        </w:rPr>
        <w:t> </w:t>
      </w:r>
      <w:r>
        <w:rPr>
          <w:sz w:val="16"/>
        </w:rPr>
        <w:t>CHOQUE) IMPLEMENTAR SEPSIS</w:t>
      </w:r>
      <w:r>
        <w:rPr>
          <w:spacing w:val="-8"/>
          <w:sz w:val="16"/>
        </w:rPr>
        <w:t> </w:t>
      </w:r>
      <w:r>
        <w:rPr>
          <w:sz w:val="16"/>
        </w:rPr>
        <w:t>SIX</w:t>
      </w:r>
    </w:p>
    <w:p>
      <w:pPr>
        <w:pStyle w:val="ListParagraph"/>
        <w:numPr>
          <w:ilvl w:val="0"/>
          <w:numId w:val="22"/>
        </w:numPr>
        <w:tabs>
          <w:tab w:pos="941" w:val="left" w:leader="none"/>
          <w:tab w:pos="942" w:val="left" w:leader="none"/>
        </w:tabs>
        <w:spacing w:line="240" w:lineRule="auto" w:before="2" w:after="0"/>
        <w:ind w:left="942" w:right="0" w:hanging="360"/>
        <w:jc w:val="left"/>
        <w:rPr>
          <w:sz w:val="16"/>
        </w:rPr>
      </w:pPr>
      <w:r>
        <w:rPr>
          <w:sz w:val="16"/>
        </w:rPr>
        <w:t>OXÍGENO ALTAS CONCENTRACION A 10 L/MIN, CON MASCARILLA BOLSO</w:t>
      </w:r>
      <w:r>
        <w:rPr>
          <w:spacing w:val="-21"/>
          <w:sz w:val="16"/>
        </w:rPr>
        <w:t> </w:t>
      </w:r>
      <w:r>
        <w:rPr>
          <w:sz w:val="16"/>
        </w:rPr>
        <w:t>RESERVORIO.</w:t>
      </w:r>
    </w:p>
    <w:p>
      <w:pPr>
        <w:pStyle w:val="ListParagraph"/>
        <w:numPr>
          <w:ilvl w:val="0"/>
          <w:numId w:val="22"/>
        </w:numPr>
        <w:tabs>
          <w:tab w:pos="941" w:val="left" w:leader="none"/>
          <w:tab w:pos="942" w:val="left" w:leader="none"/>
        </w:tabs>
        <w:spacing w:line="240" w:lineRule="auto" w:before="92" w:after="0"/>
        <w:ind w:left="942" w:right="0" w:hanging="360"/>
        <w:jc w:val="left"/>
        <w:rPr>
          <w:sz w:val="16"/>
        </w:rPr>
      </w:pPr>
      <w:r>
        <w:rPr>
          <w:sz w:val="16"/>
        </w:rPr>
        <w:t>TOMA DE</w:t>
      </w:r>
      <w:r>
        <w:rPr>
          <w:spacing w:val="-2"/>
          <w:sz w:val="16"/>
        </w:rPr>
        <w:t> </w:t>
      </w:r>
      <w:r>
        <w:rPr>
          <w:sz w:val="16"/>
        </w:rPr>
        <w:t>CULTIVOS</w:t>
      </w:r>
    </w:p>
    <w:p>
      <w:pPr>
        <w:pStyle w:val="ListParagraph"/>
        <w:numPr>
          <w:ilvl w:val="0"/>
          <w:numId w:val="22"/>
        </w:numPr>
        <w:tabs>
          <w:tab w:pos="941" w:val="left" w:leader="none"/>
          <w:tab w:pos="942" w:val="left" w:leader="none"/>
        </w:tabs>
        <w:spacing w:line="240" w:lineRule="auto" w:before="92" w:after="0"/>
        <w:ind w:left="942" w:right="0" w:hanging="360"/>
        <w:jc w:val="left"/>
        <w:rPr>
          <w:sz w:val="16"/>
        </w:rPr>
      </w:pPr>
      <w:r>
        <w:rPr>
          <w:sz w:val="16"/>
        </w:rPr>
        <w:t>TOMA DE LACTATO</w:t>
      </w:r>
      <w:r>
        <w:rPr>
          <w:spacing w:val="-5"/>
          <w:sz w:val="16"/>
        </w:rPr>
        <w:t> </w:t>
      </w:r>
      <w:r>
        <w:rPr>
          <w:sz w:val="16"/>
        </w:rPr>
        <w:t>SERICO</w:t>
      </w:r>
    </w:p>
    <w:p>
      <w:pPr>
        <w:pStyle w:val="ListParagraph"/>
        <w:numPr>
          <w:ilvl w:val="0"/>
          <w:numId w:val="22"/>
        </w:numPr>
        <w:tabs>
          <w:tab w:pos="941" w:val="left" w:leader="none"/>
          <w:tab w:pos="942" w:val="left" w:leader="none"/>
        </w:tabs>
        <w:spacing w:line="240" w:lineRule="auto" w:before="92" w:after="0"/>
        <w:ind w:left="942" w:right="0" w:hanging="360"/>
        <w:jc w:val="left"/>
        <w:rPr>
          <w:sz w:val="16"/>
        </w:rPr>
      </w:pPr>
      <w:r>
        <w:rPr>
          <w:sz w:val="16"/>
        </w:rPr>
        <w:t>INICIO DE ANTIBIOTICO DE AMPLIO ESPECTRO DENRO DE LA PRIMERA</w:t>
      </w:r>
      <w:r>
        <w:rPr>
          <w:spacing w:val="-25"/>
          <w:sz w:val="16"/>
        </w:rPr>
        <w:t> </w:t>
      </w:r>
      <w:r>
        <w:rPr>
          <w:sz w:val="16"/>
        </w:rPr>
        <w:t>HORA</w:t>
      </w:r>
    </w:p>
    <w:p>
      <w:pPr>
        <w:pStyle w:val="ListParagraph"/>
        <w:numPr>
          <w:ilvl w:val="0"/>
          <w:numId w:val="22"/>
        </w:numPr>
        <w:tabs>
          <w:tab w:pos="941" w:val="left" w:leader="none"/>
          <w:tab w:pos="942" w:val="left" w:leader="none"/>
        </w:tabs>
        <w:spacing w:line="240" w:lineRule="auto" w:before="92" w:after="0"/>
        <w:ind w:left="942" w:right="0" w:hanging="360"/>
        <w:jc w:val="left"/>
        <w:rPr>
          <w:sz w:val="16"/>
        </w:rPr>
      </w:pPr>
      <w:r>
        <w:rPr>
          <w:sz w:val="16"/>
        </w:rPr>
        <w:t>REPOSICION DE LIQUIDOS IV CARGA CON SOL. CRISTALOIDE 500</w:t>
      </w:r>
      <w:r>
        <w:rPr>
          <w:spacing w:val="-20"/>
          <w:sz w:val="16"/>
        </w:rPr>
        <w:t> </w:t>
      </w:r>
      <w:r>
        <w:rPr>
          <w:sz w:val="16"/>
        </w:rPr>
        <w:t>CC</w:t>
      </w:r>
    </w:p>
    <w:p>
      <w:pPr>
        <w:pStyle w:val="ListParagraph"/>
        <w:numPr>
          <w:ilvl w:val="0"/>
          <w:numId w:val="22"/>
        </w:numPr>
        <w:tabs>
          <w:tab w:pos="941" w:val="left" w:leader="none"/>
          <w:tab w:pos="942" w:val="left" w:leader="none"/>
        </w:tabs>
        <w:spacing w:line="240" w:lineRule="auto" w:before="92" w:after="0"/>
        <w:ind w:left="942" w:right="0" w:hanging="360"/>
        <w:jc w:val="left"/>
        <w:rPr>
          <w:sz w:val="16"/>
        </w:rPr>
      </w:pPr>
      <w:r>
        <w:rPr>
          <w:sz w:val="16"/>
        </w:rPr>
        <w:t>MEDIR URESIS</w:t>
      </w:r>
      <w:r>
        <w:rPr>
          <w:spacing w:val="-6"/>
          <w:sz w:val="16"/>
        </w:rPr>
        <w:t> </w:t>
      </w:r>
      <w:r>
        <w:rPr>
          <w:sz w:val="16"/>
        </w:rPr>
        <w:t>HORARIO</w:t>
      </w:r>
    </w:p>
    <w:p>
      <w:pPr>
        <w:pStyle w:val="BodyText"/>
        <w:rPr>
          <w:sz w:val="20"/>
        </w:rPr>
      </w:pPr>
    </w:p>
    <w:p>
      <w:pPr>
        <w:pStyle w:val="BodyText"/>
        <w:rPr>
          <w:sz w:val="20"/>
        </w:rPr>
      </w:pPr>
    </w:p>
    <w:p>
      <w:pPr>
        <w:pStyle w:val="BodyText"/>
        <w:rPr>
          <w:sz w:val="20"/>
        </w:rPr>
      </w:pPr>
    </w:p>
    <w:p>
      <w:pPr>
        <w:pStyle w:val="BodyText"/>
        <w:spacing w:before="5"/>
        <w:rPr>
          <w:sz w:val="28"/>
        </w:rPr>
      </w:pPr>
    </w:p>
    <w:tbl>
      <w:tblPr>
        <w:tblW w:w="0" w:type="auto"/>
        <w:jc w:val="left"/>
        <w:tblInd w:w="1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57"/>
        <w:gridCol w:w="660"/>
        <w:gridCol w:w="941"/>
        <w:gridCol w:w="634"/>
        <w:gridCol w:w="941"/>
        <w:gridCol w:w="1385"/>
        <w:gridCol w:w="1406"/>
        <w:gridCol w:w="1695"/>
      </w:tblGrid>
      <w:tr>
        <w:trPr>
          <w:trHeight w:val="278" w:hRule="exact"/>
        </w:trPr>
        <w:tc>
          <w:tcPr>
            <w:tcW w:w="1457" w:type="dxa"/>
          </w:tcPr>
          <w:p>
            <w:pPr>
              <w:pStyle w:val="TableParagraph"/>
              <w:spacing w:before="8"/>
              <w:rPr>
                <w:rFonts w:ascii="Arial"/>
                <w:b/>
                <w:sz w:val="14"/>
              </w:rPr>
            </w:pPr>
            <w:r>
              <w:rPr>
                <w:rFonts w:ascii="Arial"/>
                <w:b/>
                <w:sz w:val="14"/>
              </w:rPr>
              <w:t>Score</w:t>
            </w:r>
          </w:p>
        </w:tc>
        <w:tc>
          <w:tcPr>
            <w:tcW w:w="660" w:type="dxa"/>
          </w:tcPr>
          <w:p>
            <w:pPr>
              <w:pStyle w:val="TableParagraph"/>
              <w:spacing w:before="8"/>
              <w:rPr>
                <w:rFonts w:ascii="Arial"/>
                <w:b/>
                <w:sz w:val="14"/>
              </w:rPr>
            </w:pPr>
            <w:r>
              <w:rPr>
                <w:rFonts w:ascii="Arial"/>
                <w:b/>
                <w:w w:val="99"/>
                <w:sz w:val="14"/>
              </w:rPr>
              <w:t>3</w:t>
            </w:r>
          </w:p>
        </w:tc>
        <w:tc>
          <w:tcPr>
            <w:tcW w:w="941" w:type="dxa"/>
          </w:tcPr>
          <w:p>
            <w:pPr>
              <w:pStyle w:val="TableParagraph"/>
              <w:spacing w:before="8"/>
              <w:rPr>
                <w:rFonts w:ascii="Arial"/>
                <w:b/>
                <w:sz w:val="14"/>
              </w:rPr>
            </w:pPr>
            <w:r>
              <w:rPr>
                <w:rFonts w:ascii="Arial"/>
                <w:b/>
                <w:w w:val="99"/>
                <w:sz w:val="14"/>
              </w:rPr>
              <w:t>2</w:t>
            </w:r>
          </w:p>
        </w:tc>
        <w:tc>
          <w:tcPr>
            <w:tcW w:w="634" w:type="dxa"/>
          </w:tcPr>
          <w:p>
            <w:pPr>
              <w:pStyle w:val="TableParagraph"/>
              <w:spacing w:before="8"/>
              <w:ind w:left="95"/>
              <w:rPr>
                <w:rFonts w:ascii="Arial"/>
                <w:b/>
                <w:sz w:val="14"/>
              </w:rPr>
            </w:pPr>
            <w:r>
              <w:rPr>
                <w:rFonts w:ascii="Arial"/>
                <w:b/>
                <w:w w:val="99"/>
                <w:sz w:val="14"/>
              </w:rPr>
              <w:t>1</w:t>
            </w:r>
          </w:p>
        </w:tc>
        <w:tc>
          <w:tcPr>
            <w:tcW w:w="941" w:type="dxa"/>
          </w:tcPr>
          <w:p>
            <w:pPr>
              <w:pStyle w:val="TableParagraph"/>
              <w:spacing w:before="8"/>
              <w:ind w:left="96"/>
              <w:rPr>
                <w:rFonts w:ascii="Arial"/>
                <w:b/>
                <w:sz w:val="14"/>
              </w:rPr>
            </w:pPr>
            <w:r>
              <w:rPr>
                <w:rFonts w:ascii="Arial"/>
                <w:b/>
                <w:w w:val="99"/>
                <w:sz w:val="14"/>
              </w:rPr>
              <w:t>0</w:t>
            </w:r>
          </w:p>
        </w:tc>
        <w:tc>
          <w:tcPr>
            <w:tcW w:w="1385" w:type="dxa"/>
          </w:tcPr>
          <w:p>
            <w:pPr>
              <w:pStyle w:val="TableParagraph"/>
              <w:spacing w:before="8"/>
              <w:rPr>
                <w:rFonts w:ascii="Arial"/>
                <w:b/>
                <w:sz w:val="14"/>
              </w:rPr>
            </w:pPr>
            <w:r>
              <w:rPr>
                <w:rFonts w:ascii="Arial"/>
                <w:b/>
                <w:w w:val="99"/>
                <w:sz w:val="14"/>
              </w:rPr>
              <w:t>1</w:t>
            </w:r>
          </w:p>
        </w:tc>
        <w:tc>
          <w:tcPr>
            <w:tcW w:w="1406" w:type="dxa"/>
          </w:tcPr>
          <w:p>
            <w:pPr>
              <w:pStyle w:val="TableParagraph"/>
              <w:spacing w:before="8"/>
              <w:ind w:left="96"/>
              <w:rPr>
                <w:rFonts w:ascii="Arial"/>
                <w:b/>
                <w:sz w:val="14"/>
              </w:rPr>
            </w:pPr>
            <w:r>
              <w:rPr>
                <w:rFonts w:ascii="Arial"/>
                <w:b/>
                <w:w w:val="99"/>
                <w:sz w:val="14"/>
              </w:rPr>
              <w:t>2</w:t>
            </w:r>
          </w:p>
        </w:tc>
        <w:tc>
          <w:tcPr>
            <w:tcW w:w="1695" w:type="dxa"/>
          </w:tcPr>
          <w:p>
            <w:pPr>
              <w:pStyle w:val="TableParagraph"/>
              <w:spacing w:before="8"/>
              <w:ind w:left="96"/>
              <w:rPr>
                <w:rFonts w:ascii="Arial"/>
                <w:b/>
                <w:sz w:val="14"/>
              </w:rPr>
            </w:pPr>
            <w:r>
              <w:rPr>
                <w:rFonts w:ascii="Arial"/>
                <w:b/>
                <w:w w:val="99"/>
                <w:sz w:val="14"/>
              </w:rPr>
              <w:t>3</w:t>
            </w:r>
          </w:p>
        </w:tc>
      </w:tr>
      <w:tr>
        <w:trPr>
          <w:trHeight w:val="295" w:hRule="exact"/>
        </w:trPr>
        <w:tc>
          <w:tcPr>
            <w:tcW w:w="1457" w:type="dxa"/>
          </w:tcPr>
          <w:p>
            <w:pPr>
              <w:pStyle w:val="TableParagraph"/>
              <w:spacing w:before="10"/>
              <w:rPr>
                <w:rFonts w:ascii="Arial" w:hAnsi="Arial"/>
                <w:b/>
                <w:sz w:val="14"/>
              </w:rPr>
            </w:pPr>
            <w:r>
              <w:rPr>
                <w:rFonts w:ascii="Arial" w:hAnsi="Arial"/>
                <w:b/>
                <w:sz w:val="14"/>
              </w:rPr>
              <w:t>Temp. ° C.</w:t>
            </w:r>
          </w:p>
        </w:tc>
        <w:tc>
          <w:tcPr>
            <w:tcW w:w="660" w:type="dxa"/>
          </w:tcPr>
          <w:p>
            <w:pPr/>
          </w:p>
        </w:tc>
        <w:tc>
          <w:tcPr>
            <w:tcW w:w="941" w:type="dxa"/>
          </w:tcPr>
          <w:p>
            <w:pPr>
              <w:pStyle w:val="TableParagraph"/>
              <w:spacing w:before="10"/>
              <w:rPr>
                <w:rFonts w:ascii="Arial" w:hAnsi="Arial"/>
                <w:b/>
                <w:sz w:val="14"/>
              </w:rPr>
            </w:pPr>
            <w:r>
              <w:rPr>
                <w:rFonts w:ascii="Arial" w:hAnsi="Arial"/>
                <w:b/>
                <w:sz w:val="14"/>
                <w:u w:val="single"/>
              </w:rPr>
              <w:t>&lt;</w:t>
            </w:r>
            <w:r>
              <w:rPr>
                <w:rFonts w:ascii="Arial" w:hAnsi="Arial"/>
                <w:b/>
                <w:sz w:val="14"/>
              </w:rPr>
              <w:t>35.0°</w:t>
            </w:r>
          </w:p>
        </w:tc>
        <w:tc>
          <w:tcPr>
            <w:tcW w:w="634" w:type="dxa"/>
          </w:tcPr>
          <w:p>
            <w:pPr/>
          </w:p>
        </w:tc>
        <w:tc>
          <w:tcPr>
            <w:tcW w:w="941" w:type="dxa"/>
          </w:tcPr>
          <w:p>
            <w:pPr>
              <w:pStyle w:val="TableParagraph"/>
              <w:spacing w:before="10"/>
              <w:ind w:left="96"/>
              <w:rPr>
                <w:rFonts w:ascii="Arial" w:hAnsi="Arial"/>
                <w:b/>
                <w:sz w:val="14"/>
              </w:rPr>
            </w:pPr>
            <w:r>
              <w:rPr>
                <w:rFonts w:ascii="Arial" w:hAnsi="Arial"/>
                <w:b/>
                <w:sz w:val="14"/>
              </w:rPr>
              <w:t>35-37.4°</w:t>
            </w:r>
          </w:p>
        </w:tc>
        <w:tc>
          <w:tcPr>
            <w:tcW w:w="1385" w:type="dxa"/>
          </w:tcPr>
          <w:p>
            <w:pPr/>
          </w:p>
        </w:tc>
        <w:tc>
          <w:tcPr>
            <w:tcW w:w="1406" w:type="dxa"/>
          </w:tcPr>
          <w:p>
            <w:pPr>
              <w:pStyle w:val="TableParagraph"/>
              <w:spacing w:before="10"/>
              <w:ind w:left="96" w:right="128"/>
              <w:rPr>
                <w:rFonts w:ascii="Arial" w:hAnsi="Arial"/>
                <w:b/>
                <w:sz w:val="14"/>
              </w:rPr>
            </w:pPr>
            <w:r>
              <w:rPr>
                <w:rFonts w:ascii="Arial" w:hAnsi="Arial"/>
                <w:b/>
                <w:sz w:val="14"/>
              </w:rPr>
              <w:t>37.5-39°</w:t>
            </w:r>
          </w:p>
        </w:tc>
        <w:tc>
          <w:tcPr>
            <w:tcW w:w="1695" w:type="dxa"/>
          </w:tcPr>
          <w:p>
            <w:pPr>
              <w:pStyle w:val="TableParagraph"/>
              <w:spacing w:before="10"/>
              <w:ind w:left="96"/>
              <w:rPr>
                <w:rFonts w:ascii="Arial" w:hAnsi="Arial"/>
                <w:b/>
                <w:sz w:val="14"/>
              </w:rPr>
            </w:pPr>
            <w:r>
              <w:rPr>
                <w:rFonts w:ascii="Arial" w:hAnsi="Arial"/>
                <w:b/>
                <w:sz w:val="14"/>
                <w:u w:val="single"/>
              </w:rPr>
              <w:t>&gt;</w:t>
            </w:r>
            <w:r>
              <w:rPr>
                <w:rFonts w:ascii="Arial" w:hAnsi="Arial"/>
                <w:b/>
                <w:sz w:val="14"/>
              </w:rPr>
              <w:t>39°</w:t>
            </w:r>
          </w:p>
        </w:tc>
      </w:tr>
      <w:tr>
        <w:trPr>
          <w:trHeight w:val="288" w:hRule="exact"/>
        </w:trPr>
        <w:tc>
          <w:tcPr>
            <w:tcW w:w="1457" w:type="dxa"/>
          </w:tcPr>
          <w:p>
            <w:pPr>
              <w:pStyle w:val="TableParagraph"/>
              <w:spacing w:before="10"/>
              <w:rPr>
                <w:rFonts w:ascii="Arial"/>
                <w:b/>
                <w:sz w:val="14"/>
              </w:rPr>
            </w:pPr>
            <w:r>
              <w:rPr>
                <w:rFonts w:ascii="Arial"/>
                <w:b/>
                <w:sz w:val="14"/>
              </w:rPr>
              <w:t>TAS mmHg</w:t>
            </w:r>
          </w:p>
        </w:tc>
        <w:tc>
          <w:tcPr>
            <w:tcW w:w="660" w:type="dxa"/>
          </w:tcPr>
          <w:p>
            <w:pPr>
              <w:pStyle w:val="TableParagraph"/>
              <w:spacing w:before="10"/>
              <w:rPr>
                <w:rFonts w:ascii="Arial"/>
                <w:b/>
                <w:sz w:val="14"/>
              </w:rPr>
            </w:pPr>
            <w:r>
              <w:rPr>
                <w:rFonts w:ascii="Arial"/>
                <w:b/>
                <w:sz w:val="14"/>
                <w:u w:val="single"/>
              </w:rPr>
              <w:t>&lt;</w:t>
            </w:r>
            <w:r>
              <w:rPr>
                <w:rFonts w:ascii="Arial"/>
                <w:b/>
                <w:sz w:val="14"/>
              </w:rPr>
              <w:t>70</w:t>
            </w:r>
          </w:p>
        </w:tc>
        <w:tc>
          <w:tcPr>
            <w:tcW w:w="941" w:type="dxa"/>
          </w:tcPr>
          <w:p>
            <w:pPr>
              <w:pStyle w:val="TableParagraph"/>
              <w:spacing w:before="10"/>
              <w:rPr>
                <w:rFonts w:ascii="Arial"/>
                <w:b/>
                <w:sz w:val="14"/>
              </w:rPr>
            </w:pPr>
            <w:r>
              <w:rPr>
                <w:rFonts w:ascii="Arial"/>
                <w:b/>
                <w:sz w:val="14"/>
              </w:rPr>
              <w:t>71-79</w:t>
            </w:r>
          </w:p>
        </w:tc>
        <w:tc>
          <w:tcPr>
            <w:tcW w:w="634" w:type="dxa"/>
          </w:tcPr>
          <w:p>
            <w:pPr>
              <w:pStyle w:val="TableParagraph"/>
              <w:spacing w:before="10"/>
              <w:ind w:left="95"/>
              <w:rPr>
                <w:rFonts w:ascii="Arial"/>
                <w:b/>
                <w:sz w:val="14"/>
              </w:rPr>
            </w:pPr>
            <w:r>
              <w:rPr>
                <w:rFonts w:ascii="Arial"/>
                <w:b/>
                <w:sz w:val="14"/>
              </w:rPr>
              <w:t>81-89</w:t>
            </w:r>
          </w:p>
        </w:tc>
        <w:tc>
          <w:tcPr>
            <w:tcW w:w="941" w:type="dxa"/>
          </w:tcPr>
          <w:p>
            <w:pPr>
              <w:pStyle w:val="TableParagraph"/>
              <w:spacing w:before="10"/>
              <w:ind w:left="96"/>
              <w:rPr>
                <w:rFonts w:ascii="Arial"/>
                <w:b/>
                <w:sz w:val="14"/>
              </w:rPr>
            </w:pPr>
            <w:r>
              <w:rPr>
                <w:rFonts w:ascii="Arial"/>
                <w:b/>
                <w:sz w:val="14"/>
              </w:rPr>
              <w:t>90-139</w:t>
            </w:r>
          </w:p>
        </w:tc>
        <w:tc>
          <w:tcPr>
            <w:tcW w:w="1385" w:type="dxa"/>
          </w:tcPr>
          <w:p>
            <w:pPr>
              <w:pStyle w:val="TableParagraph"/>
              <w:spacing w:before="10"/>
              <w:ind w:right="298"/>
              <w:rPr>
                <w:rFonts w:ascii="Arial"/>
                <w:b/>
                <w:sz w:val="14"/>
              </w:rPr>
            </w:pPr>
            <w:r>
              <w:rPr>
                <w:rFonts w:ascii="Arial"/>
                <w:b/>
                <w:sz w:val="14"/>
              </w:rPr>
              <w:t>140-149</w:t>
            </w:r>
          </w:p>
        </w:tc>
        <w:tc>
          <w:tcPr>
            <w:tcW w:w="1406" w:type="dxa"/>
          </w:tcPr>
          <w:p>
            <w:pPr>
              <w:pStyle w:val="TableParagraph"/>
              <w:spacing w:before="10"/>
              <w:ind w:left="96" w:right="128"/>
              <w:rPr>
                <w:rFonts w:ascii="Arial"/>
                <w:b/>
                <w:sz w:val="14"/>
              </w:rPr>
            </w:pPr>
            <w:r>
              <w:rPr>
                <w:rFonts w:ascii="Arial"/>
                <w:b/>
                <w:sz w:val="14"/>
              </w:rPr>
              <w:t>150-159</w:t>
            </w:r>
          </w:p>
        </w:tc>
        <w:tc>
          <w:tcPr>
            <w:tcW w:w="1695" w:type="dxa"/>
          </w:tcPr>
          <w:p>
            <w:pPr>
              <w:pStyle w:val="TableParagraph"/>
              <w:spacing w:before="10"/>
              <w:ind w:left="96"/>
              <w:rPr>
                <w:rFonts w:ascii="Arial"/>
                <w:b/>
                <w:sz w:val="14"/>
              </w:rPr>
            </w:pPr>
            <w:r>
              <w:rPr>
                <w:rFonts w:ascii="Arial"/>
                <w:b/>
                <w:sz w:val="14"/>
                <w:u w:val="single"/>
              </w:rPr>
              <w:t>&gt;</w:t>
            </w:r>
            <w:r>
              <w:rPr>
                <w:rFonts w:ascii="Arial"/>
                <w:b/>
                <w:sz w:val="14"/>
              </w:rPr>
              <w:t>160</w:t>
            </w:r>
          </w:p>
        </w:tc>
      </w:tr>
      <w:tr>
        <w:trPr>
          <w:trHeight w:val="276" w:hRule="exact"/>
        </w:trPr>
        <w:tc>
          <w:tcPr>
            <w:tcW w:w="1457" w:type="dxa"/>
          </w:tcPr>
          <w:p>
            <w:pPr>
              <w:pStyle w:val="TableParagraph"/>
              <w:spacing w:before="10"/>
              <w:rPr>
                <w:rFonts w:ascii="Arial"/>
                <w:b/>
                <w:sz w:val="14"/>
              </w:rPr>
            </w:pPr>
            <w:r>
              <w:rPr>
                <w:rFonts w:ascii="Arial"/>
                <w:b/>
                <w:sz w:val="14"/>
              </w:rPr>
              <w:t>TAD mmHg</w:t>
            </w:r>
          </w:p>
        </w:tc>
        <w:tc>
          <w:tcPr>
            <w:tcW w:w="660" w:type="dxa"/>
          </w:tcPr>
          <w:p>
            <w:pPr/>
          </w:p>
        </w:tc>
        <w:tc>
          <w:tcPr>
            <w:tcW w:w="941" w:type="dxa"/>
          </w:tcPr>
          <w:p>
            <w:pPr/>
          </w:p>
        </w:tc>
        <w:tc>
          <w:tcPr>
            <w:tcW w:w="634" w:type="dxa"/>
          </w:tcPr>
          <w:p>
            <w:pPr>
              <w:pStyle w:val="TableParagraph"/>
              <w:spacing w:before="10"/>
              <w:ind w:left="95"/>
              <w:rPr>
                <w:rFonts w:ascii="Arial"/>
                <w:b/>
                <w:sz w:val="14"/>
              </w:rPr>
            </w:pPr>
            <w:r>
              <w:rPr>
                <w:rFonts w:ascii="Arial"/>
                <w:b/>
                <w:sz w:val="14"/>
                <w:u w:val="single"/>
              </w:rPr>
              <w:t>&lt; </w:t>
            </w:r>
            <w:r>
              <w:rPr>
                <w:rFonts w:ascii="Arial"/>
                <w:b/>
                <w:sz w:val="14"/>
              </w:rPr>
              <w:t>45</w:t>
            </w:r>
          </w:p>
        </w:tc>
        <w:tc>
          <w:tcPr>
            <w:tcW w:w="941" w:type="dxa"/>
          </w:tcPr>
          <w:p>
            <w:pPr>
              <w:pStyle w:val="TableParagraph"/>
              <w:spacing w:before="10"/>
              <w:ind w:left="96"/>
              <w:rPr>
                <w:rFonts w:ascii="Arial"/>
                <w:b/>
                <w:sz w:val="14"/>
              </w:rPr>
            </w:pPr>
            <w:r>
              <w:rPr>
                <w:rFonts w:ascii="Arial"/>
                <w:b/>
                <w:sz w:val="14"/>
              </w:rPr>
              <w:t>46-89</w:t>
            </w:r>
          </w:p>
        </w:tc>
        <w:tc>
          <w:tcPr>
            <w:tcW w:w="1385" w:type="dxa"/>
          </w:tcPr>
          <w:p>
            <w:pPr>
              <w:pStyle w:val="TableParagraph"/>
              <w:spacing w:before="10"/>
              <w:ind w:right="298"/>
              <w:rPr>
                <w:rFonts w:ascii="Arial"/>
                <w:b/>
                <w:sz w:val="14"/>
              </w:rPr>
            </w:pPr>
            <w:r>
              <w:rPr>
                <w:rFonts w:ascii="Arial"/>
                <w:b/>
                <w:sz w:val="14"/>
              </w:rPr>
              <w:t>90-99</w:t>
            </w:r>
          </w:p>
        </w:tc>
        <w:tc>
          <w:tcPr>
            <w:tcW w:w="1406" w:type="dxa"/>
          </w:tcPr>
          <w:p>
            <w:pPr>
              <w:pStyle w:val="TableParagraph"/>
              <w:spacing w:before="10"/>
              <w:ind w:left="96" w:right="128"/>
              <w:rPr>
                <w:rFonts w:ascii="Arial"/>
                <w:b/>
                <w:sz w:val="14"/>
              </w:rPr>
            </w:pPr>
            <w:r>
              <w:rPr>
                <w:rFonts w:ascii="Arial"/>
                <w:b/>
                <w:sz w:val="14"/>
              </w:rPr>
              <w:t>100-109</w:t>
            </w:r>
          </w:p>
        </w:tc>
        <w:tc>
          <w:tcPr>
            <w:tcW w:w="1695" w:type="dxa"/>
          </w:tcPr>
          <w:p>
            <w:pPr>
              <w:pStyle w:val="TableParagraph"/>
              <w:spacing w:before="10"/>
              <w:ind w:left="96"/>
              <w:rPr>
                <w:rFonts w:ascii="Arial"/>
                <w:b/>
                <w:sz w:val="14"/>
              </w:rPr>
            </w:pPr>
            <w:r>
              <w:rPr>
                <w:rFonts w:ascii="Arial"/>
                <w:b/>
                <w:sz w:val="14"/>
                <w:u w:val="single"/>
              </w:rPr>
              <w:t>&gt;</w:t>
            </w:r>
            <w:r>
              <w:rPr>
                <w:rFonts w:ascii="Arial"/>
                <w:b/>
                <w:sz w:val="14"/>
              </w:rPr>
              <w:t>110</w:t>
            </w:r>
          </w:p>
        </w:tc>
      </w:tr>
      <w:tr>
        <w:trPr>
          <w:trHeight w:val="281" w:hRule="exact"/>
        </w:trPr>
        <w:tc>
          <w:tcPr>
            <w:tcW w:w="1457" w:type="dxa"/>
          </w:tcPr>
          <w:p>
            <w:pPr>
              <w:pStyle w:val="TableParagraph"/>
              <w:spacing w:before="10"/>
              <w:rPr>
                <w:rFonts w:ascii="Arial"/>
                <w:b/>
                <w:sz w:val="14"/>
              </w:rPr>
            </w:pPr>
            <w:r>
              <w:rPr>
                <w:rFonts w:ascii="Arial"/>
                <w:b/>
                <w:sz w:val="14"/>
              </w:rPr>
              <w:t>FC</w:t>
            </w:r>
          </w:p>
        </w:tc>
        <w:tc>
          <w:tcPr>
            <w:tcW w:w="660" w:type="dxa"/>
          </w:tcPr>
          <w:p>
            <w:pPr/>
          </w:p>
        </w:tc>
        <w:tc>
          <w:tcPr>
            <w:tcW w:w="941" w:type="dxa"/>
          </w:tcPr>
          <w:p>
            <w:pPr>
              <w:pStyle w:val="TableParagraph"/>
              <w:spacing w:before="10"/>
              <w:rPr>
                <w:rFonts w:ascii="Arial"/>
                <w:b/>
                <w:sz w:val="14"/>
              </w:rPr>
            </w:pPr>
            <w:r>
              <w:rPr>
                <w:rFonts w:ascii="Arial"/>
                <w:b/>
                <w:sz w:val="14"/>
                <w:u w:val="single"/>
              </w:rPr>
              <w:t>&lt; </w:t>
            </w:r>
            <w:r>
              <w:rPr>
                <w:rFonts w:ascii="Arial"/>
                <w:b/>
                <w:sz w:val="14"/>
              </w:rPr>
              <w:t>40</w:t>
            </w:r>
          </w:p>
        </w:tc>
        <w:tc>
          <w:tcPr>
            <w:tcW w:w="634" w:type="dxa"/>
          </w:tcPr>
          <w:p>
            <w:pPr>
              <w:pStyle w:val="TableParagraph"/>
              <w:spacing w:before="10"/>
              <w:ind w:left="95"/>
              <w:rPr>
                <w:rFonts w:ascii="Arial"/>
                <w:b/>
                <w:sz w:val="14"/>
              </w:rPr>
            </w:pPr>
            <w:r>
              <w:rPr>
                <w:rFonts w:ascii="Arial"/>
                <w:b/>
                <w:sz w:val="14"/>
              </w:rPr>
              <w:t>40-50</w:t>
            </w:r>
          </w:p>
        </w:tc>
        <w:tc>
          <w:tcPr>
            <w:tcW w:w="941" w:type="dxa"/>
          </w:tcPr>
          <w:p>
            <w:pPr>
              <w:pStyle w:val="TableParagraph"/>
              <w:spacing w:before="10"/>
              <w:ind w:left="96"/>
              <w:rPr>
                <w:rFonts w:ascii="Arial"/>
                <w:b/>
                <w:sz w:val="14"/>
              </w:rPr>
            </w:pPr>
            <w:r>
              <w:rPr>
                <w:rFonts w:ascii="Arial"/>
                <w:b/>
                <w:sz w:val="14"/>
              </w:rPr>
              <w:t>51-100</w:t>
            </w:r>
          </w:p>
        </w:tc>
        <w:tc>
          <w:tcPr>
            <w:tcW w:w="1385" w:type="dxa"/>
          </w:tcPr>
          <w:p>
            <w:pPr>
              <w:pStyle w:val="TableParagraph"/>
              <w:spacing w:before="10"/>
              <w:ind w:right="298"/>
              <w:rPr>
                <w:rFonts w:ascii="Arial"/>
                <w:b/>
                <w:sz w:val="14"/>
              </w:rPr>
            </w:pPr>
            <w:r>
              <w:rPr>
                <w:rFonts w:ascii="Arial"/>
                <w:b/>
                <w:sz w:val="14"/>
              </w:rPr>
              <w:t>101-110</w:t>
            </w:r>
          </w:p>
        </w:tc>
        <w:tc>
          <w:tcPr>
            <w:tcW w:w="1406" w:type="dxa"/>
          </w:tcPr>
          <w:p>
            <w:pPr>
              <w:pStyle w:val="TableParagraph"/>
              <w:spacing w:before="10"/>
              <w:ind w:left="96" w:right="128"/>
              <w:rPr>
                <w:rFonts w:ascii="Arial"/>
                <w:b/>
                <w:sz w:val="14"/>
              </w:rPr>
            </w:pPr>
            <w:r>
              <w:rPr>
                <w:rFonts w:ascii="Arial"/>
                <w:b/>
                <w:sz w:val="14"/>
              </w:rPr>
              <w:t>111-129</w:t>
            </w:r>
          </w:p>
        </w:tc>
        <w:tc>
          <w:tcPr>
            <w:tcW w:w="1695" w:type="dxa"/>
          </w:tcPr>
          <w:p>
            <w:pPr>
              <w:pStyle w:val="TableParagraph"/>
              <w:spacing w:before="10"/>
              <w:ind w:left="96"/>
              <w:rPr>
                <w:rFonts w:ascii="Arial"/>
                <w:b/>
                <w:sz w:val="14"/>
              </w:rPr>
            </w:pPr>
            <w:r>
              <w:rPr>
                <w:rFonts w:ascii="Arial"/>
                <w:b/>
                <w:sz w:val="14"/>
                <w:u w:val="single"/>
              </w:rPr>
              <w:t>&gt;</w:t>
            </w:r>
            <w:r>
              <w:rPr>
                <w:rFonts w:ascii="Arial"/>
                <w:b/>
                <w:sz w:val="14"/>
              </w:rPr>
              <w:t>130</w:t>
            </w:r>
          </w:p>
        </w:tc>
      </w:tr>
      <w:tr>
        <w:trPr>
          <w:trHeight w:val="298" w:hRule="exact"/>
        </w:trPr>
        <w:tc>
          <w:tcPr>
            <w:tcW w:w="1457" w:type="dxa"/>
          </w:tcPr>
          <w:p>
            <w:pPr>
              <w:pStyle w:val="TableParagraph"/>
              <w:spacing w:before="10"/>
              <w:rPr>
                <w:rFonts w:ascii="Arial"/>
                <w:b/>
                <w:sz w:val="14"/>
              </w:rPr>
            </w:pPr>
            <w:r>
              <w:rPr>
                <w:rFonts w:ascii="Arial"/>
                <w:b/>
                <w:sz w:val="14"/>
              </w:rPr>
              <w:t>Fr</w:t>
            </w:r>
          </w:p>
        </w:tc>
        <w:tc>
          <w:tcPr>
            <w:tcW w:w="660" w:type="dxa"/>
          </w:tcPr>
          <w:p>
            <w:pPr/>
          </w:p>
        </w:tc>
        <w:tc>
          <w:tcPr>
            <w:tcW w:w="941" w:type="dxa"/>
          </w:tcPr>
          <w:p>
            <w:pPr>
              <w:pStyle w:val="TableParagraph"/>
              <w:spacing w:before="10"/>
              <w:rPr>
                <w:rFonts w:ascii="Arial"/>
                <w:b/>
                <w:sz w:val="14"/>
              </w:rPr>
            </w:pPr>
            <w:r>
              <w:rPr>
                <w:rFonts w:ascii="Arial"/>
                <w:b/>
                <w:sz w:val="14"/>
                <w:u w:val="single"/>
              </w:rPr>
              <w:t>&lt; </w:t>
            </w:r>
            <w:r>
              <w:rPr>
                <w:rFonts w:ascii="Arial"/>
                <w:b/>
                <w:sz w:val="14"/>
              </w:rPr>
              <w:t>8</w:t>
            </w:r>
          </w:p>
        </w:tc>
        <w:tc>
          <w:tcPr>
            <w:tcW w:w="634" w:type="dxa"/>
          </w:tcPr>
          <w:p>
            <w:pPr/>
          </w:p>
        </w:tc>
        <w:tc>
          <w:tcPr>
            <w:tcW w:w="941" w:type="dxa"/>
          </w:tcPr>
          <w:p>
            <w:pPr>
              <w:pStyle w:val="TableParagraph"/>
              <w:spacing w:before="10"/>
              <w:ind w:left="96"/>
              <w:rPr>
                <w:rFonts w:ascii="Arial"/>
                <w:b/>
                <w:sz w:val="14"/>
              </w:rPr>
            </w:pPr>
            <w:r>
              <w:rPr>
                <w:rFonts w:ascii="Arial"/>
                <w:b/>
                <w:sz w:val="14"/>
              </w:rPr>
              <w:t>9-14</w:t>
            </w:r>
          </w:p>
        </w:tc>
        <w:tc>
          <w:tcPr>
            <w:tcW w:w="1385" w:type="dxa"/>
          </w:tcPr>
          <w:p>
            <w:pPr>
              <w:pStyle w:val="TableParagraph"/>
              <w:spacing w:before="10"/>
              <w:ind w:right="298"/>
              <w:rPr>
                <w:rFonts w:ascii="Arial"/>
                <w:b/>
                <w:sz w:val="14"/>
              </w:rPr>
            </w:pPr>
            <w:r>
              <w:rPr>
                <w:rFonts w:ascii="Arial"/>
                <w:b/>
                <w:sz w:val="14"/>
              </w:rPr>
              <w:t>15-20</w:t>
            </w:r>
          </w:p>
        </w:tc>
        <w:tc>
          <w:tcPr>
            <w:tcW w:w="1406" w:type="dxa"/>
          </w:tcPr>
          <w:p>
            <w:pPr>
              <w:pStyle w:val="TableParagraph"/>
              <w:spacing w:before="10"/>
              <w:ind w:left="96" w:right="128"/>
              <w:rPr>
                <w:rFonts w:ascii="Arial"/>
                <w:b/>
                <w:sz w:val="14"/>
              </w:rPr>
            </w:pPr>
            <w:r>
              <w:rPr>
                <w:rFonts w:ascii="Arial"/>
                <w:b/>
                <w:sz w:val="14"/>
              </w:rPr>
              <w:t>21-29</w:t>
            </w:r>
          </w:p>
        </w:tc>
        <w:tc>
          <w:tcPr>
            <w:tcW w:w="1695" w:type="dxa"/>
          </w:tcPr>
          <w:p>
            <w:pPr>
              <w:pStyle w:val="TableParagraph"/>
              <w:spacing w:before="10"/>
              <w:ind w:left="96"/>
              <w:rPr>
                <w:rFonts w:ascii="Arial"/>
                <w:b/>
                <w:sz w:val="14"/>
              </w:rPr>
            </w:pPr>
            <w:r>
              <w:rPr>
                <w:rFonts w:ascii="Arial"/>
                <w:b/>
                <w:sz w:val="14"/>
                <w:u w:val="single"/>
              </w:rPr>
              <w:t>&gt;</w:t>
            </w:r>
            <w:r>
              <w:rPr>
                <w:rFonts w:ascii="Arial"/>
                <w:b/>
                <w:sz w:val="14"/>
              </w:rPr>
              <w:t>30</w:t>
            </w:r>
          </w:p>
        </w:tc>
      </w:tr>
      <w:tr>
        <w:trPr>
          <w:trHeight w:val="559" w:hRule="exact"/>
        </w:trPr>
        <w:tc>
          <w:tcPr>
            <w:tcW w:w="1457" w:type="dxa"/>
          </w:tcPr>
          <w:p>
            <w:pPr>
              <w:pStyle w:val="TableParagraph"/>
              <w:spacing w:before="10"/>
              <w:rPr>
                <w:rFonts w:ascii="Arial"/>
                <w:b/>
                <w:sz w:val="14"/>
              </w:rPr>
            </w:pPr>
            <w:r>
              <w:rPr>
                <w:rFonts w:ascii="Arial"/>
                <w:b/>
                <w:sz w:val="14"/>
              </w:rPr>
              <w:t>Estado alerta</w:t>
            </w:r>
          </w:p>
        </w:tc>
        <w:tc>
          <w:tcPr>
            <w:tcW w:w="660" w:type="dxa"/>
          </w:tcPr>
          <w:p>
            <w:pPr/>
          </w:p>
        </w:tc>
        <w:tc>
          <w:tcPr>
            <w:tcW w:w="941" w:type="dxa"/>
          </w:tcPr>
          <w:p>
            <w:pPr/>
          </w:p>
        </w:tc>
        <w:tc>
          <w:tcPr>
            <w:tcW w:w="634" w:type="dxa"/>
          </w:tcPr>
          <w:p>
            <w:pPr/>
          </w:p>
        </w:tc>
        <w:tc>
          <w:tcPr>
            <w:tcW w:w="941" w:type="dxa"/>
          </w:tcPr>
          <w:p>
            <w:pPr>
              <w:pStyle w:val="TableParagraph"/>
              <w:spacing w:before="10"/>
              <w:ind w:left="96"/>
              <w:rPr>
                <w:rFonts w:ascii="Arial"/>
                <w:b/>
                <w:sz w:val="14"/>
              </w:rPr>
            </w:pPr>
            <w:r>
              <w:rPr>
                <w:rFonts w:ascii="Arial"/>
                <w:b/>
                <w:sz w:val="14"/>
              </w:rPr>
              <w:t>Alerta</w:t>
            </w:r>
          </w:p>
        </w:tc>
        <w:tc>
          <w:tcPr>
            <w:tcW w:w="1385" w:type="dxa"/>
          </w:tcPr>
          <w:p>
            <w:pPr>
              <w:pStyle w:val="TableParagraph"/>
              <w:spacing w:line="362" w:lineRule="auto" w:before="10"/>
              <w:ind w:right="298"/>
              <w:rPr>
                <w:rFonts w:ascii="Arial"/>
                <w:b/>
                <w:sz w:val="14"/>
              </w:rPr>
            </w:pPr>
            <w:r>
              <w:rPr>
                <w:rFonts w:ascii="Arial"/>
                <w:b/>
                <w:sz w:val="14"/>
              </w:rPr>
              <w:t>Responde a la voz</w:t>
            </w:r>
          </w:p>
        </w:tc>
        <w:tc>
          <w:tcPr>
            <w:tcW w:w="1406" w:type="dxa"/>
          </w:tcPr>
          <w:p>
            <w:pPr>
              <w:pStyle w:val="TableParagraph"/>
              <w:spacing w:line="362" w:lineRule="auto" w:before="10"/>
              <w:ind w:left="96" w:right="128"/>
              <w:rPr>
                <w:rFonts w:ascii="Arial"/>
                <w:b/>
                <w:sz w:val="14"/>
              </w:rPr>
            </w:pPr>
            <w:r>
              <w:rPr>
                <w:rFonts w:ascii="Arial"/>
                <w:b/>
                <w:sz w:val="14"/>
              </w:rPr>
              <w:t>Responde al dolor</w:t>
            </w:r>
          </w:p>
        </w:tc>
        <w:tc>
          <w:tcPr>
            <w:tcW w:w="1695" w:type="dxa"/>
          </w:tcPr>
          <w:p>
            <w:pPr>
              <w:pStyle w:val="TableParagraph"/>
              <w:spacing w:before="10"/>
              <w:ind w:left="96"/>
              <w:rPr>
                <w:rFonts w:ascii="Arial"/>
                <w:b/>
                <w:sz w:val="14"/>
              </w:rPr>
            </w:pPr>
            <w:r>
              <w:rPr>
                <w:rFonts w:ascii="Arial"/>
                <w:b/>
                <w:sz w:val="14"/>
              </w:rPr>
              <w:t>Inconsciente</w:t>
            </w:r>
          </w:p>
        </w:tc>
      </w:tr>
      <w:tr>
        <w:trPr>
          <w:trHeight w:val="283" w:hRule="exact"/>
        </w:trPr>
        <w:tc>
          <w:tcPr>
            <w:tcW w:w="1457" w:type="dxa"/>
          </w:tcPr>
          <w:p>
            <w:pPr>
              <w:pStyle w:val="TableParagraph"/>
              <w:spacing w:before="10"/>
              <w:rPr>
                <w:rFonts w:ascii="Arial"/>
                <w:b/>
                <w:sz w:val="14"/>
              </w:rPr>
            </w:pPr>
            <w:r>
              <w:rPr>
                <w:rFonts w:ascii="Arial"/>
                <w:b/>
                <w:sz w:val="14"/>
              </w:rPr>
              <w:t>Uresis ml/hr</w:t>
            </w:r>
          </w:p>
        </w:tc>
        <w:tc>
          <w:tcPr>
            <w:tcW w:w="660" w:type="dxa"/>
          </w:tcPr>
          <w:p>
            <w:pPr>
              <w:pStyle w:val="TableParagraph"/>
              <w:spacing w:before="10"/>
              <w:rPr>
                <w:rFonts w:ascii="Arial"/>
                <w:b/>
                <w:sz w:val="14"/>
              </w:rPr>
            </w:pPr>
            <w:r>
              <w:rPr>
                <w:rFonts w:ascii="Arial"/>
                <w:b/>
                <w:sz w:val="14"/>
                <w:u w:val="single"/>
              </w:rPr>
              <w:t>&lt; </w:t>
            </w:r>
            <w:r>
              <w:rPr>
                <w:rFonts w:ascii="Arial"/>
                <w:b/>
                <w:sz w:val="14"/>
              </w:rPr>
              <w:t>10</w:t>
            </w:r>
          </w:p>
        </w:tc>
        <w:tc>
          <w:tcPr>
            <w:tcW w:w="941" w:type="dxa"/>
          </w:tcPr>
          <w:p>
            <w:pPr>
              <w:pStyle w:val="TableParagraph"/>
              <w:spacing w:before="10"/>
              <w:rPr>
                <w:rFonts w:ascii="Arial"/>
                <w:b/>
                <w:sz w:val="14"/>
              </w:rPr>
            </w:pPr>
            <w:r>
              <w:rPr>
                <w:rFonts w:ascii="Arial"/>
                <w:b/>
                <w:sz w:val="14"/>
                <w:u w:val="single"/>
              </w:rPr>
              <w:t>&lt; </w:t>
            </w:r>
            <w:r>
              <w:rPr>
                <w:rFonts w:ascii="Arial"/>
                <w:b/>
                <w:sz w:val="14"/>
              </w:rPr>
              <w:t>30</w:t>
            </w:r>
          </w:p>
        </w:tc>
        <w:tc>
          <w:tcPr>
            <w:tcW w:w="634" w:type="dxa"/>
          </w:tcPr>
          <w:p>
            <w:pPr/>
          </w:p>
        </w:tc>
        <w:tc>
          <w:tcPr>
            <w:tcW w:w="941" w:type="dxa"/>
          </w:tcPr>
          <w:p>
            <w:pPr/>
          </w:p>
        </w:tc>
        <w:tc>
          <w:tcPr>
            <w:tcW w:w="1385" w:type="dxa"/>
          </w:tcPr>
          <w:p>
            <w:pPr/>
          </w:p>
        </w:tc>
        <w:tc>
          <w:tcPr>
            <w:tcW w:w="1406" w:type="dxa"/>
          </w:tcPr>
          <w:p>
            <w:pPr/>
          </w:p>
        </w:tc>
        <w:tc>
          <w:tcPr>
            <w:tcW w:w="1695" w:type="dxa"/>
          </w:tcPr>
          <w:p>
            <w:pPr/>
          </w:p>
        </w:tc>
      </w:tr>
      <w:tr>
        <w:trPr>
          <w:trHeight w:val="286" w:hRule="exact"/>
        </w:trPr>
        <w:tc>
          <w:tcPr>
            <w:tcW w:w="1457" w:type="dxa"/>
          </w:tcPr>
          <w:p>
            <w:pPr>
              <w:pStyle w:val="TableParagraph"/>
              <w:spacing w:before="11"/>
              <w:rPr>
                <w:rFonts w:ascii="Arial" w:hAnsi="Arial"/>
                <w:b/>
                <w:sz w:val="14"/>
              </w:rPr>
            </w:pPr>
            <w:r>
              <w:rPr>
                <w:rFonts w:ascii="Arial" w:hAnsi="Arial"/>
                <w:b/>
                <w:sz w:val="14"/>
              </w:rPr>
              <w:t>Índice de choque</w:t>
            </w:r>
          </w:p>
        </w:tc>
        <w:tc>
          <w:tcPr>
            <w:tcW w:w="660" w:type="dxa"/>
          </w:tcPr>
          <w:p>
            <w:pPr/>
          </w:p>
        </w:tc>
        <w:tc>
          <w:tcPr>
            <w:tcW w:w="941" w:type="dxa"/>
          </w:tcPr>
          <w:p>
            <w:pPr/>
          </w:p>
        </w:tc>
        <w:tc>
          <w:tcPr>
            <w:tcW w:w="634" w:type="dxa"/>
          </w:tcPr>
          <w:p>
            <w:pPr/>
          </w:p>
        </w:tc>
        <w:tc>
          <w:tcPr>
            <w:tcW w:w="941" w:type="dxa"/>
          </w:tcPr>
          <w:p>
            <w:pPr>
              <w:pStyle w:val="TableParagraph"/>
              <w:spacing w:before="11"/>
              <w:ind w:left="96"/>
              <w:rPr>
                <w:rFonts w:ascii="Arial"/>
                <w:b/>
                <w:sz w:val="14"/>
              </w:rPr>
            </w:pPr>
            <w:r>
              <w:rPr>
                <w:rFonts w:ascii="Arial"/>
                <w:b/>
                <w:sz w:val="14"/>
                <w:u w:val="single"/>
              </w:rPr>
              <w:t>&lt; </w:t>
            </w:r>
            <w:r>
              <w:rPr>
                <w:rFonts w:ascii="Arial"/>
                <w:b/>
                <w:sz w:val="14"/>
              </w:rPr>
              <w:t>0.8</w:t>
            </w:r>
          </w:p>
        </w:tc>
        <w:tc>
          <w:tcPr>
            <w:tcW w:w="1385" w:type="dxa"/>
          </w:tcPr>
          <w:p>
            <w:pPr>
              <w:pStyle w:val="TableParagraph"/>
              <w:spacing w:before="11"/>
              <w:ind w:right="298"/>
              <w:rPr>
                <w:rFonts w:ascii="Arial"/>
                <w:b/>
                <w:sz w:val="14"/>
              </w:rPr>
            </w:pPr>
            <w:r>
              <w:rPr>
                <w:rFonts w:ascii="Arial"/>
                <w:b/>
                <w:sz w:val="14"/>
              </w:rPr>
              <w:t>0.9-1.0</w:t>
            </w:r>
          </w:p>
        </w:tc>
        <w:tc>
          <w:tcPr>
            <w:tcW w:w="1406" w:type="dxa"/>
          </w:tcPr>
          <w:p>
            <w:pPr>
              <w:pStyle w:val="TableParagraph"/>
              <w:spacing w:before="11"/>
              <w:ind w:left="96" w:right="128"/>
              <w:rPr>
                <w:rFonts w:ascii="Arial"/>
                <w:b/>
                <w:sz w:val="14"/>
              </w:rPr>
            </w:pPr>
            <w:r>
              <w:rPr>
                <w:rFonts w:ascii="Arial"/>
                <w:b/>
                <w:sz w:val="14"/>
                <w:u w:val="single"/>
              </w:rPr>
              <w:t>&gt; </w:t>
            </w:r>
            <w:r>
              <w:rPr>
                <w:rFonts w:ascii="Arial"/>
                <w:b/>
                <w:sz w:val="14"/>
              </w:rPr>
              <w:t>1.0</w:t>
            </w:r>
          </w:p>
        </w:tc>
        <w:tc>
          <w:tcPr>
            <w:tcW w:w="1695" w:type="dxa"/>
          </w:tcPr>
          <w:p>
            <w:pPr/>
          </w:p>
        </w:tc>
      </w:tr>
      <w:tr>
        <w:trPr>
          <w:trHeight w:val="799" w:hRule="exact"/>
        </w:trPr>
        <w:tc>
          <w:tcPr>
            <w:tcW w:w="1457" w:type="dxa"/>
          </w:tcPr>
          <w:p>
            <w:pPr>
              <w:pStyle w:val="TableParagraph"/>
              <w:spacing w:line="360" w:lineRule="auto" w:before="10"/>
              <w:ind w:right="494"/>
              <w:rPr>
                <w:rFonts w:ascii="Arial" w:hAnsi="Arial"/>
                <w:b/>
                <w:sz w:val="14"/>
              </w:rPr>
            </w:pPr>
            <w:r>
              <w:rPr>
                <w:rFonts w:ascii="Arial" w:hAnsi="Arial"/>
                <w:b/>
                <w:sz w:val="14"/>
              </w:rPr>
              <w:t>Saturación oximetría de pulso%</w:t>
            </w:r>
          </w:p>
        </w:tc>
        <w:tc>
          <w:tcPr>
            <w:tcW w:w="660" w:type="dxa"/>
          </w:tcPr>
          <w:p>
            <w:pPr>
              <w:pStyle w:val="TableParagraph"/>
              <w:spacing w:before="10"/>
              <w:rPr>
                <w:rFonts w:ascii="Arial"/>
                <w:b/>
                <w:sz w:val="14"/>
              </w:rPr>
            </w:pPr>
            <w:r>
              <w:rPr>
                <w:rFonts w:ascii="Arial"/>
                <w:b/>
                <w:sz w:val="14"/>
                <w:u w:val="single"/>
              </w:rPr>
              <w:t>&lt; </w:t>
            </w:r>
            <w:r>
              <w:rPr>
                <w:rFonts w:ascii="Arial"/>
                <w:b/>
                <w:sz w:val="14"/>
              </w:rPr>
              <w:t>90</w:t>
            </w:r>
          </w:p>
        </w:tc>
        <w:tc>
          <w:tcPr>
            <w:tcW w:w="941" w:type="dxa"/>
          </w:tcPr>
          <w:p>
            <w:pPr>
              <w:pStyle w:val="TableParagraph"/>
              <w:spacing w:before="10"/>
              <w:rPr>
                <w:rFonts w:ascii="Arial"/>
                <w:b/>
                <w:sz w:val="14"/>
              </w:rPr>
            </w:pPr>
            <w:r>
              <w:rPr>
                <w:rFonts w:ascii="Arial"/>
                <w:b/>
                <w:sz w:val="14"/>
              </w:rPr>
              <w:t>91-93</w:t>
            </w:r>
          </w:p>
        </w:tc>
        <w:tc>
          <w:tcPr>
            <w:tcW w:w="634" w:type="dxa"/>
          </w:tcPr>
          <w:p>
            <w:pPr>
              <w:pStyle w:val="TableParagraph"/>
              <w:spacing w:before="10"/>
              <w:ind w:left="95"/>
              <w:rPr>
                <w:rFonts w:ascii="Arial"/>
                <w:b/>
                <w:sz w:val="14"/>
              </w:rPr>
            </w:pPr>
            <w:r>
              <w:rPr>
                <w:rFonts w:ascii="Arial"/>
                <w:b/>
                <w:sz w:val="14"/>
              </w:rPr>
              <w:t>94-96</w:t>
            </w:r>
          </w:p>
        </w:tc>
        <w:tc>
          <w:tcPr>
            <w:tcW w:w="941" w:type="dxa"/>
          </w:tcPr>
          <w:p>
            <w:pPr>
              <w:pStyle w:val="TableParagraph"/>
              <w:spacing w:before="10"/>
              <w:ind w:left="96"/>
              <w:rPr>
                <w:rFonts w:ascii="Arial"/>
                <w:b/>
                <w:sz w:val="14"/>
              </w:rPr>
            </w:pPr>
            <w:r>
              <w:rPr>
                <w:rFonts w:ascii="Arial"/>
                <w:b/>
                <w:sz w:val="14"/>
                <w:u w:val="single"/>
              </w:rPr>
              <w:t>&gt; </w:t>
            </w:r>
            <w:r>
              <w:rPr>
                <w:rFonts w:ascii="Arial"/>
                <w:b/>
                <w:sz w:val="14"/>
              </w:rPr>
              <w:t>97%</w:t>
            </w:r>
          </w:p>
        </w:tc>
        <w:tc>
          <w:tcPr>
            <w:tcW w:w="1385" w:type="dxa"/>
          </w:tcPr>
          <w:p>
            <w:pPr/>
          </w:p>
        </w:tc>
        <w:tc>
          <w:tcPr>
            <w:tcW w:w="1406" w:type="dxa"/>
          </w:tcPr>
          <w:p>
            <w:pPr/>
          </w:p>
        </w:tc>
        <w:tc>
          <w:tcPr>
            <w:tcW w:w="1695" w:type="dxa"/>
          </w:tcPr>
          <w:p>
            <w:pPr/>
          </w:p>
        </w:tc>
      </w:tr>
    </w:tbl>
    <w:p>
      <w:pPr>
        <w:spacing w:after="0"/>
        <w:sectPr>
          <w:footerReference w:type="default" r:id="rId51"/>
          <w:pgSz w:w="12240" w:h="15840"/>
          <w:pgMar w:footer="1603" w:header="0" w:top="1360" w:bottom="1800" w:left="1480" w:right="1140"/>
        </w:sectPr>
      </w:pPr>
    </w:p>
    <w:p>
      <w:pPr>
        <w:spacing w:before="54"/>
        <w:ind w:left="102" w:right="2780" w:firstLine="0"/>
        <w:jc w:val="left"/>
        <w:rPr>
          <w:sz w:val="24"/>
        </w:rPr>
      </w:pPr>
      <w:r>
        <w:rPr>
          <w:b/>
          <w:sz w:val="24"/>
        </w:rPr>
        <w:t>Anexo 4. </w:t>
      </w:r>
      <w:r>
        <w:rPr>
          <w:sz w:val="24"/>
        </w:rPr>
        <w:t>Hoja de recolección de datos</w:t>
      </w:r>
    </w:p>
    <w:p>
      <w:pPr>
        <w:spacing w:before="135"/>
        <w:ind w:left="3355" w:right="3474" w:firstLine="0"/>
        <w:jc w:val="center"/>
        <w:rPr>
          <w:b/>
          <w:sz w:val="16"/>
        </w:rPr>
      </w:pPr>
      <w:r>
        <w:rPr>
          <w:b/>
          <w:sz w:val="16"/>
          <w:u w:val="single"/>
        </w:rPr>
        <w:t>HOJA DE RECOLECCION DE DATOS</w:t>
      </w:r>
    </w:p>
    <w:p>
      <w:pPr>
        <w:pStyle w:val="BodyText"/>
        <w:spacing w:before="2"/>
        <w:rPr>
          <w:b/>
          <w:sz w:val="25"/>
        </w:rPr>
      </w:pPr>
    </w:p>
    <w:p>
      <w:pPr>
        <w:spacing w:after="0"/>
        <w:rPr>
          <w:sz w:val="25"/>
        </w:rPr>
        <w:sectPr>
          <w:footerReference w:type="default" r:id="rId52"/>
          <w:pgSz w:w="12240" w:h="15840"/>
          <w:pgMar w:footer="1752" w:header="0" w:top="1360" w:bottom="1940" w:left="1600" w:right="960"/>
          <w:pgNumType w:start="51"/>
        </w:sectPr>
      </w:pPr>
    </w:p>
    <w:p>
      <w:pPr>
        <w:pStyle w:val="ListParagraph"/>
        <w:numPr>
          <w:ilvl w:val="0"/>
          <w:numId w:val="23"/>
        </w:numPr>
        <w:tabs>
          <w:tab w:pos="821" w:val="left" w:leader="none"/>
          <w:tab w:pos="822" w:val="left" w:leader="none"/>
        </w:tabs>
        <w:spacing w:line="240" w:lineRule="auto" w:before="81" w:after="0"/>
        <w:ind w:left="822" w:right="0" w:hanging="360"/>
        <w:jc w:val="left"/>
        <w:rPr>
          <w:b/>
          <w:sz w:val="16"/>
        </w:rPr>
      </w:pPr>
      <w:r>
        <w:rPr>
          <w:b/>
          <w:sz w:val="16"/>
        </w:rPr>
        <w:t>DATOS</w:t>
      </w:r>
      <w:r>
        <w:rPr>
          <w:b/>
          <w:spacing w:val="-5"/>
          <w:sz w:val="16"/>
        </w:rPr>
        <w:t> </w:t>
      </w:r>
      <w:r>
        <w:rPr>
          <w:b/>
          <w:sz w:val="16"/>
        </w:rPr>
        <w:t>GENERALES.</w:t>
      </w:r>
    </w:p>
    <w:p>
      <w:pPr>
        <w:tabs>
          <w:tab w:pos="3832" w:val="left" w:leader="none"/>
        </w:tabs>
        <w:spacing w:before="29"/>
        <w:ind w:left="821" w:right="0" w:firstLine="0"/>
        <w:jc w:val="left"/>
        <w:rPr>
          <w:sz w:val="16"/>
        </w:rPr>
      </w:pPr>
      <w:r>
        <w:rPr>
          <w:sz w:val="16"/>
        </w:rPr>
        <w:t>NOMBRE:</w:t>
      </w:r>
      <w:r>
        <w:rPr>
          <w:sz w:val="16"/>
          <w:u w:val="single"/>
        </w:rPr>
        <w:t> </w:t>
        <w:tab/>
      </w:r>
    </w:p>
    <w:p>
      <w:pPr>
        <w:pStyle w:val="BodyText"/>
        <w:rPr>
          <w:sz w:val="16"/>
        </w:rPr>
      </w:pPr>
      <w:r>
        <w:rPr/>
        <w:br w:type="column"/>
      </w:r>
      <w:r>
        <w:rPr>
          <w:sz w:val="16"/>
        </w:rPr>
      </w:r>
    </w:p>
    <w:p>
      <w:pPr>
        <w:tabs>
          <w:tab w:pos="1871" w:val="left" w:leader="none"/>
          <w:tab w:pos="5568" w:val="left" w:leader="none"/>
        </w:tabs>
        <w:spacing w:before="110"/>
        <w:ind w:left="145" w:right="0" w:firstLine="0"/>
        <w:jc w:val="left"/>
        <w:rPr>
          <w:sz w:val="16"/>
        </w:rPr>
      </w:pPr>
      <w:r>
        <w:rPr>
          <w:sz w:val="16"/>
        </w:rPr>
        <w:t>EDAD:</w:t>
      </w:r>
      <w:r>
        <w:rPr>
          <w:sz w:val="16"/>
          <w:u w:val="single"/>
        </w:rPr>
        <w:tab/>
      </w:r>
      <w:r>
        <w:rPr>
          <w:sz w:val="16"/>
        </w:rPr>
        <w:t>NUMERO DE</w:t>
      </w:r>
      <w:r>
        <w:rPr>
          <w:spacing w:val="-2"/>
          <w:sz w:val="16"/>
        </w:rPr>
        <w:t> </w:t>
      </w:r>
      <w:r>
        <w:rPr>
          <w:sz w:val="16"/>
        </w:rPr>
        <w:t>SS:</w:t>
      </w:r>
      <w:r>
        <w:rPr>
          <w:spacing w:val="1"/>
          <w:sz w:val="16"/>
        </w:rPr>
        <w:t> </w:t>
      </w:r>
      <w:r>
        <w:rPr>
          <w:w w:val="100"/>
          <w:sz w:val="16"/>
          <w:u w:val="single"/>
        </w:rPr>
        <w:t> </w:t>
      </w:r>
      <w:r>
        <w:rPr>
          <w:sz w:val="16"/>
          <w:u w:val="single"/>
        </w:rPr>
        <w:tab/>
      </w:r>
    </w:p>
    <w:p>
      <w:pPr>
        <w:spacing w:after="0"/>
        <w:jc w:val="left"/>
        <w:rPr>
          <w:sz w:val="16"/>
        </w:rPr>
        <w:sectPr>
          <w:type w:val="continuous"/>
          <w:pgSz w:w="12240" w:h="15840"/>
          <w:pgMar w:top="1360" w:bottom="280" w:left="1600" w:right="960"/>
          <w:cols w:num="2" w:equalWidth="0">
            <w:col w:w="3833" w:space="40"/>
            <w:col w:w="5807"/>
          </w:cols>
        </w:sectPr>
      </w:pPr>
    </w:p>
    <w:p>
      <w:pPr>
        <w:tabs>
          <w:tab w:pos="3032" w:val="left" w:leader="none"/>
          <w:tab w:pos="3642" w:val="left" w:leader="none"/>
        </w:tabs>
        <w:spacing w:before="27"/>
        <w:ind w:left="821" w:right="2780" w:firstLine="0"/>
        <w:jc w:val="left"/>
        <w:rPr>
          <w:sz w:val="16"/>
        </w:rPr>
      </w:pPr>
      <w:r>
        <w:rPr>
          <w:sz w:val="16"/>
        </w:rPr>
        <w:t>N°</w:t>
      </w:r>
      <w:r>
        <w:rPr>
          <w:spacing w:val="-1"/>
          <w:sz w:val="16"/>
        </w:rPr>
        <w:t> </w:t>
      </w:r>
      <w:r>
        <w:rPr>
          <w:sz w:val="16"/>
        </w:rPr>
        <w:t>EXPEDIENTE</w:t>
      </w:r>
      <w:r>
        <w:rPr>
          <w:sz w:val="16"/>
          <w:u w:val="single"/>
        </w:rPr>
        <w:t> </w:t>
        <w:tab/>
      </w:r>
      <w:r>
        <w:rPr>
          <w:sz w:val="16"/>
        </w:rPr>
        <w:tab/>
        <w:t>HOSPITAL DE</w:t>
      </w:r>
      <w:r>
        <w:rPr>
          <w:spacing w:val="-6"/>
          <w:sz w:val="16"/>
        </w:rPr>
        <w:t> </w:t>
      </w:r>
      <w:r>
        <w:rPr>
          <w:sz w:val="16"/>
        </w:rPr>
        <w:t>REFERENCIA:</w:t>
      </w:r>
    </w:p>
    <w:p>
      <w:pPr>
        <w:pStyle w:val="BodyText"/>
        <w:spacing w:before="10"/>
        <w:rPr>
          <w:sz w:val="13"/>
        </w:rPr>
      </w:pPr>
      <w:r>
        <w:rPr/>
        <w:pict>
          <v:group style="position:absolute;margin-left:183.104996pt;margin-top:9.936385pt;width:182.85pt;height:.550pt;mso-position-horizontal-relative:page;mso-position-vertical-relative:paragraph;z-index:5920;mso-wrap-distance-left:0;mso-wrap-distance-right:0" coordorigin="3662,199" coordsize="3657,11">
            <v:line style="position:absolute" from="3668,204" to="5266,204" stroked="true" strokeweight=".50652pt" strokecolor="#000000"/>
            <v:line style="position:absolute" from="5268,204" to="6067,204" stroked="true" strokeweight=".50652pt" strokecolor="#000000"/>
            <v:line style="position:absolute" from="6070,204" to="7313,204" stroked="true" strokeweight=".50652pt" strokecolor="#000000"/>
            <w10:wrap type="topAndBottom"/>
          </v:group>
        </w:pict>
      </w:r>
    </w:p>
    <w:p>
      <w:pPr>
        <w:tabs>
          <w:tab w:pos="6880" w:val="left" w:leader="none"/>
        </w:tabs>
        <w:spacing w:line="276" w:lineRule="auto" w:before="2"/>
        <w:ind w:left="821" w:right="2780" w:firstLine="0"/>
        <w:jc w:val="left"/>
        <w:rPr>
          <w:sz w:val="16"/>
        </w:rPr>
      </w:pPr>
      <w:r>
        <w:rPr>
          <w:sz w:val="16"/>
        </w:rPr>
        <w:t>HOJA</w:t>
      </w:r>
      <w:r>
        <w:rPr>
          <w:spacing w:val="-3"/>
          <w:sz w:val="16"/>
        </w:rPr>
        <w:t> </w:t>
      </w:r>
      <w:r>
        <w:rPr>
          <w:sz w:val="16"/>
        </w:rPr>
        <w:t>DE</w:t>
      </w:r>
      <w:r>
        <w:rPr>
          <w:spacing w:val="-3"/>
          <w:sz w:val="16"/>
        </w:rPr>
        <w:t> </w:t>
      </w:r>
      <w:r>
        <w:rPr>
          <w:sz w:val="16"/>
        </w:rPr>
        <w:t>REFERENCIA:</w:t>
      </w:r>
      <w:r>
        <w:rPr>
          <w:spacing w:val="-1"/>
          <w:sz w:val="16"/>
        </w:rPr>
        <w:t> </w:t>
      </w:r>
      <w:r>
        <w:rPr>
          <w:w w:val="100"/>
          <w:sz w:val="16"/>
          <w:u w:val="single"/>
        </w:rPr>
        <w:t> </w:t>
      </w:r>
      <w:r>
        <w:rPr>
          <w:sz w:val="16"/>
          <w:u w:val="single"/>
        </w:rPr>
        <w:tab/>
      </w:r>
      <w:r>
        <w:rPr>
          <w:sz w:val="16"/>
        </w:rPr>
        <w:t> DIAGNOSTICO DE</w:t>
      </w:r>
      <w:r>
        <w:rPr>
          <w:spacing w:val="-8"/>
          <w:sz w:val="16"/>
        </w:rPr>
        <w:t> </w:t>
      </w:r>
      <w:r>
        <w:rPr>
          <w:sz w:val="16"/>
        </w:rPr>
        <w:t>REFERENCIA:</w:t>
      </w:r>
      <w:r>
        <w:rPr>
          <w:spacing w:val="1"/>
          <w:sz w:val="16"/>
        </w:rPr>
        <w:t> </w:t>
      </w:r>
      <w:r>
        <w:rPr>
          <w:w w:val="100"/>
          <w:sz w:val="16"/>
          <w:u w:val="single"/>
        </w:rPr>
        <w:t> </w:t>
      </w:r>
      <w:r>
        <w:rPr>
          <w:sz w:val="16"/>
          <w:u w:val="single"/>
        </w:rPr>
        <w:tab/>
      </w:r>
    </w:p>
    <w:p>
      <w:pPr>
        <w:tabs>
          <w:tab w:pos="3917" w:val="left" w:leader="none"/>
          <w:tab w:pos="4350" w:val="left" w:leader="none"/>
          <w:tab w:pos="7103" w:val="left" w:leader="none"/>
        </w:tabs>
        <w:spacing w:before="0"/>
        <w:ind w:left="821" w:right="0" w:firstLine="0"/>
        <w:jc w:val="left"/>
        <w:rPr>
          <w:sz w:val="16"/>
        </w:rPr>
      </w:pPr>
      <w:r>
        <w:rPr>
          <w:sz w:val="16"/>
        </w:rPr>
        <w:t>HORA DE</w:t>
      </w:r>
      <w:r>
        <w:rPr>
          <w:spacing w:val="-3"/>
          <w:sz w:val="16"/>
        </w:rPr>
        <w:t> </w:t>
      </w:r>
      <w:r>
        <w:rPr>
          <w:sz w:val="16"/>
        </w:rPr>
        <w:t>INGRESO</w:t>
      </w:r>
      <w:r>
        <w:rPr>
          <w:spacing w:val="-3"/>
          <w:sz w:val="16"/>
        </w:rPr>
        <w:t> </w:t>
      </w:r>
      <w:r>
        <w:rPr>
          <w:sz w:val="16"/>
        </w:rPr>
        <w:t>HMPMPS:</w:t>
      </w:r>
      <w:r>
        <w:rPr>
          <w:sz w:val="16"/>
          <w:u w:val="single"/>
        </w:rPr>
        <w:t> </w:t>
        <w:tab/>
      </w:r>
      <w:r>
        <w:rPr>
          <w:sz w:val="16"/>
        </w:rPr>
        <w:tab/>
        <w:t>DX:</w:t>
      </w:r>
      <w:r>
        <w:rPr>
          <w:spacing w:val="1"/>
          <w:sz w:val="16"/>
        </w:rPr>
        <w:t> </w:t>
      </w:r>
      <w:r>
        <w:rPr>
          <w:w w:val="100"/>
          <w:sz w:val="16"/>
          <w:u w:val="single"/>
        </w:rPr>
        <w:t> </w:t>
      </w:r>
      <w:r>
        <w:rPr>
          <w:sz w:val="16"/>
          <w:u w:val="single"/>
        </w:rPr>
        <w:tab/>
      </w:r>
    </w:p>
    <w:p>
      <w:pPr>
        <w:tabs>
          <w:tab w:pos="5798" w:val="left" w:leader="none"/>
          <w:tab w:pos="6884" w:val="left" w:leader="none"/>
        </w:tabs>
        <w:spacing w:before="27"/>
        <w:ind w:left="821" w:right="0" w:firstLine="0"/>
        <w:jc w:val="left"/>
        <w:rPr>
          <w:sz w:val="16"/>
        </w:rPr>
      </w:pPr>
      <w:r>
        <w:rPr>
          <w:sz w:val="16"/>
        </w:rPr>
        <w:t>TRIAGE OBSTÉTRICO: SI:       </w:t>
      </w:r>
      <w:r>
        <w:rPr>
          <w:sz w:val="16"/>
        </w:rPr>
        <w:t>NO:    </w:t>
      </w:r>
      <w:r>
        <w:rPr>
          <w:spacing w:val="25"/>
          <w:sz w:val="16"/>
        </w:rPr>
        <w:t> </w:t>
      </w:r>
      <w:r>
        <w:rPr>
          <w:sz w:val="16"/>
        </w:rPr>
        <w:t>CLASIFICACION:</w:t>
      </w:r>
      <w:r>
        <w:rPr>
          <w:spacing w:val="-2"/>
          <w:sz w:val="16"/>
        </w:rPr>
        <w:t> </w:t>
      </w:r>
      <w:r>
        <w:rPr>
          <w:sz w:val="16"/>
        </w:rPr>
        <w:t>ROJO</w:t>
      </w:r>
      <w:r>
        <w:rPr>
          <w:sz w:val="16"/>
          <w:u w:val="single"/>
        </w:rPr>
        <w:tab/>
      </w:r>
      <w:r>
        <w:rPr>
          <w:sz w:val="16"/>
        </w:rPr>
        <w:t>VERDE:</w:t>
      </w:r>
      <w:r>
        <w:rPr>
          <w:spacing w:val="1"/>
          <w:sz w:val="16"/>
        </w:rPr>
        <w:t> </w:t>
      </w:r>
      <w:r>
        <w:rPr>
          <w:w w:val="100"/>
          <w:sz w:val="16"/>
          <w:u w:val="single"/>
        </w:rPr>
        <w:t> </w:t>
      </w:r>
      <w:r>
        <w:rPr>
          <w:sz w:val="16"/>
          <w:u w:val="single"/>
        </w:rPr>
        <w:tab/>
      </w:r>
    </w:p>
    <w:p>
      <w:pPr>
        <w:pStyle w:val="ListParagraph"/>
        <w:numPr>
          <w:ilvl w:val="0"/>
          <w:numId w:val="23"/>
        </w:numPr>
        <w:tabs>
          <w:tab w:pos="821" w:val="left" w:leader="none"/>
          <w:tab w:pos="822" w:val="left" w:leader="none"/>
        </w:tabs>
        <w:spacing w:line="240" w:lineRule="auto" w:before="25" w:after="0"/>
        <w:ind w:left="822" w:right="0" w:hanging="360"/>
        <w:jc w:val="left"/>
        <w:rPr>
          <w:b/>
          <w:sz w:val="16"/>
        </w:rPr>
      </w:pPr>
      <w:r>
        <w:rPr>
          <w:b/>
          <w:sz w:val="16"/>
        </w:rPr>
        <w:t>DATOS</w:t>
      </w:r>
      <w:r>
        <w:rPr>
          <w:b/>
          <w:spacing w:val="-8"/>
          <w:sz w:val="16"/>
        </w:rPr>
        <w:t> </w:t>
      </w:r>
      <w:r>
        <w:rPr>
          <w:b/>
          <w:sz w:val="16"/>
        </w:rPr>
        <w:t>SOCIODEMOGRÁFICOS</w:t>
      </w:r>
    </w:p>
    <w:p>
      <w:pPr>
        <w:spacing w:after="0" w:line="240" w:lineRule="auto"/>
        <w:jc w:val="left"/>
        <w:rPr>
          <w:sz w:val="16"/>
        </w:rPr>
        <w:sectPr>
          <w:type w:val="continuous"/>
          <w:pgSz w:w="12240" w:h="15840"/>
          <w:pgMar w:top="1360" w:bottom="280" w:left="1600" w:right="960"/>
        </w:sectPr>
      </w:pPr>
    </w:p>
    <w:p>
      <w:pPr>
        <w:tabs>
          <w:tab w:pos="3493" w:val="left" w:leader="none"/>
          <w:tab w:pos="3564" w:val="left" w:leader="none"/>
        </w:tabs>
        <w:spacing w:line="276" w:lineRule="auto" w:before="29"/>
        <w:ind w:left="821" w:right="0" w:firstLine="0"/>
        <w:jc w:val="left"/>
        <w:rPr>
          <w:sz w:val="16"/>
        </w:rPr>
      </w:pPr>
      <w:r>
        <w:rPr>
          <w:sz w:val="16"/>
        </w:rPr>
        <w:t>ESTADO</w:t>
      </w:r>
      <w:r>
        <w:rPr>
          <w:spacing w:val="-6"/>
          <w:sz w:val="16"/>
        </w:rPr>
        <w:t> </w:t>
      </w:r>
      <w:r>
        <w:rPr>
          <w:sz w:val="16"/>
        </w:rPr>
        <w:t>CIVIL:</w:t>
      </w:r>
      <w:r>
        <w:rPr>
          <w:spacing w:val="-1"/>
          <w:sz w:val="16"/>
        </w:rPr>
        <w:t> </w:t>
      </w:r>
      <w:r>
        <w:rPr>
          <w:w w:val="100"/>
          <w:sz w:val="16"/>
          <w:u w:val="single"/>
        </w:rPr>
        <w:t> </w:t>
      </w:r>
      <w:r>
        <w:rPr>
          <w:sz w:val="16"/>
          <w:u w:val="single"/>
        </w:rPr>
        <w:tab/>
        <w:tab/>
      </w:r>
      <w:r>
        <w:rPr>
          <w:sz w:val="16"/>
        </w:rPr>
        <w:t> RELIGIÓN:</w:t>
      </w:r>
      <w:r>
        <w:rPr>
          <w:spacing w:val="1"/>
          <w:sz w:val="16"/>
        </w:rPr>
        <w:t> </w:t>
      </w:r>
      <w:r>
        <w:rPr>
          <w:w w:val="100"/>
          <w:sz w:val="16"/>
          <w:u w:val="single"/>
        </w:rPr>
        <w:t> </w:t>
      </w:r>
      <w:r>
        <w:rPr>
          <w:sz w:val="16"/>
          <w:u w:val="single"/>
        </w:rPr>
        <w:tab/>
      </w:r>
    </w:p>
    <w:p>
      <w:pPr>
        <w:tabs>
          <w:tab w:pos="3442" w:val="left" w:leader="none"/>
        </w:tabs>
        <w:spacing w:line="276" w:lineRule="auto" w:before="29"/>
        <w:ind w:left="745" w:right="2629" w:firstLine="0"/>
        <w:jc w:val="left"/>
        <w:rPr>
          <w:sz w:val="16"/>
        </w:rPr>
      </w:pPr>
      <w:r>
        <w:rPr/>
        <w:br w:type="column"/>
      </w:r>
      <w:r>
        <w:rPr>
          <w:sz w:val="16"/>
        </w:rPr>
        <w:t>OCUPACION:</w:t>
      </w:r>
      <w:r>
        <w:rPr>
          <w:sz w:val="16"/>
          <w:u w:val="single"/>
        </w:rPr>
        <w:tab/>
      </w:r>
      <w:r>
        <w:rPr>
          <w:sz w:val="16"/>
        </w:rPr>
        <w:t> ESCOLARIDAD:</w:t>
      </w:r>
      <w:r>
        <w:rPr>
          <w:spacing w:val="1"/>
          <w:sz w:val="16"/>
        </w:rPr>
        <w:t> </w:t>
      </w:r>
      <w:r>
        <w:rPr>
          <w:w w:val="100"/>
          <w:sz w:val="16"/>
          <w:u w:val="single"/>
        </w:rPr>
        <w:t> </w:t>
      </w:r>
      <w:r>
        <w:rPr>
          <w:sz w:val="16"/>
          <w:u w:val="single"/>
        </w:rPr>
        <w:tab/>
      </w:r>
    </w:p>
    <w:p>
      <w:pPr>
        <w:spacing w:after="0" w:line="276" w:lineRule="auto"/>
        <w:jc w:val="left"/>
        <w:rPr>
          <w:sz w:val="16"/>
        </w:rPr>
        <w:sectPr>
          <w:type w:val="continuous"/>
          <w:pgSz w:w="12240" w:h="15840"/>
          <w:pgMar w:top="1360" w:bottom="280" w:left="1600" w:right="960"/>
          <w:cols w:num="2" w:equalWidth="0">
            <w:col w:w="3565" w:space="40"/>
            <w:col w:w="6075"/>
          </w:cols>
        </w:sectPr>
      </w:pPr>
    </w:p>
    <w:p>
      <w:pPr>
        <w:pStyle w:val="BodyText"/>
        <w:spacing w:before="10"/>
        <w:rPr>
          <w:sz w:val="16"/>
        </w:rPr>
      </w:pPr>
    </w:p>
    <w:p>
      <w:pPr>
        <w:pStyle w:val="ListParagraph"/>
        <w:numPr>
          <w:ilvl w:val="0"/>
          <w:numId w:val="23"/>
        </w:numPr>
        <w:tabs>
          <w:tab w:pos="821" w:val="left" w:leader="none"/>
          <w:tab w:pos="822" w:val="left" w:leader="none"/>
        </w:tabs>
        <w:spacing w:line="240" w:lineRule="auto" w:before="80" w:after="0"/>
        <w:ind w:left="822" w:right="0" w:hanging="360"/>
        <w:jc w:val="left"/>
        <w:rPr>
          <w:b/>
          <w:sz w:val="16"/>
        </w:rPr>
      </w:pPr>
      <w:r>
        <w:rPr>
          <w:b/>
          <w:sz w:val="16"/>
        </w:rPr>
        <w:t>ANTECEDENTES PERSONALES</w:t>
      </w:r>
      <w:r>
        <w:rPr>
          <w:b/>
          <w:spacing w:val="-13"/>
          <w:sz w:val="16"/>
        </w:rPr>
        <w:t> </w:t>
      </w:r>
      <w:r>
        <w:rPr>
          <w:b/>
          <w:sz w:val="16"/>
        </w:rPr>
        <w:t>PATOLOGICOS.</w:t>
      </w:r>
    </w:p>
    <w:p>
      <w:pPr>
        <w:pStyle w:val="BodyText"/>
        <w:spacing w:before="6"/>
        <w:rPr>
          <w:b/>
          <w:sz w:val="8"/>
        </w:rPr>
      </w:pPr>
    </w:p>
    <w:tbl>
      <w:tblPr>
        <w:tblW w:w="0" w:type="auto"/>
        <w:jc w:val="left"/>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08"/>
        <w:gridCol w:w="1220"/>
        <w:gridCol w:w="1325"/>
      </w:tblGrid>
      <w:tr>
        <w:trPr>
          <w:trHeight w:val="286" w:hRule="exact"/>
        </w:trPr>
        <w:tc>
          <w:tcPr>
            <w:tcW w:w="6308" w:type="dxa"/>
          </w:tcPr>
          <w:p>
            <w:pPr>
              <w:pStyle w:val="TableParagraph"/>
              <w:spacing w:line="180" w:lineRule="exact" w:before="0"/>
              <w:ind w:left="103"/>
              <w:rPr>
                <w:rFonts w:ascii="Arial"/>
                <w:sz w:val="16"/>
              </w:rPr>
            </w:pPr>
            <w:r>
              <w:rPr>
                <w:rFonts w:ascii="Arial"/>
                <w:sz w:val="16"/>
              </w:rPr>
              <w:t>COMORBILIDADES</w:t>
            </w:r>
          </w:p>
        </w:tc>
        <w:tc>
          <w:tcPr>
            <w:tcW w:w="1220" w:type="dxa"/>
          </w:tcPr>
          <w:p>
            <w:pPr>
              <w:pStyle w:val="TableParagraph"/>
              <w:spacing w:line="180" w:lineRule="exact" w:before="0"/>
              <w:ind w:left="509" w:right="509"/>
              <w:jc w:val="center"/>
              <w:rPr>
                <w:rFonts w:ascii="Arial"/>
                <w:sz w:val="16"/>
              </w:rPr>
            </w:pPr>
            <w:r>
              <w:rPr>
                <w:rFonts w:ascii="Arial"/>
                <w:sz w:val="16"/>
              </w:rPr>
              <w:t>SI</w:t>
            </w:r>
          </w:p>
        </w:tc>
        <w:tc>
          <w:tcPr>
            <w:tcW w:w="1325" w:type="dxa"/>
          </w:tcPr>
          <w:p>
            <w:pPr>
              <w:pStyle w:val="TableParagraph"/>
              <w:spacing w:line="180" w:lineRule="exact" w:before="0"/>
              <w:ind w:left="517" w:right="517"/>
              <w:jc w:val="center"/>
              <w:rPr>
                <w:rFonts w:ascii="Arial"/>
                <w:sz w:val="16"/>
              </w:rPr>
            </w:pPr>
            <w:r>
              <w:rPr>
                <w:rFonts w:ascii="Arial"/>
                <w:sz w:val="16"/>
              </w:rPr>
              <w:t>NO</w:t>
            </w:r>
          </w:p>
        </w:tc>
      </w:tr>
      <w:tr>
        <w:trPr>
          <w:trHeight w:val="286" w:hRule="exact"/>
        </w:trPr>
        <w:tc>
          <w:tcPr>
            <w:tcW w:w="6308" w:type="dxa"/>
          </w:tcPr>
          <w:p>
            <w:pPr>
              <w:pStyle w:val="TableParagraph"/>
              <w:spacing w:line="180" w:lineRule="exact" w:before="0"/>
              <w:ind w:left="103"/>
              <w:rPr>
                <w:rFonts w:ascii="Arial" w:hAnsi="Arial"/>
                <w:sz w:val="16"/>
              </w:rPr>
            </w:pPr>
            <w:r>
              <w:rPr>
                <w:rFonts w:ascii="Arial" w:hAnsi="Arial"/>
                <w:sz w:val="16"/>
              </w:rPr>
              <w:t>HIPERTENSIÓN ARTERIAL CRONICA</w:t>
            </w:r>
          </w:p>
        </w:tc>
        <w:tc>
          <w:tcPr>
            <w:tcW w:w="1220" w:type="dxa"/>
          </w:tcPr>
          <w:p>
            <w:pPr/>
          </w:p>
        </w:tc>
        <w:tc>
          <w:tcPr>
            <w:tcW w:w="1325" w:type="dxa"/>
          </w:tcPr>
          <w:p>
            <w:pPr/>
          </w:p>
        </w:tc>
      </w:tr>
      <w:tr>
        <w:trPr>
          <w:trHeight w:val="286" w:hRule="exact"/>
        </w:trPr>
        <w:tc>
          <w:tcPr>
            <w:tcW w:w="6308" w:type="dxa"/>
          </w:tcPr>
          <w:p>
            <w:pPr>
              <w:pStyle w:val="TableParagraph"/>
              <w:spacing w:line="180" w:lineRule="exact" w:before="0"/>
              <w:ind w:left="103"/>
              <w:rPr>
                <w:rFonts w:ascii="Arial"/>
                <w:sz w:val="16"/>
              </w:rPr>
            </w:pPr>
            <w:r>
              <w:rPr>
                <w:rFonts w:ascii="Arial"/>
                <w:sz w:val="16"/>
              </w:rPr>
              <w:t>DIABETES MELLITUS</w:t>
            </w:r>
          </w:p>
        </w:tc>
        <w:tc>
          <w:tcPr>
            <w:tcW w:w="1220" w:type="dxa"/>
          </w:tcPr>
          <w:p>
            <w:pPr/>
          </w:p>
        </w:tc>
        <w:tc>
          <w:tcPr>
            <w:tcW w:w="1325" w:type="dxa"/>
          </w:tcPr>
          <w:p>
            <w:pPr/>
          </w:p>
        </w:tc>
      </w:tr>
      <w:tr>
        <w:trPr>
          <w:trHeight w:val="286" w:hRule="exact"/>
        </w:trPr>
        <w:tc>
          <w:tcPr>
            <w:tcW w:w="6308" w:type="dxa"/>
          </w:tcPr>
          <w:p>
            <w:pPr>
              <w:pStyle w:val="TableParagraph"/>
              <w:spacing w:line="180" w:lineRule="exact" w:before="0"/>
              <w:ind w:left="103"/>
              <w:rPr>
                <w:rFonts w:ascii="Arial"/>
                <w:sz w:val="16"/>
              </w:rPr>
            </w:pPr>
            <w:r>
              <w:rPr>
                <w:rFonts w:ascii="Arial"/>
                <w:sz w:val="16"/>
              </w:rPr>
              <w:t>INSUFICIENCIA RENAL CRONICA</w:t>
            </w:r>
          </w:p>
        </w:tc>
        <w:tc>
          <w:tcPr>
            <w:tcW w:w="1220" w:type="dxa"/>
          </w:tcPr>
          <w:p>
            <w:pPr/>
          </w:p>
        </w:tc>
        <w:tc>
          <w:tcPr>
            <w:tcW w:w="1325" w:type="dxa"/>
          </w:tcPr>
          <w:p>
            <w:pPr/>
          </w:p>
        </w:tc>
      </w:tr>
      <w:tr>
        <w:trPr>
          <w:trHeight w:val="286" w:hRule="exact"/>
        </w:trPr>
        <w:tc>
          <w:tcPr>
            <w:tcW w:w="6308" w:type="dxa"/>
          </w:tcPr>
          <w:p>
            <w:pPr>
              <w:pStyle w:val="TableParagraph"/>
              <w:spacing w:line="180" w:lineRule="exact" w:before="0"/>
              <w:ind w:left="103"/>
              <w:rPr>
                <w:rFonts w:ascii="Arial"/>
                <w:sz w:val="16"/>
              </w:rPr>
            </w:pPr>
            <w:r>
              <w:rPr>
                <w:rFonts w:ascii="Arial"/>
                <w:sz w:val="16"/>
              </w:rPr>
              <w:t>CARDIOPATIA</w:t>
            </w:r>
          </w:p>
        </w:tc>
        <w:tc>
          <w:tcPr>
            <w:tcW w:w="1220" w:type="dxa"/>
          </w:tcPr>
          <w:p>
            <w:pPr/>
          </w:p>
        </w:tc>
        <w:tc>
          <w:tcPr>
            <w:tcW w:w="1325" w:type="dxa"/>
          </w:tcPr>
          <w:p>
            <w:pPr/>
          </w:p>
        </w:tc>
      </w:tr>
      <w:tr>
        <w:trPr>
          <w:trHeight w:val="288" w:hRule="exact"/>
        </w:trPr>
        <w:tc>
          <w:tcPr>
            <w:tcW w:w="6308" w:type="dxa"/>
          </w:tcPr>
          <w:p>
            <w:pPr>
              <w:pStyle w:val="TableParagraph"/>
              <w:spacing w:line="183" w:lineRule="exact" w:before="0"/>
              <w:ind w:left="103"/>
              <w:rPr>
                <w:rFonts w:ascii="Arial"/>
                <w:sz w:val="16"/>
              </w:rPr>
            </w:pPr>
            <w:r>
              <w:rPr>
                <w:rFonts w:ascii="Arial"/>
                <w:sz w:val="16"/>
              </w:rPr>
              <w:t>HEPATOPATIA</w:t>
            </w:r>
          </w:p>
        </w:tc>
        <w:tc>
          <w:tcPr>
            <w:tcW w:w="1220" w:type="dxa"/>
          </w:tcPr>
          <w:p>
            <w:pPr/>
          </w:p>
        </w:tc>
        <w:tc>
          <w:tcPr>
            <w:tcW w:w="1325" w:type="dxa"/>
          </w:tcPr>
          <w:p>
            <w:pPr/>
          </w:p>
        </w:tc>
      </w:tr>
      <w:tr>
        <w:trPr>
          <w:trHeight w:val="286" w:hRule="exact"/>
        </w:trPr>
        <w:tc>
          <w:tcPr>
            <w:tcW w:w="6308" w:type="dxa"/>
          </w:tcPr>
          <w:p>
            <w:pPr>
              <w:pStyle w:val="TableParagraph"/>
              <w:spacing w:line="180" w:lineRule="exact" w:before="0"/>
              <w:ind w:left="103"/>
              <w:rPr>
                <w:rFonts w:ascii="Arial"/>
                <w:sz w:val="16"/>
              </w:rPr>
            </w:pPr>
            <w:r>
              <w:rPr>
                <w:rFonts w:ascii="Arial"/>
                <w:sz w:val="16"/>
              </w:rPr>
              <w:t>ENFERMEDADES AUTOINMUNES</w:t>
            </w:r>
          </w:p>
        </w:tc>
        <w:tc>
          <w:tcPr>
            <w:tcW w:w="1220" w:type="dxa"/>
          </w:tcPr>
          <w:p>
            <w:pPr/>
          </w:p>
        </w:tc>
        <w:tc>
          <w:tcPr>
            <w:tcW w:w="1325" w:type="dxa"/>
          </w:tcPr>
          <w:p>
            <w:pPr/>
          </w:p>
        </w:tc>
      </w:tr>
      <w:tr>
        <w:trPr>
          <w:trHeight w:val="286" w:hRule="exact"/>
        </w:trPr>
        <w:tc>
          <w:tcPr>
            <w:tcW w:w="6308" w:type="dxa"/>
          </w:tcPr>
          <w:p>
            <w:pPr>
              <w:pStyle w:val="TableParagraph"/>
              <w:spacing w:line="180" w:lineRule="exact" w:before="0"/>
              <w:ind w:left="103"/>
              <w:rPr>
                <w:rFonts w:ascii="Arial"/>
                <w:sz w:val="16"/>
              </w:rPr>
            </w:pPr>
            <w:r>
              <w:rPr>
                <w:rFonts w:ascii="Arial"/>
                <w:sz w:val="16"/>
              </w:rPr>
              <w:t>OTRAS</w:t>
            </w:r>
          </w:p>
        </w:tc>
        <w:tc>
          <w:tcPr>
            <w:tcW w:w="1220" w:type="dxa"/>
          </w:tcPr>
          <w:p>
            <w:pPr/>
          </w:p>
        </w:tc>
        <w:tc>
          <w:tcPr>
            <w:tcW w:w="1325" w:type="dxa"/>
          </w:tcPr>
          <w:p>
            <w:pPr/>
          </w:p>
        </w:tc>
      </w:tr>
    </w:tbl>
    <w:p>
      <w:pPr>
        <w:pStyle w:val="BodyText"/>
        <w:spacing w:before="5"/>
        <w:rPr>
          <w:b/>
          <w:sz w:val="16"/>
        </w:rPr>
      </w:pPr>
    </w:p>
    <w:p>
      <w:pPr>
        <w:pStyle w:val="ListParagraph"/>
        <w:numPr>
          <w:ilvl w:val="0"/>
          <w:numId w:val="23"/>
        </w:numPr>
        <w:tabs>
          <w:tab w:pos="821" w:val="left" w:leader="none"/>
          <w:tab w:pos="822" w:val="left" w:leader="none"/>
        </w:tabs>
        <w:spacing w:line="240" w:lineRule="auto" w:before="81" w:after="0"/>
        <w:ind w:left="822" w:right="0" w:hanging="360"/>
        <w:jc w:val="left"/>
        <w:rPr>
          <w:b/>
          <w:sz w:val="16"/>
        </w:rPr>
      </w:pPr>
      <w:r>
        <w:rPr>
          <w:b/>
          <w:sz w:val="16"/>
        </w:rPr>
        <w:t>ANTECEDENTES</w:t>
      </w:r>
      <w:r>
        <w:rPr>
          <w:b/>
          <w:spacing w:val="-12"/>
          <w:sz w:val="16"/>
        </w:rPr>
        <w:t> </w:t>
      </w:r>
      <w:r>
        <w:rPr>
          <w:b/>
          <w:sz w:val="16"/>
        </w:rPr>
        <w:t>GINEO-OBSTETRICOS</w:t>
      </w:r>
    </w:p>
    <w:p>
      <w:pPr>
        <w:spacing w:after="0" w:line="240" w:lineRule="auto"/>
        <w:jc w:val="left"/>
        <w:rPr>
          <w:sz w:val="16"/>
        </w:rPr>
        <w:sectPr>
          <w:type w:val="continuous"/>
          <w:pgSz w:w="12240" w:h="15840"/>
          <w:pgMar w:top="1360" w:bottom="280" w:left="1600" w:right="960"/>
        </w:sectPr>
      </w:pPr>
    </w:p>
    <w:p>
      <w:pPr>
        <w:tabs>
          <w:tab w:pos="2524" w:val="left" w:leader="none"/>
        </w:tabs>
        <w:spacing w:before="94"/>
        <w:ind w:left="821" w:right="0" w:firstLine="0"/>
        <w:jc w:val="left"/>
        <w:rPr>
          <w:sz w:val="16"/>
        </w:rPr>
      </w:pPr>
      <w:r>
        <w:rPr>
          <w:sz w:val="16"/>
        </w:rPr>
        <w:t>FUR:</w:t>
      </w:r>
      <w:r>
        <w:rPr>
          <w:spacing w:val="1"/>
          <w:sz w:val="16"/>
        </w:rPr>
        <w:t> </w:t>
      </w:r>
      <w:r>
        <w:rPr>
          <w:w w:val="100"/>
          <w:sz w:val="16"/>
          <w:u w:val="single"/>
        </w:rPr>
        <w:t> </w:t>
      </w:r>
      <w:r>
        <w:rPr>
          <w:sz w:val="16"/>
          <w:u w:val="single"/>
        </w:rPr>
        <w:tab/>
      </w:r>
    </w:p>
    <w:p>
      <w:pPr>
        <w:tabs>
          <w:tab w:pos="2055" w:val="left" w:leader="none"/>
        </w:tabs>
        <w:spacing w:before="94"/>
        <w:ind w:left="370" w:right="0" w:firstLine="0"/>
        <w:jc w:val="left"/>
        <w:rPr>
          <w:sz w:val="16"/>
        </w:rPr>
      </w:pPr>
      <w:r>
        <w:rPr/>
        <w:br w:type="column"/>
      </w:r>
      <w:r>
        <w:rPr>
          <w:sz w:val="16"/>
        </w:rPr>
        <w:t>FPP:</w:t>
      </w:r>
      <w:r>
        <w:rPr>
          <w:spacing w:val="1"/>
          <w:sz w:val="16"/>
        </w:rPr>
        <w:t> </w:t>
      </w:r>
      <w:r>
        <w:rPr>
          <w:w w:val="100"/>
          <w:sz w:val="16"/>
          <w:u w:val="single"/>
        </w:rPr>
        <w:t> </w:t>
      </w:r>
      <w:r>
        <w:rPr>
          <w:sz w:val="16"/>
          <w:u w:val="single"/>
        </w:rPr>
        <w:tab/>
      </w:r>
    </w:p>
    <w:p>
      <w:pPr>
        <w:tabs>
          <w:tab w:pos="1782" w:val="left" w:leader="none"/>
        </w:tabs>
        <w:spacing w:before="94"/>
        <w:ind w:left="398" w:right="0" w:firstLine="0"/>
        <w:jc w:val="left"/>
        <w:rPr>
          <w:sz w:val="16"/>
        </w:rPr>
      </w:pPr>
      <w:r>
        <w:rPr/>
        <w:br w:type="column"/>
      </w:r>
      <w:r>
        <w:rPr>
          <w:sz w:val="16"/>
        </w:rPr>
        <w:t>IVSA:</w:t>
      </w:r>
      <w:r>
        <w:rPr>
          <w:spacing w:val="1"/>
          <w:sz w:val="16"/>
        </w:rPr>
        <w:t> </w:t>
      </w:r>
      <w:r>
        <w:rPr>
          <w:w w:val="100"/>
          <w:sz w:val="16"/>
          <w:u w:val="single"/>
        </w:rPr>
        <w:t> </w:t>
      </w:r>
      <w:r>
        <w:rPr>
          <w:sz w:val="16"/>
          <w:u w:val="single"/>
        </w:rPr>
        <w:tab/>
      </w:r>
    </w:p>
    <w:p>
      <w:pPr>
        <w:tabs>
          <w:tab w:pos="1504" w:val="left" w:leader="none"/>
        </w:tabs>
        <w:spacing w:before="94"/>
        <w:ind w:left="232" w:right="0" w:firstLine="0"/>
        <w:jc w:val="left"/>
        <w:rPr>
          <w:sz w:val="16"/>
        </w:rPr>
      </w:pPr>
      <w:r>
        <w:rPr/>
        <w:br w:type="column"/>
      </w:r>
      <w:r>
        <w:rPr>
          <w:sz w:val="16"/>
        </w:rPr>
        <w:t>PS:</w:t>
      </w:r>
      <w:r>
        <w:rPr>
          <w:sz w:val="16"/>
          <w:u w:val="single"/>
        </w:rPr>
        <w:t> </w:t>
        <w:tab/>
      </w:r>
    </w:p>
    <w:p>
      <w:pPr>
        <w:spacing w:before="94"/>
        <w:ind w:left="553" w:right="675" w:firstLine="0"/>
        <w:jc w:val="center"/>
        <w:rPr>
          <w:sz w:val="16"/>
        </w:rPr>
      </w:pPr>
      <w:r>
        <w:rPr/>
        <w:br w:type="column"/>
      </w:r>
      <w:r>
        <w:rPr>
          <w:sz w:val="16"/>
        </w:rPr>
        <w:t>MPF:</w:t>
      </w:r>
    </w:p>
    <w:p>
      <w:pPr>
        <w:spacing w:after="0"/>
        <w:jc w:val="center"/>
        <w:rPr>
          <w:sz w:val="16"/>
        </w:rPr>
        <w:sectPr>
          <w:type w:val="continuous"/>
          <w:pgSz w:w="12240" w:h="15840"/>
          <w:pgMar w:top="1360" w:bottom="280" w:left="1600" w:right="960"/>
          <w:cols w:num="5" w:equalWidth="0">
            <w:col w:w="2525" w:space="40"/>
            <w:col w:w="2056" w:space="40"/>
            <w:col w:w="1783" w:space="40"/>
            <w:col w:w="1505" w:space="40"/>
            <w:col w:w="1651"/>
          </w:cols>
        </w:sectPr>
      </w:pPr>
    </w:p>
    <w:p>
      <w:pPr>
        <w:pStyle w:val="BodyText"/>
        <w:spacing w:before="11"/>
        <w:rPr>
          <w:sz w:val="22"/>
        </w:rPr>
      </w:pPr>
    </w:p>
    <w:tbl>
      <w:tblPr>
        <w:tblW w:w="0" w:type="auto"/>
        <w:jc w:val="left"/>
        <w:tblInd w:w="7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54"/>
        <w:gridCol w:w="1318"/>
        <w:gridCol w:w="1430"/>
        <w:gridCol w:w="1400"/>
        <w:gridCol w:w="1337"/>
        <w:gridCol w:w="1502"/>
      </w:tblGrid>
      <w:tr>
        <w:trPr>
          <w:trHeight w:val="107" w:hRule="exact"/>
        </w:trPr>
        <w:tc>
          <w:tcPr>
            <w:tcW w:w="8342" w:type="dxa"/>
            <w:gridSpan w:val="6"/>
            <w:tcBorders>
              <w:bottom w:val="single" w:sz="4" w:space="0" w:color="000000"/>
            </w:tcBorders>
          </w:tcPr>
          <w:p>
            <w:pPr/>
          </w:p>
        </w:tc>
      </w:tr>
      <w:tr>
        <w:trPr>
          <w:trHeight w:val="286" w:hRule="exact"/>
        </w:trPr>
        <w:tc>
          <w:tcPr>
            <w:tcW w:w="1354" w:type="dxa"/>
            <w:tcBorders>
              <w:top w:val="single" w:sz="4" w:space="0" w:color="000000"/>
              <w:left w:val="single" w:sz="4" w:space="0" w:color="000000"/>
              <w:bottom w:val="single" w:sz="4" w:space="0" w:color="000000"/>
              <w:right w:val="single" w:sz="4" w:space="0" w:color="000000"/>
            </w:tcBorders>
          </w:tcPr>
          <w:p>
            <w:pPr>
              <w:pStyle w:val="TableParagraph"/>
              <w:spacing w:line="178" w:lineRule="exact" w:before="0"/>
              <w:ind w:left="103"/>
              <w:rPr>
                <w:rFonts w:ascii="Arial"/>
                <w:b/>
                <w:sz w:val="16"/>
              </w:rPr>
            </w:pPr>
            <w:r>
              <w:rPr>
                <w:rFonts w:ascii="Arial"/>
                <w:b/>
                <w:sz w:val="16"/>
              </w:rPr>
              <w:t>GESTA</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spacing w:line="178" w:lineRule="exact" w:before="0"/>
              <w:ind w:left="103"/>
              <w:rPr>
                <w:rFonts w:ascii="Arial"/>
                <w:b/>
                <w:sz w:val="16"/>
              </w:rPr>
            </w:pPr>
            <w:r>
              <w:rPr>
                <w:rFonts w:ascii="Arial"/>
                <w:b/>
                <w:sz w:val="16"/>
              </w:rPr>
              <w:t>PARA</w:t>
            </w:r>
          </w:p>
        </w:tc>
        <w:tc>
          <w:tcPr>
            <w:tcW w:w="1430" w:type="dxa"/>
            <w:tcBorders>
              <w:top w:val="single" w:sz="4" w:space="0" w:color="000000"/>
              <w:left w:val="single" w:sz="4" w:space="0" w:color="000000"/>
              <w:bottom w:val="single" w:sz="4" w:space="0" w:color="000000"/>
              <w:right w:val="single" w:sz="4" w:space="0" w:color="000000"/>
            </w:tcBorders>
          </w:tcPr>
          <w:p>
            <w:pPr>
              <w:pStyle w:val="TableParagraph"/>
              <w:spacing w:line="178" w:lineRule="exact" w:before="0"/>
              <w:ind w:left="100"/>
              <w:rPr>
                <w:rFonts w:ascii="Arial" w:hAnsi="Arial"/>
                <w:b/>
                <w:sz w:val="16"/>
              </w:rPr>
            </w:pPr>
            <w:r>
              <w:rPr>
                <w:rFonts w:ascii="Arial" w:hAnsi="Arial"/>
                <w:b/>
                <w:sz w:val="16"/>
              </w:rPr>
              <w:t>CESÁREA</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spacing w:line="178" w:lineRule="exact" w:before="0"/>
              <w:ind w:left="101"/>
              <w:rPr>
                <w:rFonts w:ascii="Arial"/>
                <w:b/>
                <w:sz w:val="16"/>
              </w:rPr>
            </w:pPr>
            <w:r>
              <w:rPr>
                <w:rFonts w:ascii="Arial"/>
                <w:b/>
                <w:sz w:val="16"/>
              </w:rPr>
              <w:t>ABORTO</w:t>
            </w:r>
          </w:p>
        </w:tc>
        <w:tc>
          <w:tcPr>
            <w:tcW w:w="1337" w:type="dxa"/>
            <w:tcBorders>
              <w:top w:val="single" w:sz="4" w:space="0" w:color="000000"/>
              <w:left w:val="single" w:sz="4" w:space="0" w:color="000000"/>
              <w:bottom w:val="single" w:sz="4" w:space="0" w:color="000000"/>
              <w:right w:val="single" w:sz="4" w:space="0" w:color="000000"/>
            </w:tcBorders>
          </w:tcPr>
          <w:p>
            <w:pPr>
              <w:pStyle w:val="TableParagraph"/>
              <w:spacing w:line="178" w:lineRule="exact" w:before="0"/>
              <w:ind w:left="103"/>
              <w:rPr>
                <w:rFonts w:ascii="Arial" w:hAnsi="Arial"/>
                <w:b/>
                <w:sz w:val="16"/>
              </w:rPr>
            </w:pPr>
            <w:r>
              <w:rPr>
                <w:rFonts w:ascii="Arial" w:hAnsi="Arial"/>
                <w:b/>
                <w:sz w:val="16"/>
              </w:rPr>
              <w:t>ÓBITO</w:t>
            </w:r>
          </w:p>
        </w:tc>
        <w:tc>
          <w:tcPr>
            <w:tcW w:w="1502" w:type="dxa"/>
            <w:tcBorders>
              <w:top w:val="single" w:sz="4" w:space="0" w:color="000000"/>
              <w:left w:val="single" w:sz="4" w:space="0" w:color="000000"/>
              <w:bottom w:val="single" w:sz="4" w:space="0" w:color="000000"/>
              <w:right w:val="single" w:sz="4" w:space="0" w:color="000000"/>
            </w:tcBorders>
          </w:tcPr>
          <w:p>
            <w:pPr>
              <w:pStyle w:val="TableParagraph"/>
              <w:spacing w:line="178" w:lineRule="exact" w:before="0"/>
              <w:ind w:left="100"/>
              <w:rPr>
                <w:rFonts w:ascii="Arial"/>
                <w:b/>
                <w:sz w:val="16"/>
              </w:rPr>
            </w:pPr>
            <w:r>
              <w:rPr>
                <w:rFonts w:ascii="Arial"/>
                <w:b/>
                <w:sz w:val="16"/>
              </w:rPr>
              <w:t>E.ECTOPICO</w:t>
            </w:r>
          </w:p>
        </w:tc>
      </w:tr>
      <w:tr>
        <w:trPr>
          <w:trHeight w:val="288" w:hRule="exact"/>
        </w:trPr>
        <w:tc>
          <w:tcPr>
            <w:tcW w:w="1354" w:type="dxa"/>
            <w:tcBorders>
              <w:top w:val="single" w:sz="4" w:space="0" w:color="000000"/>
              <w:left w:val="single" w:sz="4" w:space="0" w:color="000000"/>
              <w:bottom w:val="single" w:sz="4" w:space="0" w:color="000000"/>
              <w:right w:val="single" w:sz="4" w:space="0" w:color="000000"/>
            </w:tcBorders>
          </w:tcPr>
          <w:p>
            <w:pPr/>
          </w:p>
        </w:tc>
        <w:tc>
          <w:tcPr>
            <w:tcW w:w="1318" w:type="dxa"/>
            <w:tcBorders>
              <w:top w:val="single" w:sz="4" w:space="0" w:color="000000"/>
              <w:left w:val="single" w:sz="4" w:space="0" w:color="000000"/>
              <w:bottom w:val="single" w:sz="4" w:space="0" w:color="000000"/>
              <w:right w:val="single" w:sz="4" w:space="0" w:color="000000"/>
            </w:tcBorders>
          </w:tcPr>
          <w:p>
            <w:pPr/>
          </w:p>
        </w:tc>
        <w:tc>
          <w:tcPr>
            <w:tcW w:w="1430" w:type="dxa"/>
            <w:tcBorders>
              <w:top w:val="single" w:sz="4" w:space="0" w:color="000000"/>
              <w:left w:val="single" w:sz="4" w:space="0" w:color="000000"/>
              <w:bottom w:val="single" w:sz="4" w:space="0" w:color="000000"/>
              <w:right w:val="single" w:sz="4" w:space="0" w:color="000000"/>
            </w:tcBorders>
          </w:tcPr>
          <w:p>
            <w:pPr/>
          </w:p>
        </w:tc>
        <w:tc>
          <w:tcPr>
            <w:tcW w:w="1400" w:type="dxa"/>
            <w:tcBorders>
              <w:top w:val="single" w:sz="4" w:space="0" w:color="000000"/>
              <w:left w:val="single" w:sz="4" w:space="0" w:color="000000"/>
              <w:bottom w:val="single" w:sz="4" w:space="0" w:color="000000"/>
              <w:right w:val="single" w:sz="4" w:space="0" w:color="000000"/>
            </w:tcBorders>
          </w:tcPr>
          <w:p>
            <w:pPr/>
          </w:p>
        </w:tc>
        <w:tc>
          <w:tcPr>
            <w:tcW w:w="1337" w:type="dxa"/>
            <w:tcBorders>
              <w:top w:val="single" w:sz="4" w:space="0" w:color="000000"/>
              <w:left w:val="single" w:sz="4" w:space="0" w:color="000000"/>
              <w:bottom w:val="single" w:sz="4" w:space="0" w:color="000000"/>
              <w:right w:val="single" w:sz="4" w:space="0" w:color="000000"/>
            </w:tcBorders>
          </w:tcPr>
          <w:p>
            <w:pPr/>
          </w:p>
        </w:tc>
        <w:tc>
          <w:tcPr>
            <w:tcW w:w="1502" w:type="dxa"/>
            <w:tcBorders>
              <w:top w:val="single" w:sz="4" w:space="0" w:color="000000"/>
              <w:left w:val="single" w:sz="4" w:space="0" w:color="000000"/>
              <w:bottom w:val="single" w:sz="4" w:space="0" w:color="000000"/>
              <w:right w:val="single" w:sz="4" w:space="0" w:color="000000"/>
            </w:tcBorders>
          </w:tcPr>
          <w:p>
            <w:pPr/>
          </w:p>
        </w:tc>
      </w:tr>
    </w:tbl>
    <w:p>
      <w:pPr>
        <w:pStyle w:val="ListParagraph"/>
        <w:numPr>
          <w:ilvl w:val="0"/>
          <w:numId w:val="23"/>
        </w:numPr>
        <w:tabs>
          <w:tab w:pos="821" w:val="left" w:leader="none"/>
          <w:tab w:pos="822" w:val="left" w:leader="none"/>
        </w:tabs>
        <w:spacing w:line="178" w:lineRule="exact" w:before="0" w:after="0"/>
        <w:ind w:left="822" w:right="0" w:hanging="360"/>
        <w:jc w:val="left"/>
        <w:rPr>
          <w:b/>
          <w:sz w:val="16"/>
        </w:rPr>
      </w:pPr>
      <w:r>
        <w:rPr>
          <w:b/>
          <w:sz w:val="16"/>
        </w:rPr>
        <w:t>ESTADO</w:t>
      </w:r>
      <w:r>
        <w:rPr>
          <w:b/>
          <w:spacing w:val="-9"/>
          <w:sz w:val="16"/>
        </w:rPr>
        <w:t> </w:t>
      </w:r>
      <w:r>
        <w:rPr>
          <w:b/>
          <w:sz w:val="16"/>
        </w:rPr>
        <w:t>ACTUAL.</w:t>
      </w:r>
    </w:p>
    <w:p>
      <w:pPr>
        <w:tabs>
          <w:tab w:pos="9458" w:val="left" w:leader="none"/>
        </w:tabs>
        <w:spacing w:line="276" w:lineRule="auto" w:before="32"/>
        <w:ind w:left="821" w:right="202" w:firstLine="0"/>
        <w:jc w:val="left"/>
        <w:rPr>
          <w:sz w:val="16"/>
        </w:rPr>
      </w:pPr>
      <w:r>
        <w:rPr>
          <w:sz w:val="16"/>
        </w:rPr>
        <w:t>DIAGNOSTICO</w:t>
      </w:r>
      <w:r>
        <w:rPr>
          <w:spacing w:val="-5"/>
          <w:sz w:val="16"/>
        </w:rPr>
        <w:t> </w:t>
      </w:r>
      <w:r>
        <w:rPr>
          <w:sz w:val="16"/>
        </w:rPr>
        <w:t>DE</w:t>
      </w:r>
      <w:r>
        <w:rPr>
          <w:spacing w:val="-4"/>
          <w:sz w:val="16"/>
        </w:rPr>
        <w:t> </w:t>
      </w:r>
      <w:r>
        <w:rPr>
          <w:sz w:val="16"/>
        </w:rPr>
        <w:t>INGRESO:</w:t>
      </w:r>
      <w:r>
        <w:rPr>
          <w:w w:val="100"/>
          <w:sz w:val="16"/>
          <w:u w:val="single"/>
        </w:rPr>
        <w:t> </w:t>
      </w:r>
      <w:r>
        <w:rPr>
          <w:sz w:val="16"/>
          <w:u w:val="single"/>
        </w:rPr>
        <w:tab/>
      </w:r>
      <w:r>
        <w:rPr>
          <w:sz w:val="16"/>
        </w:rPr>
        <w:t> PLAN:</w:t>
      </w:r>
      <w:r>
        <w:rPr>
          <w:spacing w:val="-1"/>
          <w:sz w:val="16"/>
        </w:rPr>
        <w:t> </w:t>
      </w:r>
      <w:r>
        <w:rPr>
          <w:w w:val="100"/>
          <w:sz w:val="16"/>
          <w:u w:val="single"/>
        </w:rPr>
        <w:t> </w:t>
      </w:r>
      <w:r>
        <w:rPr>
          <w:sz w:val="16"/>
          <w:u w:val="single"/>
        </w:rPr>
        <w:tab/>
      </w:r>
    </w:p>
    <w:p>
      <w:pPr>
        <w:spacing w:after="0" w:line="276" w:lineRule="auto"/>
        <w:jc w:val="left"/>
        <w:rPr>
          <w:sz w:val="16"/>
        </w:rPr>
        <w:sectPr>
          <w:type w:val="continuous"/>
          <w:pgSz w:w="12240" w:h="15840"/>
          <w:pgMar w:top="1360" w:bottom="280" w:left="1600" w:right="960"/>
        </w:sectPr>
      </w:pPr>
    </w:p>
    <w:p>
      <w:pPr>
        <w:tabs>
          <w:tab w:pos="4709" w:val="left" w:leader="none"/>
        </w:tabs>
        <w:spacing w:line="276" w:lineRule="auto" w:before="0"/>
        <w:ind w:left="821" w:right="0" w:firstLine="0"/>
        <w:jc w:val="left"/>
        <w:rPr>
          <w:sz w:val="16"/>
        </w:rPr>
      </w:pPr>
      <w:r>
        <w:rPr>
          <w:sz w:val="16"/>
        </w:rPr>
        <w:t>CODIGO MATER</w:t>
      </w:r>
      <w:r>
        <w:rPr>
          <w:spacing w:val="-10"/>
          <w:sz w:val="16"/>
        </w:rPr>
        <w:t> </w:t>
      </w:r>
      <w:r>
        <w:rPr>
          <w:sz w:val="16"/>
        </w:rPr>
        <w:t>EN</w:t>
      </w:r>
      <w:r>
        <w:rPr>
          <w:spacing w:val="-4"/>
          <w:sz w:val="16"/>
        </w:rPr>
        <w:t> </w:t>
      </w:r>
      <w:r>
        <w:rPr>
          <w:sz w:val="16"/>
        </w:rPr>
        <w:t>HOSPITALIZACION:</w:t>
      </w:r>
      <w:r>
        <w:rPr>
          <w:spacing w:val="1"/>
          <w:sz w:val="16"/>
        </w:rPr>
        <w:t> </w:t>
      </w:r>
      <w:r>
        <w:rPr>
          <w:w w:val="100"/>
          <w:sz w:val="16"/>
          <w:u w:val="single"/>
        </w:rPr>
        <w:t> </w:t>
      </w:r>
      <w:r>
        <w:rPr>
          <w:sz w:val="16"/>
          <w:u w:val="single"/>
        </w:rPr>
        <w:tab/>
      </w:r>
      <w:r>
        <w:rPr>
          <w:w w:val="58"/>
          <w:sz w:val="16"/>
          <w:u w:val="single"/>
        </w:rPr>
        <w:t> </w:t>
      </w:r>
      <w:r>
        <w:rPr>
          <w:sz w:val="16"/>
        </w:rPr>
        <w:t> OTRO</w:t>
      </w:r>
      <w:r>
        <w:rPr>
          <w:spacing w:val="-5"/>
          <w:sz w:val="16"/>
        </w:rPr>
        <w:t> </w:t>
      </w:r>
      <w:r>
        <w:rPr>
          <w:sz w:val="16"/>
        </w:rPr>
        <w:t>SERVICIO:</w:t>
      </w:r>
      <w:r>
        <w:rPr>
          <w:spacing w:val="1"/>
          <w:sz w:val="16"/>
        </w:rPr>
        <w:t> </w:t>
      </w:r>
      <w:r>
        <w:rPr>
          <w:w w:val="100"/>
          <w:sz w:val="16"/>
          <w:u w:val="single"/>
        </w:rPr>
        <w:t> </w:t>
      </w:r>
      <w:r>
        <w:rPr>
          <w:sz w:val="16"/>
          <w:u w:val="single"/>
        </w:rPr>
        <w:tab/>
      </w:r>
    </w:p>
    <w:p>
      <w:pPr>
        <w:tabs>
          <w:tab w:pos="4535" w:val="left" w:leader="none"/>
        </w:tabs>
        <w:spacing w:before="0"/>
        <w:ind w:left="263" w:right="0" w:firstLine="0"/>
        <w:jc w:val="left"/>
        <w:rPr>
          <w:sz w:val="16"/>
        </w:rPr>
      </w:pPr>
      <w:r>
        <w:rPr/>
        <w:br w:type="column"/>
      </w:r>
      <w:r>
        <w:rPr>
          <w:sz w:val="16"/>
        </w:rPr>
        <w:t>CODIGO MATER EN</w:t>
      </w:r>
      <w:r>
        <w:rPr>
          <w:spacing w:val="-8"/>
          <w:sz w:val="16"/>
        </w:rPr>
        <w:t> </w:t>
      </w:r>
      <w:r>
        <w:rPr>
          <w:sz w:val="16"/>
        </w:rPr>
        <w:t>UTQX:</w:t>
      </w:r>
      <w:r>
        <w:rPr>
          <w:spacing w:val="1"/>
          <w:sz w:val="16"/>
        </w:rPr>
        <w:t> </w:t>
      </w:r>
      <w:r>
        <w:rPr>
          <w:w w:val="100"/>
          <w:sz w:val="16"/>
          <w:u w:val="single"/>
        </w:rPr>
        <w:t> </w:t>
      </w:r>
      <w:r>
        <w:rPr>
          <w:sz w:val="16"/>
          <w:u w:val="single"/>
        </w:rPr>
        <w:tab/>
      </w:r>
    </w:p>
    <w:p>
      <w:pPr>
        <w:spacing w:after="0"/>
        <w:jc w:val="left"/>
        <w:rPr>
          <w:sz w:val="16"/>
        </w:rPr>
        <w:sectPr>
          <w:type w:val="continuous"/>
          <w:pgSz w:w="12240" w:h="15840"/>
          <w:pgMar w:top="1360" w:bottom="280" w:left="1600" w:right="960"/>
          <w:cols w:num="2" w:equalWidth="0">
            <w:col w:w="4756" w:space="40"/>
            <w:col w:w="4884"/>
          </w:cols>
        </w:sectPr>
      </w:pPr>
    </w:p>
    <w:p>
      <w:pPr>
        <w:tabs>
          <w:tab w:pos="6434" w:val="left" w:leader="none"/>
        </w:tabs>
        <w:spacing w:before="0"/>
        <w:ind w:left="821" w:right="2780" w:firstLine="0"/>
        <w:jc w:val="left"/>
        <w:rPr>
          <w:sz w:val="16"/>
        </w:rPr>
      </w:pPr>
      <w:r>
        <w:rPr>
          <w:sz w:val="16"/>
        </w:rPr>
        <w:t>HORA DE REGISTRO DEL CODIGO</w:t>
      </w:r>
      <w:r>
        <w:rPr>
          <w:spacing w:val="-10"/>
          <w:sz w:val="16"/>
        </w:rPr>
        <w:t> </w:t>
      </w:r>
      <w:r>
        <w:rPr>
          <w:sz w:val="16"/>
        </w:rPr>
        <w:t>MATER:</w:t>
      </w:r>
      <w:r>
        <w:rPr>
          <w:spacing w:val="1"/>
          <w:sz w:val="16"/>
        </w:rPr>
        <w:t> </w:t>
      </w:r>
      <w:r>
        <w:rPr>
          <w:w w:val="100"/>
          <w:sz w:val="16"/>
          <w:u w:val="single"/>
        </w:rPr>
        <w:t> </w:t>
      </w:r>
      <w:r>
        <w:rPr>
          <w:sz w:val="16"/>
          <w:u w:val="single"/>
        </w:rPr>
        <w:tab/>
      </w:r>
    </w:p>
    <w:p>
      <w:pPr>
        <w:tabs>
          <w:tab w:pos="9411" w:val="left" w:leader="none"/>
        </w:tabs>
        <w:spacing w:before="27"/>
        <w:ind w:left="821" w:right="0" w:firstLine="0"/>
        <w:jc w:val="left"/>
        <w:rPr>
          <w:sz w:val="16"/>
        </w:rPr>
      </w:pPr>
      <w:r>
        <w:rPr>
          <w:sz w:val="16"/>
        </w:rPr>
        <w:t>MOTIVO DE ACTIVACION DEL CODIGO</w:t>
      </w:r>
      <w:r>
        <w:rPr>
          <w:spacing w:val="-12"/>
          <w:sz w:val="16"/>
        </w:rPr>
        <w:t> </w:t>
      </w:r>
      <w:r>
        <w:rPr>
          <w:sz w:val="16"/>
        </w:rPr>
        <w:t>MATER:</w:t>
      </w:r>
      <w:r>
        <w:rPr>
          <w:spacing w:val="-1"/>
          <w:sz w:val="16"/>
        </w:rPr>
        <w:t> </w:t>
      </w:r>
      <w:r>
        <w:rPr>
          <w:w w:val="100"/>
          <w:sz w:val="16"/>
          <w:u w:val="single"/>
        </w:rPr>
        <w:t> </w:t>
      </w:r>
      <w:r>
        <w:rPr>
          <w:sz w:val="16"/>
          <w:u w:val="single"/>
        </w:rPr>
        <w:tab/>
      </w:r>
    </w:p>
    <w:p>
      <w:pPr>
        <w:tabs>
          <w:tab w:pos="4212" w:val="left" w:leader="none"/>
          <w:tab w:pos="8005" w:val="left" w:leader="none"/>
        </w:tabs>
        <w:spacing w:before="29"/>
        <w:ind w:left="821" w:right="0" w:firstLine="0"/>
        <w:jc w:val="left"/>
        <w:rPr>
          <w:sz w:val="16"/>
        </w:rPr>
      </w:pPr>
      <w:r>
        <w:rPr>
          <w:sz w:val="16"/>
        </w:rPr>
        <w:t>MEOWS 6</w:t>
      </w:r>
      <w:r>
        <w:rPr>
          <w:spacing w:val="-4"/>
          <w:sz w:val="16"/>
        </w:rPr>
        <w:t> </w:t>
      </w:r>
      <w:r>
        <w:rPr>
          <w:sz w:val="16"/>
        </w:rPr>
        <w:t>HORAS</w:t>
      </w:r>
      <w:r>
        <w:rPr>
          <w:spacing w:val="-2"/>
          <w:sz w:val="16"/>
        </w:rPr>
        <w:t> </w:t>
      </w:r>
      <w:r>
        <w:rPr>
          <w:sz w:val="16"/>
        </w:rPr>
        <w:t>PREVIAS:</w:t>
      </w:r>
      <w:r>
        <w:rPr>
          <w:sz w:val="16"/>
          <w:u w:val="single"/>
        </w:rPr>
        <w:tab/>
      </w:r>
      <w:r>
        <w:rPr>
          <w:sz w:val="16"/>
        </w:rPr>
        <w:t>MEOWS 12 HORAS</w:t>
      </w:r>
      <w:r>
        <w:rPr>
          <w:spacing w:val="-5"/>
          <w:sz w:val="16"/>
        </w:rPr>
        <w:t> </w:t>
      </w:r>
      <w:r>
        <w:rPr>
          <w:sz w:val="16"/>
        </w:rPr>
        <w:t>PREVIAS:</w:t>
      </w:r>
      <w:r>
        <w:rPr>
          <w:spacing w:val="-1"/>
          <w:sz w:val="16"/>
        </w:rPr>
        <w:t> </w:t>
      </w:r>
      <w:r>
        <w:rPr>
          <w:w w:val="100"/>
          <w:sz w:val="16"/>
          <w:u w:val="single"/>
        </w:rPr>
        <w:t> </w:t>
      </w:r>
      <w:r>
        <w:rPr>
          <w:sz w:val="16"/>
          <w:u w:val="single"/>
        </w:rPr>
        <w:tab/>
      </w:r>
    </w:p>
    <w:p>
      <w:pPr>
        <w:spacing w:line="276" w:lineRule="auto" w:before="27"/>
        <w:ind w:left="821" w:right="4544" w:firstLine="0"/>
        <w:jc w:val="left"/>
        <w:rPr>
          <w:sz w:val="16"/>
        </w:rPr>
      </w:pPr>
      <w:r>
        <w:rPr>
          <w:sz w:val="16"/>
        </w:rPr>
        <w:t>INTERVENCIONES MEDICAS 6 HORAS PREVIAS: INTERVENCIONES MEDICAS 12 HORAS PREVIAS: RESULTADOS ADVERSOS MATERNOS – PERINATALES:</w:t>
      </w:r>
    </w:p>
    <w:p>
      <w:pPr>
        <w:tabs>
          <w:tab w:pos="9453" w:val="left" w:leader="none"/>
        </w:tabs>
        <w:spacing w:before="0"/>
        <w:ind w:left="821" w:right="0" w:firstLine="0"/>
        <w:jc w:val="left"/>
        <w:rPr>
          <w:sz w:val="16"/>
        </w:rPr>
      </w:pPr>
      <w:r>
        <w:rPr>
          <w:sz w:val="16"/>
        </w:rPr>
        <w:t>OBSERVACIONES:</w:t>
      </w:r>
      <w:r>
        <w:rPr>
          <w:spacing w:val="2"/>
          <w:sz w:val="16"/>
        </w:rPr>
        <w:t> </w:t>
      </w:r>
      <w:r>
        <w:rPr>
          <w:w w:val="100"/>
          <w:sz w:val="16"/>
          <w:u w:val="single"/>
        </w:rPr>
        <w:t> </w:t>
      </w:r>
      <w:r>
        <w:rPr>
          <w:sz w:val="16"/>
          <w:u w:val="single"/>
        </w:rPr>
        <w:tab/>
      </w:r>
    </w:p>
    <w:p>
      <w:pPr>
        <w:spacing w:after="0"/>
        <w:jc w:val="left"/>
        <w:rPr>
          <w:sz w:val="16"/>
        </w:rPr>
        <w:sectPr>
          <w:type w:val="continuous"/>
          <w:pgSz w:w="12240" w:h="15840"/>
          <w:pgMar w:top="1360" w:bottom="280" w:left="1600" w:right="960"/>
        </w:sectPr>
      </w:pPr>
    </w:p>
    <w:p>
      <w:pPr>
        <w:pStyle w:val="Heading1"/>
      </w:pPr>
      <w:r>
        <w:rPr/>
        <w:t>ANEXO 5</w:t>
      </w:r>
    </w:p>
    <w:p>
      <w:pPr>
        <w:pStyle w:val="BodyText"/>
        <w:spacing w:before="9"/>
        <w:rPr>
          <w:b/>
          <w:sz w:val="17"/>
        </w:rPr>
      </w:pPr>
      <w:r>
        <w:rPr/>
        <w:drawing>
          <wp:anchor distT="0" distB="0" distL="0" distR="0" allowOverlap="1" layoutInCell="1" locked="0" behindDoc="0" simplePos="0" relativeHeight="5944">
            <wp:simplePos x="0" y="0"/>
            <wp:positionH relativeFrom="page">
              <wp:posOffset>1080135</wp:posOffset>
            </wp:positionH>
            <wp:positionV relativeFrom="paragraph">
              <wp:posOffset>155156</wp:posOffset>
            </wp:positionV>
            <wp:extent cx="5658044" cy="3507866"/>
            <wp:effectExtent l="0" t="0" r="0" b="0"/>
            <wp:wrapTopAndBottom/>
            <wp:docPr id="13" name="image17.png" descr=""/>
            <wp:cNvGraphicFramePr>
              <a:graphicFrameLocks noChangeAspect="1"/>
            </wp:cNvGraphicFramePr>
            <a:graphic>
              <a:graphicData uri="http://schemas.openxmlformats.org/drawingml/2006/picture">
                <pic:pic>
                  <pic:nvPicPr>
                    <pic:cNvPr id="14" name="image17.png"/>
                    <pic:cNvPicPr/>
                  </pic:nvPicPr>
                  <pic:blipFill>
                    <a:blip r:embed="rId53" cstate="print"/>
                    <a:stretch>
                      <a:fillRect/>
                    </a:stretch>
                  </pic:blipFill>
                  <pic:spPr>
                    <a:xfrm>
                      <a:off x="0" y="0"/>
                      <a:ext cx="5658044" cy="3507866"/>
                    </a:xfrm>
                    <a:prstGeom prst="rect">
                      <a:avLst/>
                    </a:prstGeom>
                  </pic:spPr>
                </pic:pic>
              </a:graphicData>
            </a:graphic>
          </wp:anchor>
        </w:drawing>
      </w:r>
      <w:r>
        <w:rPr/>
        <w:drawing>
          <wp:anchor distT="0" distB="0" distL="0" distR="0" allowOverlap="1" layoutInCell="1" locked="0" behindDoc="0" simplePos="0" relativeHeight="5968">
            <wp:simplePos x="0" y="0"/>
            <wp:positionH relativeFrom="page">
              <wp:posOffset>1080135</wp:posOffset>
            </wp:positionH>
            <wp:positionV relativeFrom="paragraph">
              <wp:posOffset>3794468</wp:posOffset>
            </wp:positionV>
            <wp:extent cx="5567298" cy="3428142"/>
            <wp:effectExtent l="0" t="0" r="0" b="0"/>
            <wp:wrapTopAndBottom/>
            <wp:docPr id="15" name="image18.png" descr=""/>
            <wp:cNvGraphicFramePr>
              <a:graphicFrameLocks noChangeAspect="1"/>
            </wp:cNvGraphicFramePr>
            <a:graphic>
              <a:graphicData uri="http://schemas.openxmlformats.org/drawingml/2006/picture">
                <pic:pic>
                  <pic:nvPicPr>
                    <pic:cNvPr id="16" name="image18.png"/>
                    <pic:cNvPicPr/>
                  </pic:nvPicPr>
                  <pic:blipFill>
                    <a:blip r:embed="rId54" cstate="print"/>
                    <a:stretch>
                      <a:fillRect/>
                    </a:stretch>
                  </pic:blipFill>
                  <pic:spPr>
                    <a:xfrm>
                      <a:off x="0" y="0"/>
                      <a:ext cx="5567298" cy="3428142"/>
                    </a:xfrm>
                    <a:prstGeom prst="rect">
                      <a:avLst/>
                    </a:prstGeom>
                  </pic:spPr>
                </pic:pic>
              </a:graphicData>
            </a:graphic>
          </wp:anchor>
        </w:drawing>
      </w:r>
    </w:p>
    <w:p>
      <w:pPr>
        <w:pStyle w:val="BodyText"/>
        <w:spacing w:before="1"/>
        <w:rPr>
          <w:b/>
          <w:sz w:val="12"/>
        </w:rPr>
      </w:pPr>
    </w:p>
    <w:p>
      <w:pPr>
        <w:spacing w:after="0"/>
        <w:rPr>
          <w:sz w:val="12"/>
        </w:rPr>
        <w:sectPr>
          <w:pgSz w:w="12240" w:h="15840"/>
          <w:pgMar w:header="0" w:footer="1752" w:top="1360" w:bottom="1940" w:left="1600" w:right="1600"/>
        </w:sectPr>
      </w:pPr>
    </w:p>
    <w:p>
      <w:pPr>
        <w:pStyle w:val="BodyText"/>
        <w:rPr>
          <w:b/>
          <w:sz w:val="20"/>
        </w:rPr>
      </w:pPr>
    </w:p>
    <w:p>
      <w:pPr>
        <w:pStyle w:val="BodyText"/>
        <w:rPr>
          <w:b/>
          <w:sz w:val="17"/>
        </w:rPr>
      </w:pPr>
    </w:p>
    <w:p>
      <w:pPr>
        <w:pStyle w:val="BodyText"/>
        <w:ind w:left="101"/>
        <w:rPr>
          <w:sz w:val="20"/>
        </w:rPr>
      </w:pPr>
      <w:r>
        <w:rPr>
          <w:sz w:val="20"/>
        </w:rPr>
        <w:drawing>
          <wp:inline distT="0" distB="0" distL="0" distR="0">
            <wp:extent cx="5631857" cy="3530346"/>
            <wp:effectExtent l="0" t="0" r="0" b="0"/>
            <wp:docPr id="17" name="image19.png" descr=""/>
            <wp:cNvGraphicFramePr>
              <a:graphicFrameLocks noChangeAspect="1"/>
            </wp:cNvGraphicFramePr>
            <a:graphic>
              <a:graphicData uri="http://schemas.openxmlformats.org/drawingml/2006/picture">
                <pic:pic>
                  <pic:nvPicPr>
                    <pic:cNvPr id="18" name="image19.png"/>
                    <pic:cNvPicPr/>
                  </pic:nvPicPr>
                  <pic:blipFill>
                    <a:blip r:embed="rId56" cstate="print"/>
                    <a:stretch>
                      <a:fillRect/>
                    </a:stretch>
                  </pic:blipFill>
                  <pic:spPr>
                    <a:xfrm>
                      <a:off x="0" y="0"/>
                      <a:ext cx="5631857" cy="3530346"/>
                    </a:xfrm>
                    <a:prstGeom prst="rect">
                      <a:avLst/>
                    </a:prstGeom>
                  </pic:spPr>
                </pic:pic>
              </a:graphicData>
            </a:graphic>
          </wp:inline>
        </w:drawing>
      </w:r>
      <w:r>
        <w:rPr>
          <w:sz w:val="20"/>
        </w:rPr>
      </w:r>
    </w:p>
    <w:p>
      <w:pPr>
        <w:pStyle w:val="BodyText"/>
        <w:spacing w:before="7"/>
        <w:rPr>
          <w:b/>
          <w:sz w:val="16"/>
        </w:rPr>
      </w:pPr>
      <w:r>
        <w:rPr/>
        <w:drawing>
          <wp:anchor distT="0" distB="0" distL="0" distR="0" allowOverlap="1" layoutInCell="1" locked="0" behindDoc="0" simplePos="0" relativeHeight="5992">
            <wp:simplePos x="0" y="0"/>
            <wp:positionH relativeFrom="page">
              <wp:posOffset>1080135</wp:posOffset>
            </wp:positionH>
            <wp:positionV relativeFrom="paragraph">
              <wp:posOffset>146304</wp:posOffset>
            </wp:positionV>
            <wp:extent cx="5662764" cy="3411474"/>
            <wp:effectExtent l="0" t="0" r="0" b="0"/>
            <wp:wrapTopAndBottom/>
            <wp:docPr id="19" name="image20.png" descr=""/>
            <wp:cNvGraphicFramePr>
              <a:graphicFrameLocks noChangeAspect="1"/>
            </wp:cNvGraphicFramePr>
            <a:graphic>
              <a:graphicData uri="http://schemas.openxmlformats.org/drawingml/2006/picture">
                <pic:pic>
                  <pic:nvPicPr>
                    <pic:cNvPr id="20" name="image20.png"/>
                    <pic:cNvPicPr/>
                  </pic:nvPicPr>
                  <pic:blipFill>
                    <a:blip r:embed="rId57" cstate="print"/>
                    <a:stretch>
                      <a:fillRect/>
                    </a:stretch>
                  </pic:blipFill>
                  <pic:spPr>
                    <a:xfrm>
                      <a:off x="0" y="0"/>
                      <a:ext cx="5662764" cy="3411474"/>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spacing w:before="1"/>
        <w:rPr>
          <w:b/>
          <w:sz w:val="18"/>
        </w:rPr>
      </w:pPr>
    </w:p>
    <w:p>
      <w:pPr>
        <w:spacing w:before="70"/>
        <w:ind w:left="4626" w:right="4106" w:firstLine="0"/>
        <w:jc w:val="center"/>
        <w:rPr>
          <w:b/>
          <w:sz w:val="24"/>
        </w:rPr>
      </w:pPr>
      <w:r>
        <w:rPr>
          <w:b/>
          <w:sz w:val="24"/>
        </w:rPr>
        <w:t>53</w:t>
      </w:r>
    </w:p>
    <w:sectPr>
      <w:footerReference w:type="default" r:id="rId55"/>
      <w:pgSz w:w="12240" w:h="15840"/>
      <w:pgMar w:footer="0" w:header="0" w:top="1500" w:bottom="280" w:left="1600" w:right="1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Cambria">
    <w:altName w:val="Cambr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13.649994pt;margin-top:692.332214pt;width:10.7pt;height:14pt;mso-position-horizontal-relative:page;mso-position-vertical-relative:page;z-index:-78232" type="#_x0000_t202" filled="false" stroked="false">
          <v:textbox inset="0,0,0,0">
            <w:txbxContent>
              <w:p>
                <w:pPr>
                  <w:spacing w:line="265" w:lineRule="exact" w:before="0"/>
                  <w:ind w:left="40" w:right="0" w:firstLine="0"/>
                  <w:jc w:val="left"/>
                  <w:rPr>
                    <w:b/>
                    <w:sz w:val="24"/>
                  </w:rPr>
                </w:pPr>
                <w:r>
                  <w:rPr/>
                  <w:fldChar w:fldCharType="begin"/>
                </w:r>
                <w:r>
                  <w:rPr>
                    <w:b/>
                    <w:w w:val="99"/>
                    <w:sz w:val="24"/>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290009pt;margin-top:702.292236pt;width:17.45pt;height:16.05pt;mso-position-horizontal-relative:page;mso-position-vertical-relative:page;z-index:-78040" type="#_x0000_t202" filled="false" stroked="false">
          <v:textbox inset="0,0,0,0">
            <w:txbxContent>
              <w:p>
                <w:pPr>
                  <w:spacing w:before="30"/>
                  <w:ind w:left="40" w:right="0" w:firstLine="0"/>
                  <w:jc w:val="left"/>
                  <w:rPr>
                    <w:b/>
                    <w:sz w:val="24"/>
                  </w:rPr>
                </w:pPr>
                <w:r>
                  <w:rPr/>
                  <w:fldChar w:fldCharType="begin"/>
                </w:r>
                <w:r>
                  <w:rPr>
                    <w:b/>
                    <w:sz w:val="24"/>
                  </w:rPr>
                  <w:instrText> PAGE </w:instrText>
                </w:r>
                <w:r>
                  <w:rPr/>
                  <w:fldChar w:fldCharType="separate"/>
                </w:r>
                <w:r>
                  <w:rPr/>
                  <w:t>26</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290009pt;margin-top:692.332214pt;width:17.45pt;height:15.95pt;mso-position-horizontal-relative:page;mso-position-vertical-relative:page;z-index:-78016" type="#_x0000_t202" filled="false" stroked="false">
          <v:textbox inset="0,0,0,0">
            <w:txbxContent>
              <w:p>
                <w:pPr>
                  <w:spacing w:before="27"/>
                  <w:ind w:left="40" w:right="0" w:firstLine="0"/>
                  <w:jc w:val="left"/>
                  <w:rPr>
                    <w:b/>
                    <w:sz w:val="24"/>
                  </w:rPr>
                </w:pPr>
                <w:r>
                  <w:rPr/>
                  <w:fldChar w:fldCharType="begin"/>
                </w:r>
                <w:r>
                  <w:rPr>
                    <w:b/>
                    <w:sz w:val="24"/>
                  </w:rPr>
                  <w:instrText> PAGE </w:instrText>
                </w:r>
                <w:r>
                  <w:rPr/>
                  <w:fldChar w:fldCharType="separate"/>
                </w:r>
                <w:r>
                  <w:rPr/>
                  <w:t>28</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290009pt;margin-top:692.332214pt;width:17.45pt;height:14pt;mso-position-horizontal-relative:page;mso-position-vertical-relative:page;z-index:-77992" type="#_x0000_t202" filled="false" stroked="false">
          <v:textbox inset="0,0,0,0">
            <w:txbxContent>
              <w:p>
                <w:pPr>
                  <w:spacing w:line="265" w:lineRule="exact" w:before="0"/>
                  <w:ind w:left="40" w:right="0" w:firstLine="0"/>
                  <w:jc w:val="left"/>
                  <w:rPr>
                    <w:b/>
                    <w:sz w:val="24"/>
                  </w:rPr>
                </w:pPr>
                <w:r>
                  <w:rPr/>
                  <w:fldChar w:fldCharType="begin"/>
                </w:r>
                <w:r>
                  <w:rPr>
                    <w:b/>
                    <w:sz w:val="24"/>
                  </w:rPr>
                  <w:instrText> PAGE </w:instrText>
                </w:r>
                <w:r>
                  <w:rPr/>
                  <w:fldChar w:fldCharType="separate"/>
                </w:r>
                <w:r>
                  <w:rPr/>
                  <w:t>30</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1.290009pt;margin-top:684.772217pt;width:15.45pt;height:14pt;mso-position-horizontal-relative:page;mso-position-vertical-relative:page;z-index:-77968" type="#_x0000_t202" filled="false" stroked="false">
          <v:textbox inset="0,0,0,0">
            <w:txbxContent>
              <w:p>
                <w:pPr>
                  <w:spacing w:line="265" w:lineRule="exact" w:before="0"/>
                  <w:ind w:left="20" w:right="0" w:firstLine="0"/>
                  <w:jc w:val="left"/>
                  <w:rPr>
                    <w:b/>
                    <w:sz w:val="24"/>
                  </w:rPr>
                </w:pPr>
                <w:r>
                  <w:rPr>
                    <w:b/>
                    <w:sz w:val="24"/>
                  </w:rPr>
                  <w:t>31</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310.290009pt;margin-top:701.932251pt;width:17.45pt;height:17.25pt;mso-position-horizontal-relative:page;mso-position-vertical-relative:page;z-index:-77944" type="#_x0000_t202" filled="false" stroked="false">
          <v:textbox inset="0,0,0,0">
            <w:txbxContent>
              <w:p>
                <w:pPr>
                  <w:spacing w:before="54"/>
                  <w:ind w:left="40" w:right="0" w:firstLine="0"/>
                  <w:jc w:val="left"/>
                  <w:rPr>
                    <w:b/>
                    <w:sz w:val="24"/>
                  </w:rPr>
                </w:pPr>
                <w:r>
                  <w:rPr/>
                  <w:fldChar w:fldCharType="begin"/>
                </w:r>
                <w:r>
                  <w:rPr>
                    <w:b/>
                    <w:sz w:val="24"/>
                  </w:rPr>
                  <w:instrText> PAGE </w:instrText>
                </w:r>
                <w:r>
                  <w:rPr/>
                  <w:fldChar w:fldCharType="separate"/>
                </w:r>
                <w:r>
                  <w:rPr/>
                  <w:t>34</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310.290009pt;margin-top:688.612244pt;width:17.45pt;height:16.3pt;mso-position-horizontal-relative:page;mso-position-vertical-relative:page;z-index:-77920" type="#_x0000_t202" filled="false" stroked="false">
          <v:textbox inset="0,0,0,0">
            <w:txbxContent>
              <w:p>
                <w:pPr>
                  <w:spacing w:before="35"/>
                  <w:ind w:left="40" w:right="0" w:firstLine="0"/>
                  <w:jc w:val="left"/>
                  <w:rPr>
                    <w:b/>
                    <w:sz w:val="24"/>
                  </w:rPr>
                </w:pPr>
                <w:r>
                  <w:rPr/>
                  <w:fldChar w:fldCharType="begin"/>
                </w:r>
                <w:r>
                  <w:rPr>
                    <w:b/>
                    <w:sz w:val="24"/>
                  </w:rPr>
                  <w:instrText> PAGE </w:instrText>
                </w:r>
                <w:r>
                  <w:rPr/>
                  <w:fldChar w:fldCharType="separate"/>
                </w:r>
                <w:r>
                  <w:rPr/>
                  <w:t>36</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310.290009pt;margin-top:700.612244pt;width:17.45pt;height:18.2pt;mso-position-horizontal-relative:page;mso-position-vertical-relative:page;z-index:-77896" type="#_x0000_t202" filled="false" stroked="false">
          <v:textbox inset="0,0,0,0">
            <w:txbxContent>
              <w:p>
                <w:pPr>
                  <w:spacing w:before="73"/>
                  <w:ind w:left="40" w:right="0" w:firstLine="0"/>
                  <w:jc w:val="left"/>
                  <w:rPr>
                    <w:b/>
                    <w:sz w:val="24"/>
                  </w:rPr>
                </w:pPr>
                <w:r>
                  <w:rPr/>
                  <w:fldChar w:fldCharType="begin"/>
                </w:r>
                <w:r>
                  <w:rPr>
                    <w:b/>
                    <w:sz w:val="24"/>
                  </w:rPr>
                  <w:instrText> PAGE </w:instrText>
                </w:r>
                <w:r>
                  <w:rPr/>
                  <w:fldChar w:fldCharType="separate"/>
                </w:r>
                <w:r>
                  <w:rPr/>
                  <w:t>39</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290009pt;margin-top:692.332214pt;width:17.45pt;height:15.35pt;mso-position-horizontal-relative:page;mso-position-vertical-relative:page;z-index:-77872" type="#_x0000_t202" filled="false" stroked="false">
          <v:textbox inset="0,0,0,0">
            <w:txbxContent>
              <w:p>
                <w:pPr>
                  <w:spacing w:before="15"/>
                  <w:ind w:left="40" w:right="0" w:firstLine="0"/>
                  <w:jc w:val="left"/>
                  <w:rPr>
                    <w:b/>
                    <w:sz w:val="24"/>
                  </w:rPr>
                </w:pPr>
                <w:r>
                  <w:rPr/>
                  <w:fldChar w:fldCharType="begin"/>
                </w:r>
                <w:r>
                  <w:rPr>
                    <w:b/>
                    <w:sz w:val="24"/>
                  </w:rPr>
                  <w:instrText> PAGE </w:instrText>
                </w:r>
                <w:r>
                  <w:rPr/>
                  <w:fldChar w:fldCharType="separate"/>
                </w:r>
                <w:r>
                  <w:rPr/>
                  <w:t>41</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1.290009pt;margin-top:705.172241pt;width:15.45pt;height:14pt;mso-position-horizontal-relative:page;mso-position-vertical-relative:page;z-index:-77848" type="#_x0000_t202" filled="false" stroked="false">
          <v:textbox inset="0,0,0,0">
            <w:txbxContent>
              <w:p>
                <w:pPr>
                  <w:spacing w:line="265" w:lineRule="exact" w:before="0"/>
                  <w:ind w:left="20" w:right="0" w:firstLine="0"/>
                  <w:jc w:val="left"/>
                  <w:rPr>
                    <w:b/>
                    <w:sz w:val="24"/>
                  </w:rPr>
                </w:pPr>
                <w:r>
                  <w:rPr>
                    <w:b/>
                    <w:sz w:val="24"/>
                  </w:rPr>
                  <w:t>42</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290009pt;margin-top:682.972229pt;width:17.45pt;height:24.7pt;mso-position-horizontal-relative:page;mso-position-vertical-relative:page;z-index:-77824" type="#_x0000_t202" filled="false" stroked="false">
          <v:textbox inset="0,0,0,0">
            <w:txbxContent>
              <w:p>
                <w:pPr>
                  <w:spacing w:before="203"/>
                  <w:ind w:left="40" w:right="0" w:firstLine="0"/>
                  <w:jc w:val="left"/>
                  <w:rPr>
                    <w:b/>
                    <w:sz w:val="24"/>
                  </w:rPr>
                </w:pPr>
                <w:r>
                  <w:rPr/>
                  <w:fldChar w:fldCharType="begin"/>
                </w:r>
                <w:r>
                  <w:rPr>
                    <w:b/>
                    <w:sz w:val="24"/>
                  </w:rPr>
                  <w:instrText> PAGE </w:instrText>
                </w:r>
                <w:r>
                  <w:rPr/>
                  <w:fldChar w:fldCharType="separate"/>
                </w:r>
                <w:r>
                  <w:rPr/>
                  <w:t>43</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313.649994pt;margin-top:704.572205pt;width:10.7pt;height:16.650pt;mso-position-horizontal-relative:page;mso-position-vertical-relative:page;z-index:-78208" type="#_x0000_t202" filled="false" stroked="false">
          <v:textbox inset="0,0,0,0">
            <w:txbxContent>
              <w:p>
                <w:pPr>
                  <w:spacing w:before="42"/>
                  <w:ind w:left="40" w:right="0" w:firstLine="0"/>
                  <w:jc w:val="left"/>
                  <w:rPr>
                    <w:b/>
                    <w:sz w:val="24"/>
                  </w:rPr>
                </w:pPr>
                <w:r>
                  <w:rPr/>
                  <w:fldChar w:fldCharType="begin"/>
                </w:r>
                <w:r>
                  <w:rPr>
                    <w:b/>
                    <w:w w:val="99"/>
                    <w:sz w:val="24"/>
                  </w:rPr>
                  <w:instrText> PAGE </w:instrText>
                </w:r>
                <w:r>
                  <w:rPr/>
                  <w:fldChar w:fldCharType="separate"/>
                </w:r>
                <w:r>
                  <w:rPr/>
                  <w:t>5</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1.290009pt;margin-top:702.292236pt;width:15.45pt;height:14pt;mso-position-horizontal-relative:page;mso-position-vertical-relative:page;z-index:-77800" type="#_x0000_t202" filled="false" stroked="false">
          <v:textbox inset="0,0,0,0">
            <w:txbxContent>
              <w:p>
                <w:pPr>
                  <w:spacing w:line="265" w:lineRule="exact" w:before="0"/>
                  <w:ind w:left="20" w:right="0" w:firstLine="0"/>
                  <w:jc w:val="left"/>
                  <w:rPr>
                    <w:b/>
                    <w:sz w:val="24"/>
                  </w:rPr>
                </w:pPr>
                <w:r>
                  <w:rPr>
                    <w:b/>
                    <w:sz w:val="24"/>
                  </w:rPr>
                  <w:t>45</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1.290009pt;margin-top:692.332214pt;width:15.45pt;height:14pt;mso-position-horizontal-relative:page;mso-position-vertical-relative:page;z-index:-77776" type="#_x0000_t202" filled="false" stroked="false">
          <v:textbox inset="0,0,0,0">
            <w:txbxContent>
              <w:p>
                <w:pPr>
                  <w:spacing w:line="265" w:lineRule="exact" w:before="0"/>
                  <w:ind w:left="20" w:right="0" w:firstLine="0"/>
                  <w:jc w:val="left"/>
                  <w:rPr>
                    <w:b/>
                    <w:sz w:val="24"/>
                  </w:rPr>
                </w:pPr>
                <w:r>
                  <w:rPr>
                    <w:b/>
                    <w:sz w:val="24"/>
                  </w:rPr>
                  <w:t>47</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290009pt;margin-top:694.252197pt;width:17.45pt;height:23.25pt;mso-position-horizontal-relative:page;mso-position-vertical-relative:page;z-index:-77752" type="#_x0000_t202" filled="false" stroked="false">
          <v:textbox inset="0,0,0,0">
            <w:txbxContent>
              <w:p>
                <w:pPr>
                  <w:spacing w:before="174"/>
                  <w:ind w:left="40" w:right="0" w:firstLine="0"/>
                  <w:jc w:val="left"/>
                  <w:rPr>
                    <w:b/>
                    <w:sz w:val="24"/>
                  </w:rPr>
                </w:pPr>
                <w:r>
                  <w:rPr/>
                  <w:fldChar w:fldCharType="begin"/>
                </w:r>
                <w:r>
                  <w:rPr>
                    <w:b/>
                    <w:sz w:val="24"/>
                  </w:rPr>
                  <w:instrText> PAGE </w:instrText>
                </w:r>
                <w:r>
                  <w:rPr/>
                  <w:fldChar w:fldCharType="separate"/>
                </w:r>
                <w:r>
                  <w:rPr/>
                  <w:t>48</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1.290009pt;margin-top:700.852234pt;width:15.45pt;height:14pt;mso-position-horizontal-relative:page;mso-position-vertical-relative:page;z-index:-77728" type="#_x0000_t202" filled="false" stroked="false">
          <v:textbox inset="0,0,0,0">
            <w:txbxContent>
              <w:p>
                <w:pPr>
                  <w:spacing w:line="265" w:lineRule="exact" w:before="0"/>
                  <w:ind w:left="20" w:right="0" w:firstLine="0"/>
                  <w:jc w:val="left"/>
                  <w:rPr>
                    <w:b/>
                    <w:sz w:val="24"/>
                  </w:rPr>
                </w:pPr>
                <w:r>
                  <w:rPr>
                    <w:b/>
                    <w:sz w:val="24"/>
                  </w:rPr>
                  <w:t>50</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2"/>
      </w:rPr>
    </w:pPr>
    <w:r>
      <w:rPr/>
      <w:pict>
        <v:shape style="position:absolute;margin-left:310.290009pt;margin-top:687.292236pt;width:17.45pt;height:20.150pt;mso-position-horizontal-relative:page;mso-position-vertical-relative:page;z-index:-77704" type="#_x0000_t202" filled="false" stroked="false">
          <v:textbox inset="0,0,0,0">
            <w:txbxContent>
              <w:p>
                <w:pPr>
                  <w:spacing w:before="111"/>
                  <w:ind w:left="40" w:right="0" w:firstLine="0"/>
                  <w:jc w:val="left"/>
                  <w:rPr>
                    <w:b/>
                    <w:sz w:val="24"/>
                  </w:rPr>
                </w:pPr>
                <w:r>
                  <w:rPr/>
                  <w:fldChar w:fldCharType="begin"/>
                </w:r>
                <w:r>
                  <w:rPr>
                    <w:b/>
                    <w:sz w:val="24"/>
                  </w:rPr>
                  <w:instrText> PAGE </w:instrText>
                </w:r>
                <w:r>
                  <w:rPr/>
                  <w:fldChar w:fldCharType="separate"/>
                </w:r>
                <w:r>
                  <w:rPr/>
                  <w:t>52</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4.649994pt;margin-top:696.652222pt;width:8.7pt;height:14pt;mso-position-horizontal-relative:page;mso-position-vertical-relative:page;z-index:-78184" type="#_x0000_t202" filled="false" stroked="false">
          <v:textbox inset="0,0,0,0">
            <w:txbxContent>
              <w:p>
                <w:pPr>
                  <w:spacing w:line="265" w:lineRule="exact" w:before="0"/>
                  <w:ind w:left="20" w:right="0" w:firstLine="0"/>
                  <w:jc w:val="left"/>
                  <w:rPr>
                    <w:b/>
                    <w:sz w:val="24"/>
                  </w:rPr>
                </w:pPr>
                <w:r>
                  <w:rPr>
                    <w:b/>
                    <w:w w:val="99"/>
                    <w:sz w:val="24"/>
                  </w:rPr>
                  <w:t>6</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5"/>
      </w:rPr>
    </w:pPr>
    <w:r>
      <w:rPr/>
      <w:pict>
        <v:shape style="position:absolute;margin-left:313.649994pt;margin-top:684.652222pt;width:10.7pt;height:23.5pt;mso-position-horizontal-relative:page;mso-position-vertical-relative:page;z-index:-78160" type="#_x0000_t202" filled="false" stroked="false">
          <v:textbox inset="0,0,0,0">
            <w:txbxContent>
              <w:p>
                <w:pPr>
                  <w:spacing w:before="179"/>
                  <w:ind w:left="40" w:right="0" w:firstLine="0"/>
                  <w:jc w:val="left"/>
                  <w:rPr>
                    <w:b/>
                    <w:sz w:val="24"/>
                  </w:rPr>
                </w:pPr>
                <w:r>
                  <w:rPr/>
                  <w:fldChar w:fldCharType="begin"/>
                </w:r>
                <w:r>
                  <w:rPr>
                    <w:b/>
                    <w:w w:val="99"/>
                    <w:sz w:val="24"/>
                  </w:rPr>
                  <w:instrText> PAGE </w:instrText>
                </w:r>
                <w:r>
                  <w:rPr/>
                  <w:fldChar w:fldCharType="separate"/>
                </w:r>
                <w:r>
                  <w:rPr/>
                  <w:t>8</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2.850006pt;margin-top:692.332214pt;width:24.9pt;height:14.6pt;mso-position-horizontal-relative:page;mso-position-vertical-relative:page;z-index:-78136" type="#_x0000_t202" filled="false" stroked="false">
          <v:textbox inset="0,0,0,0">
            <w:txbxContent>
              <w:p>
                <w:pPr>
                  <w:spacing w:before="1"/>
                  <w:ind w:left="188" w:right="0" w:firstLine="0"/>
                  <w:jc w:val="left"/>
                  <w:rPr>
                    <w:b/>
                    <w:sz w:val="24"/>
                  </w:rPr>
                </w:pPr>
                <w:r>
                  <w:rPr/>
                  <w:fldChar w:fldCharType="begin"/>
                </w:r>
                <w:r>
                  <w:rPr>
                    <w:b/>
                    <w:sz w:val="24"/>
                  </w:rPr>
                  <w:instrText> PAGE </w:instrText>
                </w:r>
                <w:r>
                  <w:rPr/>
                  <w:fldChar w:fldCharType="separate"/>
                </w:r>
                <w:r>
                  <w:rPr/>
                  <w:t>11</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1.290009pt;margin-top:692.332214pt;width:15.45pt;height:14pt;mso-position-horizontal-relative:page;mso-position-vertical-relative:page;z-index:-78112" type="#_x0000_t202" filled="false" stroked="false">
          <v:textbox inset="0,0,0,0">
            <w:txbxContent>
              <w:p>
                <w:pPr>
                  <w:spacing w:line="265" w:lineRule="exact" w:before="0"/>
                  <w:ind w:left="20" w:right="0" w:firstLine="0"/>
                  <w:jc w:val="left"/>
                  <w:rPr>
                    <w:b/>
                    <w:sz w:val="24"/>
                  </w:rPr>
                </w:pPr>
                <w:r>
                  <w:rPr>
                    <w:b/>
                    <w:sz w:val="24"/>
                  </w:rPr>
                  <w:t>20</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1.290009pt;margin-top:703.372253pt;width:15.45pt;height:14pt;mso-position-horizontal-relative:page;mso-position-vertical-relative:page;z-index:-78088" type="#_x0000_t202" filled="false" stroked="false">
          <v:textbox inset="0,0,0,0">
            <w:txbxContent>
              <w:p>
                <w:pPr>
                  <w:spacing w:line="265" w:lineRule="exact" w:before="0"/>
                  <w:ind w:left="20" w:right="0" w:firstLine="0"/>
                  <w:jc w:val="left"/>
                  <w:rPr>
                    <w:b/>
                    <w:sz w:val="24"/>
                  </w:rPr>
                </w:pPr>
                <w:r>
                  <w:rPr>
                    <w:b/>
                    <w:sz w:val="24"/>
                  </w:rPr>
                  <w:t>21</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290009pt;margin-top:692.332214pt;width:17.45pt;height:14pt;mso-position-horizontal-relative:page;mso-position-vertical-relative:page;z-index:-78064" type="#_x0000_t202" filled="false" stroked="false">
          <v:textbox inset="0,0,0,0">
            <w:txbxContent>
              <w:p>
                <w:pPr>
                  <w:spacing w:line="265" w:lineRule="exact" w:before="0"/>
                  <w:ind w:left="40" w:right="0" w:firstLine="0"/>
                  <w:jc w:val="left"/>
                  <w:rPr>
                    <w:b/>
                    <w:sz w:val="24"/>
                  </w:rPr>
                </w:pPr>
                <w:r>
                  <w:rPr/>
                  <w:fldChar w:fldCharType="begin"/>
                </w:r>
                <w:r>
                  <w:rPr>
                    <w:b/>
                    <w:sz w:val="24"/>
                  </w:rPr>
                  <w:instrText> PAGE </w:instrText>
                </w:r>
                <w:r>
                  <w:rPr/>
                  <w:fldChar w:fldCharType="separate"/>
                </w:r>
                <w:r>
                  <w:rPr/>
                  <w:t>22</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2">
    <w:multiLevelType w:val="hybridMultilevel"/>
    <w:lvl w:ilvl="0">
      <w:start w:val="1"/>
      <w:numFmt w:val="decimal"/>
      <w:lvlText w:val="%1."/>
      <w:lvlJc w:val="left"/>
      <w:pPr>
        <w:ind w:left="822" w:hanging="360"/>
        <w:jc w:val="left"/>
      </w:pPr>
      <w:rPr>
        <w:rFonts w:hint="default" w:ascii="Arial" w:hAnsi="Arial" w:eastAsia="Arial" w:cs="Arial"/>
        <w:b/>
        <w:bCs/>
        <w:spacing w:val="-1"/>
        <w:w w:val="100"/>
        <w:sz w:val="16"/>
        <w:szCs w:val="16"/>
      </w:rPr>
    </w:lvl>
    <w:lvl w:ilvl="1">
      <w:start w:val="1"/>
      <w:numFmt w:val="bullet"/>
      <w:lvlText w:val="•"/>
      <w:lvlJc w:val="left"/>
      <w:pPr>
        <w:ind w:left="1121" w:hanging="360"/>
      </w:pPr>
      <w:rPr>
        <w:rFonts w:hint="default"/>
      </w:rPr>
    </w:lvl>
    <w:lvl w:ilvl="2">
      <w:start w:val="1"/>
      <w:numFmt w:val="bullet"/>
      <w:lvlText w:val="•"/>
      <w:lvlJc w:val="left"/>
      <w:pPr>
        <w:ind w:left="1422" w:hanging="360"/>
      </w:pPr>
      <w:rPr>
        <w:rFonts w:hint="default"/>
      </w:rPr>
    </w:lvl>
    <w:lvl w:ilvl="3">
      <w:start w:val="1"/>
      <w:numFmt w:val="bullet"/>
      <w:lvlText w:val="•"/>
      <w:lvlJc w:val="left"/>
      <w:pPr>
        <w:ind w:left="1723" w:hanging="360"/>
      </w:pPr>
      <w:rPr>
        <w:rFonts w:hint="default"/>
      </w:rPr>
    </w:lvl>
    <w:lvl w:ilvl="4">
      <w:start w:val="1"/>
      <w:numFmt w:val="bullet"/>
      <w:lvlText w:val="•"/>
      <w:lvlJc w:val="left"/>
      <w:pPr>
        <w:ind w:left="2024" w:hanging="360"/>
      </w:pPr>
      <w:rPr>
        <w:rFonts w:hint="default"/>
      </w:rPr>
    </w:lvl>
    <w:lvl w:ilvl="5">
      <w:start w:val="1"/>
      <w:numFmt w:val="bullet"/>
      <w:lvlText w:val="•"/>
      <w:lvlJc w:val="left"/>
      <w:pPr>
        <w:ind w:left="2326" w:hanging="360"/>
      </w:pPr>
      <w:rPr>
        <w:rFonts w:hint="default"/>
      </w:rPr>
    </w:lvl>
    <w:lvl w:ilvl="6">
      <w:start w:val="1"/>
      <w:numFmt w:val="bullet"/>
      <w:lvlText w:val="•"/>
      <w:lvlJc w:val="left"/>
      <w:pPr>
        <w:ind w:left="2627" w:hanging="360"/>
      </w:pPr>
      <w:rPr>
        <w:rFonts w:hint="default"/>
      </w:rPr>
    </w:lvl>
    <w:lvl w:ilvl="7">
      <w:start w:val="1"/>
      <w:numFmt w:val="bullet"/>
      <w:lvlText w:val="•"/>
      <w:lvlJc w:val="left"/>
      <w:pPr>
        <w:ind w:left="2928" w:hanging="360"/>
      </w:pPr>
      <w:rPr>
        <w:rFonts w:hint="default"/>
      </w:rPr>
    </w:lvl>
    <w:lvl w:ilvl="8">
      <w:start w:val="1"/>
      <w:numFmt w:val="bullet"/>
      <w:lvlText w:val="•"/>
      <w:lvlJc w:val="left"/>
      <w:pPr>
        <w:ind w:left="3229" w:hanging="360"/>
      </w:pPr>
      <w:rPr>
        <w:rFonts w:hint="default"/>
      </w:rPr>
    </w:lvl>
  </w:abstractNum>
  <w:abstractNum w:abstractNumId="21">
    <w:multiLevelType w:val="hybridMultilevel"/>
    <w:lvl w:ilvl="0">
      <w:start w:val="1"/>
      <w:numFmt w:val="bullet"/>
      <w:lvlText w:val="-"/>
      <w:lvlJc w:val="left"/>
      <w:pPr>
        <w:ind w:left="942" w:hanging="360"/>
      </w:pPr>
      <w:rPr>
        <w:rFonts w:hint="default" w:ascii="Arial" w:hAnsi="Arial" w:eastAsia="Arial" w:cs="Arial"/>
        <w:w w:val="100"/>
        <w:sz w:val="16"/>
        <w:szCs w:val="16"/>
      </w:rPr>
    </w:lvl>
    <w:lvl w:ilvl="1">
      <w:start w:val="1"/>
      <w:numFmt w:val="bullet"/>
      <w:lvlText w:val="•"/>
      <w:lvlJc w:val="left"/>
      <w:pPr>
        <w:ind w:left="1808" w:hanging="360"/>
      </w:pPr>
      <w:rPr>
        <w:rFonts w:hint="default"/>
      </w:rPr>
    </w:lvl>
    <w:lvl w:ilvl="2">
      <w:start w:val="1"/>
      <w:numFmt w:val="bullet"/>
      <w:lvlText w:val="•"/>
      <w:lvlJc w:val="left"/>
      <w:pPr>
        <w:ind w:left="2676" w:hanging="360"/>
      </w:pPr>
      <w:rPr>
        <w:rFonts w:hint="default"/>
      </w:rPr>
    </w:lvl>
    <w:lvl w:ilvl="3">
      <w:start w:val="1"/>
      <w:numFmt w:val="bullet"/>
      <w:lvlText w:val="•"/>
      <w:lvlJc w:val="left"/>
      <w:pPr>
        <w:ind w:left="3544" w:hanging="360"/>
      </w:pPr>
      <w:rPr>
        <w:rFonts w:hint="default"/>
      </w:rPr>
    </w:lvl>
    <w:lvl w:ilvl="4">
      <w:start w:val="1"/>
      <w:numFmt w:val="bullet"/>
      <w:lvlText w:val="•"/>
      <w:lvlJc w:val="left"/>
      <w:pPr>
        <w:ind w:left="4412" w:hanging="360"/>
      </w:pPr>
      <w:rPr>
        <w:rFonts w:hint="default"/>
      </w:rPr>
    </w:lvl>
    <w:lvl w:ilvl="5">
      <w:start w:val="1"/>
      <w:numFmt w:val="bullet"/>
      <w:lvlText w:val="•"/>
      <w:lvlJc w:val="left"/>
      <w:pPr>
        <w:ind w:left="5280" w:hanging="360"/>
      </w:pPr>
      <w:rPr>
        <w:rFonts w:hint="default"/>
      </w:rPr>
    </w:lvl>
    <w:lvl w:ilvl="6">
      <w:start w:val="1"/>
      <w:numFmt w:val="bullet"/>
      <w:lvlText w:val="•"/>
      <w:lvlJc w:val="left"/>
      <w:pPr>
        <w:ind w:left="6148" w:hanging="360"/>
      </w:pPr>
      <w:rPr>
        <w:rFonts w:hint="default"/>
      </w:rPr>
    </w:lvl>
    <w:lvl w:ilvl="7">
      <w:start w:val="1"/>
      <w:numFmt w:val="bullet"/>
      <w:lvlText w:val="•"/>
      <w:lvlJc w:val="left"/>
      <w:pPr>
        <w:ind w:left="7016" w:hanging="360"/>
      </w:pPr>
      <w:rPr>
        <w:rFonts w:hint="default"/>
      </w:rPr>
    </w:lvl>
    <w:lvl w:ilvl="8">
      <w:start w:val="1"/>
      <w:numFmt w:val="bullet"/>
      <w:lvlText w:val="•"/>
      <w:lvlJc w:val="left"/>
      <w:pPr>
        <w:ind w:left="7884" w:hanging="360"/>
      </w:pPr>
      <w:rPr>
        <w:rFonts w:hint="default"/>
      </w:rPr>
    </w:lvl>
  </w:abstractNum>
  <w:abstractNum w:abstractNumId="20">
    <w:multiLevelType w:val="hybridMultilevel"/>
    <w:lvl w:ilvl="0">
      <w:start w:val="1"/>
      <w:numFmt w:val="lowerLetter"/>
      <w:lvlText w:val="%1)"/>
      <w:lvlJc w:val="left"/>
      <w:pPr>
        <w:ind w:left="852" w:hanging="360"/>
        <w:jc w:val="left"/>
      </w:pPr>
      <w:rPr>
        <w:rFonts w:hint="default" w:ascii="Calibri" w:hAnsi="Calibri" w:eastAsia="Calibri" w:cs="Calibri"/>
        <w:b/>
        <w:bCs/>
        <w:w w:val="99"/>
        <w:sz w:val="14"/>
        <w:szCs w:val="14"/>
      </w:rPr>
    </w:lvl>
    <w:lvl w:ilvl="1">
      <w:start w:val="1"/>
      <w:numFmt w:val="bullet"/>
      <w:lvlText w:val="•"/>
      <w:lvlJc w:val="left"/>
      <w:pPr>
        <w:ind w:left="1255" w:hanging="360"/>
      </w:pPr>
      <w:rPr>
        <w:rFonts w:hint="default"/>
      </w:rPr>
    </w:lvl>
    <w:lvl w:ilvl="2">
      <w:start w:val="1"/>
      <w:numFmt w:val="bullet"/>
      <w:lvlText w:val="•"/>
      <w:lvlJc w:val="left"/>
      <w:pPr>
        <w:ind w:left="1650" w:hanging="360"/>
      </w:pPr>
      <w:rPr>
        <w:rFonts w:hint="default"/>
      </w:rPr>
    </w:lvl>
    <w:lvl w:ilvl="3">
      <w:start w:val="1"/>
      <w:numFmt w:val="bullet"/>
      <w:lvlText w:val="•"/>
      <w:lvlJc w:val="left"/>
      <w:pPr>
        <w:ind w:left="2045" w:hanging="360"/>
      </w:pPr>
      <w:rPr>
        <w:rFonts w:hint="default"/>
      </w:rPr>
    </w:lvl>
    <w:lvl w:ilvl="4">
      <w:start w:val="1"/>
      <w:numFmt w:val="bullet"/>
      <w:lvlText w:val="•"/>
      <w:lvlJc w:val="left"/>
      <w:pPr>
        <w:ind w:left="2440" w:hanging="360"/>
      </w:pPr>
      <w:rPr>
        <w:rFonts w:hint="default"/>
      </w:rPr>
    </w:lvl>
    <w:lvl w:ilvl="5">
      <w:start w:val="1"/>
      <w:numFmt w:val="bullet"/>
      <w:lvlText w:val="•"/>
      <w:lvlJc w:val="left"/>
      <w:pPr>
        <w:ind w:left="2835" w:hanging="360"/>
      </w:pPr>
      <w:rPr>
        <w:rFonts w:hint="default"/>
      </w:rPr>
    </w:lvl>
    <w:lvl w:ilvl="6">
      <w:start w:val="1"/>
      <w:numFmt w:val="bullet"/>
      <w:lvlText w:val="•"/>
      <w:lvlJc w:val="left"/>
      <w:pPr>
        <w:ind w:left="3230" w:hanging="360"/>
      </w:pPr>
      <w:rPr>
        <w:rFonts w:hint="default"/>
      </w:rPr>
    </w:lvl>
    <w:lvl w:ilvl="7">
      <w:start w:val="1"/>
      <w:numFmt w:val="bullet"/>
      <w:lvlText w:val="•"/>
      <w:lvlJc w:val="left"/>
      <w:pPr>
        <w:ind w:left="3625" w:hanging="360"/>
      </w:pPr>
      <w:rPr>
        <w:rFonts w:hint="default"/>
      </w:rPr>
    </w:lvl>
    <w:lvl w:ilvl="8">
      <w:start w:val="1"/>
      <w:numFmt w:val="bullet"/>
      <w:lvlText w:val="•"/>
      <w:lvlJc w:val="left"/>
      <w:pPr>
        <w:ind w:left="4020" w:hanging="360"/>
      </w:pPr>
      <w:rPr>
        <w:rFonts w:hint="default"/>
      </w:rPr>
    </w:lvl>
  </w:abstractNum>
  <w:abstractNum w:abstractNumId="19">
    <w:multiLevelType w:val="hybridMultilevel"/>
    <w:lvl w:ilvl="0">
      <w:start w:val="1"/>
      <w:numFmt w:val="lowerLetter"/>
      <w:lvlText w:val="%1)"/>
      <w:lvlJc w:val="left"/>
      <w:pPr>
        <w:ind w:left="852" w:hanging="360"/>
        <w:jc w:val="left"/>
      </w:pPr>
      <w:rPr>
        <w:rFonts w:hint="default" w:ascii="Calibri" w:hAnsi="Calibri" w:eastAsia="Calibri" w:cs="Calibri"/>
        <w:b/>
        <w:bCs/>
        <w:w w:val="99"/>
        <w:sz w:val="14"/>
        <w:szCs w:val="14"/>
      </w:rPr>
    </w:lvl>
    <w:lvl w:ilvl="1">
      <w:start w:val="1"/>
      <w:numFmt w:val="bullet"/>
      <w:lvlText w:val="•"/>
      <w:lvlJc w:val="left"/>
      <w:pPr>
        <w:ind w:left="1255" w:hanging="360"/>
      </w:pPr>
      <w:rPr>
        <w:rFonts w:hint="default"/>
      </w:rPr>
    </w:lvl>
    <w:lvl w:ilvl="2">
      <w:start w:val="1"/>
      <w:numFmt w:val="bullet"/>
      <w:lvlText w:val="•"/>
      <w:lvlJc w:val="left"/>
      <w:pPr>
        <w:ind w:left="1650" w:hanging="360"/>
      </w:pPr>
      <w:rPr>
        <w:rFonts w:hint="default"/>
      </w:rPr>
    </w:lvl>
    <w:lvl w:ilvl="3">
      <w:start w:val="1"/>
      <w:numFmt w:val="bullet"/>
      <w:lvlText w:val="•"/>
      <w:lvlJc w:val="left"/>
      <w:pPr>
        <w:ind w:left="2045" w:hanging="360"/>
      </w:pPr>
      <w:rPr>
        <w:rFonts w:hint="default"/>
      </w:rPr>
    </w:lvl>
    <w:lvl w:ilvl="4">
      <w:start w:val="1"/>
      <w:numFmt w:val="bullet"/>
      <w:lvlText w:val="•"/>
      <w:lvlJc w:val="left"/>
      <w:pPr>
        <w:ind w:left="2440" w:hanging="360"/>
      </w:pPr>
      <w:rPr>
        <w:rFonts w:hint="default"/>
      </w:rPr>
    </w:lvl>
    <w:lvl w:ilvl="5">
      <w:start w:val="1"/>
      <w:numFmt w:val="bullet"/>
      <w:lvlText w:val="•"/>
      <w:lvlJc w:val="left"/>
      <w:pPr>
        <w:ind w:left="2835" w:hanging="360"/>
      </w:pPr>
      <w:rPr>
        <w:rFonts w:hint="default"/>
      </w:rPr>
    </w:lvl>
    <w:lvl w:ilvl="6">
      <w:start w:val="1"/>
      <w:numFmt w:val="bullet"/>
      <w:lvlText w:val="•"/>
      <w:lvlJc w:val="left"/>
      <w:pPr>
        <w:ind w:left="3230" w:hanging="360"/>
      </w:pPr>
      <w:rPr>
        <w:rFonts w:hint="default"/>
      </w:rPr>
    </w:lvl>
    <w:lvl w:ilvl="7">
      <w:start w:val="1"/>
      <w:numFmt w:val="bullet"/>
      <w:lvlText w:val="•"/>
      <w:lvlJc w:val="left"/>
      <w:pPr>
        <w:ind w:left="3625" w:hanging="360"/>
      </w:pPr>
      <w:rPr>
        <w:rFonts w:hint="default"/>
      </w:rPr>
    </w:lvl>
    <w:lvl w:ilvl="8">
      <w:start w:val="1"/>
      <w:numFmt w:val="bullet"/>
      <w:lvlText w:val="•"/>
      <w:lvlJc w:val="left"/>
      <w:pPr>
        <w:ind w:left="4020" w:hanging="360"/>
      </w:pPr>
      <w:rPr>
        <w:rFonts w:hint="default"/>
      </w:rPr>
    </w:lvl>
  </w:abstractNum>
  <w:abstractNum w:abstractNumId="18">
    <w:multiLevelType w:val="hybridMultilevel"/>
    <w:lvl w:ilvl="0">
      <w:start w:val="1"/>
      <w:numFmt w:val="lowerLetter"/>
      <w:lvlText w:val="%1)"/>
      <w:lvlJc w:val="left"/>
      <w:pPr>
        <w:ind w:left="852" w:hanging="360"/>
        <w:jc w:val="left"/>
      </w:pPr>
      <w:rPr>
        <w:rFonts w:hint="default" w:ascii="Calibri" w:hAnsi="Calibri" w:eastAsia="Calibri" w:cs="Calibri"/>
        <w:b/>
        <w:bCs/>
        <w:w w:val="99"/>
        <w:sz w:val="14"/>
        <w:szCs w:val="14"/>
      </w:rPr>
    </w:lvl>
    <w:lvl w:ilvl="1">
      <w:start w:val="1"/>
      <w:numFmt w:val="bullet"/>
      <w:lvlText w:val="•"/>
      <w:lvlJc w:val="left"/>
      <w:pPr>
        <w:ind w:left="1255" w:hanging="360"/>
      </w:pPr>
      <w:rPr>
        <w:rFonts w:hint="default"/>
      </w:rPr>
    </w:lvl>
    <w:lvl w:ilvl="2">
      <w:start w:val="1"/>
      <w:numFmt w:val="bullet"/>
      <w:lvlText w:val="•"/>
      <w:lvlJc w:val="left"/>
      <w:pPr>
        <w:ind w:left="1650" w:hanging="360"/>
      </w:pPr>
      <w:rPr>
        <w:rFonts w:hint="default"/>
      </w:rPr>
    </w:lvl>
    <w:lvl w:ilvl="3">
      <w:start w:val="1"/>
      <w:numFmt w:val="bullet"/>
      <w:lvlText w:val="•"/>
      <w:lvlJc w:val="left"/>
      <w:pPr>
        <w:ind w:left="2045" w:hanging="360"/>
      </w:pPr>
      <w:rPr>
        <w:rFonts w:hint="default"/>
      </w:rPr>
    </w:lvl>
    <w:lvl w:ilvl="4">
      <w:start w:val="1"/>
      <w:numFmt w:val="bullet"/>
      <w:lvlText w:val="•"/>
      <w:lvlJc w:val="left"/>
      <w:pPr>
        <w:ind w:left="2440" w:hanging="360"/>
      </w:pPr>
      <w:rPr>
        <w:rFonts w:hint="default"/>
      </w:rPr>
    </w:lvl>
    <w:lvl w:ilvl="5">
      <w:start w:val="1"/>
      <w:numFmt w:val="bullet"/>
      <w:lvlText w:val="•"/>
      <w:lvlJc w:val="left"/>
      <w:pPr>
        <w:ind w:left="2835" w:hanging="360"/>
      </w:pPr>
      <w:rPr>
        <w:rFonts w:hint="default"/>
      </w:rPr>
    </w:lvl>
    <w:lvl w:ilvl="6">
      <w:start w:val="1"/>
      <w:numFmt w:val="bullet"/>
      <w:lvlText w:val="•"/>
      <w:lvlJc w:val="left"/>
      <w:pPr>
        <w:ind w:left="3230" w:hanging="360"/>
      </w:pPr>
      <w:rPr>
        <w:rFonts w:hint="default"/>
      </w:rPr>
    </w:lvl>
    <w:lvl w:ilvl="7">
      <w:start w:val="1"/>
      <w:numFmt w:val="bullet"/>
      <w:lvlText w:val="•"/>
      <w:lvlJc w:val="left"/>
      <w:pPr>
        <w:ind w:left="3625" w:hanging="360"/>
      </w:pPr>
      <w:rPr>
        <w:rFonts w:hint="default"/>
      </w:rPr>
    </w:lvl>
    <w:lvl w:ilvl="8">
      <w:start w:val="1"/>
      <w:numFmt w:val="bullet"/>
      <w:lvlText w:val="•"/>
      <w:lvlJc w:val="left"/>
      <w:pPr>
        <w:ind w:left="4020" w:hanging="360"/>
      </w:pPr>
      <w:rPr>
        <w:rFonts w:hint="default"/>
      </w:rPr>
    </w:lvl>
  </w:abstractNum>
  <w:abstractNum w:abstractNumId="17">
    <w:multiLevelType w:val="hybridMultilevel"/>
    <w:lvl w:ilvl="0">
      <w:start w:val="1"/>
      <w:numFmt w:val="lowerLetter"/>
      <w:lvlText w:val="%1)"/>
      <w:lvlJc w:val="left"/>
      <w:pPr>
        <w:ind w:left="852" w:hanging="360"/>
        <w:jc w:val="left"/>
      </w:pPr>
      <w:rPr>
        <w:rFonts w:hint="default" w:ascii="Calibri" w:hAnsi="Calibri" w:eastAsia="Calibri" w:cs="Calibri"/>
        <w:b/>
        <w:bCs/>
        <w:w w:val="99"/>
        <w:sz w:val="14"/>
        <w:szCs w:val="14"/>
      </w:rPr>
    </w:lvl>
    <w:lvl w:ilvl="1">
      <w:start w:val="1"/>
      <w:numFmt w:val="bullet"/>
      <w:lvlText w:val="•"/>
      <w:lvlJc w:val="left"/>
      <w:pPr>
        <w:ind w:left="1255" w:hanging="360"/>
      </w:pPr>
      <w:rPr>
        <w:rFonts w:hint="default"/>
      </w:rPr>
    </w:lvl>
    <w:lvl w:ilvl="2">
      <w:start w:val="1"/>
      <w:numFmt w:val="bullet"/>
      <w:lvlText w:val="•"/>
      <w:lvlJc w:val="left"/>
      <w:pPr>
        <w:ind w:left="1650" w:hanging="360"/>
      </w:pPr>
      <w:rPr>
        <w:rFonts w:hint="default"/>
      </w:rPr>
    </w:lvl>
    <w:lvl w:ilvl="3">
      <w:start w:val="1"/>
      <w:numFmt w:val="bullet"/>
      <w:lvlText w:val="•"/>
      <w:lvlJc w:val="left"/>
      <w:pPr>
        <w:ind w:left="2045" w:hanging="360"/>
      </w:pPr>
      <w:rPr>
        <w:rFonts w:hint="default"/>
      </w:rPr>
    </w:lvl>
    <w:lvl w:ilvl="4">
      <w:start w:val="1"/>
      <w:numFmt w:val="bullet"/>
      <w:lvlText w:val="•"/>
      <w:lvlJc w:val="left"/>
      <w:pPr>
        <w:ind w:left="2440" w:hanging="360"/>
      </w:pPr>
      <w:rPr>
        <w:rFonts w:hint="default"/>
      </w:rPr>
    </w:lvl>
    <w:lvl w:ilvl="5">
      <w:start w:val="1"/>
      <w:numFmt w:val="bullet"/>
      <w:lvlText w:val="•"/>
      <w:lvlJc w:val="left"/>
      <w:pPr>
        <w:ind w:left="2835" w:hanging="360"/>
      </w:pPr>
      <w:rPr>
        <w:rFonts w:hint="default"/>
      </w:rPr>
    </w:lvl>
    <w:lvl w:ilvl="6">
      <w:start w:val="1"/>
      <w:numFmt w:val="bullet"/>
      <w:lvlText w:val="•"/>
      <w:lvlJc w:val="left"/>
      <w:pPr>
        <w:ind w:left="3230" w:hanging="360"/>
      </w:pPr>
      <w:rPr>
        <w:rFonts w:hint="default"/>
      </w:rPr>
    </w:lvl>
    <w:lvl w:ilvl="7">
      <w:start w:val="1"/>
      <w:numFmt w:val="bullet"/>
      <w:lvlText w:val="•"/>
      <w:lvlJc w:val="left"/>
      <w:pPr>
        <w:ind w:left="3625" w:hanging="360"/>
      </w:pPr>
      <w:rPr>
        <w:rFonts w:hint="default"/>
      </w:rPr>
    </w:lvl>
    <w:lvl w:ilvl="8">
      <w:start w:val="1"/>
      <w:numFmt w:val="bullet"/>
      <w:lvlText w:val="•"/>
      <w:lvlJc w:val="left"/>
      <w:pPr>
        <w:ind w:left="4020" w:hanging="360"/>
      </w:pPr>
      <w:rPr>
        <w:rFonts w:hint="default"/>
      </w:rPr>
    </w:lvl>
  </w:abstractNum>
  <w:abstractNum w:abstractNumId="16">
    <w:multiLevelType w:val="hybridMultilevel"/>
    <w:lvl w:ilvl="0">
      <w:start w:val="1"/>
      <w:numFmt w:val="lowerLetter"/>
      <w:lvlText w:val="%1)"/>
      <w:lvlJc w:val="left"/>
      <w:pPr>
        <w:ind w:left="852" w:hanging="360"/>
        <w:jc w:val="left"/>
      </w:pPr>
      <w:rPr>
        <w:rFonts w:hint="default" w:ascii="Calibri" w:hAnsi="Calibri" w:eastAsia="Calibri" w:cs="Calibri"/>
        <w:b/>
        <w:bCs/>
        <w:w w:val="99"/>
        <w:sz w:val="14"/>
        <w:szCs w:val="14"/>
      </w:rPr>
    </w:lvl>
    <w:lvl w:ilvl="1">
      <w:start w:val="1"/>
      <w:numFmt w:val="bullet"/>
      <w:lvlText w:val="•"/>
      <w:lvlJc w:val="left"/>
      <w:pPr>
        <w:ind w:left="1255" w:hanging="360"/>
      </w:pPr>
      <w:rPr>
        <w:rFonts w:hint="default"/>
      </w:rPr>
    </w:lvl>
    <w:lvl w:ilvl="2">
      <w:start w:val="1"/>
      <w:numFmt w:val="bullet"/>
      <w:lvlText w:val="•"/>
      <w:lvlJc w:val="left"/>
      <w:pPr>
        <w:ind w:left="1650" w:hanging="360"/>
      </w:pPr>
      <w:rPr>
        <w:rFonts w:hint="default"/>
      </w:rPr>
    </w:lvl>
    <w:lvl w:ilvl="3">
      <w:start w:val="1"/>
      <w:numFmt w:val="bullet"/>
      <w:lvlText w:val="•"/>
      <w:lvlJc w:val="left"/>
      <w:pPr>
        <w:ind w:left="2045" w:hanging="360"/>
      </w:pPr>
      <w:rPr>
        <w:rFonts w:hint="default"/>
      </w:rPr>
    </w:lvl>
    <w:lvl w:ilvl="4">
      <w:start w:val="1"/>
      <w:numFmt w:val="bullet"/>
      <w:lvlText w:val="•"/>
      <w:lvlJc w:val="left"/>
      <w:pPr>
        <w:ind w:left="2440" w:hanging="360"/>
      </w:pPr>
      <w:rPr>
        <w:rFonts w:hint="default"/>
      </w:rPr>
    </w:lvl>
    <w:lvl w:ilvl="5">
      <w:start w:val="1"/>
      <w:numFmt w:val="bullet"/>
      <w:lvlText w:val="•"/>
      <w:lvlJc w:val="left"/>
      <w:pPr>
        <w:ind w:left="2835" w:hanging="360"/>
      </w:pPr>
      <w:rPr>
        <w:rFonts w:hint="default"/>
      </w:rPr>
    </w:lvl>
    <w:lvl w:ilvl="6">
      <w:start w:val="1"/>
      <w:numFmt w:val="bullet"/>
      <w:lvlText w:val="•"/>
      <w:lvlJc w:val="left"/>
      <w:pPr>
        <w:ind w:left="3230" w:hanging="360"/>
      </w:pPr>
      <w:rPr>
        <w:rFonts w:hint="default"/>
      </w:rPr>
    </w:lvl>
    <w:lvl w:ilvl="7">
      <w:start w:val="1"/>
      <w:numFmt w:val="bullet"/>
      <w:lvlText w:val="•"/>
      <w:lvlJc w:val="left"/>
      <w:pPr>
        <w:ind w:left="3625" w:hanging="360"/>
      </w:pPr>
      <w:rPr>
        <w:rFonts w:hint="default"/>
      </w:rPr>
    </w:lvl>
    <w:lvl w:ilvl="8">
      <w:start w:val="1"/>
      <w:numFmt w:val="bullet"/>
      <w:lvlText w:val="•"/>
      <w:lvlJc w:val="left"/>
      <w:pPr>
        <w:ind w:left="4020" w:hanging="360"/>
      </w:pPr>
      <w:rPr>
        <w:rFonts w:hint="default"/>
      </w:rPr>
    </w:lvl>
  </w:abstractNum>
  <w:abstractNum w:abstractNumId="15">
    <w:multiLevelType w:val="hybridMultilevel"/>
    <w:lvl w:ilvl="0">
      <w:start w:val="4"/>
      <w:numFmt w:val="lowerLetter"/>
      <w:lvlText w:val="%1)"/>
      <w:lvlJc w:val="left"/>
      <w:pPr>
        <w:ind w:left="854" w:hanging="360"/>
        <w:jc w:val="left"/>
      </w:pPr>
      <w:rPr>
        <w:rFonts w:hint="default" w:ascii="Arial" w:hAnsi="Arial" w:eastAsia="Arial" w:cs="Arial"/>
        <w:b/>
        <w:bCs/>
        <w:spacing w:val="-2"/>
        <w:w w:val="99"/>
        <w:sz w:val="14"/>
        <w:szCs w:val="14"/>
      </w:rPr>
    </w:lvl>
    <w:lvl w:ilvl="1">
      <w:start w:val="1"/>
      <w:numFmt w:val="bullet"/>
      <w:lvlText w:val="•"/>
      <w:lvlJc w:val="left"/>
      <w:pPr>
        <w:ind w:left="1252" w:hanging="360"/>
      </w:pPr>
      <w:rPr>
        <w:rFonts w:hint="default"/>
      </w:rPr>
    </w:lvl>
    <w:lvl w:ilvl="2">
      <w:start w:val="1"/>
      <w:numFmt w:val="bullet"/>
      <w:lvlText w:val="•"/>
      <w:lvlJc w:val="left"/>
      <w:pPr>
        <w:ind w:left="1644" w:hanging="360"/>
      </w:pPr>
      <w:rPr>
        <w:rFonts w:hint="default"/>
      </w:rPr>
    </w:lvl>
    <w:lvl w:ilvl="3">
      <w:start w:val="1"/>
      <w:numFmt w:val="bullet"/>
      <w:lvlText w:val="•"/>
      <w:lvlJc w:val="left"/>
      <w:pPr>
        <w:ind w:left="2036" w:hanging="360"/>
      </w:pPr>
      <w:rPr>
        <w:rFonts w:hint="default"/>
      </w:rPr>
    </w:lvl>
    <w:lvl w:ilvl="4">
      <w:start w:val="1"/>
      <w:numFmt w:val="bullet"/>
      <w:lvlText w:val="•"/>
      <w:lvlJc w:val="left"/>
      <w:pPr>
        <w:ind w:left="2428" w:hanging="360"/>
      </w:pPr>
      <w:rPr>
        <w:rFonts w:hint="default"/>
      </w:rPr>
    </w:lvl>
    <w:lvl w:ilvl="5">
      <w:start w:val="1"/>
      <w:numFmt w:val="bullet"/>
      <w:lvlText w:val="•"/>
      <w:lvlJc w:val="left"/>
      <w:pPr>
        <w:ind w:left="2820" w:hanging="360"/>
      </w:pPr>
      <w:rPr>
        <w:rFonts w:hint="default"/>
      </w:rPr>
    </w:lvl>
    <w:lvl w:ilvl="6">
      <w:start w:val="1"/>
      <w:numFmt w:val="bullet"/>
      <w:lvlText w:val="•"/>
      <w:lvlJc w:val="left"/>
      <w:pPr>
        <w:ind w:left="3213" w:hanging="360"/>
      </w:pPr>
      <w:rPr>
        <w:rFonts w:hint="default"/>
      </w:rPr>
    </w:lvl>
    <w:lvl w:ilvl="7">
      <w:start w:val="1"/>
      <w:numFmt w:val="bullet"/>
      <w:lvlText w:val="•"/>
      <w:lvlJc w:val="left"/>
      <w:pPr>
        <w:ind w:left="3605" w:hanging="360"/>
      </w:pPr>
      <w:rPr>
        <w:rFonts w:hint="default"/>
      </w:rPr>
    </w:lvl>
    <w:lvl w:ilvl="8">
      <w:start w:val="1"/>
      <w:numFmt w:val="bullet"/>
      <w:lvlText w:val="•"/>
      <w:lvlJc w:val="left"/>
      <w:pPr>
        <w:ind w:left="3997" w:hanging="360"/>
      </w:pPr>
      <w:rPr>
        <w:rFonts w:hint="default"/>
      </w:rPr>
    </w:lvl>
  </w:abstractNum>
  <w:abstractNum w:abstractNumId="14">
    <w:multiLevelType w:val="hybridMultilevel"/>
    <w:lvl w:ilvl="0">
      <w:start w:val="1"/>
      <w:numFmt w:val="lowerLetter"/>
      <w:lvlText w:val="%1)"/>
      <w:lvlJc w:val="left"/>
      <w:pPr>
        <w:ind w:left="854" w:hanging="360"/>
        <w:jc w:val="left"/>
      </w:pPr>
      <w:rPr>
        <w:rFonts w:hint="default" w:ascii="Arial" w:hAnsi="Arial" w:eastAsia="Arial" w:cs="Arial"/>
        <w:b/>
        <w:bCs/>
        <w:spacing w:val="-1"/>
        <w:w w:val="99"/>
        <w:sz w:val="14"/>
        <w:szCs w:val="14"/>
      </w:rPr>
    </w:lvl>
    <w:lvl w:ilvl="1">
      <w:start w:val="1"/>
      <w:numFmt w:val="bullet"/>
      <w:lvlText w:val="•"/>
      <w:lvlJc w:val="left"/>
      <w:pPr>
        <w:ind w:left="1252" w:hanging="360"/>
      </w:pPr>
      <w:rPr>
        <w:rFonts w:hint="default"/>
      </w:rPr>
    </w:lvl>
    <w:lvl w:ilvl="2">
      <w:start w:val="1"/>
      <w:numFmt w:val="bullet"/>
      <w:lvlText w:val="•"/>
      <w:lvlJc w:val="left"/>
      <w:pPr>
        <w:ind w:left="1644" w:hanging="360"/>
      </w:pPr>
      <w:rPr>
        <w:rFonts w:hint="default"/>
      </w:rPr>
    </w:lvl>
    <w:lvl w:ilvl="3">
      <w:start w:val="1"/>
      <w:numFmt w:val="bullet"/>
      <w:lvlText w:val="•"/>
      <w:lvlJc w:val="left"/>
      <w:pPr>
        <w:ind w:left="2036" w:hanging="360"/>
      </w:pPr>
      <w:rPr>
        <w:rFonts w:hint="default"/>
      </w:rPr>
    </w:lvl>
    <w:lvl w:ilvl="4">
      <w:start w:val="1"/>
      <w:numFmt w:val="bullet"/>
      <w:lvlText w:val="•"/>
      <w:lvlJc w:val="left"/>
      <w:pPr>
        <w:ind w:left="2428" w:hanging="360"/>
      </w:pPr>
      <w:rPr>
        <w:rFonts w:hint="default"/>
      </w:rPr>
    </w:lvl>
    <w:lvl w:ilvl="5">
      <w:start w:val="1"/>
      <w:numFmt w:val="bullet"/>
      <w:lvlText w:val="•"/>
      <w:lvlJc w:val="left"/>
      <w:pPr>
        <w:ind w:left="2820" w:hanging="360"/>
      </w:pPr>
      <w:rPr>
        <w:rFonts w:hint="default"/>
      </w:rPr>
    </w:lvl>
    <w:lvl w:ilvl="6">
      <w:start w:val="1"/>
      <w:numFmt w:val="bullet"/>
      <w:lvlText w:val="•"/>
      <w:lvlJc w:val="left"/>
      <w:pPr>
        <w:ind w:left="3213" w:hanging="360"/>
      </w:pPr>
      <w:rPr>
        <w:rFonts w:hint="default"/>
      </w:rPr>
    </w:lvl>
    <w:lvl w:ilvl="7">
      <w:start w:val="1"/>
      <w:numFmt w:val="bullet"/>
      <w:lvlText w:val="•"/>
      <w:lvlJc w:val="left"/>
      <w:pPr>
        <w:ind w:left="3605" w:hanging="360"/>
      </w:pPr>
      <w:rPr>
        <w:rFonts w:hint="default"/>
      </w:rPr>
    </w:lvl>
    <w:lvl w:ilvl="8">
      <w:start w:val="1"/>
      <w:numFmt w:val="bullet"/>
      <w:lvlText w:val="•"/>
      <w:lvlJc w:val="left"/>
      <w:pPr>
        <w:ind w:left="3997" w:hanging="360"/>
      </w:pPr>
      <w:rPr>
        <w:rFonts w:hint="default"/>
      </w:rPr>
    </w:lvl>
  </w:abstractNum>
  <w:abstractNum w:abstractNumId="13">
    <w:multiLevelType w:val="hybridMultilevel"/>
    <w:lvl w:ilvl="0">
      <w:start w:val="1"/>
      <w:numFmt w:val="lowerLetter"/>
      <w:lvlText w:val="%1)"/>
      <w:lvlJc w:val="left"/>
      <w:pPr>
        <w:ind w:left="854" w:hanging="360"/>
        <w:jc w:val="left"/>
      </w:pPr>
      <w:rPr>
        <w:rFonts w:hint="default" w:ascii="Arial" w:hAnsi="Arial" w:eastAsia="Arial" w:cs="Arial"/>
        <w:b/>
        <w:bCs/>
        <w:spacing w:val="-1"/>
        <w:w w:val="99"/>
        <w:sz w:val="14"/>
        <w:szCs w:val="14"/>
      </w:rPr>
    </w:lvl>
    <w:lvl w:ilvl="1">
      <w:start w:val="1"/>
      <w:numFmt w:val="bullet"/>
      <w:lvlText w:val="•"/>
      <w:lvlJc w:val="left"/>
      <w:pPr>
        <w:ind w:left="1252" w:hanging="360"/>
      </w:pPr>
      <w:rPr>
        <w:rFonts w:hint="default"/>
      </w:rPr>
    </w:lvl>
    <w:lvl w:ilvl="2">
      <w:start w:val="1"/>
      <w:numFmt w:val="bullet"/>
      <w:lvlText w:val="•"/>
      <w:lvlJc w:val="left"/>
      <w:pPr>
        <w:ind w:left="1644" w:hanging="360"/>
      </w:pPr>
      <w:rPr>
        <w:rFonts w:hint="default"/>
      </w:rPr>
    </w:lvl>
    <w:lvl w:ilvl="3">
      <w:start w:val="1"/>
      <w:numFmt w:val="bullet"/>
      <w:lvlText w:val="•"/>
      <w:lvlJc w:val="left"/>
      <w:pPr>
        <w:ind w:left="2036" w:hanging="360"/>
      </w:pPr>
      <w:rPr>
        <w:rFonts w:hint="default"/>
      </w:rPr>
    </w:lvl>
    <w:lvl w:ilvl="4">
      <w:start w:val="1"/>
      <w:numFmt w:val="bullet"/>
      <w:lvlText w:val="•"/>
      <w:lvlJc w:val="left"/>
      <w:pPr>
        <w:ind w:left="2428" w:hanging="360"/>
      </w:pPr>
      <w:rPr>
        <w:rFonts w:hint="default"/>
      </w:rPr>
    </w:lvl>
    <w:lvl w:ilvl="5">
      <w:start w:val="1"/>
      <w:numFmt w:val="bullet"/>
      <w:lvlText w:val="•"/>
      <w:lvlJc w:val="left"/>
      <w:pPr>
        <w:ind w:left="2820" w:hanging="360"/>
      </w:pPr>
      <w:rPr>
        <w:rFonts w:hint="default"/>
      </w:rPr>
    </w:lvl>
    <w:lvl w:ilvl="6">
      <w:start w:val="1"/>
      <w:numFmt w:val="bullet"/>
      <w:lvlText w:val="•"/>
      <w:lvlJc w:val="left"/>
      <w:pPr>
        <w:ind w:left="3213" w:hanging="360"/>
      </w:pPr>
      <w:rPr>
        <w:rFonts w:hint="default"/>
      </w:rPr>
    </w:lvl>
    <w:lvl w:ilvl="7">
      <w:start w:val="1"/>
      <w:numFmt w:val="bullet"/>
      <w:lvlText w:val="•"/>
      <w:lvlJc w:val="left"/>
      <w:pPr>
        <w:ind w:left="3605" w:hanging="360"/>
      </w:pPr>
      <w:rPr>
        <w:rFonts w:hint="default"/>
      </w:rPr>
    </w:lvl>
    <w:lvl w:ilvl="8">
      <w:start w:val="1"/>
      <w:numFmt w:val="bullet"/>
      <w:lvlText w:val="•"/>
      <w:lvlJc w:val="left"/>
      <w:pPr>
        <w:ind w:left="3997" w:hanging="360"/>
      </w:pPr>
      <w:rPr>
        <w:rFonts w:hint="default"/>
      </w:rPr>
    </w:lvl>
  </w:abstractNum>
  <w:abstractNum w:abstractNumId="12">
    <w:multiLevelType w:val="hybridMultilevel"/>
    <w:lvl w:ilvl="0">
      <w:start w:val="1"/>
      <w:numFmt w:val="lowerLetter"/>
      <w:lvlText w:val="%1)"/>
      <w:lvlJc w:val="left"/>
      <w:pPr>
        <w:ind w:left="854" w:hanging="360"/>
        <w:jc w:val="left"/>
      </w:pPr>
      <w:rPr>
        <w:rFonts w:hint="default" w:ascii="Arial" w:hAnsi="Arial" w:eastAsia="Arial" w:cs="Arial"/>
        <w:b/>
        <w:bCs/>
        <w:spacing w:val="-1"/>
        <w:w w:val="99"/>
        <w:sz w:val="14"/>
        <w:szCs w:val="14"/>
      </w:rPr>
    </w:lvl>
    <w:lvl w:ilvl="1">
      <w:start w:val="1"/>
      <w:numFmt w:val="bullet"/>
      <w:lvlText w:val="•"/>
      <w:lvlJc w:val="left"/>
      <w:pPr>
        <w:ind w:left="1252" w:hanging="360"/>
      </w:pPr>
      <w:rPr>
        <w:rFonts w:hint="default"/>
      </w:rPr>
    </w:lvl>
    <w:lvl w:ilvl="2">
      <w:start w:val="1"/>
      <w:numFmt w:val="bullet"/>
      <w:lvlText w:val="•"/>
      <w:lvlJc w:val="left"/>
      <w:pPr>
        <w:ind w:left="1644" w:hanging="360"/>
      </w:pPr>
      <w:rPr>
        <w:rFonts w:hint="default"/>
      </w:rPr>
    </w:lvl>
    <w:lvl w:ilvl="3">
      <w:start w:val="1"/>
      <w:numFmt w:val="bullet"/>
      <w:lvlText w:val="•"/>
      <w:lvlJc w:val="left"/>
      <w:pPr>
        <w:ind w:left="2036" w:hanging="360"/>
      </w:pPr>
      <w:rPr>
        <w:rFonts w:hint="default"/>
      </w:rPr>
    </w:lvl>
    <w:lvl w:ilvl="4">
      <w:start w:val="1"/>
      <w:numFmt w:val="bullet"/>
      <w:lvlText w:val="•"/>
      <w:lvlJc w:val="left"/>
      <w:pPr>
        <w:ind w:left="2428" w:hanging="360"/>
      </w:pPr>
      <w:rPr>
        <w:rFonts w:hint="default"/>
      </w:rPr>
    </w:lvl>
    <w:lvl w:ilvl="5">
      <w:start w:val="1"/>
      <w:numFmt w:val="bullet"/>
      <w:lvlText w:val="•"/>
      <w:lvlJc w:val="left"/>
      <w:pPr>
        <w:ind w:left="2820" w:hanging="360"/>
      </w:pPr>
      <w:rPr>
        <w:rFonts w:hint="default"/>
      </w:rPr>
    </w:lvl>
    <w:lvl w:ilvl="6">
      <w:start w:val="1"/>
      <w:numFmt w:val="bullet"/>
      <w:lvlText w:val="•"/>
      <w:lvlJc w:val="left"/>
      <w:pPr>
        <w:ind w:left="3213" w:hanging="360"/>
      </w:pPr>
      <w:rPr>
        <w:rFonts w:hint="default"/>
      </w:rPr>
    </w:lvl>
    <w:lvl w:ilvl="7">
      <w:start w:val="1"/>
      <w:numFmt w:val="bullet"/>
      <w:lvlText w:val="•"/>
      <w:lvlJc w:val="left"/>
      <w:pPr>
        <w:ind w:left="3605" w:hanging="360"/>
      </w:pPr>
      <w:rPr>
        <w:rFonts w:hint="default"/>
      </w:rPr>
    </w:lvl>
    <w:lvl w:ilvl="8">
      <w:start w:val="1"/>
      <w:numFmt w:val="bullet"/>
      <w:lvlText w:val="•"/>
      <w:lvlJc w:val="left"/>
      <w:pPr>
        <w:ind w:left="3997" w:hanging="360"/>
      </w:pPr>
      <w:rPr>
        <w:rFonts w:hint="default"/>
      </w:rPr>
    </w:lvl>
  </w:abstractNum>
  <w:abstractNum w:abstractNumId="11">
    <w:multiLevelType w:val="hybridMultilevel"/>
    <w:lvl w:ilvl="0">
      <w:start w:val="1"/>
      <w:numFmt w:val="lowerLetter"/>
      <w:lvlText w:val="%1)"/>
      <w:lvlJc w:val="left"/>
      <w:pPr>
        <w:ind w:left="854" w:hanging="360"/>
        <w:jc w:val="left"/>
      </w:pPr>
      <w:rPr>
        <w:rFonts w:hint="default" w:ascii="Arial" w:hAnsi="Arial" w:eastAsia="Arial" w:cs="Arial"/>
        <w:b/>
        <w:bCs/>
        <w:spacing w:val="-1"/>
        <w:w w:val="99"/>
        <w:sz w:val="14"/>
        <w:szCs w:val="14"/>
      </w:rPr>
    </w:lvl>
    <w:lvl w:ilvl="1">
      <w:start w:val="1"/>
      <w:numFmt w:val="bullet"/>
      <w:lvlText w:val="•"/>
      <w:lvlJc w:val="left"/>
      <w:pPr>
        <w:ind w:left="1252" w:hanging="360"/>
      </w:pPr>
      <w:rPr>
        <w:rFonts w:hint="default"/>
      </w:rPr>
    </w:lvl>
    <w:lvl w:ilvl="2">
      <w:start w:val="1"/>
      <w:numFmt w:val="bullet"/>
      <w:lvlText w:val="•"/>
      <w:lvlJc w:val="left"/>
      <w:pPr>
        <w:ind w:left="1644" w:hanging="360"/>
      </w:pPr>
      <w:rPr>
        <w:rFonts w:hint="default"/>
      </w:rPr>
    </w:lvl>
    <w:lvl w:ilvl="3">
      <w:start w:val="1"/>
      <w:numFmt w:val="bullet"/>
      <w:lvlText w:val="•"/>
      <w:lvlJc w:val="left"/>
      <w:pPr>
        <w:ind w:left="2036" w:hanging="360"/>
      </w:pPr>
      <w:rPr>
        <w:rFonts w:hint="default"/>
      </w:rPr>
    </w:lvl>
    <w:lvl w:ilvl="4">
      <w:start w:val="1"/>
      <w:numFmt w:val="bullet"/>
      <w:lvlText w:val="•"/>
      <w:lvlJc w:val="left"/>
      <w:pPr>
        <w:ind w:left="2428" w:hanging="360"/>
      </w:pPr>
      <w:rPr>
        <w:rFonts w:hint="default"/>
      </w:rPr>
    </w:lvl>
    <w:lvl w:ilvl="5">
      <w:start w:val="1"/>
      <w:numFmt w:val="bullet"/>
      <w:lvlText w:val="•"/>
      <w:lvlJc w:val="left"/>
      <w:pPr>
        <w:ind w:left="2820" w:hanging="360"/>
      </w:pPr>
      <w:rPr>
        <w:rFonts w:hint="default"/>
      </w:rPr>
    </w:lvl>
    <w:lvl w:ilvl="6">
      <w:start w:val="1"/>
      <w:numFmt w:val="bullet"/>
      <w:lvlText w:val="•"/>
      <w:lvlJc w:val="left"/>
      <w:pPr>
        <w:ind w:left="3213" w:hanging="360"/>
      </w:pPr>
      <w:rPr>
        <w:rFonts w:hint="default"/>
      </w:rPr>
    </w:lvl>
    <w:lvl w:ilvl="7">
      <w:start w:val="1"/>
      <w:numFmt w:val="bullet"/>
      <w:lvlText w:val="•"/>
      <w:lvlJc w:val="left"/>
      <w:pPr>
        <w:ind w:left="3605" w:hanging="360"/>
      </w:pPr>
      <w:rPr>
        <w:rFonts w:hint="default"/>
      </w:rPr>
    </w:lvl>
    <w:lvl w:ilvl="8">
      <w:start w:val="1"/>
      <w:numFmt w:val="bullet"/>
      <w:lvlText w:val="•"/>
      <w:lvlJc w:val="left"/>
      <w:pPr>
        <w:ind w:left="3997" w:hanging="360"/>
      </w:pPr>
      <w:rPr>
        <w:rFonts w:hint="default"/>
      </w:rPr>
    </w:lvl>
  </w:abstractNum>
  <w:abstractNum w:abstractNumId="10">
    <w:multiLevelType w:val="hybridMultilevel"/>
    <w:lvl w:ilvl="0">
      <w:start w:val="1"/>
      <w:numFmt w:val="bullet"/>
      <w:lvlText w:val="-"/>
      <w:lvlJc w:val="left"/>
      <w:pPr>
        <w:ind w:left="822" w:hanging="360"/>
      </w:pPr>
      <w:rPr>
        <w:rFonts w:hint="default" w:ascii="Arial" w:hAnsi="Arial" w:eastAsia="Arial" w:cs="Arial"/>
        <w:spacing w:val="-5"/>
        <w:w w:val="99"/>
        <w:sz w:val="24"/>
        <w:szCs w:val="24"/>
      </w:rPr>
    </w:lvl>
    <w:lvl w:ilvl="1">
      <w:start w:val="1"/>
      <w:numFmt w:val="bullet"/>
      <w:lvlText w:val="•"/>
      <w:lvlJc w:val="left"/>
      <w:pPr>
        <w:ind w:left="1694" w:hanging="360"/>
      </w:pPr>
      <w:rPr>
        <w:rFonts w:hint="default"/>
      </w:rPr>
    </w:lvl>
    <w:lvl w:ilvl="2">
      <w:start w:val="1"/>
      <w:numFmt w:val="bullet"/>
      <w:lvlText w:val="•"/>
      <w:lvlJc w:val="left"/>
      <w:pPr>
        <w:ind w:left="2568" w:hanging="360"/>
      </w:pPr>
      <w:rPr>
        <w:rFonts w:hint="default"/>
      </w:rPr>
    </w:lvl>
    <w:lvl w:ilvl="3">
      <w:start w:val="1"/>
      <w:numFmt w:val="bullet"/>
      <w:lvlText w:val="•"/>
      <w:lvlJc w:val="left"/>
      <w:pPr>
        <w:ind w:left="3442" w:hanging="360"/>
      </w:pPr>
      <w:rPr>
        <w:rFonts w:hint="default"/>
      </w:rPr>
    </w:lvl>
    <w:lvl w:ilvl="4">
      <w:start w:val="1"/>
      <w:numFmt w:val="bullet"/>
      <w:lvlText w:val="•"/>
      <w:lvlJc w:val="left"/>
      <w:pPr>
        <w:ind w:left="4316" w:hanging="360"/>
      </w:pPr>
      <w:rPr>
        <w:rFonts w:hint="default"/>
      </w:rPr>
    </w:lvl>
    <w:lvl w:ilvl="5">
      <w:start w:val="1"/>
      <w:numFmt w:val="bullet"/>
      <w:lvlText w:val="•"/>
      <w:lvlJc w:val="left"/>
      <w:pPr>
        <w:ind w:left="5190" w:hanging="360"/>
      </w:pPr>
      <w:rPr>
        <w:rFonts w:hint="default"/>
      </w:rPr>
    </w:lvl>
    <w:lvl w:ilvl="6">
      <w:start w:val="1"/>
      <w:numFmt w:val="bullet"/>
      <w:lvlText w:val="•"/>
      <w:lvlJc w:val="left"/>
      <w:pPr>
        <w:ind w:left="6064" w:hanging="360"/>
      </w:pPr>
      <w:rPr>
        <w:rFonts w:hint="default"/>
      </w:rPr>
    </w:lvl>
    <w:lvl w:ilvl="7">
      <w:start w:val="1"/>
      <w:numFmt w:val="bullet"/>
      <w:lvlText w:val="•"/>
      <w:lvlJc w:val="left"/>
      <w:pPr>
        <w:ind w:left="6938" w:hanging="360"/>
      </w:pPr>
      <w:rPr>
        <w:rFonts w:hint="default"/>
      </w:rPr>
    </w:lvl>
    <w:lvl w:ilvl="8">
      <w:start w:val="1"/>
      <w:numFmt w:val="bullet"/>
      <w:lvlText w:val="•"/>
      <w:lvlJc w:val="left"/>
      <w:pPr>
        <w:ind w:left="7812" w:hanging="360"/>
      </w:pPr>
      <w:rPr>
        <w:rFonts w:hint="default"/>
      </w:rPr>
    </w:lvl>
  </w:abstractNum>
  <w:abstractNum w:abstractNumId="9">
    <w:multiLevelType w:val="hybridMultilevel"/>
    <w:lvl w:ilvl="0">
      <w:start w:val="37"/>
      <w:numFmt w:val="decimal"/>
      <w:lvlText w:val="(%1)"/>
      <w:lvlJc w:val="left"/>
      <w:pPr>
        <w:ind w:left="102" w:hanging="564"/>
        <w:jc w:val="left"/>
      </w:pPr>
      <w:rPr>
        <w:rFonts w:hint="default" w:ascii="Arial" w:hAnsi="Arial" w:eastAsia="Arial" w:cs="Arial"/>
        <w:spacing w:val="-19"/>
        <w:w w:val="99"/>
        <w:sz w:val="24"/>
        <w:szCs w:val="24"/>
      </w:rPr>
    </w:lvl>
    <w:lvl w:ilvl="1">
      <w:start w:val="1"/>
      <w:numFmt w:val="decimal"/>
      <w:lvlText w:val="%2."/>
      <w:lvlJc w:val="left"/>
      <w:pPr>
        <w:ind w:left="822" w:hanging="360"/>
        <w:jc w:val="right"/>
      </w:pPr>
      <w:rPr>
        <w:rFonts w:hint="default" w:ascii="Arial" w:hAnsi="Arial" w:eastAsia="Arial" w:cs="Arial"/>
        <w:spacing w:val="-18"/>
        <w:w w:val="99"/>
        <w:sz w:val="24"/>
        <w:szCs w:val="24"/>
      </w:rPr>
    </w:lvl>
    <w:lvl w:ilvl="2">
      <w:start w:val="1"/>
      <w:numFmt w:val="upperLetter"/>
      <w:lvlText w:val="%3."/>
      <w:lvlJc w:val="left"/>
      <w:pPr>
        <w:ind w:left="942" w:hanging="360"/>
        <w:jc w:val="left"/>
      </w:pPr>
      <w:rPr>
        <w:rFonts w:hint="default" w:ascii="Arial" w:hAnsi="Arial" w:eastAsia="Arial" w:cs="Arial"/>
        <w:w w:val="100"/>
        <w:sz w:val="16"/>
        <w:szCs w:val="16"/>
      </w:rPr>
    </w:lvl>
    <w:lvl w:ilvl="3">
      <w:start w:val="1"/>
      <w:numFmt w:val="bullet"/>
      <w:lvlText w:val="•"/>
      <w:lvlJc w:val="left"/>
      <w:pPr>
        <w:ind w:left="2010" w:hanging="360"/>
      </w:pPr>
      <w:rPr>
        <w:rFonts w:hint="default"/>
      </w:rPr>
    </w:lvl>
    <w:lvl w:ilvl="4">
      <w:start w:val="1"/>
      <w:numFmt w:val="bullet"/>
      <w:lvlText w:val="•"/>
      <w:lvlJc w:val="left"/>
      <w:pPr>
        <w:ind w:left="3080" w:hanging="360"/>
      </w:pPr>
      <w:rPr>
        <w:rFonts w:hint="default"/>
      </w:rPr>
    </w:lvl>
    <w:lvl w:ilvl="5">
      <w:start w:val="1"/>
      <w:numFmt w:val="bullet"/>
      <w:lvlText w:val="•"/>
      <w:lvlJc w:val="left"/>
      <w:pPr>
        <w:ind w:left="4150" w:hanging="360"/>
      </w:pPr>
      <w:rPr>
        <w:rFonts w:hint="default"/>
      </w:rPr>
    </w:lvl>
    <w:lvl w:ilvl="6">
      <w:start w:val="1"/>
      <w:numFmt w:val="bullet"/>
      <w:lvlText w:val="•"/>
      <w:lvlJc w:val="left"/>
      <w:pPr>
        <w:ind w:left="5220" w:hanging="360"/>
      </w:pPr>
      <w:rPr>
        <w:rFonts w:hint="default"/>
      </w:rPr>
    </w:lvl>
    <w:lvl w:ilvl="7">
      <w:start w:val="1"/>
      <w:numFmt w:val="bullet"/>
      <w:lvlText w:val="•"/>
      <w:lvlJc w:val="left"/>
      <w:pPr>
        <w:ind w:left="6290" w:hanging="360"/>
      </w:pPr>
      <w:rPr>
        <w:rFonts w:hint="default"/>
      </w:rPr>
    </w:lvl>
    <w:lvl w:ilvl="8">
      <w:start w:val="1"/>
      <w:numFmt w:val="bullet"/>
      <w:lvlText w:val="•"/>
      <w:lvlJc w:val="left"/>
      <w:pPr>
        <w:ind w:left="7360" w:hanging="360"/>
      </w:pPr>
      <w:rPr>
        <w:rFonts w:hint="default"/>
      </w:rPr>
    </w:lvl>
  </w:abstractNum>
  <w:abstractNum w:abstractNumId="8">
    <w:multiLevelType w:val="hybridMultilevel"/>
    <w:lvl w:ilvl="0">
      <w:start w:val="1"/>
      <w:numFmt w:val="decimal"/>
      <w:lvlText w:val="%1."/>
      <w:lvlJc w:val="left"/>
      <w:pPr>
        <w:ind w:left="102" w:hanging="547"/>
        <w:jc w:val="left"/>
      </w:pPr>
      <w:rPr>
        <w:rFonts w:hint="default" w:ascii="Arial" w:hAnsi="Arial" w:eastAsia="Arial" w:cs="Arial"/>
        <w:w w:val="99"/>
        <w:sz w:val="24"/>
        <w:szCs w:val="24"/>
      </w:rPr>
    </w:lvl>
    <w:lvl w:ilvl="1">
      <w:start w:val="1"/>
      <w:numFmt w:val="bullet"/>
      <w:lvlText w:val="•"/>
      <w:lvlJc w:val="left"/>
      <w:pPr>
        <w:ind w:left="822" w:hanging="360"/>
      </w:pPr>
      <w:rPr>
        <w:rFonts w:hint="default" w:ascii="Arial" w:hAnsi="Arial" w:eastAsia="Arial" w:cs="Arial"/>
        <w:w w:val="99"/>
        <w:sz w:val="24"/>
        <w:szCs w:val="24"/>
      </w:rPr>
    </w:lvl>
    <w:lvl w:ilvl="2">
      <w:start w:val="1"/>
      <w:numFmt w:val="bullet"/>
      <w:lvlText w:val="•"/>
      <w:lvlJc w:val="left"/>
      <w:pPr>
        <w:ind w:left="1791" w:hanging="360"/>
      </w:pPr>
      <w:rPr>
        <w:rFonts w:hint="default"/>
      </w:rPr>
    </w:lvl>
    <w:lvl w:ilvl="3">
      <w:start w:val="1"/>
      <w:numFmt w:val="bullet"/>
      <w:lvlText w:val="•"/>
      <w:lvlJc w:val="left"/>
      <w:pPr>
        <w:ind w:left="2762" w:hanging="360"/>
      </w:pPr>
      <w:rPr>
        <w:rFonts w:hint="default"/>
      </w:rPr>
    </w:lvl>
    <w:lvl w:ilvl="4">
      <w:start w:val="1"/>
      <w:numFmt w:val="bullet"/>
      <w:lvlText w:val="•"/>
      <w:lvlJc w:val="left"/>
      <w:pPr>
        <w:ind w:left="3733" w:hanging="360"/>
      </w:pPr>
      <w:rPr>
        <w:rFonts w:hint="default"/>
      </w:rPr>
    </w:lvl>
    <w:lvl w:ilvl="5">
      <w:start w:val="1"/>
      <w:numFmt w:val="bullet"/>
      <w:lvlText w:val="•"/>
      <w:lvlJc w:val="left"/>
      <w:pPr>
        <w:ind w:left="4704" w:hanging="360"/>
      </w:pPr>
      <w:rPr>
        <w:rFonts w:hint="default"/>
      </w:rPr>
    </w:lvl>
    <w:lvl w:ilvl="6">
      <w:start w:val="1"/>
      <w:numFmt w:val="bullet"/>
      <w:lvlText w:val="•"/>
      <w:lvlJc w:val="left"/>
      <w:pPr>
        <w:ind w:left="5675" w:hanging="360"/>
      </w:pPr>
      <w:rPr>
        <w:rFonts w:hint="default"/>
      </w:rPr>
    </w:lvl>
    <w:lvl w:ilvl="7">
      <w:start w:val="1"/>
      <w:numFmt w:val="bullet"/>
      <w:lvlText w:val="•"/>
      <w:lvlJc w:val="left"/>
      <w:pPr>
        <w:ind w:left="6646" w:hanging="360"/>
      </w:pPr>
      <w:rPr>
        <w:rFonts w:hint="default"/>
      </w:rPr>
    </w:lvl>
    <w:lvl w:ilvl="8">
      <w:start w:val="1"/>
      <w:numFmt w:val="bullet"/>
      <w:lvlText w:val="•"/>
      <w:lvlJc w:val="left"/>
      <w:pPr>
        <w:ind w:left="7617" w:hanging="360"/>
      </w:pPr>
      <w:rPr>
        <w:rFonts w:hint="default"/>
      </w:rPr>
    </w:lvl>
  </w:abstractNum>
  <w:abstractNum w:abstractNumId="7">
    <w:multiLevelType w:val="hybridMultilevel"/>
    <w:lvl w:ilvl="0">
      <w:start w:val="1"/>
      <w:numFmt w:val="decimal"/>
      <w:lvlText w:val="%1."/>
      <w:lvlJc w:val="left"/>
      <w:pPr>
        <w:ind w:left="656" w:hanging="360"/>
        <w:jc w:val="left"/>
      </w:pPr>
      <w:rPr>
        <w:rFonts w:hint="default" w:ascii="Arial" w:hAnsi="Arial" w:eastAsia="Arial" w:cs="Arial"/>
        <w:spacing w:val="-3"/>
        <w:w w:val="99"/>
        <w:sz w:val="24"/>
        <w:szCs w:val="24"/>
      </w:rPr>
    </w:lvl>
    <w:lvl w:ilvl="1">
      <w:start w:val="1"/>
      <w:numFmt w:val="bullet"/>
      <w:lvlText w:val="•"/>
      <w:lvlJc w:val="left"/>
      <w:pPr>
        <w:ind w:left="1550" w:hanging="360"/>
      </w:pPr>
      <w:rPr>
        <w:rFonts w:hint="default"/>
      </w:rPr>
    </w:lvl>
    <w:lvl w:ilvl="2">
      <w:start w:val="1"/>
      <w:numFmt w:val="bullet"/>
      <w:lvlText w:val="•"/>
      <w:lvlJc w:val="left"/>
      <w:pPr>
        <w:ind w:left="2440" w:hanging="360"/>
      </w:pPr>
      <w:rPr>
        <w:rFonts w:hint="default"/>
      </w:rPr>
    </w:lvl>
    <w:lvl w:ilvl="3">
      <w:start w:val="1"/>
      <w:numFmt w:val="bullet"/>
      <w:lvlText w:val="•"/>
      <w:lvlJc w:val="left"/>
      <w:pPr>
        <w:ind w:left="3330" w:hanging="360"/>
      </w:pPr>
      <w:rPr>
        <w:rFonts w:hint="default"/>
      </w:rPr>
    </w:lvl>
    <w:lvl w:ilvl="4">
      <w:start w:val="1"/>
      <w:numFmt w:val="bullet"/>
      <w:lvlText w:val="•"/>
      <w:lvlJc w:val="left"/>
      <w:pPr>
        <w:ind w:left="4220" w:hanging="360"/>
      </w:pPr>
      <w:rPr>
        <w:rFonts w:hint="default"/>
      </w:rPr>
    </w:lvl>
    <w:lvl w:ilvl="5">
      <w:start w:val="1"/>
      <w:numFmt w:val="bullet"/>
      <w:lvlText w:val="•"/>
      <w:lvlJc w:val="left"/>
      <w:pPr>
        <w:ind w:left="5110" w:hanging="360"/>
      </w:pPr>
      <w:rPr>
        <w:rFonts w:hint="default"/>
      </w:rPr>
    </w:lvl>
    <w:lvl w:ilvl="6">
      <w:start w:val="1"/>
      <w:numFmt w:val="bullet"/>
      <w:lvlText w:val="•"/>
      <w:lvlJc w:val="left"/>
      <w:pPr>
        <w:ind w:left="6000" w:hanging="360"/>
      </w:pPr>
      <w:rPr>
        <w:rFonts w:hint="default"/>
      </w:rPr>
    </w:lvl>
    <w:lvl w:ilvl="7">
      <w:start w:val="1"/>
      <w:numFmt w:val="bullet"/>
      <w:lvlText w:val="•"/>
      <w:lvlJc w:val="left"/>
      <w:pPr>
        <w:ind w:left="6890" w:hanging="360"/>
      </w:pPr>
      <w:rPr>
        <w:rFonts w:hint="default"/>
      </w:rPr>
    </w:lvl>
    <w:lvl w:ilvl="8">
      <w:start w:val="1"/>
      <w:numFmt w:val="bullet"/>
      <w:lvlText w:val="•"/>
      <w:lvlJc w:val="left"/>
      <w:pPr>
        <w:ind w:left="7780" w:hanging="360"/>
      </w:pPr>
      <w:rPr>
        <w:rFonts w:hint="default"/>
      </w:rPr>
    </w:lvl>
  </w:abstractNum>
  <w:abstractNum w:abstractNumId="6">
    <w:multiLevelType w:val="hybridMultilevel"/>
    <w:lvl w:ilvl="0">
      <w:start w:val="1"/>
      <w:numFmt w:val="decimal"/>
      <w:lvlText w:val="%1."/>
      <w:lvlJc w:val="left"/>
      <w:pPr>
        <w:ind w:left="656" w:hanging="360"/>
        <w:jc w:val="left"/>
      </w:pPr>
      <w:rPr>
        <w:rFonts w:hint="default" w:ascii="Arial" w:hAnsi="Arial" w:eastAsia="Arial" w:cs="Arial"/>
        <w:spacing w:val="-3"/>
        <w:w w:val="99"/>
        <w:sz w:val="24"/>
        <w:szCs w:val="24"/>
      </w:rPr>
    </w:lvl>
    <w:lvl w:ilvl="1">
      <w:start w:val="1"/>
      <w:numFmt w:val="bullet"/>
      <w:lvlText w:val="•"/>
      <w:lvlJc w:val="left"/>
      <w:pPr>
        <w:ind w:left="1550" w:hanging="360"/>
      </w:pPr>
      <w:rPr>
        <w:rFonts w:hint="default"/>
      </w:rPr>
    </w:lvl>
    <w:lvl w:ilvl="2">
      <w:start w:val="1"/>
      <w:numFmt w:val="bullet"/>
      <w:lvlText w:val="•"/>
      <w:lvlJc w:val="left"/>
      <w:pPr>
        <w:ind w:left="2440" w:hanging="360"/>
      </w:pPr>
      <w:rPr>
        <w:rFonts w:hint="default"/>
      </w:rPr>
    </w:lvl>
    <w:lvl w:ilvl="3">
      <w:start w:val="1"/>
      <w:numFmt w:val="bullet"/>
      <w:lvlText w:val="•"/>
      <w:lvlJc w:val="left"/>
      <w:pPr>
        <w:ind w:left="3330" w:hanging="360"/>
      </w:pPr>
      <w:rPr>
        <w:rFonts w:hint="default"/>
      </w:rPr>
    </w:lvl>
    <w:lvl w:ilvl="4">
      <w:start w:val="1"/>
      <w:numFmt w:val="bullet"/>
      <w:lvlText w:val="•"/>
      <w:lvlJc w:val="left"/>
      <w:pPr>
        <w:ind w:left="4220" w:hanging="360"/>
      </w:pPr>
      <w:rPr>
        <w:rFonts w:hint="default"/>
      </w:rPr>
    </w:lvl>
    <w:lvl w:ilvl="5">
      <w:start w:val="1"/>
      <w:numFmt w:val="bullet"/>
      <w:lvlText w:val="•"/>
      <w:lvlJc w:val="left"/>
      <w:pPr>
        <w:ind w:left="5110" w:hanging="360"/>
      </w:pPr>
      <w:rPr>
        <w:rFonts w:hint="default"/>
      </w:rPr>
    </w:lvl>
    <w:lvl w:ilvl="6">
      <w:start w:val="1"/>
      <w:numFmt w:val="bullet"/>
      <w:lvlText w:val="•"/>
      <w:lvlJc w:val="left"/>
      <w:pPr>
        <w:ind w:left="6000" w:hanging="360"/>
      </w:pPr>
      <w:rPr>
        <w:rFonts w:hint="default"/>
      </w:rPr>
    </w:lvl>
    <w:lvl w:ilvl="7">
      <w:start w:val="1"/>
      <w:numFmt w:val="bullet"/>
      <w:lvlText w:val="•"/>
      <w:lvlJc w:val="left"/>
      <w:pPr>
        <w:ind w:left="6890" w:hanging="360"/>
      </w:pPr>
      <w:rPr>
        <w:rFonts w:hint="default"/>
      </w:rPr>
    </w:lvl>
    <w:lvl w:ilvl="8">
      <w:start w:val="1"/>
      <w:numFmt w:val="bullet"/>
      <w:lvlText w:val="•"/>
      <w:lvlJc w:val="left"/>
      <w:pPr>
        <w:ind w:left="7780" w:hanging="360"/>
      </w:pPr>
      <w:rPr>
        <w:rFonts w:hint="default"/>
      </w:rPr>
    </w:lvl>
  </w:abstractNum>
  <w:abstractNum w:abstractNumId="5">
    <w:multiLevelType w:val="hybridMultilevel"/>
    <w:lvl w:ilvl="0">
      <w:start w:val="1"/>
      <w:numFmt w:val="decimal"/>
      <w:lvlText w:val="%1."/>
      <w:lvlJc w:val="left"/>
      <w:pPr>
        <w:ind w:left="656" w:hanging="360"/>
        <w:jc w:val="left"/>
      </w:pPr>
      <w:rPr>
        <w:rFonts w:hint="default" w:ascii="Arial" w:hAnsi="Arial" w:eastAsia="Arial" w:cs="Arial"/>
        <w:spacing w:val="-28"/>
        <w:w w:val="99"/>
        <w:sz w:val="24"/>
        <w:szCs w:val="24"/>
      </w:rPr>
    </w:lvl>
    <w:lvl w:ilvl="1">
      <w:start w:val="1"/>
      <w:numFmt w:val="bullet"/>
      <w:lvlText w:val="•"/>
      <w:lvlJc w:val="left"/>
      <w:pPr>
        <w:ind w:left="1550" w:hanging="360"/>
      </w:pPr>
      <w:rPr>
        <w:rFonts w:hint="default"/>
      </w:rPr>
    </w:lvl>
    <w:lvl w:ilvl="2">
      <w:start w:val="1"/>
      <w:numFmt w:val="bullet"/>
      <w:lvlText w:val="•"/>
      <w:lvlJc w:val="left"/>
      <w:pPr>
        <w:ind w:left="2440" w:hanging="360"/>
      </w:pPr>
      <w:rPr>
        <w:rFonts w:hint="default"/>
      </w:rPr>
    </w:lvl>
    <w:lvl w:ilvl="3">
      <w:start w:val="1"/>
      <w:numFmt w:val="bullet"/>
      <w:lvlText w:val="•"/>
      <w:lvlJc w:val="left"/>
      <w:pPr>
        <w:ind w:left="3330" w:hanging="360"/>
      </w:pPr>
      <w:rPr>
        <w:rFonts w:hint="default"/>
      </w:rPr>
    </w:lvl>
    <w:lvl w:ilvl="4">
      <w:start w:val="1"/>
      <w:numFmt w:val="bullet"/>
      <w:lvlText w:val="•"/>
      <w:lvlJc w:val="left"/>
      <w:pPr>
        <w:ind w:left="4220" w:hanging="360"/>
      </w:pPr>
      <w:rPr>
        <w:rFonts w:hint="default"/>
      </w:rPr>
    </w:lvl>
    <w:lvl w:ilvl="5">
      <w:start w:val="1"/>
      <w:numFmt w:val="bullet"/>
      <w:lvlText w:val="•"/>
      <w:lvlJc w:val="left"/>
      <w:pPr>
        <w:ind w:left="5110" w:hanging="360"/>
      </w:pPr>
      <w:rPr>
        <w:rFonts w:hint="default"/>
      </w:rPr>
    </w:lvl>
    <w:lvl w:ilvl="6">
      <w:start w:val="1"/>
      <w:numFmt w:val="bullet"/>
      <w:lvlText w:val="•"/>
      <w:lvlJc w:val="left"/>
      <w:pPr>
        <w:ind w:left="6000" w:hanging="360"/>
      </w:pPr>
      <w:rPr>
        <w:rFonts w:hint="default"/>
      </w:rPr>
    </w:lvl>
    <w:lvl w:ilvl="7">
      <w:start w:val="1"/>
      <w:numFmt w:val="bullet"/>
      <w:lvlText w:val="•"/>
      <w:lvlJc w:val="left"/>
      <w:pPr>
        <w:ind w:left="6890" w:hanging="360"/>
      </w:pPr>
      <w:rPr>
        <w:rFonts w:hint="default"/>
      </w:rPr>
    </w:lvl>
    <w:lvl w:ilvl="8">
      <w:start w:val="1"/>
      <w:numFmt w:val="bullet"/>
      <w:lvlText w:val="•"/>
      <w:lvlJc w:val="left"/>
      <w:pPr>
        <w:ind w:left="7780" w:hanging="360"/>
      </w:pPr>
      <w:rPr>
        <w:rFonts w:hint="default"/>
      </w:rPr>
    </w:lvl>
  </w:abstractNum>
  <w:abstractNum w:abstractNumId="4">
    <w:multiLevelType w:val="hybridMultilevel"/>
    <w:lvl w:ilvl="0">
      <w:start w:val="1"/>
      <w:numFmt w:val="bullet"/>
      <w:lvlText w:val="•"/>
      <w:lvlJc w:val="left"/>
      <w:pPr>
        <w:ind w:left="822" w:hanging="360"/>
      </w:pPr>
      <w:rPr>
        <w:rFonts w:hint="default" w:ascii="Arial" w:hAnsi="Arial" w:eastAsia="Arial" w:cs="Arial"/>
        <w:w w:val="99"/>
        <w:sz w:val="24"/>
        <w:szCs w:val="24"/>
      </w:rPr>
    </w:lvl>
    <w:lvl w:ilvl="1">
      <w:start w:val="1"/>
      <w:numFmt w:val="bullet"/>
      <w:lvlText w:val="•"/>
      <w:lvlJc w:val="left"/>
      <w:pPr>
        <w:ind w:left="1694" w:hanging="360"/>
      </w:pPr>
      <w:rPr>
        <w:rFonts w:hint="default"/>
      </w:rPr>
    </w:lvl>
    <w:lvl w:ilvl="2">
      <w:start w:val="1"/>
      <w:numFmt w:val="bullet"/>
      <w:lvlText w:val="•"/>
      <w:lvlJc w:val="left"/>
      <w:pPr>
        <w:ind w:left="2568" w:hanging="360"/>
      </w:pPr>
      <w:rPr>
        <w:rFonts w:hint="default"/>
      </w:rPr>
    </w:lvl>
    <w:lvl w:ilvl="3">
      <w:start w:val="1"/>
      <w:numFmt w:val="bullet"/>
      <w:lvlText w:val="•"/>
      <w:lvlJc w:val="left"/>
      <w:pPr>
        <w:ind w:left="3442" w:hanging="360"/>
      </w:pPr>
      <w:rPr>
        <w:rFonts w:hint="default"/>
      </w:rPr>
    </w:lvl>
    <w:lvl w:ilvl="4">
      <w:start w:val="1"/>
      <w:numFmt w:val="bullet"/>
      <w:lvlText w:val="•"/>
      <w:lvlJc w:val="left"/>
      <w:pPr>
        <w:ind w:left="4316" w:hanging="360"/>
      </w:pPr>
      <w:rPr>
        <w:rFonts w:hint="default"/>
      </w:rPr>
    </w:lvl>
    <w:lvl w:ilvl="5">
      <w:start w:val="1"/>
      <w:numFmt w:val="bullet"/>
      <w:lvlText w:val="•"/>
      <w:lvlJc w:val="left"/>
      <w:pPr>
        <w:ind w:left="5190" w:hanging="360"/>
      </w:pPr>
      <w:rPr>
        <w:rFonts w:hint="default"/>
      </w:rPr>
    </w:lvl>
    <w:lvl w:ilvl="6">
      <w:start w:val="1"/>
      <w:numFmt w:val="bullet"/>
      <w:lvlText w:val="•"/>
      <w:lvlJc w:val="left"/>
      <w:pPr>
        <w:ind w:left="6064" w:hanging="360"/>
      </w:pPr>
      <w:rPr>
        <w:rFonts w:hint="default"/>
      </w:rPr>
    </w:lvl>
    <w:lvl w:ilvl="7">
      <w:start w:val="1"/>
      <w:numFmt w:val="bullet"/>
      <w:lvlText w:val="•"/>
      <w:lvlJc w:val="left"/>
      <w:pPr>
        <w:ind w:left="6938" w:hanging="360"/>
      </w:pPr>
      <w:rPr>
        <w:rFonts w:hint="default"/>
      </w:rPr>
    </w:lvl>
    <w:lvl w:ilvl="8">
      <w:start w:val="1"/>
      <w:numFmt w:val="bullet"/>
      <w:lvlText w:val="•"/>
      <w:lvlJc w:val="left"/>
      <w:pPr>
        <w:ind w:left="7812" w:hanging="360"/>
      </w:pPr>
      <w:rPr>
        <w:rFonts w:hint="default"/>
      </w:rPr>
    </w:lvl>
  </w:abstractNum>
  <w:abstractNum w:abstractNumId="3">
    <w:multiLevelType w:val="hybridMultilevel"/>
    <w:lvl w:ilvl="0">
      <w:start w:val="1"/>
      <w:numFmt w:val="bullet"/>
      <w:lvlText w:val=""/>
      <w:lvlJc w:val="left"/>
      <w:pPr>
        <w:ind w:left="822" w:hanging="360"/>
      </w:pPr>
      <w:rPr>
        <w:rFonts w:hint="default" w:ascii="Symbol" w:hAnsi="Symbol" w:eastAsia="Symbol" w:cs="Symbol"/>
        <w:w w:val="99"/>
        <w:sz w:val="20"/>
        <w:szCs w:val="20"/>
      </w:rPr>
    </w:lvl>
    <w:lvl w:ilvl="1">
      <w:start w:val="1"/>
      <w:numFmt w:val="bullet"/>
      <w:lvlText w:val="•"/>
      <w:lvlJc w:val="left"/>
      <w:pPr>
        <w:ind w:left="1694" w:hanging="360"/>
      </w:pPr>
      <w:rPr>
        <w:rFonts w:hint="default"/>
      </w:rPr>
    </w:lvl>
    <w:lvl w:ilvl="2">
      <w:start w:val="1"/>
      <w:numFmt w:val="bullet"/>
      <w:lvlText w:val="•"/>
      <w:lvlJc w:val="left"/>
      <w:pPr>
        <w:ind w:left="2568" w:hanging="360"/>
      </w:pPr>
      <w:rPr>
        <w:rFonts w:hint="default"/>
      </w:rPr>
    </w:lvl>
    <w:lvl w:ilvl="3">
      <w:start w:val="1"/>
      <w:numFmt w:val="bullet"/>
      <w:lvlText w:val="•"/>
      <w:lvlJc w:val="left"/>
      <w:pPr>
        <w:ind w:left="3442" w:hanging="360"/>
      </w:pPr>
      <w:rPr>
        <w:rFonts w:hint="default"/>
      </w:rPr>
    </w:lvl>
    <w:lvl w:ilvl="4">
      <w:start w:val="1"/>
      <w:numFmt w:val="bullet"/>
      <w:lvlText w:val="•"/>
      <w:lvlJc w:val="left"/>
      <w:pPr>
        <w:ind w:left="4316" w:hanging="360"/>
      </w:pPr>
      <w:rPr>
        <w:rFonts w:hint="default"/>
      </w:rPr>
    </w:lvl>
    <w:lvl w:ilvl="5">
      <w:start w:val="1"/>
      <w:numFmt w:val="bullet"/>
      <w:lvlText w:val="•"/>
      <w:lvlJc w:val="left"/>
      <w:pPr>
        <w:ind w:left="5190" w:hanging="360"/>
      </w:pPr>
      <w:rPr>
        <w:rFonts w:hint="default"/>
      </w:rPr>
    </w:lvl>
    <w:lvl w:ilvl="6">
      <w:start w:val="1"/>
      <w:numFmt w:val="bullet"/>
      <w:lvlText w:val="•"/>
      <w:lvlJc w:val="left"/>
      <w:pPr>
        <w:ind w:left="6064" w:hanging="360"/>
      </w:pPr>
      <w:rPr>
        <w:rFonts w:hint="default"/>
      </w:rPr>
    </w:lvl>
    <w:lvl w:ilvl="7">
      <w:start w:val="1"/>
      <w:numFmt w:val="bullet"/>
      <w:lvlText w:val="•"/>
      <w:lvlJc w:val="left"/>
      <w:pPr>
        <w:ind w:left="6938" w:hanging="360"/>
      </w:pPr>
      <w:rPr>
        <w:rFonts w:hint="default"/>
      </w:rPr>
    </w:lvl>
    <w:lvl w:ilvl="8">
      <w:start w:val="1"/>
      <w:numFmt w:val="bullet"/>
      <w:lvlText w:val="•"/>
      <w:lvlJc w:val="left"/>
      <w:pPr>
        <w:ind w:left="7812" w:hanging="360"/>
      </w:pPr>
      <w:rPr>
        <w:rFonts w:hint="default"/>
      </w:rPr>
    </w:lvl>
  </w:abstractNum>
  <w:abstractNum w:abstractNumId="2">
    <w:multiLevelType w:val="hybridMultilevel"/>
    <w:lvl w:ilvl="0">
      <w:start w:val="1"/>
      <w:numFmt w:val="upperRoman"/>
      <w:lvlText w:val="%1."/>
      <w:lvlJc w:val="left"/>
      <w:pPr>
        <w:ind w:left="662" w:hanging="201"/>
        <w:jc w:val="left"/>
      </w:pPr>
      <w:rPr>
        <w:rFonts w:hint="default" w:ascii="Arial" w:hAnsi="Arial" w:eastAsia="Arial" w:cs="Arial"/>
        <w:w w:val="100"/>
        <w:sz w:val="24"/>
        <w:szCs w:val="24"/>
      </w:rPr>
    </w:lvl>
    <w:lvl w:ilvl="1">
      <w:start w:val="1"/>
      <w:numFmt w:val="decimal"/>
      <w:lvlText w:val="%2."/>
      <w:lvlJc w:val="left"/>
      <w:pPr>
        <w:ind w:left="1542" w:hanging="360"/>
        <w:jc w:val="left"/>
      </w:pPr>
      <w:rPr>
        <w:rFonts w:hint="default" w:ascii="Arial" w:hAnsi="Arial" w:eastAsia="Arial" w:cs="Arial"/>
        <w:spacing w:val="-22"/>
        <w:w w:val="99"/>
        <w:sz w:val="24"/>
        <w:szCs w:val="24"/>
      </w:rPr>
    </w:lvl>
    <w:lvl w:ilvl="2">
      <w:start w:val="1"/>
      <w:numFmt w:val="bullet"/>
      <w:lvlText w:val="•"/>
      <w:lvlJc w:val="left"/>
      <w:pPr>
        <w:ind w:left="2431" w:hanging="360"/>
      </w:pPr>
      <w:rPr>
        <w:rFonts w:hint="default"/>
      </w:rPr>
    </w:lvl>
    <w:lvl w:ilvl="3">
      <w:start w:val="1"/>
      <w:numFmt w:val="bullet"/>
      <w:lvlText w:val="•"/>
      <w:lvlJc w:val="left"/>
      <w:pPr>
        <w:ind w:left="3322" w:hanging="360"/>
      </w:pPr>
      <w:rPr>
        <w:rFonts w:hint="default"/>
      </w:rPr>
    </w:lvl>
    <w:lvl w:ilvl="4">
      <w:start w:val="1"/>
      <w:numFmt w:val="bullet"/>
      <w:lvlText w:val="•"/>
      <w:lvlJc w:val="left"/>
      <w:pPr>
        <w:ind w:left="4213" w:hanging="360"/>
      </w:pPr>
      <w:rPr>
        <w:rFonts w:hint="default"/>
      </w:rPr>
    </w:lvl>
    <w:lvl w:ilvl="5">
      <w:start w:val="1"/>
      <w:numFmt w:val="bullet"/>
      <w:lvlText w:val="•"/>
      <w:lvlJc w:val="left"/>
      <w:pPr>
        <w:ind w:left="5104" w:hanging="360"/>
      </w:pPr>
      <w:rPr>
        <w:rFonts w:hint="default"/>
      </w:rPr>
    </w:lvl>
    <w:lvl w:ilvl="6">
      <w:start w:val="1"/>
      <w:numFmt w:val="bullet"/>
      <w:lvlText w:val="•"/>
      <w:lvlJc w:val="left"/>
      <w:pPr>
        <w:ind w:left="5995" w:hanging="360"/>
      </w:pPr>
      <w:rPr>
        <w:rFonts w:hint="default"/>
      </w:rPr>
    </w:lvl>
    <w:lvl w:ilvl="7">
      <w:start w:val="1"/>
      <w:numFmt w:val="bullet"/>
      <w:lvlText w:val="•"/>
      <w:lvlJc w:val="left"/>
      <w:pPr>
        <w:ind w:left="6886" w:hanging="360"/>
      </w:pPr>
      <w:rPr>
        <w:rFonts w:hint="default"/>
      </w:rPr>
    </w:lvl>
    <w:lvl w:ilvl="8">
      <w:start w:val="1"/>
      <w:numFmt w:val="bullet"/>
      <w:lvlText w:val="•"/>
      <w:lvlJc w:val="left"/>
      <w:pPr>
        <w:ind w:left="7777" w:hanging="360"/>
      </w:pPr>
      <w:rPr>
        <w:rFonts w:hint="default"/>
      </w:rPr>
    </w:lvl>
  </w:abstractNum>
  <w:abstractNum w:abstractNumId="1">
    <w:multiLevelType w:val="hybridMultilevel"/>
    <w:lvl w:ilvl="0">
      <w:start w:val="1"/>
      <w:numFmt w:val="bullet"/>
      <w:lvlText w:val="-"/>
      <w:lvlJc w:val="left"/>
      <w:pPr>
        <w:ind w:left="822" w:hanging="360"/>
      </w:pPr>
      <w:rPr>
        <w:rFonts w:hint="default" w:ascii="Arial" w:hAnsi="Arial" w:eastAsia="Arial" w:cs="Arial"/>
        <w:spacing w:val="-3"/>
        <w:w w:val="99"/>
        <w:sz w:val="24"/>
        <w:szCs w:val="24"/>
      </w:rPr>
    </w:lvl>
    <w:lvl w:ilvl="1">
      <w:start w:val="1"/>
      <w:numFmt w:val="bullet"/>
      <w:lvlText w:val="•"/>
      <w:lvlJc w:val="left"/>
      <w:pPr>
        <w:ind w:left="1696" w:hanging="360"/>
      </w:pPr>
      <w:rPr>
        <w:rFonts w:hint="default"/>
      </w:rPr>
    </w:lvl>
    <w:lvl w:ilvl="2">
      <w:start w:val="1"/>
      <w:numFmt w:val="bullet"/>
      <w:lvlText w:val="•"/>
      <w:lvlJc w:val="left"/>
      <w:pPr>
        <w:ind w:left="2572" w:hanging="360"/>
      </w:pPr>
      <w:rPr>
        <w:rFonts w:hint="default"/>
      </w:rPr>
    </w:lvl>
    <w:lvl w:ilvl="3">
      <w:start w:val="1"/>
      <w:numFmt w:val="bullet"/>
      <w:lvlText w:val="•"/>
      <w:lvlJc w:val="left"/>
      <w:pPr>
        <w:ind w:left="3448" w:hanging="360"/>
      </w:pPr>
      <w:rPr>
        <w:rFonts w:hint="default"/>
      </w:rPr>
    </w:lvl>
    <w:lvl w:ilvl="4">
      <w:start w:val="1"/>
      <w:numFmt w:val="bullet"/>
      <w:lvlText w:val="•"/>
      <w:lvlJc w:val="left"/>
      <w:pPr>
        <w:ind w:left="4324" w:hanging="360"/>
      </w:pPr>
      <w:rPr>
        <w:rFonts w:hint="default"/>
      </w:rPr>
    </w:lvl>
    <w:lvl w:ilvl="5">
      <w:start w:val="1"/>
      <w:numFmt w:val="bullet"/>
      <w:lvlText w:val="•"/>
      <w:lvlJc w:val="left"/>
      <w:pPr>
        <w:ind w:left="5200" w:hanging="360"/>
      </w:pPr>
      <w:rPr>
        <w:rFonts w:hint="default"/>
      </w:rPr>
    </w:lvl>
    <w:lvl w:ilvl="6">
      <w:start w:val="1"/>
      <w:numFmt w:val="bullet"/>
      <w:lvlText w:val="•"/>
      <w:lvlJc w:val="left"/>
      <w:pPr>
        <w:ind w:left="6076" w:hanging="360"/>
      </w:pPr>
      <w:rPr>
        <w:rFonts w:hint="default"/>
      </w:rPr>
    </w:lvl>
    <w:lvl w:ilvl="7">
      <w:start w:val="1"/>
      <w:numFmt w:val="bullet"/>
      <w:lvlText w:val="•"/>
      <w:lvlJc w:val="left"/>
      <w:pPr>
        <w:ind w:left="6952" w:hanging="360"/>
      </w:pPr>
      <w:rPr>
        <w:rFonts w:hint="default"/>
      </w:rPr>
    </w:lvl>
    <w:lvl w:ilvl="8">
      <w:start w:val="1"/>
      <w:numFmt w:val="bullet"/>
      <w:lvlText w:val="•"/>
      <w:lvlJc w:val="left"/>
      <w:pPr>
        <w:ind w:left="7828" w:hanging="360"/>
      </w:pPr>
      <w:rPr>
        <w:rFonts w:hint="default"/>
      </w:rPr>
    </w:lvl>
  </w:abstractNum>
  <w:abstractNum w:abstractNumId="0">
    <w:multiLevelType w:val="hybridMultilevel"/>
    <w:lvl w:ilvl="0">
      <w:start w:val="5"/>
      <w:numFmt w:val="decimal"/>
      <w:lvlText w:val="%1"/>
      <w:lvlJc w:val="left"/>
      <w:pPr>
        <w:ind w:left="102" w:hanging="742"/>
        <w:jc w:val="left"/>
      </w:pPr>
      <w:rPr>
        <w:rFonts w:hint="default"/>
      </w:rPr>
    </w:lvl>
    <w:lvl w:ilvl="1">
      <w:start w:val="1"/>
      <w:numFmt w:val="decimal"/>
      <w:lvlText w:val="%1.%2"/>
      <w:lvlJc w:val="left"/>
      <w:pPr>
        <w:ind w:left="102" w:hanging="742"/>
        <w:jc w:val="left"/>
      </w:pPr>
      <w:rPr>
        <w:rFonts w:hint="default"/>
      </w:rPr>
    </w:lvl>
    <w:lvl w:ilvl="2">
      <w:start w:val="13"/>
      <w:numFmt w:val="decimal"/>
      <w:lvlText w:val="%1.%2.%3"/>
      <w:lvlJc w:val="left"/>
      <w:pPr>
        <w:ind w:left="102" w:hanging="742"/>
        <w:jc w:val="left"/>
      </w:pPr>
      <w:rPr>
        <w:rFonts w:hint="default" w:ascii="Arial" w:hAnsi="Arial" w:eastAsia="Arial" w:cs="Arial"/>
        <w:spacing w:val="-2"/>
        <w:w w:val="99"/>
        <w:sz w:val="24"/>
        <w:szCs w:val="24"/>
      </w:rPr>
    </w:lvl>
    <w:lvl w:ilvl="3">
      <w:start w:val="1"/>
      <w:numFmt w:val="upperLetter"/>
      <w:lvlText w:val="%4."/>
      <w:lvlJc w:val="left"/>
      <w:pPr>
        <w:ind w:left="822" w:hanging="360"/>
        <w:jc w:val="left"/>
      </w:pPr>
      <w:rPr>
        <w:rFonts w:hint="default" w:ascii="Arial" w:hAnsi="Arial" w:eastAsia="Arial" w:cs="Arial"/>
        <w:w w:val="100"/>
        <w:sz w:val="24"/>
        <w:szCs w:val="24"/>
      </w:rPr>
    </w:lvl>
    <w:lvl w:ilvl="4">
      <w:start w:val="1"/>
      <w:numFmt w:val="bullet"/>
      <w:lvlText w:val="•"/>
      <w:lvlJc w:val="left"/>
      <w:pPr>
        <w:ind w:left="3733" w:hanging="360"/>
      </w:pPr>
      <w:rPr>
        <w:rFonts w:hint="default"/>
      </w:rPr>
    </w:lvl>
    <w:lvl w:ilvl="5">
      <w:start w:val="1"/>
      <w:numFmt w:val="bullet"/>
      <w:lvlText w:val="•"/>
      <w:lvlJc w:val="left"/>
      <w:pPr>
        <w:ind w:left="4704" w:hanging="360"/>
      </w:pPr>
      <w:rPr>
        <w:rFonts w:hint="default"/>
      </w:rPr>
    </w:lvl>
    <w:lvl w:ilvl="6">
      <w:start w:val="1"/>
      <w:numFmt w:val="bullet"/>
      <w:lvlText w:val="•"/>
      <w:lvlJc w:val="left"/>
      <w:pPr>
        <w:ind w:left="5675" w:hanging="360"/>
      </w:pPr>
      <w:rPr>
        <w:rFonts w:hint="default"/>
      </w:rPr>
    </w:lvl>
    <w:lvl w:ilvl="7">
      <w:start w:val="1"/>
      <w:numFmt w:val="bullet"/>
      <w:lvlText w:val="•"/>
      <w:lvlJc w:val="left"/>
      <w:pPr>
        <w:ind w:left="6646" w:hanging="360"/>
      </w:pPr>
      <w:rPr>
        <w:rFonts w:hint="default"/>
      </w:rPr>
    </w:lvl>
    <w:lvl w:ilvl="8">
      <w:start w:val="1"/>
      <w:numFmt w:val="bullet"/>
      <w:lvlText w:val="•"/>
      <w:lvlJc w:val="left"/>
      <w:pPr>
        <w:ind w:left="7617" w:hanging="360"/>
      </w:pPr>
      <w:rPr>
        <w:rFonts w:hint="default"/>
      </w:rPr>
    </w:lvl>
  </w:abstract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54"/>
      <w:ind w:left="102"/>
      <w:outlineLvl w:val="1"/>
    </w:pPr>
    <w:rPr>
      <w:rFonts w:ascii="Arial" w:hAnsi="Arial" w:eastAsia="Arial" w:cs="Arial"/>
      <w:b/>
      <w:bCs/>
      <w:sz w:val="24"/>
      <w:szCs w:val="24"/>
    </w:rPr>
  </w:style>
  <w:style w:styleId="ListParagraph" w:type="paragraph">
    <w:name w:val="List Paragraph"/>
    <w:basedOn w:val="Normal"/>
    <w:uiPriority w:val="1"/>
    <w:qFormat/>
    <w:pPr>
      <w:spacing w:before="2"/>
      <w:ind w:left="822" w:hanging="360"/>
    </w:pPr>
    <w:rPr>
      <w:rFonts w:ascii="Arial" w:hAnsi="Arial" w:eastAsia="Arial" w:cs="Arial"/>
    </w:rPr>
  </w:style>
  <w:style w:styleId="TableParagraph" w:type="paragraph">
    <w:name w:val="Table Paragraph"/>
    <w:basedOn w:val="Normal"/>
    <w:uiPriority w:val="1"/>
    <w:qFormat/>
    <w:pPr>
      <w:spacing w:before="119"/>
      <w:ind w:left="98"/>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image" Target="media/image2.png"/><Relationship Id="rId11" Type="http://schemas.openxmlformats.org/officeDocument/2006/relationships/footer" Target="footer5.xml"/><Relationship Id="rId12" Type="http://schemas.openxmlformats.org/officeDocument/2006/relationships/footer" Target="footer6.xml"/><Relationship Id="rId13" Type="http://schemas.openxmlformats.org/officeDocument/2006/relationships/footer" Target="footer7.xml"/><Relationship Id="rId14" Type="http://schemas.openxmlformats.org/officeDocument/2006/relationships/footer" Target="footer8.xml"/><Relationship Id="rId15" Type="http://schemas.openxmlformats.org/officeDocument/2006/relationships/footer" Target="footer9.xml"/><Relationship Id="rId16" Type="http://schemas.openxmlformats.org/officeDocument/2006/relationships/footer" Target="footer10.xml"/><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footer" Target="footer11.xml"/><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footer" Target="footer12.xml"/><Relationship Id="rId24" Type="http://schemas.openxmlformats.org/officeDocument/2006/relationships/footer" Target="footer13.xml"/><Relationship Id="rId25" Type="http://schemas.openxmlformats.org/officeDocument/2006/relationships/image" Target="media/image8.png"/><Relationship Id="rId26" Type="http://schemas.openxmlformats.org/officeDocument/2006/relationships/footer" Target="footer14.xml"/><Relationship Id="rId27" Type="http://schemas.openxmlformats.org/officeDocument/2006/relationships/image" Target="media/image9.png"/><Relationship Id="rId28" Type="http://schemas.openxmlformats.org/officeDocument/2006/relationships/footer" Target="footer15.xml"/><Relationship Id="rId29" Type="http://schemas.openxmlformats.org/officeDocument/2006/relationships/footer" Target="footer16.xml"/><Relationship Id="rId30" Type="http://schemas.openxmlformats.org/officeDocument/2006/relationships/image" Target="media/image10.png"/><Relationship Id="rId31" Type="http://schemas.openxmlformats.org/officeDocument/2006/relationships/image" Target="media/image11.png"/><Relationship Id="rId32" Type="http://schemas.openxmlformats.org/officeDocument/2006/relationships/image" Target="media/image12.png"/><Relationship Id="rId33" Type="http://schemas.openxmlformats.org/officeDocument/2006/relationships/image" Target="media/image13.png"/><Relationship Id="rId34" Type="http://schemas.openxmlformats.org/officeDocument/2006/relationships/image" Target="media/image14.png"/><Relationship Id="rId35" Type="http://schemas.openxmlformats.org/officeDocument/2006/relationships/image" Target="media/image15.png"/><Relationship Id="rId36" Type="http://schemas.openxmlformats.org/officeDocument/2006/relationships/image" Target="media/image16.png"/><Relationship Id="rId37" Type="http://schemas.openxmlformats.org/officeDocument/2006/relationships/footer" Target="footer17.xml"/><Relationship Id="rId38" Type="http://schemas.openxmlformats.org/officeDocument/2006/relationships/footer" Target="footer18.xml"/><Relationship Id="rId39" Type="http://schemas.openxmlformats.org/officeDocument/2006/relationships/footer" Target="footer19.xml"/><Relationship Id="rId40" Type="http://schemas.openxmlformats.org/officeDocument/2006/relationships/footer" Target="footer20.xml"/><Relationship Id="rId41" Type="http://schemas.openxmlformats.org/officeDocument/2006/relationships/hyperlink" Target="http://www.who.int/reproductivehealth/publications/monitoring/maternal-mortality-" TargetMode="External"/><Relationship Id="rId42" Type="http://schemas.openxmlformats.org/officeDocument/2006/relationships/hyperlink" Target="http://who.int/mediacentre/factssheets/fs348/es/" TargetMode="External"/><Relationship Id="rId43" Type="http://schemas.openxmlformats.org/officeDocument/2006/relationships/hyperlink" Target="http://www.dgis.salud.gob.mx/contenidos/basesdedatos/bdc_defunciones.html.ac" TargetMode="External"/><Relationship Id="rId44" Type="http://schemas.openxmlformats.org/officeDocument/2006/relationships/hyperlink" Target="http://www.un.org/sustainabledevelopment/es/health" TargetMode="External"/><Relationship Id="rId45" Type="http://schemas.openxmlformats.org/officeDocument/2006/relationships/hyperlink" Target="https://www.rcog.org.uk/en/guidelines-research-services/guidelines/gtg56/" TargetMode="External"/><Relationship Id="rId46" Type="http://schemas.openxmlformats.org/officeDocument/2006/relationships/footer" Target="footer21.xml"/><Relationship Id="rId47" Type="http://schemas.openxmlformats.org/officeDocument/2006/relationships/hyperlink" Target="http://www.who.int/maternal_child_adolescent/topics/maternal/maternal_perinatal" TargetMode="External"/><Relationship Id="rId48" Type="http://schemas.openxmlformats.org/officeDocument/2006/relationships/footer" Target="footer22.xml"/><Relationship Id="rId49" Type="http://schemas.openxmlformats.org/officeDocument/2006/relationships/hyperlink" Target="http://www.scielo.org.ve/scielo.php?script=sci_arttext&amp;amp;pid=S0048-" TargetMode="External"/><Relationship Id="rId50" Type="http://schemas.openxmlformats.org/officeDocument/2006/relationships/footer" Target="footer23.xml"/><Relationship Id="rId51" Type="http://schemas.openxmlformats.org/officeDocument/2006/relationships/footer" Target="footer24.xml"/><Relationship Id="rId52" Type="http://schemas.openxmlformats.org/officeDocument/2006/relationships/footer" Target="footer25.xml"/><Relationship Id="rId53" Type="http://schemas.openxmlformats.org/officeDocument/2006/relationships/image" Target="media/image17.png"/><Relationship Id="rId54" Type="http://schemas.openxmlformats.org/officeDocument/2006/relationships/image" Target="media/image18.png"/><Relationship Id="rId55" Type="http://schemas.openxmlformats.org/officeDocument/2006/relationships/footer" Target="footer26.xml"/><Relationship Id="rId56" Type="http://schemas.openxmlformats.org/officeDocument/2006/relationships/image" Target="media/image19.png"/><Relationship Id="rId57" Type="http://schemas.openxmlformats.org/officeDocument/2006/relationships/image" Target="media/image20.png"/><Relationship Id="rId5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 Edna</dc:creator>
  <dcterms:created xsi:type="dcterms:W3CDTF">2017-05-18T02:04:36Z</dcterms:created>
  <dcterms:modified xsi:type="dcterms:W3CDTF">2017-05-18T02:04:36Z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2017-03-24T00:00:00Z</vt:filetime>
  </property>
  <property fmtid="{D5CDD505-2E9C-101B-9397-08002B2CF9AE}" pid="3" name="Creator">
    <vt:lpwstr>Microsoft® Word 2010</vt:lpwstr>
  </property>
  <property fmtid="{D5CDD505-2E9C-101B-9397-08002B2CF9AE}" pid="4" name="LastSaved">
    <vt:filetime>2017-05-18T00:00:00Z</vt:filetime>
  </property>
</Properties>
</file>