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59" w:lineRule="auto" w:before="43"/>
        <w:ind w:left="1506" w:right="906"/>
        <w:jc w:val="center"/>
      </w:pPr>
      <w:r>
        <w:rPr/>
        <w:t>UNIVERSIDAD AUTÓNOMA DEL ESTADO DE MÉXICO FACULTAD DE MEDICINA</w:t>
      </w:r>
    </w:p>
    <w:p>
      <w:pPr>
        <w:pStyle w:val="BodyText"/>
        <w:spacing w:line="259" w:lineRule="auto"/>
        <w:ind w:left="1506" w:right="845"/>
        <w:jc w:val="center"/>
      </w:pPr>
      <w:r>
        <w:rPr/>
        <w:t>COORDINACION DE INVESTIGACIÓN Y ESTUDIOS AVANZADOS DEPARTAMENTO DE ESTUDIOS AVANZADOS</w:t>
      </w:r>
    </w:p>
    <w:p>
      <w:pPr>
        <w:pStyle w:val="BodyText"/>
        <w:ind w:left="1506" w:right="904"/>
        <w:jc w:val="center"/>
      </w:pPr>
      <w:r>
        <w:rPr/>
        <w:t>COORDINACION DE LA ESPECIALIDAD EN RADIOLOGÍA</w:t>
      </w:r>
    </w:p>
    <w:p>
      <w:pPr>
        <w:spacing w:before="21"/>
        <w:ind w:left="2497" w:right="615" w:firstLine="0"/>
        <w:jc w:val="left"/>
        <w:rPr>
          <w:sz w:val="22"/>
        </w:rPr>
      </w:pPr>
      <w:r>
        <w:rPr>
          <w:sz w:val="22"/>
        </w:rPr>
        <w:t>DEPARTAMENTO DE EVALUACIÓN PROFESIONAL</w:t>
      </w:r>
    </w:p>
    <w:p>
      <w:pPr>
        <w:pStyle w:val="BodyText"/>
        <w:spacing w:before="9"/>
        <w:rPr>
          <w:sz w:val="23"/>
        </w:rPr>
      </w:pPr>
      <w:r>
        <w:rPr/>
        <w:drawing>
          <wp:anchor distT="0" distB="0" distL="0" distR="0" allowOverlap="1" layoutInCell="1" locked="0" behindDoc="0" simplePos="0" relativeHeight="0">
            <wp:simplePos x="0" y="0"/>
            <wp:positionH relativeFrom="page">
              <wp:posOffset>3137916</wp:posOffset>
            </wp:positionH>
            <wp:positionV relativeFrom="paragraph">
              <wp:posOffset>198741</wp:posOffset>
            </wp:positionV>
            <wp:extent cx="1356863" cy="129254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56863" cy="1292542"/>
                    </a:xfrm>
                    <a:prstGeom prst="rect">
                      <a:avLst/>
                    </a:prstGeom>
                  </pic:spPr>
                </pic:pic>
              </a:graphicData>
            </a:graphic>
          </wp:anchor>
        </w:drawing>
      </w:r>
    </w:p>
    <w:p>
      <w:pPr>
        <w:pStyle w:val="BodyText"/>
        <w:spacing w:before="7"/>
        <w:rPr>
          <w:sz w:val="23"/>
        </w:rPr>
      </w:pPr>
    </w:p>
    <w:p>
      <w:pPr>
        <w:pStyle w:val="Heading1"/>
        <w:spacing w:line="259" w:lineRule="auto"/>
        <w:ind w:left="111" w:right="832" w:firstLine="35"/>
        <w:jc w:val="center"/>
      </w:pPr>
      <w:r>
        <w:rPr/>
        <w:t>‘CORRELACIÓN ENTRE ÍNDICE VOLUMEN TOTAL ESTROMA-OVARIO Y PERFIL SÉRICO ANDROGÉNICO EN 72 MUJERES DERECHOHABIENTES DEL HOSPITAL REGIONAL ISSEMyM TLALNEPANTLA ENTRE 18 Y 42</w:t>
      </w:r>
      <w:r>
        <w:rPr>
          <w:spacing w:val="-23"/>
        </w:rPr>
        <w:t> </w:t>
      </w:r>
      <w:r>
        <w:rPr/>
        <w:t>AÑOS</w:t>
      </w:r>
    </w:p>
    <w:p>
      <w:pPr>
        <w:spacing w:line="518" w:lineRule="auto" w:before="0"/>
        <w:ind w:left="1506" w:right="905" w:firstLine="0"/>
        <w:jc w:val="center"/>
        <w:rPr>
          <w:b/>
          <w:sz w:val="24"/>
        </w:rPr>
      </w:pPr>
      <w:r>
        <w:rPr>
          <w:b/>
          <w:sz w:val="24"/>
        </w:rPr>
        <w:t>DE EDAD CON SÍNDROME DE OVARIO POLIQUÍSTICO’ HOSPITAL REGIONAL TLALNEPANTLA</w:t>
      </w:r>
    </w:p>
    <w:p>
      <w:pPr>
        <w:spacing w:before="8"/>
        <w:ind w:left="1506" w:right="904" w:firstLine="0"/>
        <w:jc w:val="center"/>
        <w:rPr>
          <w:b/>
          <w:sz w:val="24"/>
        </w:rPr>
      </w:pPr>
      <w:r>
        <w:rPr>
          <w:b/>
          <w:sz w:val="24"/>
        </w:rPr>
        <w:t>TESIS</w:t>
      </w:r>
    </w:p>
    <w:p>
      <w:pPr>
        <w:pStyle w:val="BodyText"/>
        <w:spacing w:before="8"/>
        <w:rPr>
          <w:b/>
          <w:sz w:val="27"/>
        </w:rPr>
      </w:pPr>
    </w:p>
    <w:p>
      <w:pPr>
        <w:spacing w:line="256" w:lineRule="auto" w:before="0"/>
        <w:ind w:left="2062" w:right="615" w:hanging="1760"/>
        <w:jc w:val="left"/>
        <w:rPr>
          <w:b/>
          <w:sz w:val="24"/>
        </w:rPr>
      </w:pPr>
      <w:r>
        <w:rPr>
          <w:sz w:val="24"/>
        </w:rPr>
        <w:t>QUE PARA OBTENER EL DIPLOMA DE POSGRADO DE LA ESPECIALIDAD EN:  </w:t>
      </w:r>
      <w:r>
        <w:rPr>
          <w:b/>
          <w:sz w:val="24"/>
        </w:rPr>
        <w:t>IMAGENOLOGÍA DIAGNÓSTICA Y TERAPÉUTICA</w:t>
      </w:r>
    </w:p>
    <w:p>
      <w:pPr>
        <w:pStyle w:val="BodyText"/>
        <w:spacing w:before="3"/>
        <w:rPr>
          <w:b/>
          <w:sz w:val="26"/>
        </w:rPr>
      </w:pPr>
    </w:p>
    <w:p>
      <w:pPr>
        <w:pStyle w:val="BodyText"/>
        <w:spacing w:before="1"/>
        <w:ind w:left="1506" w:right="904"/>
        <w:jc w:val="center"/>
      </w:pPr>
      <w:r>
        <w:rPr/>
        <w:t>PRESENTA:</w:t>
      </w:r>
    </w:p>
    <w:p>
      <w:pPr>
        <w:pStyle w:val="Heading1"/>
        <w:spacing w:line="518" w:lineRule="auto" w:before="19"/>
        <w:ind w:left="3947" w:right="1035" w:hanging="1076"/>
      </w:pPr>
      <w:r>
        <w:rPr/>
        <w:t>M.C. BERENICE GODÍNEZ CONTRERAS DIRECTOR DE TESIS</w:t>
      </w:r>
    </w:p>
    <w:p>
      <w:pPr>
        <w:pStyle w:val="BodyText"/>
        <w:spacing w:before="10"/>
        <w:ind w:left="1506" w:right="908"/>
        <w:jc w:val="center"/>
      </w:pPr>
      <w:r>
        <w:rPr/>
        <w:t>E. EN RAD. JUAN ALEJANDRO REGALADO CHICO</w:t>
      </w:r>
    </w:p>
    <w:p>
      <w:pPr>
        <w:pStyle w:val="BodyText"/>
        <w:spacing w:before="10"/>
        <w:rPr>
          <w:sz w:val="26"/>
        </w:rPr>
      </w:pPr>
    </w:p>
    <w:p>
      <w:pPr>
        <w:pStyle w:val="Heading1"/>
        <w:ind w:left="1506" w:right="903"/>
        <w:jc w:val="center"/>
      </w:pPr>
      <w:r>
        <w:rPr/>
        <w:t>ASESOR METODOLÓGICO</w:t>
      </w:r>
    </w:p>
    <w:p>
      <w:pPr>
        <w:pStyle w:val="BodyText"/>
        <w:spacing w:before="8"/>
        <w:rPr>
          <w:b/>
          <w:sz w:val="27"/>
        </w:rPr>
      </w:pPr>
    </w:p>
    <w:p>
      <w:pPr>
        <w:pStyle w:val="BodyText"/>
        <w:ind w:left="1506" w:right="908"/>
        <w:jc w:val="center"/>
      </w:pPr>
      <w:r>
        <w:rPr/>
        <w:t>E. EN RAD.  CECILIA JOSEFINA VILLASANTE LUNA</w:t>
      </w:r>
    </w:p>
    <w:p>
      <w:pPr>
        <w:pStyle w:val="BodyText"/>
        <w:spacing w:before="11"/>
        <w:rPr>
          <w:sz w:val="26"/>
        </w:rPr>
      </w:pPr>
    </w:p>
    <w:p>
      <w:pPr>
        <w:pStyle w:val="Heading1"/>
        <w:ind w:left="1506" w:right="896"/>
        <w:jc w:val="center"/>
      </w:pPr>
      <w:r>
        <w:rPr/>
        <w:t>REVISORES</w:t>
      </w:r>
    </w:p>
    <w:p>
      <w:pPr>
        <w:pStyle w:val="BodyText"/>
        <w:spacing w:before="31"/>
        <w:ind w:left="2509" w:right="615"/>
      </w:pPr>
      <w:r>
        <w:rPr/>
        <w:t>E. EN RAD. JOSÉ RAYMUNDO LOPEZ JUÁREZ</w:t>
      </w:r>
    </w:p>
    <w:p>
      <w:pPr>
        <w:pStyle w:val="BodyText"/>
        <w:spacing w:before="21"/>
        <w:ind w:left="2302" w:right="615"/>
      </w:pPr>
      <w:r>
        <w:rPr/>
        <w:t>E. EN RAD. OLIVER YEMEN FLORES DOMINGUEZ</w:t>
      </w:r>
    </w:p>
    <w:p>
      <w:pPr>
        <w:pStyle w:val="BodyText"/>
        <w:spacing w:before="21"/>
        <w:ind w:left="2259" w:right="615"/>
      </w:pPr>
      <w:r>
        <w:rPr/>
        <w:t>E. EN RAD. FRANCISCO JAVIER FIGUEROA SORIA</w:t>
      </w:r>
    </w:p>
    <w:p>
      <w:pPr>
        <w:pStyle w:val="BodyText"/>
        <w:spacing w:before="21"/>
        <w:ind w:left="1506" w:right="907"/>
        <w:jc w:val="center"/>
      </w:pPr>
      <w:r>
        <w:rPr/>
        <w:t>E. EN IC. MARIO ALFREDO JARAMILLO GARCIA</w:t>
      </w:r>
    </w:p>
    <w:p>
      <w:pPr>
        <w:pStyle w:val="BodyText"/>
        <w:spacing w:before="1"/>
        <w:rPr>
          <w:sz w:val="27"/>
        </w:rPr>
      </w:pPr>
    </w:p>
    <w:p>
      <w:pPr>
        <w:pStyle w:val="Heading1"/>
        <w:ind w:left="1506" w:right="903"/>
        <w:jc w:val="center"/>
      </w:pPr>
      <w:r>
        <w:rPr/>
        <w:t>TOLUCA, ESTADO DE MÉXICO, 2017.</w:t>
      </w:r>
    </w:p>
    <w:p>
      <w:pPr>
        <w:spacing w:after="0"/>
        <w:jc w:val="center"/>
        <w:sectPr>
          <w:type w:val="continuous"/>
          <w:pgSz w:w="12240" w:h="15840"/>
          <w:pgMar w:top="1220" w:bottom="280" w:left="820" w:right="1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before="70"/>
        <w:ind w:left="0" w:right="121" w:firstLine="0"/>
        <w:jc w:val="right"/>
        <w:rPr>
          <w:b/>
          <w:sz w:val="24"/>
        </w:rPr>
      </w:pPr>
      <w:r>
        <w:rPr>
          <w:b/>
          <w:sz w:val="24"/>
        </w:rPr>
        <w:t>Agradecimientos.</w:t>
      </w:r>
    </w:p>
    <w:p>
      <w:pPr>
        <w:spacing w:line="275" w:lineRule="exact" w:before="17"/>
        <w:ind w:left="0" w:right="110" w:firstLine="0"/>
        <w:jc w:val="right"/>
        <w:rPr>
          <w:i/>
          <w:sz w:val="24"/>
        </w:rPr>
      </w:pPr>
      <w:r>
        <w:rPr>
          <w:i/>
          <w:sz w:val="24"/>
        </w:rPr>
        <w:t>A mis padres y hermano, que han impulsado mi desarrollo académico con ejemplo y</w:t>
      </w:r>
    </w:p>
    <w:p>
      <w:pPr>
        <w:spacing w:line="242" w:lineRule="auto" w:before="0"/>
        <w:ind w:left="477" w:right="104" w:firstLine="6574"/>
        <w:jc w:val="right"/>
        <w:rPr>
          <w:i/>
          <w:sz w:val="24"/>
        </w:rPr>
      </w:pPr>
      <w:r>
        <w:rPr>
          <w:i/>
          <w:sz w:val="24"/>
        </w:rPr>
        <w:t>tolerancia en todo momento.</w:t>
      </w:r>
      <w:r>
        <w:rPr>
          <w:i/>
          <w:sz w:val="24"/>
        </w:rPr>
        <w:t> A mi marido, por no rendirse junto conmigo en momentos de desesperación y convertir los</w:t>
      </w:r>
    </w:p>
    <w:p>
      <w:pPr>
        <w:spacing w:line="242" w:lineRule="auto" w:before="0"/>
        <w:ind w:left="104" w:right="102" w:firstLine="7028"/>
        <w:jc w:val="right"/>
        <w:rPr>
          <w:i/>
          <w:sz w:val="24"/>
        </w:rPr>
      </w:pPr>
      <w:r>
        <w:rPr>
          <w:i/>
          <w:sz w:val="24"/>
        </w:rPr>
        <w:t>malos tragos en carcajadas.</w:t>
      </w:r>
      <w:r>
        <w:rPr>
          <w:i/>
          <w:sz w:val="24"/>
        </w:rPr>
        <w:t> A mis profesores, por su tiempo, constancia, paciencia y compartir sus experiencias, así como</w:t>
      </w:r>
    </w:p>
    <w:p>
      <w:pPr>
        <w:spacing w:line="271" w:lineRule="exact" w:before="0"/>
        <w:ind w:left="0" w:right="103" w:firstLine="0"/>
        <w:jc w:val="right"/>
        <w:rPr>
          <w:i/>
          <w:sz w:val="24"/>
        </w:rPr>
      </w:pPr>
      <w:r>
        <w:rPr>
          <w:i/>
          <w:sz w:val="24"/>
        </w:rPr>
        <w:t>conocimientos.</w:t>
      </w:r>
    </w:p>
    <w:p>
      <w:pPr>
        <w:pStyle w:val="BodyText"/>
        <w:spacing w:before="7"/>
        <w:rPr>
          <w:i/>
          <w:sz w:val="25"/>
        </w:rPr>
      </w:pPr>
    </w:p>
    <w:p>
      <w:pPr>
        <w:spacing w:before="0"/>
        <w:ind w:left="0" w:right="123" w:firstLine="0"/>
        <w:jc w:val="right"/>
        <w:rPr>
          <w:b/>
          <w:i/>
          <w:sz w:val="24"/>
        </w:rPr>
      </w:pPr>
      <w:r>
        <w:rPr>
          <w:b/>
          <w:i/>
          <w:sz w:val="24"/>
        </w:rPr>
        <w:t>‘Cuando el agradecimiento es absoluto, las palabras sobran.’</w:t>
      </w:r>
    </w:p>
    <w:p>
      <w:pPr>
        <w:spacing w:after="0"/>
        <w:jc w:val="right"/>
        <w:rPr>
          <w:sz w:val="24"/>
        </w:rPr>
        <w:sectPr>
          <w:pgSz w:w="12240" w:h="15840"/>
          <w:pgMar w:top="1500" w:bottom="280" w:left="920" w:right="1080"/>
        </w:sectPr>
      </w:pPr>
    </w:p>
    <w:p>
      <w:pPr>
        <w:spacing w:before="24"/>
        <w:ind w:left="4115" w:right="4683" w:firstLine="0"/>
        <w:jc w:val="center"/>
        <w:rPr>
          <w:rFonts w:ascii="Calibri" w:hAnsi="Calibri"/>
          <w:sz w:val="28"/>
        </w:rPr>
      </w:pPr>
      <w:r>
        <w:rPr>
          <w:rFonts w:ascii="Calibri" w:hAnsi="Calibri"/>
          <w:sz w:val="28"/>
        </w:rPr>
        <w:t>ÍNDICE</w:t>
      </w:r>
    </w:p>
    <w:p>
      <w:pPr>
        <w:tabs>
          <w:tab w:pos="9509" w:val="right" w:leader="dot"/>
        </w:tabs>
        <w:spacing w:before="212"/>
        <w:ind w:left="118" w:right="0" w:firstLine="0"/>
        <w:jc w:val="left"/>
        <w:rPr>
          <w:rFonts w:ascii="Calibri"/>
          <w:b/>
          <w:sz w:val="20"/>
        </w:rPr>
      </w:pPr>
      <w:hyperlink w:history="true" w:anchor="_bookmark0">
        <w:r>
          <w:rPr>
            <w:rFonts w:ascii="Calibri"/>
            <w:b/>
            <w:sz w:val="20"/>
            <w:u w:val="single"/>
          </w:rPr>
          <w:t>RESUMEN</w:t>
        </w:r>
        <w:r>
          <w:rPr>
            <w:rFonts w:ascii="Calibri"/>
            <w:b/>
            <w:sz w:val="20"/>
          </w:rPr>
          <w:tab/>
        </w:r>
        <w:r>
          <w:rPr>
            <w:rFonts w:ascii="Calibri"/>
            <w:b/>
            <w:sz w:val="20"/>
            <w:u w:val="single"/>
          </w:rPr>
          <w:t>6</w:t>
        </w:r>
      </w:hyperlink>
    </w:p>
    <w:p>
      <w:pPr>
        <w:tabs>
          <w:tab w:pos="9509" w:val="right" w:leader="dot"/>
        </w:tabs>
        <w:spacing w:before="240"/>
        <w:ind w:left="118" w:right="0" w:firstLine="0"/>
        <w:jc w:val="left"/>
        <w:rPr>
          <w:rFonts w:ascii="Calibri"/>
          <w:b/>
          <w:sz w:val="20"/>
        </w:rPr>
      </w:pPr>
      <w:hyperlink w:history="true" w:anchor="_bookmark1">
        <w:r>
          <w:rPr>
            <w:rFonts w:ascii="Calibri"/>
            <w:b/>
            <w:sz w:val="20"/>
            <w:u w:val="single"/>
          </w:rPr>
          <w:t>ABSTRACT</w:t>
        </w:r>
        <w:r>
          <w:rPr>
            <w:rFonts w:ascii="Calibri"/>
            <w:b/>
            <w:sz w:val="20"/>
          </w:rPr>
          <w:tab/>
        </w:r>
        <w:r>
          <w:rPr>
            <w:rFonts w:ascii="Calibri"/>
            <w:b/>
            <w:sz w:val="20"/>
            <w:u w:val="single"/>
          </w:rPr>
          <w:t>7</w:t>
        </w:r>
      </w:hyperlink>
    </w:p>
    <w:p>
      <w:pPr>
        <w:tabs>
          <w:tab w:pos="9509" w:val="right" w:leader="dot"/>
        </w:tabs>
        <w:spacing w:before="240"/>
        <w:ind w:left="118" w:right="0" w:firstLine="0"/>
        <w:jc w:val="left"/>
        <w:rPr>
          <w:rFonts w:ascii="Calibri"/>
          <w:b/>
          <w:sz w:val="20"/>
        </w:rPr>
      </w:pPr>
      <w:hyperlink w:history="true" w:anchor="_bookmark2">
        <w:r>
          <w:rPr>
            <w:rFonts w:ascii="Calibri"/>
            <w:b/>
            <w:sz w:val="20"/>
            <w:u w:val="single"/>
          </w:rPr>
          <w:t>INTRODUCCION</w:t>
        </w:r>
        <w:r>
          <w:rPr>
            <w:rFonts w:ascii="Calibri"/>
            <w:b/>
            <w:sz w:val="20"/>
          </w:rPr>
          <w:tab/>
        </w:r>
        <w:r>
          <w:rPr>
            <w:rFonts w:ascii="Calibri"/>
            <w:b/>
            <w:sz w:val="20"/>
            <w:u w:val="single"/>
          </w:rPr>
          <w:t>8</w:t>
        </w:r>
      </w:hyperlink>
    </w:p>
    <w:p>
      <w:pPr>
        <w:tabs>
          <w:tab w:pos="9509" w:val="right" w:leader="dot"/>
        </w:tabs>
        <w:spacing w:before="240"/>
        <w:ind w:left="118" w:right="0" w:firstLine="0"/>
        <w:jc w:val="left"/>
        <w:rPr>
          <w:rFonts w:ascii="Calibri"/>
          <w:b/>
          <w:sz w:val="20"/>
        </w:rPr>
      </w:pPr>
      <w:hyperlink w:history="true" w:anchor="_bookmark3">
        <w:r>
          <w:rPr>
            <w:rFonts w:ascii="Calibri"/>
            <w:b/>
            <w:sz w:val="20"/>
            <w:u w:val="single"/>
          </w:rPr>
          <w:t>ANTECEDENTES</w:t>
        </w:r>
        <w:r>
          <w:rPr>
            <w:rFonts w:ascii="Calibri"/>
            <w:b/>
            <w:sz w:val="20"/>
          </w:rPr>
          <w:tab/>
        </w:r>
        <w:r>
          <w:rPr>
            <w:rFonts w:ascii="Calibri"/>
            <w:b/>
            <w:sz w:val="20"/>
            <w:u w:val="single"/>
          </w:rPr>
          <w:t>10</w:t>
        </w:r>
      </w:hyperlink>
    </w:p>
    <w:p>
      <w:pPr>
        <w:tabs>
          <w:tab w:pos="9509" w:val="right" w:leader="dot"/>
        </w:tabs>
        <w:spacing w:before="240"/>
        <w:ind w:left="118" w:right="0" w:firstLine="0"/>
        <w:jc w:val="left"/>
        <w:rPr>
          <w:rFonts w:ascii="Calibri"/>
          <w:b/>
          <w:sz w:val="20"/>
        </w:rPr>
      </w:pPr>
      <w:hyperlink w:history="true" w:anchor="_bookmark4">
        <w:r>
          <w:rPr>
            <w:rFonts w:ascii="Calibri"/>
            <w:b/>
            <w:sz w:val="20"/>
            <w:u w:val="single"/>
          </w:rPr>
          <w:t>PLANTEAMIENTO</w:t>
        </w:r>
        <w:r>
          <w:rPr>
            <w:rFonts w:ascii="Calibri"/>
            <w:b/>
            <w:spacing w:val="-2"/>
            <w:sz w:val="20"/>
            <w:u w:val="single"/>
          </w:rPr>
          <w:t> </w:t>
        </w:r>
        <w:r>
          <w:rPr>
            <w:rFonts w:ascii="Calibri"/>
            <w:b/>
            <w:sz w:val="20"/>
            <w:u w:val="single"/>
          </w:rPr>
          <w:t>DEL</w:t>
        </w:r>
        <w:r>
          <w:rPr>
            <w:rFonts w:ascii="Calibri"/>
            <w:b/>
            <w:spacing w:val="-2"/>
            <w:sz w:val="20"/>
            <w:u w:val="single"/>
          </w:rPr>
          <w:t> </w:t>
        </w:r>
        <w:r>
          <w:rPr>
            <w:rFonts w:ascii="Calibri"/>
            <w:b/>
            <w:sz w:val="20"/>
            <w:u w:val="single"/>
          </w:rPr>
          <w:t>PROBLEMA</w:t>
        </w:r>
        <w:r>
          <w:rPr>
            <w:rFonts w:ascii="Calibri"/>
            <w:b/>
            <w:sz w:val="20"/>
          </w:rPr>
          <w:tab/>
        </w:r>
        <w:r>
          <w:rPr>
            <w:rFonts w:ascii="Calibri"/>
            <w:b/>
            <w:sz w:val="20"/>
            <w:u w:val="single"/>
          </w:rPr>
          <w:t>37</w:t>
        </w:r>
      </w:hyperlink>
    </w:p>
    <w:p>
      <w:pPr>
        <w:tabs>
          <w:tab w:pos="9509" w:val="right" w:leader="dot"/>
        </w:tabs>
        <w:spacing w:before="240"/>
        <w:ind w:left="118" w:right="0" w:firstLine="0"/>
        <w:jc w:val="left"/>
        <w:rPr>
          <w:rFonts w:ascii="Calibri" w:hAnsi="Calibri"/>
          <w:b/>
          <w:sz w:val="20"/>
        </w:rPr>
      </w:pPr>
      <w:hyperlink w:history="true" w:anchor="_bookmark5">
        <w:r>
          <w:rPr>
            <w:rFonts w:ascii="Calibri" w:hAnsi="Calibri"/>
            <w:b/>
            <w:sz w:val="20"/>
            <w:u w:val="single"/>
          </w:rPr>
          <w:t>JUSTIFICACIÓN</w:t>
        </w:r>
        <w:r>
          <w:rPr>
            <w:rFonts w:ascii="Calibri" w:hAnsi="Calibri"/>
            <w:b/>
            <w:sz w:val="20"/>
          </w:rPr>
          <w:tab/>
        </w:r>
        <w:r>
          <w:rPr>
            <w:rFonts w:ascii="Calibri" w:hAnsi="Calibri"/>
            <w:b/>
            <w:sz w:val="20"/>
            <w:u w:val="single"/>
          </w:rPr>
          <w:t>38</w:t>
        </w:r>
      </w:hyperlink>
    </w:p>
    <w:p>
      <w:pPr>
        <w:tabs>
          <w:tab w:pos="9509" w:val="right" w:leader="dot"/>
        </w:tabs>
        <w:spacing w:before="238"/>
        <w:ind w:left="118" w:right="0" w:firstLine="0"/>
        <w:jc w:val="left"/>
        <w:rPr>
          <w:rFonts w:ascii="Calibri" w:hAnsi="Calibri"/>
          <w:b/>
          <w:sz w:val="20"/>
        </w:rPr>
      </w:pPr>
      <w:hyperlink w:history="true" w:anchor="_bookmark6">
        <w:r>
          <w:rPr>
            <w:rFonts w:ascii="Calibri" w:hAnsi="Calibri"/>
            <w:b/>
            <w:sz w:val="20"/>
            <w:u w:val="single"/>
          </w:rPr>
          <w:t>HIPÓTESIS</w:t>
        </w:r>
        <w:r>
          <w:rPr>
            <w:rFonts w:ascii="Calibri" w:hAnsi="Calibri"/>
            <w:b/>
            <w:sz w:val="20"/>
          </w:rPr>
          <w:tab/>
        </w:r>
        <w:r>
          <w:rPr>
            <w:rFonts w:ascii="Calibri" w:hAnsi="Calibri"/>
            <w:b/>
            <w:sz w:val="20"/>
            <w:u w:val="single"/>
          </w:rPr>
          <w:t>39</w:t>
        </w:r>
      </w:hyperlink>
    </w:p>
    <w:p>
      <w:pPr>
        <w:tabs>
          <w:tab w:pos="9509" w:val="right" w:leader="dot"/>
        </w:tabs>
        <w:spacing w:before="241"/>
        <w:ind w:left="118" w:right="0" w:firstLine="0"/>
        <w:jc w:val="left"/>
        <w:rPr>
          <w:rFonts w:ascii="Calibri"/>
          <w:b/>
          <w:sz w:val="20"/>
        </w:rPr>
      </w:pPr>
      <w:hyperlink w:history="true" w:anchor="_bookmark7">
        <w:r>
          <w:rPr>
            <w:rFonts w:ascii="Calibri"/>
            <w:b/>
            <w:sz w:val="20"/>
            <w:u w:val="single"/>
          </w:rPr>
          <w:t>OBJETIVOS</w:t>
        </w:r>
        <w:r>
          <w:rPr>
            <w:rFonts w:ascii="Calibri"/>
            <w:b/>
            <w:sz w:val="20"/>
          </w:rPr>
          <w:tab/>
        </w:r>
        <w:r>
          <w:rPr>
            <w:rFonts w:ascii="Calibri"/>
            <w:b/>
            <w:sz w:val="20"/>
            <w:u w:val="single"/>
          </w:rPr>
          <w:t>40</w:t>
        </w:r>
      </w:hyperlink>
    </w:p>
    <w:p>
      <w:pPr>
        <w:tabs>
          <w:tab w:pos="9509" w:val="right" w:leader="dot"/>
        </w:tabs>
        <w:spacing w:before="240"/>
        <w:ind w:left="118" w:right="0" w:firstLine="0"/>
        <w:jc w:val="left"/>
        <w:rPr>
          <w:rFonts w:ascii="Calibri" w:hAnsi="Calibri"/>
          <w:b/>
          <w:sz w:val="20"/>
        </w:rPr>
      </w:pPr>
      <w:hyperlink w:history="true" w:anchor="_bookmark8">
        <w:r>
          <w:rPr>
            <w:rFonts w:ascii="Calibri" w:hAnsi="Calibri"/>
            <w:b/>
            <w:sz w:val="20"/>
            <w:u w:val="single"/>
          </w:rPr>
          <w:t>DISEÑO METODOLÓGICO Y UNIVERSO</w:t>
        </w:r>
        <w:r>
          <w:rPr>
            <w:rFonts w:ascii="Calibri" w:hAnsi="Calibri"/>
            <w:b/>
            <w:spacing w:val="-1"/>
            <w:sz w:val="20"/>
            <w:u w:val="single"/>
          </w:rPr>
          <w:t> </w:t>
        </w:r>
        <w:r>
          <w:rPr>
            <w:rFonts w:ascii="Calibri" w:hAnsi="Calibri"/>
            <w:b/>
            <w:sz w:val="20"/>
            <w:u w:val="single"/>
          </w:rPr>
          <w:t>DE</w:t>
        </w:r>
        <w:r>
          <w:rPr>
            <w:rFonts w:ascii="Calibri" w:hAnsi="Calibri"/>
            <w:b/>
            <w:spacing w:val="-3"/>
            <w:sz w:val="20"/>
            <w:u w:val="single"/>
          </w:rPr>
          <w:t> </w:t>
        </w:r>
        <w:r>
          <w:rPr>
            <w:rFonts w:ascii="Calibri" w:hAnsi="Calibri"/>
            <w:b/>
            <w:sz w:val="20"/>
            <w:u w:val="single"/>
          </w:rPr>
          <w:t>TRABAJO</w:t>
        </w:r>
        <w:r>
          <w:rPr>
            <w:rFonts w:ascii="Calibri" w:hAnsi="Calibri"/>
            <w:b/>
            <w:sz w:val="20"/>
          </w:rPr>
          <w:tab/>
        </w:r>
        <w:r>
          <w:rPr>
            <w:rFonts w:ascii="Calibri" w:hAnsi="Calibri"/>
            <w:b/>
            <w:sz w:val="20"/>
            <w:u w:val="single"/>
          </w:rPr>
          <w:t>40</w:t>
        </w:r>
      </w:hyperlink>
    </w:p>
    <w:p>
      <w:pPr>
        <w:tabs>
          <w:tab w:pos="9509" w:val="right" w:leader="dot"/>
        </w:tabs>
        <w:spacing w:before="240"/>
        <w:ind w:left="118" w:right="0" w:firstLine="0"/>
        <w:jc w:val="left"/>
        <w:rPr>
          <w:rFonts w:ascii="Calibri" w:hAnsi="Calibri"/>
          <w:b/>
          <w:sz w:val="20"/>
        </w:rPr>
      </w:pPr>
      <w:hyperlink w:history="true" w:anchor="_bookmark9">
        <w:r>
          <w:rPr>
            <w:rFonts w:ascii="Calibri" w:hAnsi="Calibri"/>
            <w:b/>
            <w:sz w:val="20"/>
            <w:u w:val="single"/>
          </w:rPr>
          <w:t>OPERACIONALIZACIÓN</w:t>
        </w:r>
        <w:r>
          <w:rPr>
            <w:rFonts w:ascii="Calibri" w:hAnsi="Calibri"/>
            <w:b/>
            <w:spacing w:val="2"/>
            <w:sz w:val="20"/>
            <w:u w:val="single"/>
          </w:rPr>
          <w:t> </w:t>
        </w:r>
        <w:r>
          <w:rPr>
            <w:rFonts w:ascii="Calibri" w:hAnsi="Calibri"/>
            <w:b/>
            <w:sz w:val="20"/>
            <w:u w:val="single"/>
          </w:rPr>
          <w:t>DE</w:t>
        </w:r>
        <w:r>
          <w:rPr>
            <w:rFonts w:ascii="Calibri" w:hAnsi="Calibri"/>
            <w:b/>
            <w:spacing w:val="-3"/>
            <w:sz w:val="20"/>
            <w:u w:val="single"/>
          </w:rPr>
          <w:t> </w:t>
        </w:r>
        <w:r>
          <w:rPr>
            <w:rFonts w:ascii="Calibri" w:hAnsi="Calibri"/>
            <w:b/>
            <w:sz w:val="20"/>
            <w:u w:val="single"/>
          </w:rPr>
          <w:t>VARIABLES</w:t>
        </w:r>
        <w:r>
          <w:rPr>
            <w:rFonts w:ascii="Calibri" w:hAnsi="Calibri"/>
            <w:b/>
            <w:sz w:val="20"/>
          </w:rPr>
          <w:tab/>
        </w:r>
        <w:r>
          <w:rPr>
            <w:rFonts w:ascii="Calibri" w:hAnsi="Calibri"/>
            <w:b/>
            <w:sz w:val="20"/>
            <w:u w:val="single"/>
          </w:rPr>
          <w:t>41</w:t>
        </w:r>
      </w:hyperlink>
    </w:p>
    <w:p>
      <w:pPr>
        <w:tabs>
          <w:tab w:pos="9509" w:val="right" w:leader="dot"/>
        </w:tabs>
        <w:spacing w:before="240"/>
        <w:ind w:left="118" w:right="0" w:firstLine="0"/>
        <w:jc w:val="left"/>
        <w:rPr>
          <w:rFonts w:ascii="Calibri" w:hAnsi="Calibri"/>
          <w:b/>
          <w:sz w:val="20"/>
        </w:rPr>
      </w:pPr>
      <w:hyperlink w:history="true" w:anchor="_bookmark10">
        <w:r>
          <w:rPr>
            <w:rFonts w:ascii="Calibri" w:hAnsi="Calibri"/>
            <w:b/>
            <w:sz w:val="20"/>
            <w:u w:val="single"/>
          </w:rPr>
          <w:t>CARACTERÍSTICAS DE</w:t>
        </w:r>
        <w:r>
          <w:rPr>
            <w:rFonts w:ascii="Calibri" w:hAnsi="Calibri"/>
            <w:b/>
            <w:spacing w:val="-4"/>
            <w:sz w:val="20"/>
            <w:u w:val="single"/>
          </w:rPr>
          <w:t> </w:t>
        </w:r>
        <w:r>
          <w:rPr>
            <w:rFonts w:ascii="Calibri" w:hAnsi="Calibri"/>
            <w:b/>
            <w:sz w:val="20"/>
            <w:u w:val="single"/>
          </w:rPr>
          <w:t>LA</w:t>
        </w:r>
        <w:r>
          <w:rPr>
            <w:rFonts w:ascii="Calibri" w:hAnsi="Calibri"/>
            <w:b/>
            <w:spacing w:val="-2"/>
            <w:sz w:val="20"/>
            <w:u w:val="single"/>
          </w:rPr>
          <w:t> </w:t>
        </w:r>
        <w:r>
          <w:rPr>
            <w:rFonts w:ascii="Calibri" w:hAnsi="Calibri"/>
            <w:b/>
            <w:sz w:val="20"/>
            <w:u w:val="single"/>
          </w:rPr>
          <w:t>POBLACIÓN</w:t>
        </w:r>
        <w:r>
          <w:rPr>
            <w:rFonts w:ascii="Calibri" w:hAnsi="Calibri"/>
            <w:b/>
            <w:sz w:val="20"/>
          </w:rPr>
          <w:tab/>
        </w:r>
        <w:r>
          <w:rPr>
            <w:rFonts w:ascii="Calibri" w:hAnsi="Calibri"/>
            <w:b/>
            <w:sz w:val="20"/>
            <w:u w:val="single"/>
          </w:rPr>
          <w:t>42</w:t>
        </w:r>
      </w:hyperlink>
    </w:p>
    <w:p>
      <w:pPr>
        <w:tabs>
          <w:tab w:pos="9509" w:val="right" w:leader="dot"/>
        </w:tabs>
        <w:spacing w:before="240"/>
        <w:ind w:left="118" w:right="0" w:firstLine="0"/>
        <w:jc w:val="left"/>
        <w:rPr>
          <w:rFonts w:ascii="Calibri" w:hAnsi="Calibri"/>
          <w:b/>
          <w:sz w:val="20"/>
        </w:rPr>
      </w:pPr>
      <w:hyperlink w:history="true" w:anchor="_bookmark11">
        <w:r>
          <w:rPr>
            <w:rFonts w:ascii="Calibri" w:hAnsi="Calibri"/>
            <w:b/>
            <w:sz w:val="20"/>
            <w:u w:val="single"/>
          </w:rPr>
          <w:t>TAMAÑO DE LA</w:t>
        </w:r>
        <w:r>
          <w:rPr>
            <w:rFonts w:ascii="Calibri" w:hAnsi="Calibri"/>
            <w:b/>
            <w:spacing w:val="-1"/>
            <w:sz w:val="20"/>
            <w:u w:val="single"/>
          </w:rPr>
          <w:t> </w:t>
        </w:r>
        <w:r>
          <w:rPr>
            <w:rFonts w:ascii="Calibri" w:hAnsi="Calibri"/>
            <w:b/>
            <w:sz w:val="20"/>
            <w:u w:val="single"/>
          </w:rPr>
          <w:t>MUESTRA</w:t>
        </w:r>
        <w:r>
          <w:rPr>
            <w:rFonts w:ascii="Calibri" w:hAnsi="Calibri"/>
            <w:b/>
            <w:sz w:val="20"/>
          </w:rPr>
          <w:tab/>
        </w:r>
        <w:r>
          <w:rPr>
            <w:rFonts w:ascii="Calibri" w:hAnsi="Calibri"/>
            <w:b/>
            <w:sz w:val="20"/>
            <w:u w:val="single"/>
          </w:rPr>
          <w:t>42</w:t>
        </w:r>
      </w:hyperlink>
    </w:p>
    <w:p>
      <w:pPr>
        <w:tabs>
          <w:tab w:pos="9509" w:val="right" w:leader="dot"/>
        </w:tabs>
        <w:spacing w:before="240"/>
        <w:ind w:left="118" w:right="0" w:firstLine="0"/>
        <w:jc w:val="left"/>
        <w:rPr>
          <w:rFonts w:ascii="Calibri" w:hAnsi="Calibri"/>
          <w:b/>
          <w:sz w:val="20"/>
        </w:rPr>
      </w:pPr>
      <w:hyperlink w:history="true" w:anchor="_bookmark12">
        <w:r>
          <w:rPr>
            <w:rFonts w:ascii="Calibri" w:hAnsi="Calibri"/>
            <w:b/>
            <w:sz w:val="20"/>
            <w:u w:val="single"/>
          </w:rPr>
          <w:t>CRITERIOS</w:t>
        </w:r>
        <w:r>
          <w:rPr>
            <w:rFonts w:ascii="Calibri" w:hAnsi="Calibri"/>
            <w:b/>
            <w:spacing w:val="-2"/>
            <w:sz w:val="20"/>
            <w:u w:val="single"/>
          </w:rPr>
          <w:t> </w:t>
        </w:r>
        <w:r>
          <w:rPr>
            <w:rFonts w:ascii="Calibri" w:hAnsi="Calibri"/>
            <w:b/>
            <w:sz w:val="20"/>
            <w:u w:val="single"/>
          </w:rPr>
          <w:t>DE</w:t>
        </w:r>
        <w:r>
          <w:rPr>
            <w:rFonts w:ascii="Calibri" w:hAnsi="Calibri"/>
            <w:b/>
            <w:spacing w:val="-3"/>
            <w:sz w:val="20"/>
            <w:u w:val="single"/>
          </w:rPr>
          <w:t> </w:t>
        </w:r>
        <w:r>
          <w:rPr>
            <w:rFonts w:ascii="Calibri" w:hAnsi="Calibri"/>
            <w:b/>
            <w:sz w:val="20"/>
            <w:u w:val="single"/>
          </w:rPr>
          <w:t>INCLUSIÓN</w:t>
        </w:r>
        <w:r>
          <w:rPr>
            <w:rFonts w:ascii="Calibri" w:hAnsi="Calibri"/>
            <w:b/>
            <w:sz w:val="20"/>
          </w:rPr>
          <w:tab/>
        </w:r>
        <w:r>
          <w:rPr>
            <w:rFonts w:ascii="Calibri" w:hAnsi="Calibri"/>
            <w:b/>
            <w:sz w:val="20"/>
            <w:u w:val="single"/>
          </w:rPr>
          <w:t>43</w:t>
        </w:r>
      </w:hyperlink>
    </w:p>
    <w:p>
      <w:pPr>
        <w:tabs>
          <w:tab w:pos="9509" w:val="right" w:leader="dot"/>
        </w:tabs>
        <w:spacing w:before="238"/>
        <w:ind w:left="118" w:right="0" w:firstLine="0"/>
        <w:jc w:val="left"/>
        <w:rPr>
          <w:rFonts w:ascii="Calibri" w:hAnsi="Calibri"/>
          <w:b/>
          <w:sz w:val="20"/>
        </w:rPr>
      </w:pPr>
      <w:hyperlink w:history="true" w:anchor="_bookmark13">
        <w:r>
          <w:rPr>
            <w:rFonts w:ascii="Calibri" w:hAnsi="Calibri"/>
            <w:b/>
            <w:sz w:val="20"/>
            <w:u w:val="single"/>
          </w:rPr>
          <w:t>CRITERIOS</w:t>
        </w:r>
        <w:r>
          <w:rPr>
            <w:rFonts w:ascii="Calibri" w:hAnsi="Calibri"/>
            <w:b/>
            <w:spacing w:val="-1"/>
            <w:sz w:val="20"/>
            <w:u w:val="single"/>
          </w:rPr>
          <w:t> </w:t>
        </w:r>
        <w:r>
          <w:rPr>
            <w:rFonts w:ascii="Calibri" w:hAnsi="Calibri"/>
            <w:b/>
            <w:sz w:val="20"/>
            <w:u w:val="single"/>
          </w:rPr>
          <w:t>DE</w:t>
        </w:r>
        <w:r>
          <w:rPr>
            <w:rFonts w:ascii="Calibri" w:hAnsi="Calibri"/>
            <w:b/>
            <w:spacing w:val="1"/>
            <w:sz w:val="20"/>
            <w:u w:val="single"/>
          </w:rPr>
          <w:t> </w:t>
        </w:r>
        <w:r>
          <w:rPr>
            <w:rFonts w:ascii="Calibri" w:hAnsi="Calibri"/>
            <w:b/>
            <w:sz w:val="20"/>
            <w:u w:val="single"/>
          </w:rPr>
          <w:t>EXCLUSIÓN</w:t>
        </w:r>
        <w:r>
          <w:rPr>
            <w:rFonts w:ascii="Calibri" w:hAnsi="Calibri"/>
            <w:b/>
            <w:sz w:val="20"/>
          </w:rPr>
          <w:tab/>
        </w:r>
        <w:r>
          <w:rPr>
            <w:rFonts w:ascii="Calibri" w:hAnsi="Calibri"/>
            <w:b/>
            <w:sz w:val="20"/>
            <w:u w:val="single"/>
          </w:rPr>
          <w:t>43</w:t>
        </w:r>
      </w:hyperlink>
    </w:p>
    <w:p>
      <w:pPr>
        <w:tabs>
          <w:tab w:pos="9509" w:val="right" w:leader="dot"/>
        </w:tabs>
        <w:spacing w:before="241"/>
        <w:ind w:left="118" w:right="0" w:firstLine="0"/>
        <w:jc w:val="left"/>
        <w:rPr>
          <w:rFonts w:ascii="Calibri" w:hAnsi="Calibri"/>
          <w:b/>
          <w:sz w:val="20"/>
        </w:rPr>
      </w:pPr>
      <w:hyperlink w:history="true" w:anchor="_bookmark14">
        <w:r>
          <w:rPr>
            <w:rFonts w:ascii="Calibri" w:hAnsi="Calibri"/>
            <w:b/>
            <w:sz w:val="20"/>
            <w:u w:val="single"/>
          </w:rPr>
          <w:t>CRITERIOS</w:t>
        </w:r>
        <w:r>
          <w:rPr>
            <w:rFonts w:ascii="Calibri" w:hAnsi="Calibri"/>
            <w:b/>
            <w:spacing w:val="-2"/>
            <w:sz w:val="20"/>
            <w:u w:val="single"/>
          </w:rPr>
          <w:t> </w:t>
        </w:r>
        <w:r>
          <w:rPr>
            <w:rFonts w:ascii="Calibri" w:hAnsi="Calibri"/>
            <w:b/>
            <w:sz w:val="20"/>
            <w:u w:val="single"/>
          </w:rPr>
          <w:t>DE ELIMINACIÓN</w:t>
        </w:r>
        <w:r>
          <w:rPr>
            <w:rFonts w:ascii="Calibri" w:hAnsi="Calibri"/>
            <w:b/>
            <w:sz w:val="20"/>
          </w:rPr>
          <w:tab/>
        </w:r>
        <w:r>
          <w:rPr>
            <w:rFonts w:ascii="Calibri" w:hAnsi="Calibri"/>
            <w:b/>
            <w:sz w:val="20"/>
            <w:u w:val="single"/>
          </w:rPr>
          <w:t>44</w:t>
        </w:r>
      </w:hyperlink>
    </w:p>
    <w:p>
      <w:pPr>
        <w:tabs>
          <w:tab w:pos="9509" w:val="right" w:leader="dot"/>
        </w:tabs>
        <w:spacing w:before="240"/>
        <w:ind w:left="118" w:right="0" w:firstLine="0"/>
        <w:jc w:val="left"/>
        <w:rPr>
          <w:rFonts w:ascii="Calibri"/>
          <w:b/>
          <w:sz w:val="20"/>
        </w:rPr>
      </w:pPr>
      <w:hyperlink w:history="true" w:anchor="_bookmark15">
        <w:r>
          <w:rPr>
            <w:rFonts w:ascii="Calibri"/>
            <w:b/>
            <w:sz w:val="20"/>
            <w:u w:val="single"/>
          </w:rPr>
          <w:t>PROCEDIMIENTO</w:t>
        </w:r>
        <w:r>
          <w:rPr>
            <w:rFonts w:ascii="Calibri"/>
            <w:b/>
            <w:spacing w:val="1"/>
            <w:sz w:val="20"/>
            <w:u w:val="single"/>
          </w:rPr>
          <w:t> </w:t>
        </w:r>
        <w:r>
          <w:rPr>
            <w:rFonts w:ascii="Calibri"/>
            <w:b/>
            <w:sz w:val="20"/>
            <w:u w:val="single"/>
          </w:rPr>
          <w:t>O</w:t>
        </w:r>
        <w:r>
          <w:rPr>
            <w:rFonts w:ascii="Calibri"/>
            <w:b/>
            <w:spacing w:val="-2"/>
            <w:sz w:val="20"/>
            <w:u w:val="single"/>
          </w:rPr>
          <w:t> </w:t>
        </w:r>
        <w:r>
          <w:rPr>
            <w:rFonts w:ascii="Calibri"/>
            <w:b/>
            <w:sz w:val="20"/>
            <w:u w:val="single"/>
          </w:rPr>
          <w:t>DESARROLLO</w:t>
        </w:r>
        <w:r>
          <w:rPr>
            <w:rFonts w:ascii="Calibri"/>
            <w:b/>
            <w:sz w:val="20"/>
          </w:rPr>
          <w:tab/>
        </w:r>
        <w:r>
          <w:rPr>
            <w:rFonts w:ascii="Calibri"/>
            <w:b/>
            <w:sz w:val="20"/>
            <w:u w:val="single"/>
          </w:rPr>
          <w:t>44</w:t>
        </w:r>
      </w:hyperlink>
    </w:p>
    <w:p>
      <w:pPr>
        <w:tabs>
          <w:tab w:pos="9509" w:val="right" w:leader="dot"/>
        </w:tabs>
        <w:spacing w:before="240"/>
        <w:ind w:left="118" w:right="0" w:firstLine="0"/>
        <w:jc w:val="left"/>
        <w:rPr>
          <w:rFonts w:ascii="Calibri" w:hAnsi="Calibri"/>
          <w:b/>
          <w:sz w:val="20"/>
        </w:rPr>
      </w:pPr>
      <w:hyperlink w:history="true" w:anchor="_bookmark16">
        <w:r>
          <w:rPr>
            <w:rFonts w:ascii="Calibri" w:hAnsi="Calibri"/>
            <w:b/>
            <w:sz w:val="20"/>
            <w:u w:val="single"/>
          </w:rPr>
          <w:t>ANÁLISIS ESTÁDISTICO</w:t>
        </w:r>
        <w:r>
          <w:rPr>
            <w:rFonts w:ascii="Calibri" w:hAnsi="Calibri"/>
            <w:b/>
            <w:spacing w:val="-1"/>
            <w:sz w:val="20"/>
            <w:u w:val="single"/>
          </w:rPr>
          <w:t> </w:t>
        </w:r>
        <w:r>
          <w:rPr>
            <w:rFonts w:ascii="Calibri" w:hAnsi="Calibri"/>
            <w:b/>
            <w:sz w:val="20"/>
            <w:u w:val="single"/>
          </w:rPr>
          <w:t>DE</w:t>
        </w:r>
        <w:r>
          <w:rPr>
            <w:rFonts w:ascii="Calibri" w:hAnsi="Calibri"/>
            <w:b/>
            <w:spacing w:val="-3"/>
            <w:sz w:val="20"/>
            <w:u w:val="single"/>
          </w:rPr>
          <w:t> </w:t>
        </w:r>
        <w:r>
          <w:rPr>
            <w:rFonts w:ascii="Calibri" w:hAnsi="Calibri"/>
            <w:b/>
            <w:sz w:val="20"/>
            <w:u w:val="single"/>
          </w:rPr>
          <w:t>RESULTADOS</w:t>
        </w:r>
        <w:r>
          <w:rPr>
            <w:rFonts w:ascii="Calibri" w:hAnsi="Calibri"/>
            <w:b/>
            <w:sz w:val="20"/>
          </w:rPr>
          <w:tab/>
        </w:r>
        <w:r>
          <w:rPr>
            <w:rFonts w:ascii="Calibri" w:hAnsi="Calibri"/>
            <w:b/>
            <w:sz w:val="20"/>
            <w:u w:val="single"/>
          </w:rPr>
          <w:t>45</w:t>
        </w:r>
      </w:hyperlink>
    </w:p>
    <w:p>
      <w:pPr>
        <w:tabs>
          <w:tab w:pos="9509" w:val="right" w:leader="dot"/>
        </w:tabs>
        <w:spacing w:before="240"/>
        <w:ind w:left="118" w:right="0" w:firstLine="0"/>
        <w:jc w:val="left"/>
        <w:rPr>
          <w:rFonts w:ascii="Calibri" w:hAnsi="Calibri"/>
          <w:b/>
          <w:sz w:val="20"/>
        </w:rPr>
      </w:pPr>
      <w:hyperlink w:history="true" w:anchor="_bookmark17">
        <w:r>
          <w:rPr>
            <w:rFonts w:ascii="Calibri" w:hAnsi="Calibri"/>
            <w:b/>
            <w:sz w:val="20"/>
            <w:u w:val="single"/>
          </w:rPr>
          <w:t>IMPLICACIONES</w:t>
        </w:r>
        <w:r>
          <w:rPr>
            <w:rFonts w:ascii="Calibri" w:hAnsi="Calibri"/>
            <w:b/>
            <w:spacing w:val="1"/>
            <w:sz w:val="20"/>
            <w:u w:val="single"/>
          </w:rPr>
          <w:t> </w:t>
        </w:r>
        <w:r>
          <w:rPr>
            <w:rFonts w:ascii="Calibri" w:hAnsi="Calibri"/>
            <w:b/>
            <w:sz w:val="20"/>
            <w:u w:val="single"/>
          </w:rPr>
          <w:t>ÉTICAS</w:t>
        </w:r>
        <w:r>
          <w:rPr>
            <w:rFonts w:ascii="Calibri" w:hAnsi="Calibri"/>
            <w:b/>
            <w:sz w:val="20"/>
          </w:rPr>
          <w:tab/>
        </w:r>
        <w:r>
          <w:rPr>
            <w:rFonts w:ascii="Calibri" w:hAnsi="Calibri"/>
            <w:b/>
            <w:sz w:val="20"/>
            <w:u w:val="single"/>
          </w:rPr>
          <w:t>55</w:t>
        </w:r>
      </w:hyperlink>
    </w:p>
    <w:p>
      <w:pPr>
        <w:tabs>
          <w:tab w:pos="9509" w:val="right" w:leader="dot"/>
        </w:tabs>
        <w:spacing w:before="240"/>
        <w:ind w:left="118" w:right="0" w:firstLine="0"/>
        <w:jc w:val="left"/>
        <w:rPr>
          <w:rFonts w:ascii="Calibri" w:hAnsi="Calibri"/>
          <w:b/>
          <w:sz w:val="20"/>
        </w:rPr>
      </w:pPr>
      <w:hyperlink w:history="true" w:anchor="_bookmark18">
        <w:r>
          <w:rPr>
            <w:rFonts w:ascii="Calibri" w:hAnsi="Calibri"/>
            <w:b/>
            <w:sz w:val="20"/>
            <w:u w:val="single"/>
          </w:rPr>
          <w:t>PLANEACIÓN</w:t>
        </w:r>
        <w:r>
          <w:rPr>
            <w:rFonts w:ascii="Calibri" w:hAnsi="Calibri"/>
            <w:b/>
            <w:sz w:val="20"/>
          </w:rPr>
          <w:tab/>
        </w:r>
        <w:r>
          <w:rPr>
            <w:rFonts w:ascii="Calibri" w:hAnsi="Calibri"/>
            <w:b/>
            <w:sz w:val="20"/>
            <w:u w:val="single"/>
          </w:rPr>
          <w:t>56</w:t>
        </w:r>
      </w:hyperlink>
    </w:p>
    <w:p>
      <w:pPr>
        <w:tabs>
          <w:tab w:pos="9509" w:val="right" w:leader="dot"/>
        </w:tabs>
        <w:spacing w:before="240"/>
        <w:ind w:left="118" w:right="0" w:firstLine="0"/>
        <w:jc w:val="left"/>
        <w:rPr>
          <w:rFonts w:ascii="Calibri"/>
          <w:b/>
          <w:sz w:val="20"/>
        </w:rPr>
      </w:pPr>
      <w:hyperlink w:history="true" w:anchor="_bookmark19">
        <w:r>
          <w:rPr>
            <w:rFonts w:ascii="Calibri"/>
            <w:b/>
            <w:sz w:val="20"/>
            <w:u w:val="single"/>
          </w:rPr>
          <w:t>CONCLUSIONES</w:t>
        </w:r>
        <w:r>
          <w:rPr>
            <w:rFonts w:ascii="Calibri"/>
            <w:b/>
            <w:sz w:val="20"/>
          </w:rPr>
          <w:tab/>
        </w:r>
        <w:r>
          <w:rPr>
            <w:rFonts w:ascii="Calibri"/>
            <w:b/>
            <w:sz w:val="20"/>
            <w:u w:val="single"/>
          </w:rPr>
          <w:t>56</w:t>
        </w:r>
      </w:hyperlink>
    </w:p>
    <w:p>
      <w:pPr>
        <w:tabs>
          <w:tab w:pos="9509" w:val="right" w:leader="dot"/>
        </w:tabs>
        <w:spacing w:before="240"/>
        <w:ind w:left="118" w:right="0" w:firstLine="0"/>
        <w:jc w:val="left"/>
        <w:rPr>
          <w:rFonts w:ascii="Calibri" w:hAnsi="Calibri"/>
          <w:b/>
          <w:sz w:val="20"/>
        </w:rPr>
      </w:pPr>
      <w:hyperlink w:history="true" w:anchor="_bookmark20">
        <w:r>
          <w:rPr>
            <w:rFonts w:ascii="Calibri" w:hAnsi="Calibri"/>
            <w:b/>
            <w:sz w:val="20"/>
            <w:u w:val="single"/>
          </w:rPr>
          <w:t>DISCUSIÓN</w:t>
        </w:r>
        <w:r>
          <w:rPr>
            <w:rFonts w:ascii="Calibri" w:hAnsi="Calibri"/>
            <w:b/>
            <w:sz w:val="20"/>
          </w:rPr>
          <w:tab/>
        </w:r>
        <w:r>
          <w:rPr>
            <w:rFonts w:ascii="Calibri" w:hAnsi="Calibri"/>
            <w:b/>
            <w:sz w:val="20"/>
            <w:u w:val="single"/>
          </w:rPr>
          <w:t>57</w:t>
        </w:r>
      </w:hyperlink>
    </w:p>
    <w:p>
      <w:pPr>
        <w:tabs>
          <w:tab w:pos="9509" w:val="right" w:leader="dot"/>
        </w:tabs>
        <w:spacing w:before="239"/>
        <w:ind w:left="118" w:right="0" w:firstLine="0"/>
        <w:jc w:val="left"/>
        <w:rPr>
          <w:rFonts w:ascii="Calibri"/>
          <w:b/>
          <w:sz w:val="20"/>
        </w:rPr>
      </w:pPr>
      <w:hyperlink w:history="true" w:anchor="_bookmark21">
        <w:r>
          <w:rPr>
            <w:rFonts w:ascii="Calibri"/>
            <w:b/>
            <w:sz w:val="20"/>
            <w:u w:val="single"/>
          </w:rPr>
          <w:t>RECOMENDACIONES E</w:t>
        </w:r>
        <w:r>
          <w:rPr>
            <w:rFonts w:ascii="Calibri"/>
            <w:b/>
            <w:spacing w:val="-1"/>
            <w:sz w:val="20"/>
            <w:u w:val="single"/>
          </w:rPr>
          <w:t> </w:t>
        </w:r>
        <w:r>
          <w:rPr>
            <w:rFonts w:ascii="Calibri"/>
            <w:b/>
            <w:sz w:val="20"/>
            <w:u w:val="single"/>
          </w:rPr>
          <w:t>INVESTIGACIONES</w:t>
        </w:r>
        <w:r>
          <w:rPr>
            <w:rFonts w:ascii="Calibri"/>
            <w:b/>
            <w:spacing w:val="-2"/>
            <w:sz w:val="20"/>
            <w:u w:val="single"/>
          </w:rPr>
          <w:t> </w:t>
        </w:r>
        <w:r>
          <w:rPr>
            <w:rFonts w:ascii="Calibri"/>
            <w:b/>
            <w:sz w:val="20"/>
            <w:u w:val="single"/>
          </w:rPr>
          <w:t>FUTURAS</w:t>
        </w:r>
        <w:r>
          <w:rPr>
            <w:rFonts w:ascii="Calibri"/>
            <w:b/>
            <w:sz w:val="20"/>
          </w:rPr>
          <w:tab/>
        </w:r>
        <w:r>
          <w:rPr>
            <w:rFonts w:ascii="Calibri"/>
            <w:b/>
            <w:sz w:val="20"/>
            <w:u w:val="single"/>
          </w:rPr>
          <w:t>58</w:t>
        </w:r>
      </w:hyperlink>
    </w:p>
    <w:p>
      <w:pPr>
        <w:tabs>
          <w:tab w:pos="9509" w:val="right" w:leader="dot"/>
        </w:tabs>
        <w:spacing w:before="240"/>
        <w:ind w:left="118" w:right="0" w:firstLine="0"/>
        <w:jc w:val="left"/>
        <w:rPr>
          <w:rFonts w:ascii="Calibri" w:hAnsi="Calibri"/>
          <w:b/>
          <w:sz w:val="20"/>
        </w:rPr>
      </w:pPr>
      <w:hyperlink w:history="true" w:anchor="_bookmark22">
        <w:r>
          <w:rPr>
            <w:rFonts w:ascii="Calibri" w:hAnsi="Calibri"/>
            <w:b/>
            <w:sz w:val="20"/>
            <w:u w:val="single"/>
          </w:rPr>
          <w:t>REFERENCIAS</w:t>
        </w:r>
        <w:r>
          <w:rPr>
            <w:rFonts w:ascii="Calibri" w:hAnsi="Calibri"/>
            <w:b/>
            <w:spacing w:val="-1"/>
            <w:sz w:val="20"/>
            <w:u w:val="single"/>
          </w:rPr>
          <w:t> </w:t>
        </w:r>
        <w:r>
          <w:rPr>
            <w:rFonts w:ascii="Calibri" w:hAnsi="Calibri"/>
            <w:b/>
            <w:sz w:val="20"/>
            <w:u w:val="single"/>
          </w:rPr>
          <w:t>BIBLIOGRÁFICAS</w:t>
        </w:r>
        <w:r>
          <w:rPr>
            <w:rFonts w:ascii="Calibri" w:hAnsi="Calibri"/>
            <w:b/>
            <w:sz w:val="20"/>
          </w:rPr>
          <w:tab/>
        </w:r>
        <w:r>
          <w:rPr>
            <w:rFonts w:ascii="Calibri" w:hAnsi="Calibri"/>
            <w:b/>
            <w:sz w:val="20"/>
            <w:u w:val="single"/>
          </w:rPr>
          <w:t>58</w:t>
        </w:r>
      </w:hyperlink>
    </w:p>
    <w:p>
      <w:pPr>
        <w:tabs>
          <w:tab w:pos="9509" w:val="right" w:leader="dot"/>
        </w:tabs>
        <w:spacing w:before="240"/>
        <w:ind w:left="118" w:right="0" w:firstLine="0"/>
        <w:jc w:val="left"/>
        <w:rPr>
          <w:rFonts w:ascii="Calibri"/>
          <w:b/>
          <w:sz w:val="20"/>
        </w:rPr>
      </w:pPr>
      <w:hyperlink w:history="true" w:anchor="_bookmark23">
        <w:r>
          <w:rPr>
            <w:rFonts w:ascii="Calibri"/>
            <w:b/>
            <w:spacing w:val="3"/>
            <w:sz w:val="20"/>
            <w:u w:val="single"/>
          </w:rPr>
          <w:t>ANEXOS</w:t>
        </w:r>
        <w:r>
          <w:rPr>
            <w:rFonts w:ascii="Calibri"/>
            <w:b/>
            <w:spacing w:val="3"/>
            <w:sz w:val="20"/>
          </w:rPr>
          <w:tab/>
        </w:r>
        <w:r>
          <w:rPr>
            <w:rFonts w:ascii="Calibri"/>
            <w:b/>
            <w:sz w:val="20"/>
            <w:u w:val="single"/>
          </w:rPr>
          <w:t>60</w:t>
        </w:r>
      </w:hyperlink>
    </w:p>
    <w:p>
      <w:pPr>
        <w:spacing w:after="0"/>
        <w:jc w:val="left"/>
        <w:rPr>
          <w:rFonts w:ascii="Calibri"/>
          <w:sz w:val="20"/>
        </w:rPr>
        <w:sectPr>
          <w:pgSz w:w="12240" w:h="15840"/>
          <w:pgMar w:top="1240" w:bottom="280" w:left="1600" w:right="1020"/>
        </w:sectPr>
      </w:pPr>
    </w:p>
    <w:p>
      <w:pPr>
        <w:pStyle w:val="BodyText"/>
        <w:spacing w:before="4"/>
        <w:rPr>
          <w:rFonts w:ascii="Calibri"/>
          <w:b/>
          <w:sz w:val="29"/>
        </w:rPr>
      </w:pPr>
    </w:p>
    <w:p>
      <w:pPr>
        <w:spacing w:before="0"/>
        <w:ind w:left="107" w:right="0" w:firstLine="0"/>
        <w:jc w:val="both"/>
        <w:rPr>
          <w:sz w:val="22"/>
        </w:rPr>
      </w:pPr>
      <w:bookmarkStart w:name="_bookmark0" w:id="1"/>
      <w:bookmarkEnd w:id="1"/>
      <w:r>
        <w:rPr/>
      </w:r>
      <w:r>
        <w:rPr>
          <w:color w:val="5A5A5A"/>
          <w:sz w:val="22"/>
        </w:rPr>
        <w:t>RESUMEN</w:t>
      </w:r>
    </w:p>
    <w:p>
      <w:pPr>
        <w:pStyle w:val="BodyText"/>
        <w:rPr>
          <w:sz w:val="22"/>
        </w:rPr>
      </w:pPr>
    </w:p>
    <w:p>
      <w:pPr>
        <w:pStyle w:val="BodyText"/>
        <w:spacing w:before="3"/>
        <w:rPr>
          <w:sz w:val="19"/>
        </w:rPr>
      </w:pPr>
    </w:p>
    <w:p>
      <w:pPr>
        <w:pStyle w:val="BodyText"/>
        <w:spacing w:line="364" w:lineRule="auto"/>
        <w:ind w:left="117" w:right="111" w:hanging="10"/>
        <w:jc w:val="both"/>
      </w:pPr>
      <w:r>
        <w:rPr/>
        <w:t>El concepto de síndrome de ovario poliquístico se ha modificado gracias a las investigaciones que han dado origen a definiciones más concretas de los criterios que lo integran. Con el advenimiento de la ecografía y su integración a los criterios ha mejorado el diagnóstico oportuno. La ecografía se ha convertido en</w:t>
      </w:r>
      <w:r>
        <w:rPr>
          <w:spacing w:val="-34"/>
        </w:rPr>
        <w:t> </w:t>
      </w:r>
      <w:r>
        <w:rPr/>
        <w:t>herramienta imprescindible; sin embargo, en los criterios ecográficos de Adams el volumen ovárico</w:t>
      </w:r>
      <w:r>
        <w:rPr>
          <w:spacing w:val="-4"/>
        </w:rPr>
        <w:t> </w:t>
      </w:r>
      <w:r>
        <w:rPr/>
        <w:t>en</w:t>
      </w:r>
      <w:r>
        <w:rPr>
          <w:spacing w:val="-4"/>
        </w:rPr>
        <w:t> </w:t>
      </w:r>
      <w:r>
        <w:rPr/>
        <w:t>2</w:t>
      </w:r>
      <w:r>
        <w:rPr>
          <w:spacing w:val="-4"/>
        </w:rPr>
        <w:t> </w:t>
      </w:r>
      <w:r>
        <w:rPr/>
        <w:t>planos</w:t>
      </w:r>
      <w:r>
        <w:rPr>
          <w:spacing w:val="-4"/>
        </w:rPr>
        <w:t> </w:t>
      </w:r>
      <w:r>
        <w:rPr/>
        <w:t>y</w:t>
      </w:r>
      <w:r>
        <w:rPr>
          <w:spacing w:val="-7"/>
        </w:rPr>
        <w:t> </w:t>
      </w:r>
      <w:r>
        <w:rPr/>
        <w:t>el</w:t>
      </w:r>
      <w:r>
        <w:rPr>
          <w:spacing w:val="-5"/>
        </w:rPr>
        <w:t> </w:t>
      </w:r>
      <w:r>
        <w:rPr/>
        <w:t>conteo</w:t>
      </w:r>
      <w:r>
        <w:rPr>
          <w:spacing w:val="-6"/>
        </w:rPr>
        <w:t> </w:t>
      </w:r>
      <w:r>
        <w:rPr/>
        <w:t>folicular</w:t>
      </w:r>
      <w:r>
        <w:rPr>
          <w:spacing w:val="-5"/>
        </w:rPr>
        <w:t> </w:t>
      </w:r>
      <w:r>
        <w:rPr/>
        <w:t>han</w:t>
      </w:r>
      <w:r>
        <w:rPr>
          <w:spacing w:val="-6"/>
        </w:rPr>
        <w:t> </w:t>
      </w:r>
      <w:r>
        <w:rPr/>
        <w:t>generado</w:t>
      </w:r>
      <w:r>
        <w:rPr>
          <w:spacing w:val="-4"/>
        </w:rPr>
        <w:t> </w:t>
      </w:r>
      <w:r>
        <w:rPr/>
        <w:t>sobrediagnóstico</w:t>
      </w:r>
      <w:r>
        <w:rPr>
          <w:spacing w:val="-4"/>
        </w:rPr>
        <w:t> </w:t>
      </w:r>
      <w:r>
        <w:rPr/>
        <w:t>debido</w:t>
      </w:r>
      <w:r>
        <w:rPr>
          <w:spacing w:val="-4"/>
        </w:rPr>
        <w:t> </w:t>
      </w:r>
      <w:r>
        <w:rPr/>
        <w:t>a</w:t>
      </w:r>
      <w:r>
        <w:rPr>
          <w:spacing w:val="-4"/>
        </w:rPr>
        <w:t> </w:t>
      </w:r>
      <w:r>
        <w:rPr/>
        <w:t>la mayor variabilidad interobservador. Considerando que el distintivo del síndrome de ovario poliquístico es el hiperandrogenismo, se ha propuesto la medición del índice de estroma/área total ovárica como el criterio ecográfico que tiene mayor sensibilidad y</w:t>
      </w:r>
      <w:r>
        <w:rPr>
          <w:spacing w:val="-8"/>
        </w:rPr>
        <w:t> </w:t>
      </w:r>
      <w:r>
        <w:rPr/>
        <w:t>especificidad.</w:t>
      </w:r>
    </w:p>
    <w:p>
      <w:pPr>
        <w:pStyle w:val="BodyText"/>
        <w:spacing w:line="364" w:lineRule="auto" w:before="199"/>
        <w:ind w:left="117" w:right="114" w:hanging="10"/>
        <w:jc w:val="both"/>
      </w:pPr>
      <w:r>
        <w:rPr>
          <w:b/>
          <w:i/>
        </w:rPr>
        <w:t>Resultados: </w:t>
      </w:r>
      <w:r>
        <w:rPr/>
        <w:t>Se incluyeron 72 pacientes. Se calcula coeficiente de determinación entre índice estroma-área total del ovario con estradiol, FSH, LH, prolactina, testosterona, perfil androgénico (androstenediona, dehidroepiandrostenediona, 17 alfa hidroxyprogesterona) encontrando un mayor impacto con la elevación perfil androgénico que con testosterona, de estos el de mayor elevación relacionado con elevación</w:t>
      </w:r>
      <w:r>
        <w:rPr>
          <w:spacing w:val="-17"/>
        </w:rPr>
        <w:t> </w:t>
      </w:r>
      <w:r>
        <w:rPr/>
        <w:t>del</w:t>
      </w:r>
      <w:r>
        <w:rPr>
          <w:spacing w:val="-18"/>
        </w:rPr>
        <w:t> </w:t>
      </w:r>
      <w:r>
        <w:rPr/>
        <w:t>índice</w:t>
      </w:r>
      <w:r>
        <w:rPr>
          <w:spacing w:val="-19"/>
        </w:rPr>
        <w:t> </w:t>
      </w:r>
      <w:r>
        <w:rPr/>
        <w:t>estroma-área</w:t>
      </w:r>
      <w:r>
        <w:rPr>
          <w:spacing w:val="-19"/>
        </w:rPr>
        <w:t> </w:t>
      </w:r>
      <w:r>
        <w:rPr/>
        <w:t>total</w:t>
      </w:r>
      <w:r>
        <w:rPr>
          <w:spacing w:val="-18"/>
        </w:rPr>
        <w:t> </w:t>
      </w:r>
      <w:r>
        <w:rPr/>
        <w:t>del</w:t>
      </w:r>
      <w:r>
        <w:rPr>
          <w:spacing w:val="-20"/>
        </w:rPr>
        <w:t> </w:t>
      </w:r>
      <w:r>
        <w:rPr/>
        <w:t>ovario</w:t>
      </w:r>
      <w:r>
        <w:rPr>
          <w:spacing w:val="-19"/>
        </w:rPr>
        <w:t> </w:t>
      </w:r>
      <w:r>
        <w:rPr/>
        <w:t>fue</w:t>
      </w:r>
      <w:r>
        <w:rPr>
          <w:spacing w:val="-19"/>
        </w:rPr>
        <w:t> </w:t>
      </w:r>
      <w:r>
        <w:rPr/>
        <w:t>la</w:t>
      </w:r>
      <w:r>
        <w:rPr>
          <w:spacing w:val="-19"/>
        </w:rPr>
        <w:t> </w:t>
      </w:r>
      <w:r>
        <w:rPr/>
        <w:t>dehidroepiandrosterona,</w:t>
      </w:r>
      <w:r>
        <w:rPr>
          <w:spacing w:val="-19"/>
        </w:rPr>
        <w:t> </w:t>
      </w:r>
      <w:r>
        <w:rPr/>
        <w:t>con un</w:t>
      </w:r>
      <w:r>
        <w:rPr>
          <w:spacing w:val="-37"/>
        </w:rPr>
        <w:t> </w:t>
      </w:r>
      <w:r>
        <w:rPr/>
        <w:t>coeficiente</w:t>
      </w:r>
      <w:r>
        <w:rPr>
          <w:spacing w:val="-37"/>
        </w:rPr>
        <w:t> </w:t>
      </w:r>
      <w:r>
        <w:rPr/>
        <w:t>de</w:t>
      </w:r>
      <w:r>
        <w:rPr>
          <w:spacing w:val="-37"/>
        </w:rPr>
        <w:t> </w:t>
      </w:r>
      <w:r>
        <w:rPr/>
        <w:t>determinación</w:t>
      </w:r>
      <w:r>
        <w:rPr>
          <w:spacing w:val="-37"/>
        </w:rPr>
        <w:t> </w:t>
      </w:r>
      <w:r>
        <w:rPr/>
        <w:t>de</w:t>
      </w:r>
      <w:r>
        <w:rPr>
          <w:spacing w:val="-18"/>
        </w:rPr>
        <w:t> </w:t>
      </w:r>
      <w:r>
        <w:rPr>
          <w:rFonts w:ascii="Cambria Math" w:hAnsi="Cambria Math" w:eastAsia="Cambria Math"/>
        </w:rPr>
        <w:t>𝑅</w:t>
      </w:r>
      <w:r>
        <w:rPr>
          <w:rFonts w:ascii="Cambria Math" w:hAnsi="Cambria Math" w:eastAsia="Cambria Math"/>
          <w:position w:val="6"/>
          <w:sz w:val="16"/>
        </w:rPr>
        <w:t>2</w:t>
      </w:r>
      <w:r>
        <w:rPr>
          <w:rFonts w:ascii="Cambria Math" w:hAnsi="Cambria Math" w:eastAsia="Cambria Math"/>
          <w:spacing w:val="-21"/>
          <w:position w:val="6"/>
          <w:sz w:val="16"/>
        </w:rPr>
        <w:t> </w:t>
      </w:r>
      <w:r>
        <w:rPr>
          <w:rFonts w:ascii="Cambria Math" w:hAnsi="Cambria Math" w:eastAsia="Cambria Math"/>
        </w:rPr>
        <w:t>=</w:t>
      </w:r>
      <w:r>
        <w:rPr>
          <w:rFonts w:ascii="Cambria Math" w:hAnsi="Cambria Math" w:eastAsia="Cambria Math"/>
          <w:spacing w:val="-29"/>
        </w:rPr>
        <w:t> </w:t>
      </w:r>
      <w:r>
        <w:rPr>
          <w:rFonts w:ascii="Cambria Math" w:hAnsi="Cambria Math" w:eastAsia="Cambria Math"/>
        </w:rPr>
        <w:t>0.44</w:t>
      </w:r>
      <w:r>
        <w:rPr/>
        <w:t>.</w:t>
      </w:r>
    </w:p>
    <w:p>
      <w:pPr>
        <w:pStyle w:val="BodyText"/>
        <w:spacing w:line="364" w:lineRule="auto" w:before="10"/>
        <w:ind w:left="117" w:right="109" w:hanging="10"/>
        <w:jc w:val="both"/>
      </w:pPr>
      <w:r>
        <w:rPr>
          <w:b/>
          <w:i/>
        </w:rPr>
        <w:t>Conclusión: </w:t>
      </w:r>
      <w:r>
        <w:rPr/>
        <w:t>En el presente estudio se demuestra que existe una correlación significativa y positiva entre el aumento del índice estroma-área ovárica y el perfil hormonal</w:t>
      </w:r>
      <w:r>
        <w:rPr>
          <w:spacing w:val="-17"/>
        </w:rPr>
        <w:t> </w:t>
      </w:r>
      <w:r>
        <w:rPr/>
        <w:t>sérico</w:t>
      </w:r>
      <w:r>
        <w:rPr>
          <w:spacing w:val="-16"/>
        </w:rPr>
        <w:t> </w:t>
      </w:r>
      <w:r>
        <w:rPr/>
        <w:t>androgénico</w:t>
      </w:r>
      <w:r>
        <w:rPr>
          <w:spacing w:val="-14"/>
        </w:rPr>
        <w:t> </w:t>
      </w:r>
      <w:r>
        <w:rPr/>
        <w:t>en</w:t>
      </w:r>
      <w:r>
        <w:rPr>
          <w:spacing w:val="-16"/>
        </w:rPr>
        <w:t> </w:t>
      </w:r>
      <w:r>
        <w:rPr/>
        <w:t>especial</w:t>
      </w:r>
      <w:r>
        <w:rPr>
          <w:spacing w:val="-15"/>
        </w:rPr>
        <w:t> </w:t>
      </w:r>
      <w:r>
        <w:rPr/>
        <w:t>con</w:t>
      </w:r>
      <w:r>
        <w:rPr>
          <w:spacing w:val="-16"/>
        </w:rPr>
        <w:t> </w:t>
      </w:r>
      <w:r>
        <w:rPr/>
        <w:t>dehidroepiandrosterona.</w:t>
      </w:r>
      <w:r>
        <w:rPr>
          <w:spacing w:val="-16"/>
        </w:rPr>
        <w:t> </w:t>
      </w:r>
      <w:r>
        <w:rPr/>
        <w:t>Proponemos que la valoración ecográfica de este índice se incluya en todas las pacientes con sospecha clínica de síndrome de ovario poliquístico, ya que permite tener además un diagnóstico oportuno y con mayor aproximación al distintivo del síndrome: hiperandrogenismo.</w:t>
      </w:r>
    </w:p>
    <w:p>
      <w:pPr>
        <w:spacing w:after="0" w:line="364" w:lineRule="auto"/>
        <w:jc w:val="both"/>
        <w:sectPr>
          <w:pgSz w:w="12240" w:h="15840"/>
          <w:pgMar w:top="1500" w:bottom="280" w:left="1580" w:right="1580"/>
        </w:sectPr>
      </w:pPr>
    </w:p>
    <w:p>
      <w:pPr>
        <w:pStyle w:val="BodyText"/>
        <w:spacing w:before="7"/>
        <w:rPr>
          <w:sz w:val="10"/>
        </w:rPr>
      </w:pPr>
    </w:p>
    <w:p>
      <w:pPr>
        <w:spacing w:before="73"/>
        <w:ind w:left="107" w:right="0" w:firstLine="0"/>
        <w:jc w:val="both"/>
        <w:rPr>
          <w:sz w:val="22"/>
        </w:rPr>
      </w:pPr>
      <w:bookmarkStart w:name="_bookmark1" w:id="2"/>
      <w:bookmarkEnd w:id="2"/>
      <w:r>
        <w:rPr/>
      </w:r>
      <w:r>
        <w:rPr>
          <w:color w:val="5A5A5A"/>
          <w:sz w:val="22"/>
        </w:rPr>
        <w:t>ABSTRACT</w:t>
      </w:r>
    </w:p>
    <w:p>
      <w:pPr>
        <w:pStyle w:val="BodyText"/>
        <w:rPr>
          <w:sz w:val="22"/>
        </w:rPr>
      </w:pPr>
    </w:p>
    <w:p>
      <w:pPr>
        <w:pStyle w:val="BodyText"/>
        <w:spacing w:before="3"/>
        <w:rPr>
          <w:sz w:val="19"/>
        </w:rPr>
      </w:pPr>
    </w:p>
    <w:p>
      <w:pPr>
        <w:pStyle w:val="BodyText"/>
        <w:spacing w:line="360" w:lineRule="auto"/>
        <w:ind w:left="117" w:right="124" w:hanging="10"/>
        <w:jc w:val="both"/>
      </w:pPr>
      <w:r>
        <w:rPr>
          <w:color w:val="202020"/>
        </w:rPr>
        <w:t>With</w:t>
      </w:r>
      <w:r>
        <w:rPr>
          <w:color w:val="202020"/>
          <w:spacing w:val="-12"/>
        </w:rPr>
        <w:t> </w:t>
      </w:r>
      <w:r>
        <w:rPr>
          <w:color w:val="202020"/>
        </w:rPr>
        <w:t>the</w:t>
      </w:r>
      <w:r>
        <w:rPr>
          <w:color w:val="202020"/>
          <w:spacing w:val="-12"/>
        </w:rPr>
        <w:t> </w:t>
      </w:r>
      <w:r>
        <w:rPr>
          <w:color w:val="202020"/>
        </w:rPr>
        <w:t>advent</w:t>
      </w:r>
      <w:r>
        <w:rPr>
          <w:color w:val="202020"/>
          <w:spacing w:val="-12"/>
        </w:rPr>
        <w:t> </w:t>
      </w:r>
      <w:r>
        <w:rPr>
          <w:color w:val="202020"/>
        </w:rPr>
        <w:t>of</w:t>
      </w:r>
      <w:r>
        <w:rPr>
          <w:color w:val="202020"/>
          <w:spacing w:val="-10"/>
        </w:rPr>
        <w:t> </w:t>
      </w:r>
      <w:r>
        <w:rPr>
          <w:color w:val="202020"/>
        </w:rPr>
        <w:t>new</w:t>
      </w:r>
      <w:r>
        <w:rPr>
          <w:color w:val="202020"/>
          <w:spacing w:val="-13"/>
        </w:rPr>
        <w:t> </w:t>
      </w:r>
      <w:r>
        <w:rPr>
          <w:color w:val="202020"/>
        </w:rPr>
        <w:t>technologies</w:t>
      </w:r>
      <w:r>
        <w:rPr>
          <w:color w:val="202020"/>
          <w:spacing w:val="-12"/>
        </w:rPr>
        <w:t> </w:t>
      </w:r>
      <w:r>
        <w:rPr>
          <w:color w:val="202020"/>
        </w:rPr>
        <w:t>and</w:t>
      </w:r>
      <w:r>
        <w:rPr>
          <w:color w:val="202020"/>
          <w:spacing w:val="-9"/>
        </w:rPr>
        <w:t> </w:t>
      </w:r>
      <w:r>
        <w:rPr>
          <w:color w:val="202020"/>
        </w:rPr>
        <w:t>ideas,</w:t>
      </w:r>
      <w:r>
        <w:rPr>
          <w:color w:val="202020"/>
          <w:spacing w:val="-10"/>
        </w:rPr>
        <w:t> </w:t>
      </w:r>
      <w:r>
        <w:rPr>
          <w:color w:val="202020"/>
        </w:rPr>
        <w:t>more</w:t>
      </w:r>
      <w:r>
        <w:rPr>
          <w:color w:val="202020"/>
          <w:spacing w:val="-10"/>
        </w:rPr>
        <w:t> </w:t>
      </w:r>
      <w:r>
        <w:rPr>
          <w:color w:val="202020"/>
        </w:rPr>
        <w:t>specific</w:t>
      </w:r>
      <w:r>
        <w:rPr>
          <w:color w:val="202020"/>
          <w:spacing w:val="-13"/>
        </w:rPr>
        <w:t> </w:t>
      </w:r>
      <w:r>
        <w:rPr>
          <w:color w:val="202020"/>
        </w:rPr>
        <w:t>definitions</w:t>
      </w:r>
      <w:r>
        <w:rPr>
          <w:color w:val="202020"/>
          <w:spacing w:val="-13"/>
        </w:rPr>
        <w:t> </w:t>
      </w:r>
      <w:r>
        <w:rPr>
          <w:color w:val="202020"/>
        </w:rPr>
        <w:t>have</w:t>
      </w:r>
      <w:r>
        <w:rPr>
          <w:color w:val="202020"/>
          <w:spacing w:val="-9"/>
        </w:rPr>
        <w:t> </w:t>
      </w:r>
      <w:r>
        <w:rPr>
          <w:color w:val="202020"/>
        </w:rPr>
        <w:t>arisen to create a whole distinct concept of polycystic ovary syndrome. Thanks to ecographics and its integration to already available knowledge, the thesis of this research</w:t>
      </w:r>
      <w:r>
        <w:rPr>
          <w:color w:val="202020"/>
          <w:spacing w:val="-14"/>
        </w:rPr>
        <w:t> </w:t>
      </w:r>
      <w:r>
        <w:rPr>
          <w:color w:val="202020"/>
        </w:rPr>
        <w:t>is</w:t>
      </w:r>
      <w:r>
        <w:rPr>
          <w:color w:val="202020"/>
          <w:spacing w:val="-14"/>
        </w:rPr>
        <w:t> </w:t>
      </w:r>
      <w:r>
        <w:rPr>
          <w:color w:val="202020"/>
        </w:rPr>
        <w:t>that</w:t>
      </w:r>
      <w:r>
        <w:rPr>
          <w:color w:val="202020"/>
          <w:spacing w:val="-16"/>
        </w:rPr>
        <w:t> </w:t>
      </w:r>
      <w:r>
        <w:rPr>
          <w:color w:val="202020"/>
        </w:rPr>
        <w:t>Adams</w:t>
      </w:r>
      <w:r>
        <w:rPr>
          <w:color w:val="202020"/>
          <w:spacing w:val="-16"/>
        </w:rPr>
        <w:t> </w:t>
      </w:r>
      <w:r>
        <w:rPr>
          <w:color w:val="202020"/>
        </w:rPr>
        <w:t>ecographic</w:t>
      </w:r>
      <w:r>
        <w:rPr>
          <w:color w:val="202020"/>
          <w:spacing w:val="-14"/>
        </w:rPr>
        <w:t> </w:t>
      </w:r>
      <w:r>
        <w:rPr>
          <w:color w:val="202020"/>
        </w:rPr>
        <w:t>criteria</w:t>
      </w:r>
      <w:r>
        <w:rPr>
          <w:color w:val="202020"/>
          <w:spacing w:val="-13"/>
        </w:rPr>
        <w:t> </w:t>
      </w:r>
      <w:r>
        <w:rPr>
          <w:color w:val="202020"/>
        </w:rPr>
        <w:t>has</w:t>
      </w:r>
      <w:r>
        <w:rPr>
          <w:color w:val="202020"/>
          <w:spacing w:val="-16"/>
        </w:rPr>
        <w:t> </w:t>
      </w:r>
      <w:r>
        <w:rPr>
          <w:color w:val="202020"/>
        </w:rPr>
        <w:t>given</w:t>
      </w:r>
      <w:r>
        <w:rPr>
          <w:color w:val="202020"/>
          <w:spacing w:val="-13"/>
        </w:rPr>
        <w:t> </w:t>
      </w:r>
      <w:r>
        <w:rPr>
          <w:color w:val="202020"/>
        </w:rPr>
        <w:t>place</w:t>
      </w:r>
      <w:r>
        <w:rPr>
          <w:color w:val="202020"/>
          <w:spacing w:val="-13"/>
        </w:rPr>
        <w:t> </w:t>
      </w:r>
      <w:r>
        <w:rPr>
          <w:color w:val="202020"/>
        </w:rPr>
        <w:t>to</w:t>
      </w:r>
      <w:r>
        <w:rPr>
          <w:color w:val="202020"/>
          <w:spacing w:val="-13"/>
        </w:rPr>
        <w:t> </w:t>
      </w:r>
      <w:r>
        <w:rPr>
          <w:color w:val="202020"/>
        </w:rPr>
        <w:t>biased</w:t>
      </w:r>
      <w:r>
        <w:rPr>
          <w:color w:val="202020"/>
          <w:spacing w:val="-16"/>
        </w:rPr>
        <w:t> </w:t>
      </w:r>
      <w:r>
        <w:rPr>
          <w:color w:val="202020"/>
        </w:rPr>
        <w:t>diagnostics</w:t>
      </w:r>
      <w:r>
        <w:rPr>
          <w:color w:val="202020"/>
          <w:spacing w:val="-14"/>
        </w:rPr>
        <w:t> </w:t>
      </w:r>
      <w:r>
        <w:rPr>
          <w:color w:val="202020"/>
        </w:rPr>
        <w:t>due to the variability and subjective observations among</w:t>
      </w:r>
      <w:r>
        <w:rPr>
          <w:color w:val="202020"/>
          <w:spacing w:val="-27"/>
        </w:rPr>
        <w:t> </w:t>
      </w:r>
      <w:r>
        <w:rPr>
          <w:color w:val="202020"/>
        </w:rPr>
        <w:t>physicians.</w:t>
      </w:r>
    </w:p>
    <w:p>
      <w:pPr>
        <w:pStyle w:val="BodyText"/>
        <w:spacing w:line="360" w:lineRule="auto" w:before="2"/>
        <w:ind w:left="117" w:right="116" w:hanging="10"/>
        <w:jc w:val="both"/>
      </w:pPr>
      <w:r>
        <w:rPr>
          <w:color w:val="202020"/>
        </w:rPr>
        <w:t>As hyperandrogenism is a must-see factor when it comes to polycystic ovary syndrome, we propose ovarian stroma to total ovarian - stroma area ratio as the ecographic</w:t>
      </w:r>
      <w:r>
        <w:rPr>
          <w:color w:val="202020"/>
          <w:spacing w:val="-7"/>
        </w:rPr>
        <w:t> </w:t>
      </w:r>
      <w:r>
        <w:rPr>
          <w:color w:val="202020"/>
        </w:rPr>
        <w:t>criteria</w:t>
      </w:r>
      <w:r>
        <w:rPr>
          <w:color w:val="202020"/>
          <w:spacing w:val="-6"/>
        </w:rPr>
        <w:t> </w:t>
      </w:r>
      <w:r>
        <w:rPr>
          <w:color w:val="202020"/>
        </w:rPr>
        <w:t>with</w:t>
      </w:r>
      <w:r>
        <w:rPr>
          <w:color w:val="202020"/>
          <w:spacing w:val="-4"/>
        </w:rPr>
        <w:t> </w:t>
      </w:r>
      <w:r>
        <w:rPr>
          <w:color w:val="202020"/>
        </w:rPr>
        <w:t>enough</w:t>
      </w:r>
      <w:r>
        <w:rPr>
          <w:color w:val="202020"/>
          <w:spacing w:val="-6"/>
        </w:rPr>
        <w:t> </w:t>
      </w:r>
      <w:r>
        <w:rPr>
          <w:color w:val="202020"/>
        </w:rPr>
        <w:t>specificity</w:t>
      </w:r>
      <w:r>
        <w:rPr>
          <w:color w:val="202020"/>
          <w:spacing w:val="-9"/>
        </w:rPr>
        <w:t> </w:t>
      </w:r>
      <w:r>
        <w:rPr>
          <w:color w:val="202020"/>
        </w:rPr>
        <w:t>and</w:t>
      </w:r>
      <w:r>
        <w:rPr>
          <w:color w:val="202020"/>
          <w:spacing w:val="-6"/>
        </w:rPr>
        <w:t> </w:t>
      </w:r>
      <w:r>
        <w:rPr>
          <w:color w:val="202020"/>
        </w:rPr>
        <w:t>sensibility</w:t>
      </w:r>
      <w:r>
        <w:rPr>
          <w:color w:val="202020"/>
          <w:spacing w:val="-9"/>
        </w:rPr>
        <w:t> </w:t>
      </w:r>
      <w:r>
        <w:rPr>
          <w:color w:val="202020"/>
        </w:rPr>
        <w:t>to</w:t>
      </w:r>
      <w:r>
        <w:rPr>
          <w:color w:val="202020"/>
          <w:spacing w:val="-6"/>
        </w:rPr>
        <w:t> </w:t>
      </w:r>
      <w:r>
        <w:rPr>
          <w:color w:val="202020"/>
        </w:rPr>
        <w:t>diagnose</w:t>
      </w:r>
      <w:r>
        <w:rPr>
          <w:color w:val="202020"/>
          <w:spacing w:val="-8"/>
        </w:rPr>
        <w:t> </w:t>
      </w:r>
      <w:r>
        <w:rPr>
          <w:color w:val="202020"/>
        </w:rPr>
        <w:t>the</w:t>
      </w:r>
      <w:r>
        <w:rPr>
          <w:color w:val="202020"/>
          <w:spacing w:val="-6"/>
        </w:rPr>
        <w:t> </w:t>
      </w:r>
      <w:r>
        <w:rPr>
          <w:color w:val="202020"/>
        </w:rPr>
        <w:t>syndrome. </w:t>
      </w:r>
      <w:r>
        <w:rPr>
          <w:b/>
          <w:color w:val="202020"/>
        </w:rPr>
        <w:t>Results: </w:t>
      </w:r>
      <w:r>
        <w:rPr>
          <w:color w:val="202020"/>
          <w:spacing w:val="4"/>
        </w:rPr>
        <w:t>We </w:t>
      </w:r>
      <w:r>
        <w:rPr>
          <w:color w:val="202020"/>
        </w:rPr>
        <w:t>included 72 patients. The coefficient of determination between stromatotal ovarian area index with estradiol, FSH, LH, prolactin, testosterone, androgenic profile (androstenedione, dehydroepiandrostenedione, 17 alpha hydroxyprogesterone) was calculated, finding a greater impact with elevated androgenic</w:t>
      </w:r>
      <w:r>
        <w:rPr>
          <w:color w:val="202020"/>
          <w:spacing w:val="-7"/>
        </w:rPr>
        <w:t> </w:t>
      </w:r>
      <w:r>
        <w:rPr>
          <w:color w:val="202020"/>
        </w:rPr>
        <w:t>profile</w:t>
      </w:r>
      <w:r>
        <w:rPr>
          <w:color w:val="202020"/>
          <w:spacing w:val="-6"/>
        </w:rPr>
        <w:t> </w:t>
      </w:r>
      <w:r>
        <w:rPr>
          <w:color w:val="202020"/>
        </w:rPr>
        <w:t>than</w:t>
      </w:r>
      <w:r>
        <w:rPr>
          <w:color w:val="202020"/>
          <w:spacing w:val="-6"/>
        </w:rPr>
        <w:t> </w:t>
      </w:r>
      <w:r>
        <w:rPr>
          <w:color w:val="202020"/>
        </w:rPr>
        <w:t>with</w:t>
      </w:r>
      <w:r>
        <w:rPr>
          <w:color w:val="202020"/>
          <w:spacing w:val="-5"/>
        </w:rPr>
        <w:t> </w:t>
      </w:r>
      <w:r>
        <w:rPr>
          <w:color w:val="202020"/>
        </w:rPr>
        <w:t>testosterone.</w:t>
      </w:r>
      <w:r>
        <w:rPr>
          <w:color w:val="202020"/>
          <w:spacing w:val="-6"/>
        </w:rPr>
        <w:t> </w:t>
      </w:r>
      <w:r>
        <w:rPr>
          <w:color w:val="202020"/>
        </w:rPr>
        <w:t>Of</w:t>
      </w:r>
      <w:r>
        <w:rPr>
          <w:color w:val="202020"/>
          <w:spacing w:val="-5"/>
        </w:rPr>
        <w:t> </w:t>
      </w:r>
      <w:r>
        <w:rPr>
          <w:color w:val="202020"/>
        </w:rPr>
        <w:t>these,</w:t>
      </w:r>
      <w:r>
        <w:rPr>
          <w:color w:val="202020"/>
          <w:spacing w:val="-6"/>
        </w:rPr>
        <w:t> </w:t>
      </w:r>
      <w:r>
        <w:rPr>
          <w:color w:val="202020"/>
        </w:rPr>
        <w:t>the</w:t>
      </w:r>
      <w:r>
        <w:rPr>
          <w:color w:val="202020"/>
          <w:spacing w:val="-6"/>
        </w:rPr>
        <w:t> </w:t>
      </w:r>
      <w:r>
        <w:rPr>
          <w:color w:val="202020"/>
        </w:rPr>
        <w:t>peak</w:t>
      </w:r>
      <w:r>
        <w:rPr>
          <w:color w:val="202020"/>
          <w:spacing w:val="-7"/>
        </w:rPr>
        <w:t> </w:t>
      </w:r>
      <w:r>
        <w:rPr>
          <w:color w:val="202020"/>
        </w:rPr>
        <w:t>in</w:t>
      </w:r>
      <w:r>
        <w:rPr>
          <w:color w:val="202020"/>
          <w:spacing w:val="-6"/>
        </w:rPr>
        <w:t> </w:t>
      </w:r>
      <w:r>
        <w:rPr>
          <w:color w:val="202020"/>
        </w:rPr>
        <w:t>observations</w:t>
      </w:r>
      <w:r>
        <w:rPr>
          <w:color w:val="202020"/>
          <w:spacing w:val="-5"/>
        </w:rPr>
        <w:t> </w:t>
      </w:r>
      <w:r>
        <w:rPr>
          <w:color w:val="202020"/>
        </w:rPr>
        <w:t>related to elevation of the total stromal-ovarian area index was dehydroepiandrosterone, with</w:t>
      </w:r>
      <w:r>
        <w:rPr>
          <w:color w:val="202020"/>
          <w:spacing w:val="-29"/>
        </w:rPr>
        <w:t> </w:t>
      </w:r>
      <w:r>
        <w:rPr>
          <w:color w:val="202020"/>
        </w:rPr>
        <w:t>a</w:t>
      </w:r>
      <w:r>
        <w:rPr>
          <w:color w:val="202020"/>
          <w:spacing w:val="-29"/>
        </w:rPr>
        <w:t> </w:t>
      </w:r>
      <w:r>
        <w:rPr>
          <w:color w:val="202020"/>
        </w:rPr>
        <w:t>coefficient</w:t>
      </w:r>
      <w:r>
        <w:rPr>
          <w:color w:val="202020"/>
          <w:spacing w:val="-29"/>
        </w:rPr>
        <w:t> </w:t>
      </w:r>
      <w:r>
        <w:rPr>
          <w:color w:val="202020"/>
        </w:rPr>
        <w:t>of</w:t>
      </w:r>
      <w:r>
        <w:rPr>
          <w:color w:val="202020"/>
          <w:spacing w:val="-29"/>
        </w:rPr>
        <w:t> </w:t>
      </w:r>
      <w:r>
        <w:rPr>
          <w:color w:val="202020"/>
        </w:rPr>
        <w:t>determination</w:t>
      </w:r>
      <w:r>
        <w:rPr>
          <w:color w:val="202020"/>
          <w:spacing w:val="-31"/>
        </w:rPr>
        <w:t> </w:t>
      </w:r>
      <w:r>
        <w:rPr>
          <w:color w:val="202020"/>
        </w:rPr>
        <w:t>of</w:t>
      </w:r>
      <w:r>
        <w:rPr>
          <w:color w:val="202020"/>
          <w:spacing w:val="34"/>
        </w:rPr>
        <w:t> </w:t>
      </w:r>
      <w:r>
        <w:rPr>
          <w:rFonts w:ascii="Cambria Math" w:eastAsia="Cambria Math"/>
        </w:rPr>
        <w:t>𝑅</w:t>
      </w:r>
      <w:r>
        <w:rPr>
          <w:rFonts w:ascii="Cambria Math" w:eastAsia="Cambria Math"/>
          <w:position w:val="6"/>
          <w:sz w:val="16"/>
        </w:rPr>
        <w:t>2</w:t>
      </w:r>
      <w:r>
        <w:rPr>
          <w:rFonts w:ascii="Cambria Math" w:eastAsia="Cambria Math"/>
          <w:spacing w:val="-17"/>
          <w:position w:val="6"/>
          <w:sz w:val="16"/>
        </w:rPr>
        <w:t> </w:t>
      </w:r>
      <w:r>
        <w:rPr>
          <w:rFonts w:ascii="Cambria Math" w:eastAsia="Cambria Math"/>
        </w:rPr>
        <w:t>=</w:t>
      </w:r>
      <w:r>
        <w:rPr>
          <w:rFonts w:ascii="Cambria Math" w:eastAsia="Cambria Math"/>
          <w:spacing w:val="-23"/>
        </w:rPr>
        <w:t> </w:t>
      </w:r>
      <w:r>
        <w:rPr>
          <w:rFonts w:ascii="Cambria Math" w:eastAsia="Cambria Math"/>
        </w:rPr>
        <w:t>0.44</w:t>
      </w:r>
      <w:r>
        <w:rPr>
          <w:color w:val="202020"/>
        </w:rPr>
        <w:t>.</w:t>
      </w:r>
    </w:p>
    <w:p>
      <w:pPr>
        <w:pStyle w:val="BodyText"/>
        <w:spacing w:line="360" w:lineRule="auto" w:before="6"/>
        <w:ind w:left="117" w:right="118" w:hanging="10"/>
        <w:jc w:val="both"/>
      </w:pPr>
      <w:r>
        <w:rPr>
          <w:b/>
          <w:color w:val="202020"/>
        </w:rPr>
        <w:t>Conclusion: </w:t>
      </w:r>
      <w:r>
        <w:rPr>
          <w:color w:val="202020"/>
        </w:rPr>
        <w:t>This study demonstrates that there is a significant and positive correlation between the increase in the ovarian-stromal area index and the androgenic serum hormone profile, especially with dehydroepiandrosterone. </w:t>
      </w:r>
      <w:r>
        <w:rPr>
          <w:color w:val="202020"/>
          <w:spacing w:val="4"/>
        </w:rPr>
        <w:t>We </w:t>
      </w:r>
      <w:r>
        <w:rPr>
          <w:color w:val="202020"/>
        </w:rPr>
        <w:t>propose the ultrasound evaluation of this index to be included in all patients with clinical</w:t>
      </w:r>
      <w:r>
        <w:rPr>
          <w:color w:val="202020"/>
          <w:spacing w:val="-13"/>
        </w:rPr>
        <w:t> </w:t>
      </w:r>
      <w:r>
        <w:rPr>
          <w:color w:val="202020"/>
        </w:rPr>
        <w:t>suspicion</w:t>
      </w:r>
      <w:r>
        <w:rPr>
          <w:color w:val="202020"/>
          <w:spacing w:val="-12"/>
        </w:rPr>
        <w:t> </w:t>
      </w:r>
      <w:r>
        <w:rPr>
          <w:color w:val="202020"/>
        </w:rPr>
        <w:t>of</w:t>
      </w:r>
      <w:r>
        <w:rPr>
          <w:color w:val="202020"/>
          <w:spacing w:val="-12"/>
        </w:rPr>
        <w:t> </w:t>
      </w:r>
      <w:r>
        <w:rPr>
          <w:color w:val="202020"/>
        </w:rPr>
        <w:t>polycystic</w:t>
      </w:r>
      <w:r>
        <w:rPr>
          <w:color w:val="202020"/>
          <w:spacing w:val="-13"/>
        </w:rPr>
        <w:t> </w:t>
      </w:r>
      <w:r>
        <w:rPr>
          <w:color w:val="202020"/>
        </w:rPr>
        <w:t>ovarian</w:t>
      </w:r>
      <w:r>
        <w:rPr>
          <w:color w:val="202020"/>
          <w:spacing w:val="-12"/>
        </w:rPr>
        <w:t> </w:t>
      </w:r>
      <w:r>
        <w:rPr>
          <w:color w:val="202020"/>
        </w:rPr>
        <w:t>syndrome,</w:t>
      </w:r>
      <w:r>
        <w:rPr>
          <w:color w:val="202020"/>
          <w:spacing w:val="-12"/>
        </w:rPr>
        <w:t> </w:t>
      </w:r>
      <w:r>
        <w:rPr>
          <w:color w:val="202020"/>
        </w:rPr>
        <w:t>given</w:t>
      </w:r>
      <w:r>
        <w:rPr>
          <w:color w:val="202020"/>
          <w:spacing w:val="-12"/>
        </w:rPr>
        <w:t> </w:t>
      </w:r>
      <w:r>
        <w:rPr>
          <w:color w:val="202020"/>
        </w:rPr>
        <w:t>that</w:t>
      </w:r>
      <w:r>
        <w:rPr>
          <w:color w:val="202020"/>
          <w:spacing w:val="-6"/>
        </w:rPr>
        <w:t> </w:t>
      </w:r>
      <w:r>
        <w:rPr>
          <w:color w:val="202020"/>
        </w:rPr>
        <w:t>it</w:t>
      </w:r>
      <w:r>
        <w:rPr>
          <w:color w:val="202020"/>
          <w:spacing w:val="-15"/>
        </w:rPr>
        <w:t> </w:t>
      </w:r>
      <w:r>
        <w:rPr>
          <w:color w:val="202020"/>
        </w:rPr>
        <w:t>allows</w:t>
      </w:r>
      <w:r>
        <w:rPr>
          <w:color w:val="202020"/>
          <w:spacing w:val="-10"/>
        </w:rPr>
        <w:t> </w:t>
      </w:r>
      <w:r>
        <w:rPr>
          <w:color w:val="202020"/>
        </w:rPr>
        <w:t>to</w:t>
      </w:r>
      <w:r>
        <w:rPr>
          <w:color w:val="202020"/>
          <w:spacing w:val="-11"/>
        </w:rPr>
        <w:t> </w:t>
      </w:r>
      <w:r>
        <w:rPr>
          <w:color w:val="202020"/>
        </w:rPr>
        <w:t>have</w:t>
      </w:r>
      <w:r>
        <w:rPr>
          <w:color w:val="202020"/>
          <w:spacing w:val="-12"/>
        </w:rPr>
        <w:t> </w:t>
      </w:r>
      <w:r>
        <w:rPr>
          <w:color w:val="202020"/>
        </w:rPr>
        <w:t>a</w:t>
      </w:r>
      <w:r>
        <w:rPr>
          <w:color w:val="202020"/>
          <w:spacing w:val="-12"/>
        </w:rPr>
        <w:t> </w:t>
      </w:r>
      <w:r>
        <w:rPr>
          <w:color w:val="202020"/>
        </w:rPr>
        <w:t>timely diagnosis with greater approximation to the syndrome's distinctive characteristic: hyperandrogenism.</w:t>
      </w:r>
    </w:p>
    <w:p>
      <w:pPr>
        <w:spacing w:after="0" w:line="360" w:lineRule="auto"/>
        <w:jc w:val="both"/>
        <w:sectPr>
          <w:pgSz w:w="12240" w:h="15840"/>
          <w:pgMar w:top="1500" w:bottom="280" w:left="1580" w:right="1560"/>
        </w:sectPr>
      </w:pPr>
    </w:p>
    <w:p>
      <w:pPr>
        <w:spacing w:before="60"/>
        <w:ind w:left="107" w:right="0" w:firstLine="0"/>
        <w:jc w:val="both"/>
        <w:rPr>
          <w:sz w:val="22"/>
        </w:rPr>
      </w:pPr>
      <w:bookmarkStart w:name="_bookmark2" w:id="3"/>
      <w:bookmarkEnd w:id="3"/>
      <w:r>
        <w:rPr/>
      </w:r>
      <w:r>
        <w:rPr>
          <w:color w:val="5A5A5A"/>
          <w:sz w:val="22"/>
        </w:rPr>
        <w:t>INTRODUCCION</w:t>
      </w:r>
    </w:p>
    <w:p>
      <w:pPr>
        <w:pStyle w:val="BodyText"/>
        <w:rPr>
          <w:sz w:val="22"/>
        </w:rPr>
      </w:pPr>
    </w:p>
    <w:p>
      <w:pPr>
        <w:pStyle w:val="BodyText"/>
        <w:spacing w:before="3"/>
        <w:rPr>
          <w:sz w:val="19"/>
        </w:rPr>
      </w:pPr>
    </w:p>
    <w:p>
      <w:pPr>
        <w:pStyle w:val="BodyText"/>
        <w:spacing w:line="427" w:lineRule="auto"/>
        <w:ind w:left="107" w:right="114"/>
        <w:jc w:val="both"/>
      </w:pPr>
      <w:r>
        <w:rPr/>
        <w:t>El síndrome de ovario poliquístico es la anormalidad endocrina más común en mujeres en edad reproductiva y que conlleva riesgos de salud significativos tales como infertilidad, hiperplasia endometrial, diabetes y enfermedad cardiovascular</w:t>
      </w:r>
      <w:r>
        <w:rPr>
          <w:position w:val="8"/>
          <w:sz w:val="16"/>
        </w:rPr>
        <w:t>1</w:t>
      </w:r>
      <w:r>
        <w:rPr/>
        <w:t>.</w:t>
      </w:r>
    </w:p>
    <w:p>
      <w:pPr>
        <w:pStyle w:val="BodyText"/>
        <w:spacing w:line="364" w:lineRule="auto" w:before="202"/>
        <w:ind w:left="117" w:right="112" w:hanging="10"/>
        <w:jc w:val="both"/>
      </w:pPr>
      <w:r>
        <w:rPr/>
        <w:t>Swanson describió por primera vez los hallazgos ecográficos de la mujer con síndrome</w:t>
      </w:r>
      <w:r>
        <w:rPr>
          <w:spacing w:val="-19"/>
        </w:rPr>
        <w:t> </w:t>
      </w:r>
      <w:r>
        <w:rPr/>
        <w:t>de</w:t>
      </w:r>
      <w:r>
        <w:rPr>
          <w:spacing w:val="-19"/>
        </w:rPr>
        <w:t> </w:t>
      </w:r>
      <w:r>
        <w:rPr/>
        <w:t>ovario</w:t>
      </w:r>
      <w:r>
        <w:rPr>
          <w:spacing w:val="-17"/>
        </w:rPr>
        <w:t> </w:t>
      </w:r>
      <w:r>
        <w:rPr/>
        <w:t>poliquístico</w:t>
      </w:r>
      <w:r>
        <w:rPr>
          <w:spacing w:val="-17"/>
        </w:rPr>
        <w:t> </w:t>
      </w:r>
      <w:r>
        <w:rPr/>
        <w:t>en</w:t>
      </w:r>
      <w:r>
        <w:rPr>
          <w:spacing w:val="-19"/>
        </w:rPr>
        <w:t> </w:t>
      </w:r>
      <w:r>
        <w:rPr/>
        <w:t>1981,</w:t>
      </w:r>
      <w:r>
        <w:rPr>
          <w:spacing w:val="-19"/>
        </w:rPr>
        <w:t> </w:t>
      </w:r>
      <w:r>
        <w:rPr/>
        <w:t>pero</w:t>
      </w:r>
      <w:r>
        <w:rPr>
          <w:spacing w:val="-21"/>
        </w:rPr>
        <w:t> </w:t>
      </w:r>
      <w:r>
        <w:rPr/>
        <w:t>fue</w:t>
      </w:r>
      <w:r>
        <w:rPr>
          <w:spacing w:val="-17"/>
        </w:rPr>
        <w:t> </w:t>
      </w:r>
      <w:r>
        <w:rPr/>
        <w:t>solamente</w:t>
      </w:r>
      <w:r>
        <w:rPr>
          <w:spacing w:val="-19"/>
        </w:rPr>
        <w:t> </w:t>
      </w:r>
      <w:r>
        <w:rPr/>
        <w:t>después</w:t>
      </w:r>
      <w:r>
        <w:rPr>
          <w:spacing w:val="-21"/>
        </w:rPr>
        <w:t> </w:t>
      </w:r>
      <w:r>
        <w:rPr/>
        <w:t>de</w:t>
      </w:r>
      <w:r>
        <w:rPr>
          <w:spacing w:val="-17"/>
        </w:rPr>
        <w:t> </w:t>
      </w:r>
      <w:r>
        <w:rPr/>
        <w:t>que</w:t>
      </w:r>
      <w:r>
        <w:rPr>
          <w:spacing w:val="-19"/>
        </w:rPr>
        <w:t> </w:t>
      </w:r>
      <w:r>
        <w:rPr/>
        <w:t>Adams definiera los criterios diagnósticos en 1985 cuando el dignóstico ecográfico del ovario poliquístico llegó a ser</w:t>
      </w:r>
      <w:r>
        <w:rPr>
          <w:spacing w:val="-13"/>
        </w:rPr>
        <w:t> </w:t>
      </w:r>
      <w:r>
        <w:rPr/>
        <w:t>aceptado.</w:t>
      </w:r>
    </w:p>
    <w:p>
      <w:pPr>
        <w:pStyle w:val="BodyText"/>
        <w:spacing w:line="364" w:lineRule="auto" w:before="199"/>
        <w:ind w:left="117" w:right="105" w:hanging="10"/>
        <w:jc w:val="both"/>
      </w:pPr>
      <w:r>
        <w:rPr/>
        <w:t>En abril de 1990, durante la conferencia sobre síndrome de ovario poliquístico, el </w:t>
      </w:r>
      <w:r>
        <w:rPr>
          <w:i/>
        </w:rPr>
        <w:t>National</w:t>
      </w:r>
      <w:r>
        <w:rPr>
          <w:i/>
          <w:spacing w:val="-12"/>
        </w:rPr>
        <w:t> </w:t>
      </w:r>
      <w:r>
        <w:rPr>
          <w:i/>
        </w:rPr>
        <w:t>Institute</w:t>
      </w:r>
      <w:r>
        <w:rPr>
          <w:i/>
          <w:spacing w:val="-10"/>
        </w:rPr>
        <w:t> </w:t>
      </w:r>
      <w:r>
        <w:rPr>
          <w:i/>
        </w:rPr>
        <w:t>of</w:t>
      </w:r>
      <w:r>
        <w:rPr>
          <w:i/>
          <w:spacing w:val="-9"/>
        </w:rPr>
        <w:t> </w:t>
      </w:r>
      <w:r>
        <w:rPr>
          <w:i/>
        </w:rPr>
        <w:t>Health</w:t>
      </w:r>
      <w:r>
        <w:rPr>
          <w:i/>
          <w:spacing w:val="-7"/>
        </w:rPr>
        <w:t> </w:t>
      </w:r>
      <w:r>
        <w:rPr/>
        <w:t>(niH)</w:t>
      </w:r>
      <w:r>
        <w:rPr>
          <w:spacing w:val="-10"/>
        </w:rPr>
        <w:t> </w:t>
      </w:r>
      <w:r>
        <w:rPr/>
        <w:t>en</w:t>
      </w:r>
      <w:r>
        <w:rPr>
          <w:spacing w:val="-11"/>
        </w:rPr>
        <w:t> </w:t>
      </w:r>
      <w:r>
        <w:rPr/>
        <w:t>Bethesda</w:t>
      </w:r>
      <w:r>
        <w:rPr>
          <w:spacing w:val="-11"/>
        </w:rPr>
        <w:t> </w:t>
      </w:r>
      <w:r>
        <w:rPr/>
        <w:t>estableció</w:t>
      </w:r>
      <w:r>
        <w:rPr>
          <w:spacing w:val="-9"/>
        </w:rPr>
        <w:t> </w:t>
      </w:r>
      <w:r>
        <w:rPr/>
        <w:t>como</w:t>
      </w:r>
      <w:r>
        <w:rPr>
          <w:spacing w:val="-11"/>
        </w:rPr>
        <w:t> </w:t>
      </w:r>
      <w:r>
        <w:rPr/>
        <w:t>criterios</w:t>
      </w:r>
      <w:r>
        <w:rPr>
          <w:spacing w:val="-9"/>
        </w:rPr>
        <w:t> </w:t>
      </w:r>
      <w:r>
        <w:rPr/>
        <w:t>diagnósticos del síndrome la disfunción menstrual (oligo/anovulación), la presencia de clínica de hiperandrogenismo (hirsutismo, acné y alopecia androgénica) o niveles de andrógenos</w:t>
      </w:r>
      <w:r>
        <w:rPr>
          <w:spacing w:val="-4"/>
        </w:rPr>
        <w:t> </w:t>
      </w:r>
      <w:r>
        <w:rPr/>
        <w:t>elevados</w:t>
      </w:r>
      <w:r>
        <w:rPr>
          <w:spacing w:val="-7"/>
        </w:rPr>
        <w:t> </w:t>
      </w:r>
      <w:r>
        <w:rPr/>
        <w:t>en</w:t>
      </w:r>
      <w:r>
        <w:rPr>
          <w:spacing w:val="-4"/>
        </w:rPr>
        <w:t> </w:t>
      </w:r>
      <w:r>
        <w:rPr/>
        <w:t>la</w:t>
      </w:r>
      <w:r>
        <w:rPr>
          <w:spacing w:val="-4"/>
        </w:rPr>
        <w:t> </w:t>
      </w:r>
      <w:r>
        <w:rPr/>
        <w:t>sangre</w:t>
      </w:r>
      <w:r>
        <w:rPr>
          <w:spacing w:val="-4"/>
        </w:rPr>
        <w:t> </w:t>
      </w:r>
      <w:r>
        <w:rPr/>
        <w:t>y</w:t>
      </w:r>
      <w:r>
        <w:rPr>
          <w:spacing w:val="-7"/>
        </w:rPr>
        <w:t> </w:t>
      </w:r>
      <w:r>
        <w:rPr/>
        <w:t>la</w:t>
      </w:r>
      <w:r>
        <w:rPr>
          <w:spacing w:val="-4"/>
        </w:rPr>
        <w:t> </w:t>
      </w:r>
      <w:r>
        <w:rPr/>
        <w:t>exclusión</w:t>
      </w:r>
      <w:r>
        <w:rPr>
          <w:spacing w:val="-3"/>
        </w:rPr>
        <w:t> </w:t>
      </w:r>
      <w:r>
        <w:rPr/>
        <w:t>de</w:t>
      </w:r>
      <w:r>
        <w:rPr>
          <w:spacing w:val="-6"/>
        </w:rPr>
        <w:t> </w:t>
      </w:r>
      <w:r>
        <w:rPr/>
        <w:t>otras</w:t>
      </w:r>
      <w:r>
        <w:rPr>
          <w:spacing w:val="-4"/>
        </w:rPr>
        <w:t> </w:t>
      </w:r>
      <w:r>
        <w:rPr/>
        <w:t>alteraciones</w:t>
      </w:r>
      <w:r>
        <w:rPr>
          <w:spacing w:val="-4"/>
        </w:rPr>
        <w:t> </w:t>
      </w:r>
      <w:r>
        <w:rPr/>
        <w:t>hormonales, como la hiperprolactinemia, la hiperplasia suprarrenal no clásica y los trastornos tiroideos. Esta definición no contemplaba en ningún momento la apariencia ecográfica de los ovarios de estas pacientes, aspecto que autores europeos como Balen han remarcado como de gran</w:t>
      </w:r>
      <w:r>
        <w:rPr>
          <w:spacing w:val="-14"/>
        </w:rPr>
        <w:t> </w:t>
      </w:r>
      <w:r>
        <w:rPr/>
        <w:t>interés.</w:t>
      </w:r>
    </w:p>
    <w:p>
      <w:pPr>
        <w:pStyle w:val="BodyText"/>
        <w:spacing w:line="364" w:lineRule="auto" w:before="4"/>
        <w:ind w:left="117" w:right="112" w:hanging="10"/>
        <w:jc w:val="both"/>
      </w:pPr>
      <w:r>
        <w:rPr/>
        <w:t>En mayo de 2003 se produjo otro acontecimiento importante que merece ser señalado, ya que en una reunión de expertos que tiene lugar en Rotterdam se establecen unos nuevos criterios diagnósticos para el síndrome de ovario poliquístico, que son los vigentes en la actualidad: presencia de oligo y/o anovulación, signos clínicos y/o bioquímicos de hiperandrogenismo y ovarios de apariencia ecográfica poliquística (se exige por lo menos alguno de estos dos criterios:</w:t>
      </w:r>
      <w:r>
        <w:rPr>
          <w:spacing w:val="-16"/>
        </w:rPr>
        <w:t> </w:t>
      </w:r>
      <w:r>
        <w:rPr/>
        <w:t>presencia</w:t>
      </w:r>
      <w:r>
        <w:rPr>
          <w:spacing w:val="-16"/>
        </w:rPr>
        <w:t> </w:t>
      </w:r>
      <w:r>
        <w:rPr/>
        <w:t>de</w:t>
      </w:r>
      <w:r>
        <w:rPr>
          <w:spacing w:val="-18"/>
        </w:rPr>
        <w:t> </w:t>
      </w:r>
      <w:r>
        <w:rPr/>
        <w:t>12</w:t>
      </w:r>
      <w:r>
        <w:rPr>
          <w:spacing w:val="-16"/>
        </w:rPr>
        <w:t> </w:t>
      </w:r>
      <w:r>
        <w:rPr/>
        <w:t>o</w:t>
      </w:r>
      <w:r>
        <w:rPr>
          <w:spacing w:val="-18"/>
        </w:rPr>
        <w:t> </w:t>
      </w:r>
      <w:r>
        <w:rPr/>
        <w:t>más</w:t>
      </w:r>
      <w:r>
        <w:rPr>
          <w:spacing w:val="-19"/>
        </w:rPr>
        <w:t> </w:t>
      </w:r>
      <w:r>
        <w:rPr/>
        <w:t>folículos</w:t>
      </w:r>
      <w:r>
        <w:rPr>
          <w:spacing w:val="-16"/>
        </w:rPr>
        <w:t> </w:t>
      </w:r>
      <w:r>
        <w:rPr/>
        <w:t>de</w:t>
      </w:r>
      <w:r>
        <w:rPr>
          <w:spacing w:val="-18"/>
        </w:rPr>
        <w:t> </w:t>
      </w:r>
      <w:r>
        <w:rPr/>
        <w:t>2</w:t>
      </w:r>
      <w:r>
        <w:rPr>
          <w:spacing w:val="-18"/>
        </w:rPr>
        <w:t> </w:t>
      </w:r>
      <w:r>
        <w:rPr/>
        <w:t>a</w:t>
      </w:r>
      <w:r>
        <w:rPr>
          <w:spacing w:val="-16"/>
        </w:rPr>
        <w:t> </w:t>
      </w:r>
      <w:r>
        <w:rPr/>
        <w:t>9</w:t>
      </w:r>
      <w:r>
        <w:rPr>
          <w:spacing w:val="-18"/>
        </w:rPr>
        <w:t> </w:t>
      </w:r>
      <w:r>
        <w:rPr/>
        <w:t>mm</w:t>
      </w:r>
      <w:r>
        <w:rPr>
          <w:spacing w:val="-15"/>
        </w:rPr>
        <w:t> </w:t>
      </w:r>
      <w:r>
        <w:rPr/>
        <w:t>de</w:t>
      </w:r>
      <w:r>
        <w:rPr>
          <w:spacing w:val="-16"/>
        </w:rPr>
        <w:t> </w:t>
      </w:r>
      <w:r>
        <w:rPr/>
        <w:t>diámetro</w:t>
      </w:r>
      <w:r>
        <w:rPr>
          <w:spacing w:val="-16"/>
        </w:rPr>
        <w:t> </w:t>
      </w:r>
      <w:r>
        <w:rPr/>
        <w:t>y</w:t>
      </w:r>
      <w:r>
        <w:rPr>
          <w:spacing w:val="-19"/>
        </w:rPr>
        <w:t> </w:t>
      </w:r>
      <w:r>
        <w:rPr/>
        <w:t>volumen</w:t>
      </w:r>
      <w:r>
        <w:rPr>
          <w:spacing w:val="-17"/>
        </w:rPr>
        <w:t> </w:t>
      </w:r>
      <w:r>
        <w:rPr/>
        <w:t>ovárico superior a 10</w:t>
      </w:r>
      <w:r>
        <w:rPr>
          <w:spacing w:val="-7"/>
        </w:rPr>
        <w:t> </w:t>
      </w:r>
      <w:r>
        <w:rPr/>
        <w:t>cm</w:t>
      </w:r>
      <w:r>
        <w:rPr>
          <w:position w:val="12"/>
        </w:rPr>
        <w:t>3</w:t>
      </w:r>
      <w:r>
        <w:rPr/>
        <w:t>)</w:t>
      </w:r>
      <w:r>
        <w:rPr>
          <w:position w:val="8"/>
          <w:sz w:val="16"/>
        </w:rPr>
        <w:t>2</w:t>
      </w:r>
      <w:r>
        <w:rPr/>
        <w:t>.</w:t>
      </w:r>
    </w:p>
    <w:p>
      <w:pPr>
        <w:pStyle w:val="BodyText"/>
        <w:spacing w:line="491" w:lineRule="auto" w:before="55"/>
        <w:ind w:left="117" w:right="106" w:hanging="10"/>
        <w:jc w:val="both"/>
      </w:pPr>
      <w:r>
        <w:rPr/>
        <w:t>Tiene una prevalencia del 6.6% en mujeres en edad reproductiva y afecta 4-5 millones de mujeres en edad reproductiva en Estados Unidos </w:t>
      </w:r>
      <w:r>
        <w:rPr>
          <w:position w:val="8"/>
          <w:sz w:val="16"/>
        </w:rPr>
        <w:t>3</w:t>
      </w:r>
      <w:r>
        <w:rPr/>
        <w:t>. En México, un</w:t>
      </w:r>
    </w:p>
    <w:p>
      <w:pPr>
        <w:spacing w:after="0" w:line="491" w:lineRule="auto"/>
        <w:jc w:val="both"/>
        <w:sectPr>
          <w:pgSz w:w="12240" w:h="15840"/>
          <w:pgMar w:top="1500" w:bottom="280" w:left="1580" w:right="1580"/>
        </w:sectPr>
      </w:pPr>
    </w:p>
    <w:p>
      <w:pPr>
        <w:pStyle w:val="BodyText"/>
        <w:spacing w:line="491" w:lineRule="auto" w:before="43"/>
        <w:ind w:left="117" w:right="117"/>
        <w:jc w:val="both"/>
      </w:pPr>
      <w:r>
        <w:rPr/>
        <w:t>estudio</w:t>
      </w:r>
      <w:r>
        <w:rPr>
          <w:spacing w:val="-14"/>
        </w:rPr>
        <w:t> </w:t>
      </w:r>
      <w:r>
        <w:rPr/>
        <w:t>de</w:t>
      </w:r>
      <w:r>
        <w:rPr>
          <w:spacing w:val="-17"/>
        </w:rPr>
        <w:t> </w:t>
      </w:r>
      <w:r>
        <w:rPr/>
        <w:t>150</w:t>
      </w:r>
      <w:r>
        <w:rPr>
          <w:spacing w:val="-14"/>
        </w:rPr>
        <w:t> </w:t>
      </w:r>
      <w:r>
        <w:rPr/>
        <w:t>mujeres</w:t>
      </w:r>
      <w:r>
        <w:rPr>
          <w:spacing w:val="-15"/>
        </w:rPr>
        <w:t> </w:t>
      </w:r>
      <w:r>
        <w:rPr/>
        <w:t>encontró</w:t>
      </w:r>
      <w:r>
        <w:rPr>
          <w:spacing w:val="-14"/>
        </w:rPr>
        <w:t> </w:t>
      </w:r>
      <w:r>
        <w:rPr/>
        <w:t>una</w:t>
      </w:r>
      <w:r>
        <w:rPr>
          <w:spacing w:val="-17"/>
        </w:rPr>
        <w:t> </w:t>
      </w:r>
      <w:r>
        <w:rPr/>
        <w:t>prevalencia</w:t>
      </w:r>
      <w:r>
        <w:rPr>
          <w:spacing w:val="-14"/>
        </w:rPr>
        <w:t> </w:t>
      </w:r>
      <w:r>
        <w:rPr/>
        <w:t>de</w:t>
      </w:r>
      <w:r>
        <w:rPr>
          <w:spacing w:val="-14"/>
        </w:rPr>
        <w:t> </w:t>
      </w:r>
      <w:r>
        <w:rPr/>
        <w:t>síndrome</w:t>
      </w:r>
      <w:r>
        <w:rPr>
          <w:spacing w:val="-14"/>
        </w:rPr>
        <w:t> </w:t>
      </w:r>
      <w:r>
        <w:rPr/>
        <w:t>de</w:t>
      </w:r>
      <w:r>
        <w:rPr>
          <w:spacing w:val="-17"/>
        </w:rPr>
        <w:t> </w:t>
      </w:r>
      <w:r>
        <w:rPr/>
        <w:t>ovario</w:t>
      </w:r>
      <w:r>
        <w:rPr>
          <w:spacing w:val="-14"/>
        </w:rPr>
        <w:t> </w:t>
      </w:r>
      <w:r>
        <w:rPr/>
        <w:t>poliquístico de 6</w:t>
      </w:r>
      <w:r>
        <w:rPr>
          <w:spacing w:val="-1"/>
        </w:rPr>
        <w:t> </w:t>
      </w:r>
      <w:r>
        <w:rPr/>
        <w:t>%</w:t>
      </w:r>
      <w:r>
        <w:rPr>
          <w:position w:val="8"/>
          <w:sz w:val="16"/>
        </w:rPr>
        <w:t>4</w:t>
      </w:r>
      <w:r>
        <w:rPr/>
        <w:t>.</w:t>
      </w:r>
    </w:p>
    <w:p>
      <w:pPr>
        <w:pStyle w:val="BodyText"/>
        <w:spacing w:line="362" w:lineRule="auto" w:before="89"/>
        <w:ind w:left="117" w:right="112" w:hanging="10"/>
        <w:jc w:val="both"/>
      </w:pPr>
      <w:r>
        <w:rPr/>
        <w:t>Se estima que está presente en el 75% de las mujeres hirsutas y en el 10% de las mujeres premenopaúsicas. En los últimos años se ha podido establecer que este trastorno no sólo está limitado a la mujer en etapa reproductiva, sino que puede manifestarse desde el período prepuberal y quizás antes. Su etiología es incierta y se manifiesta por síntomas y signos variados que afectan a cada mujer en forma particular</w:t>
      </w:r>
      <w:r>
        <w:rPr>
          <w:position w:val="8"/>
          <w:sz w:val="16"/>
        </w:rPr>
        <w:t>5</w:t>
      </w:r>
      <w:r>
        <w:rPr/>
        <w:t>.</w:t>
      </w:r>
    </w:p>
    <w:p>
      <w:pPr>
        <w:spacing w:after="0" w:line="362" w:lineRule="auto"/>
        <w:jc w:val="both"/>
        <w:sectPr>
          <w:pgSz w:w="12240" w:h="15840"/>
          <w:pgMar w:top="1220" w:bottom="280" w:left="1580" w:right="1580"/>
        </w:sectPr>
      </w:pPr>
    </w:p>
    <w:p>
      <w:pPr>
        <w:spacing w:before="62"/>
        <w:ind w:left="107" w:right="0" w:firstLine="0"/>
        <w:jc w:val="both"/>
        <w:rPr>
          <w:sz w:val="22"/>
        </w:rPr>
      </w:pPr>
      <w:bookmarkStart w:name="_bookmark3" w:id="4"/>
      <w:bookmarkEnd w:id="4"/>
      <w:r>
        <w:rPr/>
      </w:r>
      <w:r>
        <w:rPr>
          <w:color w:val="5A5A5A"/>
          <w:sz w:val="22"/>
        </w:rPr>
        <w:t>ANTECEDENTES</w:t>
      </w:r>
    </w:p>
    <w:p>
      <w:pPr>
        <w:pStyle w:val="BodyText"/>
        <w:rPr>
          <w:sz w:val="22"/>
        </w:rPr>
      </w:pPr>
    </w:p>
    <w:p>
      <w:pPr>
        <w:pStyle w:val="BodyText"/>
        <w:rPr>
          <w:sz w:val="22"/>
        </w:rPr>
      </w:pPr>
    </w:p>
    <w:p>
      <w:pPr>
        <w:pStyle w:val="BodyText"/>
        <w:spacing w:before="7"/>
      </w:pPr>
    </w:p>
    <w:p>
      <w:pPr>
        <w:pStyle w:val="BodyText"/>
        <w:ind w:left="107"/>
        <w:jc w:val="both"/>
      </w:pPr>
      <w:r>
        <w:rPr/>
        <w:t>ANATOMÍA OVÁRICA</w:t>
      </w:r>
    </w:p>
    <w:p>
      <w:pPr>
        <w:pStyle w:val="BodyText"/>
        <w:spacing w:before="4"/>
        <w:rPr>
          <w:sz w:val="29"/>
        </w:rPr>
      </w:pPr>
    </w:p>
    <w:p>
      <w:pPr>
        <w:pStyle w:val="BodyText"/>
        <w:spacing w:line="362" w:lineRule="auto" w:before="1"/>
        <w:ind w:left="117" w:right="116" w:hanging="10"/>
        <w:jc w:val="both"/>
      </w:pPr>
      <w:r>
        <w:rPr/>
        <w:t>Los ovarios están suspendidos en la pelvis y tienen tres ligamentos asociados. El ovario promedio en la mujer adulta tiene un tamaño de 2.5 a 5 cm × 2.5 cm × 1 cm y pesa de 3 a 8 gramos.</w:t>
      </w:r>
    </w:p>
    <w:p>
      <w:pPr>
        <w:pStyle w:val="BodyText"/>
        <w:spacing w:line="362" w:lineRule="auto" w:before="204"/>
        <w:ind w:left="117" w:right="115" w:hanging="10"/>
        <w:jc w:val="both"/>
      </w:pPr>
      <w:r>
        <w:rPr/>
        <w:t>La posición de los ovarios es variable, pero en una mujer nulípara a menudo se localizan en una depresión peritoneal sobre las paredes laterales pélvicas entre el uréter y la vena iliaca externa.</w:t>
      </w:r>
    </w:p>
    <w:p>
      <w:pPr>
        <w:pStyle w:val="BodyText"/>
        <w:spacing w:line="364" w:lineRule="auto" w:before="201"/>
        <w:ind w:left="117" w:right="109" w:hanging="10"/>
        <w:jc w:val="both"/>
      </w:pPr>
      <w:r>
        <w:rPr/>
        <w:t>El</w:t>
      </w:r>
      <w:r>
        <w:rPr>
          <w:spacing w:val="-16"/>
        </w:rPr>
        <w:t> </w:t>
      </w:r>
      <w:r>
        <w:rPr/>
        <w:t>ligamento</w:t>
      </w:r>
      <w:r>
        <w:rPr>
          <w:spacing w:val="-17"/>
        </w:rPr>
        <w:t> </w:t>
      </w:r>
      <w:r>
        <w:rPr/>
        <w:t>suspensorio</w:t>
      </w:r>
      <w:r>
        <w:rPr>
          <w:spacing w:val="-15"/>
        </w:rPr>
        <w:t> </w:t>
      </w:r>
      <w:r>
        <w:rPr/>
        <w:t>(infundíbulo</w:t>
      </w:r>
      <w:r>
        <w:rPr>
          <w:spacing w:val="-14"/>
        </w:rPr>
        <w:t> </w:t>
      </w:r>
      <w:r>
        <w:rPr/>
        <w:t>pélvico</w:t>
      </w:r>
      <w:r>
        <w:rPr>
          <w:spacing w:val="-18"/>
        </w:rPr>
        <w:t> </w:t>
      </w:r>
      <w:r>
        <w:rPr/>
        <w:t>o</w:t>
      </w:r>
      <w:r>
        <w:rPr>
          <w:spacing w:val="-15"/>
        </w:rPr>
        <w:t> </w:t>
      </w:r>
      <w:r>
        <w:rPr/>
        <w:t>lumboovárico)</w:t>
      </w:r>
      <w:r>
        <w:rPr>
          <w:spacing w:val="-17"/>
        </w:rPr>
        <w:t> </w:t>
      </w:r>
      <w:r>
        <w:rPr/>
        <w:t>se</w:t>
      </w:r>
      <w:r>
        <w:rPr>
          <w:spacing w:val="-17"/>
        </w:rPr>
        <w:t> </w:t>
      </w:r>
      <w:r>
        <w:rPr/>
        <w:t>une</w:t>
      </w:r>
      <w:r>
        <w:rPr>
          <w:spacing w:val="-17"/>
        </w:rPr>
        <w:t> </w:t>
      </w:r>
      <w:r>
        <w:rPr/>
        <w:t>al</w:t>
      </w:r>
      <w:r>
        <w:rPr>
          <w:spacing w:val="-19"/>
        </w:rPr>
        <w:t> </w:t>
      </w:r>
      <w:r>
        <w:rPr/>
        <w:t>polo</w:t>
      </w:r>
      <w:r>
        <w:rPr>
          <w:spacing w:val="-18"/>
        </w:rPr>
        <w:t> </w:t>
      </w:r>
      <w:r>
        <w:rPr/>
        <w:t>craneal del</w:t>
      </w:r>
      <w:r>
        <w:rPr>
          <w:spacing w:val="-18"/>
        </w:rPr>
        <w:t> </w:t>
      </w:r>
      <w:r>
        <w:rPr/>
        <w:t>ovario</w:t>
      </w:r>
      <w:r>
        <w:rPr>
          <w:spacing w:val="-17"/>
        </w:rPr>
        <w:t> </w:t>
      </w:r>
      <w:r>
        <w:rPr/>
        <w:t>y</w:t>
      </w:r>
      <w:r>
        <w:rPr>
          <w:spacing w:val="-20"/>
        </w:rPr>
        <w:t> </w:t>
      </w:r>
      <w:r>
        <w:rPr/>
        <w:t>se</w:t>
      </w:r>
      <w:r>
        <w:rPr>
          <w:spacing w:val="-17"/>
        </w:rPr>
        <w:t> </w:t>
      </w:r>
      <w:r>
        <w:rPr/>
        <w:t>prolonga</w:t>
      </w:r>
      <w:r>
        <w:rPr>
          <w:spacing w:val="-17"/>
        </w:rPr>
        <w:t> </w:t>
      </w:r>
      <w:r>
        <w:rPr/>
        <w:t>hasta</w:t>
      </w:r>
      <w:r>
        <w:rPr>
          <w:spacing w:val="-17"/>
        </w:rPr>
        <w:t> </w:t>
      </w:r>
      <w:r>
        <w:rPr/>
        <w:t>el</w:t>
      </w:r>
      <w:r>
        <w:rPr>
          <w:spacing w:val="-18"/>
        </w:rPr>
        <w:t> </w:t>
      </w:r>
      <w:r>
        <w:rPr/>
        <w:t>borde</w:t>
      </w:r>
      <w:r>
        <w:rPr>
          <w:spacing w:val="-19"/>
        </w:rPr>
        <w:t> </w:t>
      </w:r>
      <w:r>
        <w:rPr/>
        <w:t>pélvico.</w:t>
      </w:r>
      <w:r>
        <w:rPr>
          <w:spacing w:val="-17"/>
        </w:rPr>
        <w:t> </w:t>
      </w:r>
      <w:r>
        <w:rPr/>
        <w:t>Este</w:t>
      </w:r>
      <w:r>
        <w:rPr>
          <w:spacing w:val="-17"/>
        </w:rPr>
        <w:t> </w:t>
      </w:r>
      <w:r>
        <w:rPr/>
        <w:t>ligamento</w:t>
      </w:r>
      <w:r>
        <w:rPr>
          <w:spacing w:val="-19"/>
        </w:rPr>
        <w:t> </w:t>
      </w:r>
      <w:r>
        <w:rPr/>
        <w:t>mantiene</w:t>
      </w:r>
      <w:r>
        <w:rPr>
          <w:spacing w:val="-17"/>
        </w:rPr>
        <w:t> </w:t>
      </w:r>
      <w:r>
        <w:rPr/>
        <w:t>suspendido al</w:t>
      </w:r>
      <w:r>
        <w:rPr>
          <w:spacing w:val="-6"/>
        </w:rPr>
        <w:t> </w:t>
      </w:r>
      <w:r>
        <w:rPr/>
        <w:t>ovario</w:t>
      </w:r>
      <w:r>
        <w:rPr>
          <w:spacing w:val="-5"/>
        </w:rPr>
        <w:t> </w:t>
      </w:r>
      <w:r>
        <w:rPr/>
        <w:t>en</w:t>
      </w:r>
      <w:r>
        <w:rPr>
          <w:spacing w:val="-5"/>
        </w:rPr>
        <w:t> </w:t>
      </w:r>
      <w:r>
        <w:rPr/>
        <w:t>la</w:t>
      </w:r>
      <w:r>
        <w:rPr>
          <w:spacing w:val="-5"/>
        </w:rPr>
        <w:t> </w:t>
      </w:r>
      <w:r>
        <w:rPr/>
        <w:t>pelvis</w:t>
      </w:r>
      <w:r>
        <w:rPr>
          <w:spacing w:val="-6"/>
        </w:rPr>
        <w:t> </w:t>
      </w:r>
      <w:r>
        <w:rPr/>
        <w:t>y</w:t>
      </w:r>
      <w:r>
        <w:rPr>
          <w:spacing w:val="-6"/>
        </w:rPr>
        <w:t> </w:t>
      </w:r>
      <w:r>
        <w:rPr/>
        <w:t>contiene</w:t>
      </w:r>
      <w:r>
        <w:rPr>
          <w:spacing w:val="-5"/>
        </w:rPr>
        <w:t> </w:t>
      </w:r>
      <w:r>
        <w:rPr/>
        <w:t>vasos</w:t>
      </w:r>
      <w:r>
        <w:rPr>
          <w:spacing w:val="-5"/>
        </w:rPr>
        <w:t> </w:t>
      </w:r>
      <w:r>
        <w:rPr/>
        <w:t>sanguíneos,</w:t>
      </w:r>
      <w:r>
        <w:rPr>
          <w:spacing w:val="-7"/>
        </w:rPr>
        <w:t> </w:t>
      </w:r>
      <w:r>
        <w:rPr/>
        <w:t>linfáticos</w:t>
      </w:r>
      <w:r>
        <w:rPr>
          <w:spacing w:val="-5"/>
        </w:rPr>
        <w:t> </w:t>
      </w:r>
      <w:r>
        <w:rPr/>
        <w:t>y</w:t>
      </w:r>
      <w:r>
        <w:rPr>
          <w:spacing w:val="-8"/>
        </w:rPr>
        <w:t> </w:t>
      </w:r>
      <w:r>
        <w:rPr/>
        <w:t>nervios.</w:t>
      </w:r>
      <w:r>
        <w:rPr>
          <w:spacing w:val="-5"/>
        </w:rPr>
        <w:t> </w:t>
      </w:r>
      <w:r>
        <w:rPr/>
        <w:t>El</w:t>
      </w:r>
      <w:r>
        <w:rPr>
          <w:spacing w:val="-6"/>
        </w:rPr>
        <w:t> </w:t>
      </w:r>
      <w:r>
        <w:rPr/>
        <w:t>ligamento útero-ovárico se fija al polo inferior del ovario y se prolonga hasta el útero. El mesovario</w:t>
      </w:r>
      <w:r>
        <w:rPr>
          <w:spacing w:val="-7"/>
        </w:rPr>
        <w:t> </w:t>
      </w:r>
      <w:r>
        <w:rPr/>
        <w:t>conecta</w:t>
      </w:r>
      <w:r>
        <w:rPr>
          <w:spacing w:val="-7"/>
        </w:rPr>
        <w:t> </w:t>
      </w:r>
      <w:r>
        <w:rPr/>
        <w:t>la</w:t>
      </w:r>
      <w:r>
        <w:rPr>
          <w:spacing w:val="-10"/>
        </w:rPr>
        <w:t> </w:t>
      </w:r>
      <w:r>
        <w:rPr/>
        <w:t>porción</w:t>
      </w:r>
      <w:r>
        <w:rPr>
          <w:spacing w:val="-7"/>
        </w:rPr>
        <w:t> </w:t>
      </w:r>
      <w:r>
        <w:rPr/>
        <w:t>anterior</w:t>
      </w:r>
      <w:r>
        <w:rPr>
          <w:spacing w:val="-8"/>
        </w:rPr>
        <w:t> </w:t>
      </w:r>
      <w:r>
        <w:rPr/>
        <w:t>del</w:t>
      </w:r>
      <w:r>
        <w:rPr>
          <w:spacing w:val="-8"/>
        </w:rPr>
        <w:t> </w:t>
      </w:r>
      <w:r>
        <w:rPr/>
        <w:t>ovario</w:t>
      </w:r>
      <w:r>
        <w:rPr>
          <w:spacing w:val="-7"/>
        </w:rPr>
        <w:t> </w:t>
      </w:r>
      <w:r>
        <w:rPr/>
        <w:t>con</w:t>
      </w:r>
      <w:r>
        <w:rPr>
          <w:spacing w:val="-7"/>
        </w:rPr>
        <w:t> </w:t>
      </w:r>
      <w:r>
        <w:rPr/>
        <w:t>la</w:t>
      </w:r>
      <w:r>
        <w:rPr>
          <w:spacing w:val="-7"/>
        </w:rPr>
        <w:t> </w:t>
      </w:r>
      <w:r>
        <w:rPr/>
        <w:t>aleta</w:t>
      </w:r>
      <w:r>
        <w:rPr>
          <w:spacing w:val="-7"/>
        </w:rPr>
        <w:t> </w:t>
      </w:r>
      <w:r>
        <w:rPr/>
        <w:t>posterior</w:t>
      </w:r>
      <w:r>
        <w:rPr>
          <w:spacing w:val="-8"/>
        </w:rPr>
        <w:t> </w:t>
      </w:r>
      <w:r>
        <w:rPr/>
        <w:t>del</w:t>
      </w:r>
      <w:r>
        <w:rPr>
          <w:spacing w:val="-8"/>
        </w:rPr>
        <w:t> </w:t>
      </w:r>
      <w:r>
        <w:rPr/>
        <w:t>ligamento ancho.</w:t>
      </w:r>
    </w:p>
    <w:p>
      <w:pPr>
        <w:pStyle w:val="BodyText"/>
        <w:spacing w:line="364" w:lineRule="auto" w:before="199"/>
        <w:ind w:left="117" w:right="110" w:hanging="10"/>
        <w:jc w:val="both"/>
      </w:pPr>
      <w:r>
        <w:rPr/>
        <w:t>La</w:t>
      </w:r>
      <w:r>
        <w:rPr>
          <w:spacing w:val="-7"/>
        </w:rPr>
        <w:t> </w:t>
      </w:r>
      <w:r>
        <w:rPr/>
        <w:t>irrigación</w:t>
      </w:r>
      <w:r>
        <w:rPr>
          <w:spacing w:val="-7"/>
        </w:rPr>
        <w:t> </w:t>
      </w:r>
      <w:r>
        <w:rPr/>
        <w:t>sanguínea</w:t>
      </w:r>
      <w:r>
        <w:rPr>
          <w:spacing w:val="-7"/>
        </w:rPr>
        <w:t> </w:t>
      </w:r>
      <w:r>
        <w:rPr/>
        <w:t>del</w:t>
      </w:r>
      <w:r>
        <w:rPr>
          <w:spacing w:val="-11"/>
        </w:rPr>
        <w:t> </w:t>
      </w:r>
      <w:r>
        <w:rPr/>
        <w:t>ovario</w:t>
      </w:r>
      <w:r>
        <w:rPr>
          <w:spacing w:val="-7"/>
        </w:rPr>
        <w:t> </w:t>
      </w:r>
      <w:r>
        <w:rPr/>
        <w:t>proviene</w:t>
      </w:r>
      <w:r>
        <w:rPr>
          <w:spacing w:val="-7"/>
        </w:rPr>
        <w:t> </w:t>
      </w:r>
      <w:r>
        <w:rPr/>
        <w:t>de</w:t>
      </w:r>
      <w:r>
        <w:rPr>
          <w:spacing w:val="-7"/>
        </w:rPr>
        <w:t> </w:t>
      </w:r>
      <w:r>
        <w:rPr/>
        <w:t>la</w:t>
      </w:r>
      <w:r>
        <w:rPr>
          <w:spacing w:val="-10"/>
        </w:rPr>
        <w:t> </w:t>
      </w:r>
      <w:r>
        <w:rPr/>
        <w:t>aorta</w:t>
      </w:r>
      <w:r>
        <w:rPr>
          <w:spacing w:val="-10"/>
        </w:rPr>
        <w:t> </w:t>
      </w:r>
      <w:r>
        <w:rPr/>
        <w:t>abdominal,</w:t>
      </w:r>
      <w:r>
        <w:rPr>
          <w:spacing w:val="-10"/>
        </w:rPr>
        <w:t> </w:t>
      </w:r>
      <w:r>
        <w:rPr/>
        <w:t>pasa</w:t>
      </w:r>
      <w:r>
        <w:rPr>
          <w:spacing w:val="-7"/>
        </w:rPr>
        <w:t> </w:t>
      </w:r>
      <w:r>
        <w:rPr/>
        <w:t>a</w:t>
      </w:r>
      <w:r>
        <w:rPr>
          <w:spacing w:val="-9"/>
        </w:rPr>
        <w:t> </w:t>
      </w:r>
      <w:r>
        <w:rPr/>
        <w:t>través</w:t>
      </w:r>
      <w:r>
        <w:rPr>
          <w:spacing w:val="-8"/>
        </w:rPr>
        <w:t> </w:t>
      </w:r>
      <w:r>
        <w:rPr/>
        <w:t>del ligamento suspensorio e ingresa al mesovario para formar una red anastomótica con ramas provenientes de la arteria uterina. La arteria ovárica ingresa al hilio del ovario y se ramifica en arterias espinales que entran a la médula y se prolongan hasta</w:t>
      </w:r>
      <w:r>
        <w:rPr>
          <w:spacing w:val="-11"/>
        </w:rPr>
        <w:t> </w:t>
      </w:r>
      <w:r>
        <w:rPr/>
        <w:t>la</w:t>
      </w:r>
      <w:r>
        <w:rPr>
          <w:spacing w:val="-12"/>
        </w:rPr>
        <w:t> </w:t>
      </w:r>
      <w:r>
        <w:rPr/>
        <w:t>corteza</w:t>
      </w:r>
      <w:r>
        <w:rPr>
          <w:spacing w:val="-9"/>
        </w:rPr>
        <w:t> </w:t>
      </w:r>
      <w:r>
        <w:rPr/>
        <w:t>del</w:t>
      </w:r>
      <w:r>
        <w:rPr>
          <w:spacing w:val="-11"/>
        </w:rPr>
        <w:t> </w:t>
      </w:r>
      <w:r>
        <w:rPr/>
        <w:t>ovario.</w:t>
      </w:r>
      <w:r>
        <w:rPr>
          <w:spacing w:val="-10"/>
        </w:rPr>
        <w:t> </w:t>
      </w:r>
      <w:r>
        <w:rPr/>
        <w:t>Otras</w:t>
      </w:r>
      <w:r>
        <w:rPr>
          <w:spacing w:val="-12"/>
        </w:rPr>
        <w:t> </w:t>
      </w:r>
      <w:r>
        <w:rPr/>
        <w:t>ramificaciones</w:t>
      </w:r>
      <w:r>
        <w:rPr>
          <w:spacing w:val="-10"/>
        </w:rPr>
        <w:t> </w:t>
      </w:r>
      <w:r>
        <w:rPr/>
        <w:t>de</w:t>
      </w:r>
      <w:r>
        <w:rPr>
          <w:spacing w:val="-9"/>
        </w:rPr>
        <w:t> </w:t>
      </w:r>
      <w:r>
        <w:rPr/>
        <w:t>la</w:t>
      </w:r>
      <w:r>
        <w:rPr>
          <w:spacing w:val="-12"/>
        </w:rPr>
        <w:t> </w:t>
      </w:r>
      <w:r>
        <w:rPr/>
        <w:t>red</w:t>
      </w:r>
      <w:r>
        <w:rPr>
          <w:spacing w:val="-11"/>
        </w:rPr>
        <w:t> </w:t>
      </w:r>
      <w:r>
        <w:rPr/>
        <w:t>anastomótica,</w:t>
      </w:r>
      <w:r>
        <w:rPr>
          <w:spacing w:val="-9"/>
        </w:rPr>
        <w:t> </w:t>
      </w:r>
      <w:r>
        <w:rPr/>
        <w:t>localizadas en el meso-ovario, irrigan las trompas de Falopio (trompas</w:t>
      </w:r>
      <w:r>
        <w:rPr>
          <w:spacing w:val="-31"/>
        </w:rPr>
        <w:t> </w:t>
      </w:r>
      <w:r>
        <w:rPr/>
        <w:t>uterinas).</w:t>
      </w:r>
    </w:p>
    <w:p>
      <w:pPr>
        <w:pStyle w:val="BodyText"/>
      </w:pPr>
    </w:p>
    <w:p>
      <w:pPr>
        <w:pStyle w:val="BodyText"/>
      </w:pPr>
    </w:p>
    <w:p>
      <w:pPr>
        <w:pStyle w:val="BodyText"/>
        <w:spacing w:before="6"/>
        <w:rPr>
          <w:sz w:val="22"/>
        </w:rPr>
      </w:pPr>
    </w:p>
    <w:p>
      <w:pPr>
        <w:pStyle w:val="BodyText"/>
        <w:ind w:left="107"/>
        <w:jc w:val="both"/>
      </w:pPr>
      <w:r>
        <w:rPr/>
        <w:t>HISTOLOGÍA DEL OVARIO</w:t>
      </w:r>
    </w:p>
    <w:p>
      <w:pPr>
        <w:pStyle w:val="BodyText"/>
        <w:spacing w:before="5"/>
        <w:rPr>
          <w:sz w:val="29"/>
        </w:rPr>
      </w:pPr>
    </w:p>
    <w:p>
      <w:pPr>
        <w:pStyle w:val="BodyText"/>
        <w:spacing w:line="364" w:lineRule="auto"/>
        <w:ind w:left="117" w:right="112" w:hanging="10"/>
        <w:jc w:val="both"/>
      </w:pPr>
      <w:r>
        <w:rPr/>
        <w:t>Los ovarios son órganos pares algo aplanados son de color rojo grisáceo y la superficie irregular debido a la presencia de folículos ováricos; también se pueden observar algunas cicatrices posteriores a rupturas de folículos.</w:t>
      </w:r>
    </w:p>
    <w:p>
      <w:pPr>
        <w:pStyle w:val="BodyText"/>
        <w:spacing w:line="364" w:lineRule="auto" w:before="199"/>
        <w:ind w:left="117" w:right="109" w:hanging="10"/>
        <w:jc w:val="both"/>
      </w:pPr>
      <w:r>
        <w:rPr/>
        <w:t>El ovario está recubierto por mesotelio peritoneal que en la superficie ovárica no está formado por epitelio plano simple sino por una única capa de epitelio   cúbico.</w:t>
      </w:r>
    </w:p>
    <w:p>
      <w:pPr>
        <w:spacing w:after="0" w:line="364" w:lineRule="auto"/>
        <w:jc w:val="both"/>
        <w:sectPr>
          <w:pgSz w:w="12240" w:h="15840"/>
          <w:pgMar w:top="1200" w:bottom="280" w:left="1580" w:right="1580"/>
        </w:sectPr>
      </w:pPr>
    </w:p>
    <w:p>
      <w:pPr>
        <w:pStyle w:val="BodyText"/>
        <w:spacing w:line="362" w:lineRule="auto" w:before="43"/>
        <w:ind w:left="117" w:right="116"/>
        <w:jc w:val="both"/>
      </w:pPr>
      <w:r>
        <w:rPr/>
        <w:t>Antes se denominaba germinativo, dado que se pensaba erróneamente que los ovocitos</w:t>
      </w:r>
      <w:r>
        <w:rPr>
          <w:spacing w:val="-15"/>
        </w:rPr>
        <w:t> </w:t>
      </w:r>
      <w:r>
        <w:rPr/>
        <w:t>primordiales</w:t>
      </w:r>
      <w:r>
        <w:rPr>
          <w:spacing w:val="-14"/>
        </w:rPr>
        <w:t> </w:t>
      </w:r>
      <w:r>
        <w:rPr/>
        <w:t>se</w:t>
      </w:r>
      <w:r>
        <w:rPr>
          <w:spacing w:val="-14"/>
        </w:rPr>
        <w:t> </w:t>
      </w:r>
      <w:r>
        <w:rPr/>
        <w:t>diferenciaban</w:t>
      </w:r>
      <w:r>
        <w:rPr>
          <w:spacing w:val="-14"/>
        </w:rPr>
        <w:t> </w:t>
      </w:r>
      <w:r>
        <w:rPr/>
        <w:t>de</w:t>
      </w:r>
      <w:r>
        <w:rPr>
          <w:spacing w:val="-14"/>
        </w:rPr>
        <w:t> </w:t>
      </w:r>
      <w:r>
        <w:rPr/>
        <w:t>allí.</w:t>
      </w:r>
      <w:r>
        <w:rPr>
          <w:spacing w:val="-14"/>
        </w:rPr>
        <w:t> </w:t>
      </w:r>
      <w:r>
        <w:rPr/>
        <w:t>En</w:t>
      </w:r>
      <w:r>
        <w:rPr>
          <w:spacing w:val="-14"/>
        </w:rPr>
        <w:t> </w:t>
      </w:r>
      <w:r>
        <w:rPr/>
        <w:t>los</w:t>
      </w:r>
      <w:r>
        <w:rPr>
          <w:spacing w:val="-14"/>
        </w:rPr>
        <w:t> </w:t>
      </w:r>
      <w:r>
        <w:rPr/>
        <w:t>cortes</w:t>
      </w:r>
      <w:r>
        <w:rPr>
          <w:spacing w:val="-15"/>
        </w:rPr>
        <w:t> </w:t>
      </w:r>
      <w:r>
        <w:rPr/>
        <w:t>se</w:t>
      </w:r>
      <w:r>
        <w:rPr>
          <w:spacing w:val="-14"/>
        </w:rPr>
        <w:t> </w:t>
      </w:r>
      <w:r>
        <w:rPr/>
        <w:t>observa</w:t>
      </w:r>
      <w:r>
        <w:rPr>
          <w:spacing w:val="-14"/>
        </w:rPr>
        <w:t> </w:t>
      </w:r>
      <w:r>
        <w:rPr/>
        <w:t>que</w:t>
      </w:r>
      <w:r>
        <w:rPr>
          <w:spacing w:val="-14"/>
        </w:rPr>
        <w:t> </w:t>
      </w:r>
      <w:r>
        <w:rPr/>
        <w:t>el</w:t>
      </w:r>
      <w:r>
        <w:rPr>
          <w:spacing w:val="-15"/>
        </w:rPr>
        <w:t> </w:t>
      </w:r>
      <w:r>
        <w:rPr/>
        <w:t>ovario está compuesto por una corteza externa poco delimitada de una médula</w:t>
      </w:r>
      <w:r>
        <w:rPr>
          <w:spacing w:val="-24"/>
        </w:rPr>
        <w:t> </w:t>
      </w:r>
      <w:r>
        <w:rPr/>
        <w:t>central.</w:t>
      </w:r>
    </w:p>
    <w:p>
      <w:pPr>
        <w:pStyle w:val="BodyText"/>
        <w:spacing w:line="362" w:lineRule="auto" w:before="204"/>
        <w:ind w:left="117" w:right="116" w:hanging="10"/>
        <w:jc w:val="both"/>
      </w:pPr>
      <w:r>
        <w:rPr/>
        <w:t>La médula está compuesta por tejido conectivo que contiene abundantes vasos sanguíneos del recorrido muy tortuoso, vías linfáticas y fibras nerviosas, dado que la médula se relaciona con el hilio, por donde ingresan estas estructuras.</w:t>
      </w:r>
    </w:p>
    <w:p>
      <w:pPr>
        <w:pStyle w:val="BodyText"/>
        <w:spacing w:line="364" w:lineRule="auto" w:before="201"/>
        <w:ind w:left="117" w:right="111" w:hanging="10"/>
        <w:jc w:val="both"/>
      </w:pPr>
      <w:r>
        <w:rPr/>
        <w:t>La</w:t>
      </w:r>
      <w:r>
        <w:rPr>
          <w:spacing w:val="-4"/>
        </w:rPr>
        <w:t> </w:t>
      </w:r>
      <w:r>
        <w:rPr/>
        <w:t>corteza</w:t>
      </w:r>
      <w:r>
        <w:rPr>
          <w:spacing w:val="-4"/>
        </w:rPr>
        <w:t> </w:t>
      </w:r>
      <w:r>
        <w:rPr/>
        <w:t>se</w:t>
      </w:r>
      <w:r>
        <w:rPr>
          <w:spacing w:val="-2"/>
        </w:rPr>
        <w:t> </w:t>
      </w:r>
      <w:r>
        <w:rPr/>
        <w:t>compone</w:t>
      </w:r>
      <w:r>
        <w:rPr>
          <w:spacing w:val="-4"/>
        </w:rPr>
        <w:t> </w:t>
      </w:r>
      <w:r>
        <w:rPr/>
        <w:t>de</w:t>
      </w:r>
      <w:r>
        <w:rPr>
          <w:spacing w:val="-4"/>
        </w:rPr>
        <w:t> </w:t>
      </w:r>
      <w:r>
        <w:rPr/>
        <w:t>un</w:t>
      </w:r>
      <w:r>
        <w:rPr>
          <w:spacing w:val="-4"/>
        </w:rPr>
        <w:t> </w:t>
      </w:r>
      <w:r>
        <w:rPr/>
        <w:t>estroma</w:t>
      </w:r>
      <w:r>
        <w:rPr>
          <w:spacing w:val="-6"/>
        </w:rPr>
        <w:t> </w:t>
      </w:r>
      <w:r>
        <w:rPr/>
        <w:t>de</w:t>
      </w:r>
      <w:r>
        <w:rPr>
          <w:spacing w:val="-4"/>
        </w:rPr>
        <w:t> </w:t>
      </w:r>
      <w:r>
        <w:rPr/>
        <w:t>tejido</w:t>
      </w:r>
      <w:r>
        <w:rPr>
          <w:spacing w:val="-4"/>
        </w:rPr>
        <w:t> </w:t>
      </w:r>
      <w:r>
        <w:rPr/>
        <w:t>conectivo</w:t>
      </w:r>
      <w:r>
        <w:rPr>
          <w:spacing w:val="-4"/>
        </w:rPr>
        <w:t> </w:t>
      </w:r>
      <w:r>
        <w:rPr/>
        <w:t>muy</w:t>
      </w:r>
      <w:r>
        <w:rPr>
          <w:spacing w:val="-7"/>
        </w:rPr>
        <w:t> </w:t>
      </w:r>
      <w:r>
        <w:rPr/>
        <w:t>celular,</w:t>
      </w:r>
      <w:r>
        <w:rPr>
          <w:spacing w:val="-5"/>
        </w:rPr>
        <w:t> </w:t>
      </w:r>
      <w:r>
        <w:rPr/>
        <w:t>en</w:t>
      </w:r>
      <w:r>
        <w:rPr>
          <w:spacing w:val="-4"/>
        </w:rPr>
        <w:t> </w:t>
      </w:r>
      <w:r>
        <w:rPr/>
        <w:t>la</w:t>
      </w:r>
      <w:r>
        <w:rPr>
          <w:spacing w:val="-4"/>
        </w:rPr>
        <w:t> </w:t>
      </w:r>
      <w:r>
        <w:rPr/>
        <w:t>que</w:t>
      </w:r>
      <w:r>
        <w:rPr>
          <w:spacing w:val="-4"/>
        </w:rPr>
        <w:t> </w:t>
      </w:r>
      <w:r>
        <w:rPr/>
        <w:t>se incluyen los folículos ováricos. Las células de tejido conectivo son ahusadas y poseen largos núcleos, algo similares a pequeñas células musculares lisas. Éstas densamente agrupadas en un reticulado delgadas fibras de colágeno. Justo por debajo</w:t>
      </w:r>
      <w:r>
        <w:rPr>
          <w:spacing w:val="-12"/>
        </w:rPr>
        <w:t> </w:t>
      </w:r>
      <w:r>
        <w:rPr/>
        <w:t>del</w:t>
      </w:r>
      <w:r>
        <w:rPr>
          <w:spacing w:val="-13"/>
        </w:rPr>
        <w:t> </w:t>
      </w:r>
      <w:r>
        <w:rPr/>
        <w:t>epitelio</w:t>
      </w:r>
      <w:r>
        <w:rPr>
          <w:spacing w:val="-12"/>
        </w:rPr>
        <w:t> </w:t>
      </w:r>
      <w:r>
        <w:rPr/>
        <w:t>superficial,</w:t>
      </w:r>
      <w:r>
        <w:rPr>
          <w:spacing w:val="-15"/>
        </w:rPr>
        <w:t> </w:t>
      </w:r>
      <w:r>
        <w:rPr/>
        <w:t>el</w:t>
      </w:r>
      <w:r>
        <w:rPr>
          <w:spacing w:val="-13"/>
        </w:rPr>
        <w:t> </w:t>
      </w:r>
      <w:r>
        <w:rPr/>
        <w:t>tejido</w:t>
      </w:r>
      <w:r>
        <w:rPr>
          <w:spacing w:val="-12"/>
        </w:rPr>
        <w:t> </w:t>
      </w:r>
      <w:r>
        <w:rPr/>
        <w:t>conectivo</w:t>
      </w:r>
      <w:r>
        <w:rPr>
          <w:spacing w:val="-12"/>
        </w:rPr>
        <w:t> </w:t>
      </w:r>
      <w:r>
        <w:rPr/>
        <w:t>es</w:t>
      </w:r>
      <w:r>
        <w:rPr>
          <w:spacing w:val="-13"/>
        </w:rPr>
        <w:t> </w:t>
      </w:r>
      <w:r>
        <w:rPr/>
        <w:t>más</w:t>
      </w:r>
      <w:r>
        <w:rPr>
          <w:spacing w:val="-17"/>
        </w:rPr>
        <w:t> </w:t>
      </w:r>
      <w:r>
        <w:rPr/>
        <w:t>fibroso</w:t>
      </w:r>
      <w:r>
        <w:rPr>
          <w:spacing w:val="-12"/>
        </w:rPr>
        <w:t> </w:t>
      </w:r>
      <w:r>
        <w:rPr/>
        <w:t>y</w:t>
      </w:r>
      <w:r>
        <w:rPr>
          <w:spacing w:val="-15"/>
        </w:rPr>
        <w:t> </w:t>
      </w:r>
      <w:r>
        <w:rPr/>
        <w:t>forma</w:t>
      </w:r>
      <w:r>
        <w:rPr>
          <w:spacing w:val="-14"/>
        </w:rPr>
        <w:t> </w:t>
      </w:r>
      <w:r>
        <w:rPr/>
        <w:t>una</w:t>
      </w:r>
      <w:r>
        <w:rPr>
          <w:spacing w:val="-12"/>
        </w:rPr>
        <w:t> </w:t>
      </w:r>
      <w:r>
        <w:rPr/>
        <w:t>cápsula muy delgada, la túnica albugínea. La cantidad de tejido conectivo y muestra un aumento paulatino durante la edad fértil, para dominar por completo el ovario después de la</w:t>
      </w:r>
      <w:r>
        <w:rPr>
          <w:spacing w:val="-11"/>
        </w:rPr>
        <w:t> </w:t>
      </w:r>
      <w:r>
        <w:rPr/>
        <w:t>menopausia.</w:t>
      </w:r>
    </w:p>
    <w:p>
      <w:pPr>
        <w:pStyle w:val="BodyText"/>
      </w:pPr>
    </w:p>
    <w:p>
      <w:pPr>
        <w:pStyle w:val="BodyText"/>
      </w:pPr>
    </w:p>
    <w:p>
      <w:pPr>
        <w:pStyle w:val="BodyText"/>
        <w:spacing w:before="3"/>
        <w:rPr>
          <w:sz w:val="22"/>
        </w:rPr>
      </w:pPr>
    </w:p>
    <w:p>
      <w:pPr>
        <w:spacing w:before="0"/>
        <w:ind w:left="107" w:right="0" w:firstLine="0"/>
        <w:jc w:val="both"/>
        <w:rPr>
          <w:i/>
          <w:sz w:val="24"/>
        </w:rPr>
      </w:pPr>
      <w:r>
        <w:rPr>
          <w:i/>
          <w:sz w:val="24"/>
        </w:rPr>
        <w:t>Folículo primario.</w:t>
      </w:r>
    </w:p>
    <w:p>
      <w:pPr>
        <w:pStyle w:val="BodyText"/>
        <w:spacing w:before="1"/>
        <w:rPr>
          <w:i/>
          <w:sz w:val="30"/>
        </w:rPr>
      </w:pPr>
    </w:p>
    <w:p>
      <w:pPr>
        <w:pStyle w:val="BodyText"/>
        <w:spacing w:line="364" w:lineRule="auto"/>
        <w:ind w:left="117" w:right="108" w:hanging="10"/>
        <w:jc w:val="both"/>
      </w:pPr>
      <w:r>
        <w:rPr/>
        <w:t>Por estimulación de la hormona folículo estimulante (FSH) las células foliculares se hacen cuboideas y después se estratifican. Algunas rodean material eosinófilo extracelular, de tipo membrana basal (cuerpos de Call-Exner). Las células granulosas son de tipo epitelial, sin estroma entre ellas, y secretan estrógenos. Por fuera de las células foliculares, las células del estroma ovárico forman una capa adyacente, con abundante vascularización: la teca interna (células poligonales secretoras de andrógenos), separada de las foliculares por una lámina basal. La teca</w:t>
      </w:r>
      <w:r>
        <w:rPr>
          <w:spacing w:val="-8"/>
        </w:rPr>
        <w:t> </w:t>
      </w:r>
      <w:r>
        <w:rPr/>
        <w:t>externa</w:t>
      </w:r>
      <w:r>
        <w:rPr>
          <w:spacing w:val="-6"/>
        </w:rPr>
        <w:t> </w:t>
      </w:r>
      <w:r>
        <w:rPr/>
        <w:t>es</w:t>
      </w:r>
      <w:r>
        <w:rPr>
          <w:spacing w:val="-9"/>
        </w:rPr>
        <w:t> </w:t>
      </w:r>
      <w:r>
        <w:rPr/>
        <w:t>una</w:t>
      </w:r>
      <w:r>
        <w:rPr>
          <w:spacing w:val="-8"/>
        </w:rPr>
        <w:t> </w:t>
      </w:r>
      <w:r>
        <w:rPr/>
        <w:t>banda</w:t>
      </w:r>
      <w:r>
        <w:rPr>
          <w:spacing w:val="-8"/>
        </w:rPr>
        <w:t> </w:t>
      </w:r>
      <w:r>
        <w:rPr/>
        <w:t>más</w:t>
      </w:r>
      <w:r>
        <w:rPr>
          <w:spacing w:val="-9"/>
        </w:rPr>
        <w:t> </w:t>
      </w:r>
      <w:r>
        <w:rPr/>
        <w:t>densa</w:t>
      </w:r>
      <w:r>
        <w:rPr>
          <w:spacing w:val="-8"/>
        </w:rPr>
        <w:t> </w:t>
      </w:r>
      <w:r>
        <w:rPr/>
        <w:t>de</w:t>
      </w:r>
      <w:r>
        <w:rPr>
          <w:spacing w:val="-6"/>
        </w:rPr>
        <w:t> </w:t>
      </w:r>
      <w:r>
        <w:rPr/>
        <w:t>células</w:t>
      </w:r>
      <w:r>
        <w:rPr>
          <w:spacing w:val="-7"/>
        </w:rPr>
        <w:t> </w:t>
      </w:r>
      <w:r>
        <w:rPr/>
        <w:t>del</w:t>
      </w:r>
      <w:r>
        <w:rPr>
          <w:spacing w:val="-10"/>
        </w:rPr>
        <w:t> </w:t>
      </w:r>
      <w:r>
        <w:rPr/>
        <w:t>estroma,</w:t>
      </w:r>
      <w:r>
        <w:rPr>
          <w:spacing w:val="-11"/>
        </w:rPr>
        <w:t> </w:t>
      </w:r>
      <w:r>
        <w:rPr/>
        <w:t>fusadas,</w:t>
      </w:r>
      <w:r>
        <w:rPr>
          <w:spacing w:val="-9"/>
        </w:rPr>
        <w:t> </w:t>
      </w:r>
      <w:r>
        <w:rPr/>
        <w:t>ubicada</w:t>
      </w:r>
      <w:r>
        <w:rPr>
          <w:spacing w:val="-6"/>
        </w:rPr>
        <w:t> </w:t>
      </w:r>
      <w:r>
        <w:rPr/>
        <w:t>por fuera de la teca</w:t>
      </w:r>
      <w:r>
        <w:rPr>
          <w:spacing w:val="-11"/>
        </w:rPr>
        <w:t> </w:t>
      </w:r>
      <w:r>
        <w:rPr/>
        <w:t>interna.</w:t>
      </w:r>
    </w:p>
    <w:p>
      <w:pPr>
        <w:pStyle w:val="BodyText"/>
      </w:pPr>
    </w:p>
    <w:p>
      <w:pPr>
        <w:pStyle w:val="BodyText"/>
      </w:pPr>
    </w:p>
    <w:p>
      <w:pPr>
        <w:pStyle w:val="BodyText"/>
        <w:spacing w:before="1"/>
        <w:rPr>
          <w:sz w:val="22"/>
        </w:rPr>
      </w:pPr>
    </w:p>
    <w:p>
      <w:pPr>
        <w:spacing w:before="0"/>
        <w:ind w:left="107" w:right="0" w:firstLine="0"/>
        <w:jc w:val="both"/>
        <w:rPr>
          <w:i/>
          <w:sz w:val="24"/>
        </w:rPr>
      </w:pPr>
      <w:r>
        <w:rPr>
          <w:i/>
          <w:sz w:val="24"/>
        </w:rPr>
        <w:t>Folículo secundario (antral).</w:t>
      </w:r>
    </w:p>
    <w:p>
      <w:pPr>
        <w:spacing w:after="0"/>
        <w:jc w:val="both"/>
        <w:rPr>
          <w:sz w:val="24"/>
        </w:rPr>
        <w:sectPr>
          <w:pgSz w:w="12240" w:h="15840"/>
          <w:pgMar w:top="1220" w:bottom="280" w:left="1580" w:right="1580"/>
        </w:sectPr>
      </w:pPr>
    </w:p>
    <w:p>
      <w:pPr>
        <w:pStyle w:val="BodyText"/>
        <w:spacing w:line="364" w:lineRule="auto" w:before="43"/>
        <w:ind w:left="117" w:right="108" w:hanging="10"/>
        <w:jc w:val="both"/>
      </w:pPr>
      <w:r>
        <w:rPr/>
        <w:t>Las células foliculares secretan líquido, que se acumula en un espacio entre ellas llamado antro. Las células foliculares que rodean el oocito se disponen en un polo del antro (cúmulo oóforo o prolígero) y se desprenden hacia esta cavidad</w:t>
      </w:r>
      <w:r>
        <w:rPr>
          <w:spacing w:val="-46"/>
        </w:rPr>
        <w:t> </w:t>
      </w:r>
      <w:r>
        <w:rPr/>
        <w:t>formando el folículo maduro (folículo de De Graaf), que se aproxima a la superficie</w:t>
      </w:r>
      <w:r>
        <w:rPr>
          <w:spacing w:val="-33"/>
        </w:rPr>
        <w:t> </w:t>
      </w:r>
      <w:r>
        <w:rPr/>
        <w:t>ovárica.</w:t>
      </w:r>
    </w:p>
    <w:p>
      <w:pPr>
        <w:pStyle w:val="BodyText"/>
      </w:pPr>
    </w:p>
    <w:p>
      <w:pPr>
        <w:pStyle w:val="BodyText"/>
      </w:pPr>
    </w:p>
    <w:p>
      <w:pPr>
        <w:pStyle w:val="BodyText"/>
        <w:spacing w:before="3"/>
        <w:rPr>
          <w:sz w:val="22"/>
        </w:rPr>
      </w:pPr>
    </w:p>
    <w:p>
      <w:pPr>
        <w:spacing w:before="0"/>
        <w:ind w:left="107" w:right="0" w:firstLine="0"/>
        <w:jc w:val="both"/>
        <w:rPr>
          <w:i/>
          <w:sz w:val="24"/>
        </w:rPr>
      </w:pPr>
      <w:r>
        <w:rPr>
          <w:i/>
          <w:sz w:val="24"/>
        </w:rPr>
        <w:t>Cuerpo lúteo.</w:t>
      </w:r>
    </w:p>
    <w:p>
      <w:pPr>
        <w:pStyle w:val="BodyText"/>
        <w:spacing w:before="9"/>
        <w:rPr>
          <w:i/>
          <w:sz w:val="29"/>
        </w:rPr>
      </w:pPr>
    </w:p>
    <w:p>
      <w:pPr>
        <w:pStyle w:val="BodyText"/>
        <w:spacing w:line="364" w:lineRule="auto"/>
        <w:ind w:left="117" w:right="106" w:hanging="10"/>
        <w:jc w:val="both"/>
      </w:pPr>
      <w:r>
        <w:rPr/>
        <w:t>El</w:t>
      </w:r>
      <w:r>
        <w:rPr>
          <w:spacing w:val="-11"/>
        </w:rPr>
        <w:t> </w:t>
      </w:r>
      <w:r>
        <w:rPr/>
        <w:t>folículo</w:t>
      </w:r>
      <w:r>
        <w:rPr>
          <w:spacing w:val="-10"/>
        </w:rPr>
        <w:t> </w:t>
      </w:r>
      <w:r>
        <w:rPr/>
        <w:t>que</w:t>
      </w:r>
      <w:r>
        <w:rPr>
          <w:spacing w:val="-9"/>
        </w:rPr>
        <w:t> </w:t>
      </w:r>
      <w:r>
        <w:rPr/>
        <w:t>ovuló</w:t>
      </w:r>
      <w:r>
        <w:rPr>
          <w:spacing w:val="-10"/>
        </w:rPr>
        <w:t> </w:t>
      </w:r>
      <w:r>
        <w:rPr/>
        <w:t>constituye</w:t>
      </w:r>
      <w:r>
        <w:rPr>
          <w:spacing w:val="-9"/>
        </w:rPr>
        <w:t> </w:t>
      </w:r>
      <w:r>
        <w:rPr/>
        <w:t>el</w:t>
      </w:r>
      <w:r>
        <w:rPr>
          <w:spacing w:val="-11"/>
        </w:rPr>
        <w:t> </w:t>
      </w:r>
      <w:r>
        <w:rPr/>
        <w:t>cuerpo</w:t>
      </w:r>
      <w:r>
        <w:rPr>
          <w:spacing w:val="-9"/>
        </w:rPr>
        <w:t> </w:t>
      </w:r>
      <w:r>
        <w:rPr/>
        <w:t>lúteo,</w:t>
      </w:r>
      <w:r>
        <w:rPr>
          <w:spacing w:val="-10"/>
        </w:rPr>
        <w:t> </w:t>
      </w:r>
      <w:r>
        <w:rPr/>
        <w:t>de</w:t>
      </w:r>
      <w:r>
        <w:rPr>
          <w:spacing w:val="-9"/>
        </w:rPr>
        <w:t> </w:t>
      </w:r>
      <w:r>
        <w:rPr/>
        <w:t>contornos</w:t>
      </w:r>
      <w:r>
        <w:rPr>
          <w:spacing w:val="-13"/>
        </w:rPr>
        <w:t> </w:t>
      </w:r>
      <w:r>
        <w:rPr/>
        <w:t>festoneados,</w:t>
      </w:r>
      <w:r>
        <w:rPr>
          <w:spacing w:val="-12"/>
        </w:rPr>
        <w:t> </w:t>
      </w:r>
      <w:r>
        <w:rPr/>
        <w:t>plegados (signo de ovulación), de pared formada por el resto de las células de la granulosa</w:t>
      </w:r>
      <w:r>
        <w:rPr>
          <w:spacing w:val="-28"/>
        </w:rPr>
        <w:t> </w:t>
      </w:r>
      <w:r>
        <w:rPr/>
        <w:t>y tecas y de centro hemorrágico. Tanto células de la granulosa como tecales se luteinizan: se hacen poligonales, aumentan su citoplasma, que aparece eosinófilo pálido,</w:t>
      </w:r>
      <w:r>
        <w:rPr>
          <w:spacing w:val="-6"/>
        </w:rPr>
        <w:t> </w:t>
      </w:r>
      <w:r>
        <w:rPr/>
        <w:t>de</w:t>
      </w:r>
      <w:r>
        <w:rPr>
          <w:spacing w:val="-4"/>
        </w:rPr>
        <w:t> </w:t>
      </w:r>
      <w:r>
        <w:rPr/>
        <w:t>contenido</w:t>
      </w:r>
      <w:r>
        <w:rPr>
          <w:spacing w:val="-4"/>
        </w:rPr>
        <w:t> </w:t>
      </w:r>
      <w:r>
        <w:rPr/>
        <w:t>lipídico,</w:t>
      </w:r>
      <w:r>
        <w:rPr>
          <w:spacing w:val="-4"/>
        </w:rPr>
        <w:t> </w:t>
      </w:r>
      <w:r>
        <w:rPr/>
        <w:t>lo</w:t>
      </w:r>
      <w:r>
        <w:rPr>
          <w:spacing w:val="-4"/>
        </w:rPr>
        <w:t> </w:t>
      </w:r>
      <w:r>
        <w:rPr/>
        <w:t>que</w:t>
      </w:r>
      <w:r>
        <w:rPr>
          <w:spacing w:val="-4"/>
        </w:rPr>
        <w:t> </w:t>
      </w:r>
      <w:r>
        <w:rPr/>
        <w:t>da</w:t>
      </w:r>
      <w:r>
        <w:rPr>
          <w:spacing w:val="-4"/>
        </w:rPr>
        <w:t> </w:t>
      </w:r>
      <w:r>
        <w:rPr/>
        <w:t>un</w:t>
      </w:r>
      <w:r>
        <w:rPr>
          <w:spacing w:val="-4"/>
        </w:rPr>
        <w:t> </w:t>
      </w:r>
      <w:r>
        <w:rPr/>
        <w:t>color</w:t>
      </w:r>
      <w:r>
        <w:rPr>
          <w:spacing w:val="-5"/>
        </w:rPr>
        <w:t> </w:t>
      </w:r>
      <w:r>
        <w:rPr/>
        <w:t>amarillo</w:t>
      </w:r>
      <w:r>
        <w:rPr>
          <w:spacing w:val="-4"/>
        </w:rPr>
        <w:t> </w:t>
      </w:r>
      <w:r>
        <w:rPr/>
        <w:t>a</w:t>
      </w:r>
      <w:r>
        <w:rPr>
          <w:spacing w:val="-4"/>
        </w:rPr>
        <w:t> </w:t>
      </w:r>
      <w:r>
        <w:rPr/>
        <w:t>la</w:t>
      </w:r>
      <w:r>
        <w:rPr>
          <w:spacing w:val="-6"/>
        </w:rPr>
        <w:t> </w:t>
      </w:r>
      <w:r>
        <w:rPr/>
        <w:t>pared</w:t>
      </w:r>
      <w:r>
        <w:rPr>
          <w:spacing w:val="-6"/>
        </w:rPr>
        <w:t> </w:t>
      </w:r>
      <w:r>
        <w:rPr/>
        <w:t>del</w:t>
      </w:r>
      <w:r>
        <w:rPr>
          <w:spacing w:val="-5"/>
        </w:rPr>
        <w:t> </w:t>
      </w:r>
      <w:r>
        <w:rPr/>
        <w:t>cuerpo</w:t>
      </w:r>
      <w:r>
        <w:rPr>
          <w:spacing w:val="-4"/>
        </w:rPr>
        <w:t> </w:t>
      </w:r>
      <w:r>
        <w:rPr/>
        <w:t>lúteo. Las células granulosas luteínicas forman la principal masa del cuerpo lúteo, están completamente luteinizadas a los 4 días de la ovulación y secretan estrógenos y progesterona.</w:t>
      </w:r>
      <w:r>
        <w:rPr>
          <w:spacing w:val="-6"/>
        </w:rPr>
        <w:t> </w:t>
      </w:r>
      <w:r>
        <w:rPr/>
        <w:t>Las</w:t>
      </w:r>
      <w:r>
        <w:rPr>
          <w:spacing w:val="-7"/>
        </w:rPr>
        <w:t> </w:t>
      </w:r>
      <w:r>
        <w:rPr/>
        <w:t>células</w:t>
      </w:r>
      <w:r>
        <w:rPr>
          <w:spacing w:val="-6"/>
        </w:rPr>
        <w:t> </w:t>
      </w:r>
      <w:r>
        <w:rPr/>
        <w:t>tecales</w:t>
      </w:r>
      <w:r>
        <w:rPr>
          <w:spacing w:val="-9"/>
        </w:rPr>
        <w:t> </w:t>
      </w:r>
      <w:r>
        <w:rPr/>
        <w:t>luteínicas</w:t>
      </w:r>
      <w:r>
        <w:rPr>
          <w:spacing w:val="-6"/>
        </w:rPr>
        <w:t> </w:t>
      </w:r>
      <w:r>
        <w:rPr/>
        <w:t>son</w:t>
      </w:r>
      <w:r>
        <w:rPr>
          <w:spacing w:val="-8"/>
        </w:rPr>
        <w:t> </w:t>
      </w:r>
      <w:r>
        <w:rPr/>
        <w:t>más</w:t>
      </w:r>
      <w:r>
        <w:rPr>
          <w:spacing w:val="-9"/>
        </w:rPr>
        <w:t> </w:t>
      </w:r>
      <w:r>
        <w:rPr/>
        <w:t>pequeñas</w:t>
      </w:r>
      <w:r>
        <w:rPr>
          <w:spacing w:val="-7"/>
        </w:rPr>
        <w:t> </w:t>
      </w:r>
      <w:r>
        <w:rPr/>
        <w:t>y</w:t>
      </w:r>
      <w:r>
        <w:rPr>
          <w:spacing w:val="-9"/>
        </w:rPr>
        <w:t> </w:t>
      </w:r>
      <w:r>
        <w:rPr/>
        <w:t>oscuras,</w:t>
      </w:r>
      <w:r>
        <w:rPr>
          <w:spacing w:val="-6"/>
        </w:rPr>
        <w:t> </w:t>
      </w:r>
      <w:r>
        <w:rPr/>
        <w:t>secretan progesterona.</w:t>
      </w:r>
      <w:r>
        <w:rPr>
          <w:spacing w:val="-9"/>
        </w:rPr>
        <w:t> </w:t>
      </w:r>
      <w:r>
        <w:rPr/>
        <w:t>En</w:t>
      </w:r>
      <w:r>
        <w:rPr>
          <w:spacing w:val="-8"/>
        </w:rPr>
        <w:t> </w:t>
      </w:r>
      <w:r>
        <w:rPr/>
        <w:t>el</w:t>
      </w:r>
      <w:r>
        <w:rPr>
          <w:spacing w:val="-8"/>
        </w:rPr>
        <w:t> </w:t>
      </w:r>
      <w:r>
        <w:rPr/>
        <w:t>centro</w:t>
      </w:r>
      <w:r>
        <w:rPr>
          <w:spacing w:val="-9"/>
        </w:rPr>
        <w:t> </w:t>
      </w:r>
      <w:r>
        <w:rPr/>
        <w:t>el</w:t>
      </w:r>
      <w:r>
        <w:rPr>
          <w:spacing w:val="-8"/>
        </w:rPr>
        <w:t> </w:t>
      </w:r>
      <w:r>
        <w:rPr/>
        <w:t>hematoma</w:t>
      </w:r>
      <w:r>
        <w:rPr>
          <w:spacing w:val="-8"/>
        </w:rPr>
        <w:t> </w:t>
      </w:r>
      <w:r>
        <w:rPr/>
        <w:t>se</w:t>
      </w:r>
      <w:r>
        <w:rPr>
          <w:spacing w:val="-8"/>
        </w:rPr>
        <w:t> </w:t>
      </w:r>
      <w:r>
        <w:rPr/>
        <w:t>organiza</w:t>
      </w:r>
      <w:r>
        <w:rPr>
          <w:spacing w:val="-7"/>
        </w:rPr>
        <w:t> </w:t>
      </w:r>
      <w:r>
        <w:rPr/>
        <w:t>y</w:t>
      </w:r>
      <w:r>
        <w:rPr>
          <w:spacing w:val="-9"/>
        </w:rPr>
        <w:t> </w:t>
      </w:r>
      <w:r>
        <w:rPr/>
        <w:t>se</w:t>
      </w:r>
      <w:r>
        <w:rPr>
          <w:spacing w:val="-7"/>
        </w:rPr>
        <w:t> </w:t>
      </w:r>
      <w:r>
        <w:rPr/>
        <w:t>transforma</w:t>
      </w:r>
      <w:r>
        <w:rPr>
          <w:spacing w:val="-8"/>
        </w:rPr>
        <w:t> </w:t>
      </w:r>
      <w:r>
        <w:rPr/>
        <w:t>en</w:t>
      </w:r>
      <w:r>
        <w:rPr>
          <w:spacing w:val="-8"/>
        </w:rPr>
        <w:t> </w:t>
      </w:r>
      <w:r>
        <w:rPr/>
        <w:t>una</w:t>
      </w:r>
      <w:r>
        <w:rPr>
          <w:spacing w:val="-8"/>
        </w:rPr>
        <w:t> </w:t>
      </w:r>
      <w:r>
        <w:rPr/>
        <w:t>cicatriz de contornos festoneados. El cuerpo lúteo se profundiza en el tejido ovárico a medida que se transforma en el cuerpo</w:t>
      </w:r>
      <w:r>
        <w:rPr>
          <w:spacing w:val="-18"/>
        </w:rPr>
        <w:t> </w:t>
      </w:r>
      <w:r>
        <w:rPr/>
        <w:t>lúteo</w:t>
      </w:r>
      <w:r>
        <w:rPr>
          <w:position w:val="8"/>
          <w:sz w:val="16"/>
        </w:rPr>
        <w:t>6</w:t>
      </w:r>
      <w:r>
        <w:rPr/>
        <w:t>.</w:t>
      </w:r>
    </w:p>
    <w:p>
      <w:pPr>
        <w:pStyle w:val="BodyText"/>
        <w:rPr>
          <w:sz w:val="26"/>
        </w:rPr>
      </w:pPr>
    </w:p>
    <w:p>
      <w:pPr>
        <w:pStyle w:val="BodyText"/>
        <w:rPr>
          <w:sz w:val="26"/>
        </w:rPr>
      </w:pPr>
    </w:p>
    <w:p>
      <w:pPr>
        <w:pStyle w:val="BodyText"/>
        <w:rPr>
          <w:sz w:val="26"/>
        </w:rPr>
      </w:pPr>
    </w:p>
    <w:p>
      <w:pPr>
        <w:spacing w:before="207"/>
        <w:ind w:left="107" w:right="0" w:firstLine="0"/>
        <w:jc w:val="both"/>
        <w:rPr>
          <w:sz w:val="22"/>
        </w:rPr>
      </w:pPr>
      <w:r>
        <w:rPr>
          <w:color w:val="5A5A5A"/>
          <w:sz w:val="22"/>
        </w:rPr>
        <w:t>ESTEROIDOGÉNESIS OVÁRICA</w:t>
      </w:r>
    </w:p>
    <w:p>
      <w:pPr>
        <w:pStyle w:val="BodyText"/>
        <w:rPr>
          <w:sz w:val="22"/>
        </w:rPr>
      </w:pPr>
    </w:p>
    <w:p>
      <w:pPr>
        <w:pStyle w:val="BodyText"/>
        <w:rPr>
          <w:sz w:val="22"/>
        </w:rPr>
      </w:pPr>
    </w:p>
    <w:p>
      <w:pPr>
        <w:pStyle w:val="BodyText"/>
        <w:spacing w:before="9"/>
      </w:pPr>
    </w:p>
    <w:p>
      <w:pPr>
        <w:pStyle w:val="BodyText"/>
        <w:spacing w:line="362" w:lineRule="auto"/>
        <w:ind w:left="117" w:right="113" w:hanging="10"/>
        <w:jc w:val="both"/>
      </w:pPr>
      <w:r>
        <w:rPr/>
        <w:t>Los</w:t>
      </w:r>
      <w:r>
        <w:rPr>
          <w:spacing w:val="-13"/>
        </w:rPr>
        <w:t> </w:t>
      </w:r>
      <w:r>
        <w:rPr/>
        <w:t>ovarios</w:t>
      </w:r>
      <w:r>
        <w:rPr>
          <w:spacing w:val="-13"/>
        </w:rPr>
        <w:t> </w:t>
      </w:r>
      <w:r>
        <w:rPr/>
        <w:t>no</w:t>
      </w:r>
      <w:r>
        <w:rPr>
          <w:spacing w:val="-14"/>
        </w:rPr>
        <w:t> </w:t>
      </w:r>
      <w:r>
        <w:rPr/>
        <w:t>sólo</w:t>
      </w:r>
      <w:r>
        <w:rPr>
          <w:spacing w:val="-14"/>
        </w:rPr>
        <w:t> </w:t>
      </w:r>
      <w:r>
        <w:rPr/>
        <w:t>almacenan</w:t>
      </w:r>
      <w:r>
        <w:rPr>
          <w:spacing w:val="-12"/>
        </w:rPr>
        <w:t> </w:t>
      </w:r>
      <w:r>
        <w:rPr/>
        <w:t>las</w:t>
      </w:r>
      <w:r>
        <w:rPr>
          <w:spacing w:val="-12"/>
        </w:rPr>
        <w:t> </w:t>
      </w:r>
      <w:r>
        <w:rPr/>
        <w:t>células</w:t>
      </w:r>
      <w:r>
        <w:rPr>
          <w:spacing w:val="-12"/>
        </w:rPr>
        <w:t> </w:t>
      </w:r>
      <w:r>
        <w:rPr/>
        <w:t>germinales,</w:t>
      </w:r>
      <w:r>
        <w:rPr>
          <w:spacing w:val="-12"/>
        </w:rPr>
        <w:t> </w:t>
      </w:r>
      <w:r>
        <w:rPr/>
        <w:t>también</w:t>
      </w:r>
      <w:r>
        <w:rPr>
          <w:spacing w:val="-14"/>
        </w:rPr>
        <w:t> </w:t>
      </w:r>
      <w:r>
        <w:rPr/>
        <w:t>producen</w:t>
      </w:r>
      <w:r>
        <w:rPr>
          <w:spacing w:val="-12"/>
        </w:rPr>
        <w:t> </w:t>
      </w:r>
      <w:r>
        <w:rPr/>
        <w:t>y</w:t>
      </w:r>
      <w:r>
        <w:rPr>
          <w:spacing w:val="-15"/>
        </w:rPr>
        <w:t> </w:t>
      </w:r>
      <w:r>
        <w:rPr/>
        <w:t>excretan hormonas que son vitales para la reproducción y para el desarrollo de las características sexuales</w:t>
      </w:r>
      <w:r>
        <w:rPr>
          <w:spacing w:val="-11"/>
        </w:rPr>
        <w:t> </w:t>
      </w:r>
      <w:r>
        <w:rPr/>
        <w:t>secundarias.</w:t>
      </w:r>
    </w:p>
    <w:p>
      <w:pPr>
        <w:pStyle w:val="BodyText"/>
        <w:spacing w:line="364" w:lineRule="auto" w:before="204"/>
        <w:ind w:left="117" w:right="105" w:hanging="10"/>
        <w:jc w:val="both"/>
      </w:pPr>
      <w:r>
        <w:rPr/>
        <w:t>En el ovario, la principal fuente de producción de hormonas es </w:t>
      </w:r>
      <w:r>
        <w:rPr>
          <w:spacing w:val="5"/>
        </w:rPr>
        <w:t>el </w:t>
      </w:r>
      <w:r>
        <w:rPr/>
        <w:t>folículo en maduración.</w:t>
      </w:r>
      <w:r>
        <w:rPr>
          <w:spacing w:val="-9"/>
        </w:rPr>
        <w:t> </w:t>
      </w:r>
      <w:r>
        <w:rPr/>
        <w:t>Los</w:t>
      </w:r>
      <w:r>
        <w:rPr>
          <w:spacing w:val="-9"/>
        </w:rPr>
        <w:t> </w:t>
      </w:r>
      <w:r>
        <w:rPr/>
        <w:t>componentes</w:t>
      </w:r>
      <w:r>
        <w:rPr>
          <w:spacing w:val="-12"/>
        </w:rPr>
        <w:t> </w:t>
      </w:r>
      <w:r>
        <w:rPr/>
        <w:t>de</w:t>
      </w:r>
      <w:r>
        <w:rPr>
          <w:spacing w:val="-8"/>
        </w:rPr>
        <w:t> </w:t>
      </w:r>
      <w:r>
        <w:rPr/>
        <w:t>los</w:t>
      </w:r>
      <w:r>
        <w:rPr>
          <w:spacing w:val="-11"/>
        </w:rPr>
        <w:t> </w:t>
      </w:r>
      <w:r>
        <w:rPr/>
        <w:t>folículos</w:t>
      </w:r>
      <w:r>
        <w:rPr>
          <w:spacing w:val="-9"/>
        </w:rPr>
        <w:t> </w:t>
      </w:r>
      <w:r>
        <w:rPr/>
        <w:t>son</w:t>
      </w:r>
      <w:r>
        <w:rPr>
          <w:spacing w:val="-8"/>
        </w:rPr>
        <w:t> </w:t>
      </w:r>
      <w:r>
        <w:rPr/>
        <w:t>las</w:t>
      </w:r>
      <w:r>
        <w:rPr>
          <w:spacing w:val="-9"/>
        </w:rPr>
        <w:t> </w:t>
      </w:r>
      <w:r>
        <w:rPr/>
        <w:t>células</w:t>
      </w:r>
      <w:r>
        <w:rPr>
          <w:spacing w:val="-9"/>
        </w:rPr>
        <w:t> </w:t>
      </w:r>
      <w:r>
        <w:rPr/>
        <w:t>de</w:t>
      </w:r>
      <w:r>
        <w:rPr>
          <w:spacing w:val="-8"/>
        </w:rPr>
        <w:t> </w:t>
      </w:r>
      <w:r>
        <w:rPr/>
        <w:t>la</w:t>
      </w:r>
      <w:r>
        <w:rPr>
          <w:spacing w:val="-8"/>
        </w:rPr>
        <w:t> </w:t>
      </w:r>
      <w:r>
        <w:rPr/>
        <w:t>teca,</w:t>
      </w:r>
      <w:r>
        <w:rPr>
          <w:spacing w:val="-9"/>
        </w:rPr>
        <w:t> </w:t>
      </w:r>
      <w:r>
        <w:rPr/>
        <w:t>las</w:t>
      </w:r>
      <w:r>
        <w:rPr>
          <w:spacing w:val="-9"/>
        </w:rPr>
        <w:t> </w:t>
      </w:r>
      <w:r>
        <w:rPr/>
        <w:t>células granulosas y los ovocitos primarios. Las células de la teca producen andrógenos, en tanto que las células granulosas producen estrógenos. Las otras células </w:t>
      </w:r>
      <w:r>
        <w:rPr>
          <w:spacing w:val="3"/>
        </w:rPr>
        <w:t>del </w:t>
      </w:r>
      <w:r>
        <w:rPr/>
        <w:t>estroma que contribuyen a la producción de andrógenos pueden dividirse en   </w:t>
      </w:r>
      <w:r>
        <w:rPr>
          <w:spacing w:val="6"/>
        </w:rPr>
        <w:t> </w:t>
      </w:r>
      <w:r>
        <w:rPr/>
        <w:t>dos</w:t>
      </w:r>
    </w:p>
    <w:p>
      <w:pPr>
        <w:spacing w:after="0" w:line="364" w:lineRule="auto"/>
        <w:jc w:val="both"/>
        <w:sectPr>
          <w:pgSz w:w="12240" w:h="15840"/>
          <w:pgMar w:top="1220" w:bottom="280" w:left="1580" w:right="1580"/>
        </w:sectPr>
      </w:pPr>
    </w:p>
    <w:p>
      <w:pPr>
        <w:pStyle w:val="BodyText"/>
        <w:spacing w:line="362" w:lineRule="auto" w:before="43"/>
        <w:ind w:left="117" w:right="114"/>
        <w:jc w:val="both"/>
      </w:pPr>
      <w:r>
        <w:rPr/>
        <w:t>poblaciones: células intersticiales secundarias (derivadas de la teca) y células del hilio;</w:t>
      </w:r>
      <w:r>
        <w:rPr>
          <w:spacing w:val="-5"/>
        </w:rPr>
        <w:t> </w:t>
      </w:r>
      <w:r>
        <w:rPr/>
        <w:t>estas</w:t>
      </w:r>
      <w:r>
        <w:rPr>
          <w:spacing w:val="-5"/>
        </w:rPr>
        <w:t> </w:t>
      </w:r>
      <w:r>
        <w:rPr/>
        <w:t>células</w:t>
      </w:r>
      <w:r>
        <w:rPr>
          <w:spacing w:val="-5"/>
        </w:rPr>
        <w:t> </w:t>
      </w:r>
      <w:r>
        <w:rPr/>
        <w:t>son</w:t>
      </w:r>
      <w:r>
        <w:rPr>
          <w:spacing w:val="-7"/>
        </w:rPr>
        <w:t> </w:t>
      </w:r>
      <w:r>
        <w:rPr/>
        <w:t>las</w:t>
      </w:r>
      <w:r>
        <w:rPr>
          <w:spacing w:val="-5"/>
        </w:rPr>
        <w:t> </w:t>
      </w:r>
      <w:r>
        <w:rPr/>
        <w:t>que</w:t>
      </w:r>
      <w:r>
        <w:rPr>
          <w:spacing w:val="-7"/>
        </w:rPr>
        <w:t> </w:t>
      </w:r>
      <w:r>
        <w:rPr/>
        <w:t>principalmente</w:t>
      </w:r>
      <w:r>
        <w:rPr>
          <w:spacing w:val="-5"/>
        </w:rPr>
        <w:t> </w:t>
      </w:r>
      <w:r>
        <w:rPr/>
        <w:t>están</w:t>
      </w:r>
      <w:r>
        <w:rPr>
          <w:spacing w:val="-7"/>
        </w:rPr>
        <w:t> </w:t>
      </w:r>
      <w:r>
        <w:rPr/>
        <w:t>implicadas</w:t>
      </w:r>
      <w:r>
        <w:rPr>
          <w:spacing w:val="-8"/>
        </w:rPr>
        <w:t> </w:t>
      </w:r>
      <w:r>
        <w:rPr/>
        <w:t>en</w:t>
      </w:r>
      <w:r>
        <w:rPr>
          <w:spacing w:val="-7"/>
        </w:rPr>
        <w:t> </w:t>
      </w:r>
      <w:r>
        <w:rPr/>
        <w:t>la</w:t>
      </w:r>
      <w:r>
        <w:rPr>
          <w:spacing w:val="-5"/>
        </w:rPr>
        <w:t> </w:t>
      </w:r>
      <w:r>
        <w:rPr/>
        <w:t>producción</w:t>
      </w:r>
      <w:r>
        <w:rPr>
          <w:spacing w:val="-5"/>
        </w:rPr>
        <w:t> </w:t>
      </w:r>
      <w:r>
        <w:rPr/>
        <w:t>de hormonas durante la</w:t>
      </w:r>
      <w:r>
        <w:rPr>
          <w:spacing w:val="-13"/>
        </w:rPr>
        <w:t> </w:t>
      </w:r>
      <w:r>
        <w:rPr/>
        <w:t>menopausia.</w:t>
      </w:r>
    </w:p>
    <w:p>
      <w:pPr>
        <w:pStyle w:val="BodyText"/>
        <w:spacing w:line="364" w:lineRule="auto" w:before="204"/>
        <w:ind w:left="117" w:right="105" w:hanging="10"/>
        <w:jc w:val="both"/>
      </w:pPr>
      <w:r>
        <w:rPr/>
        <w:t>Las hormonas ováricas se derivan del colesterol. Las células esteroidogénicas adquieren</w:t>
      </w:r>
      <w:r>
        <w:rPr>
          <w:spacing w:val="-6"/>
        </w:rPr>
        <w:t> </w:t>
      </w:r>
      <w:r>
        <w:rPr/>
        <w:t>el</w:t>
      </w:r>
      <w:r>
        <w:rPr>
          <w:spacing w:val="-5"/>
        </w:rPr>
        <w:t> </w:t>
      </w:r>
      <w:r>
        <w:rPr/>
        <w:t>sustrato</w:t>
      </w:r>
      <w:r>
        <w:rPr>
          <w:spacing w:val="-6"/>
        </w:rPr>
        <w:t> </w:t>
      </w:r>
      <w:r>
        <w:rPr/>
        <w:t>de</w:t>
      </w:r>
      <w:r>
        <w:rPr>
          <w:spacing w:val="-4"/>
        </w:rPr>
        <w:t> </w:t>
      </w:r>
      <w:r>
        <w:rPr/>
        <w:t>colesterol</w:t>
      </w:r>
      <w:r>
        <w:rPr>
          <w:spacing w:val="-5"/>
        </w:rPr>
        <w:t> </w:t>
      </w:r>
      <w:r>
        <w:rPr/>
        <w:t>de</w:t>
      </w:r>
      <w:r>
        <w:rPr>
          <w:spacing w:val="-4"/>
        </w:rPr>
        <w:t> </w:t>
      </w:r>
      <w:r>
        <w:rPr/>
        <w:t>una</w:t>
      </w:r>
      <w:r>
        <w:rPr>
          <w:spacing w:val="-6"/>
        </w:rPr>
        <w:t> </w:t>
      </w:r>
      <w:r>
        <w:rPr/>
        <w:t>de</w:t>
      </w:r>
      <w:r>
        <w:rPr>
          <w:spacing w:val="-6"/>
        </w:rPr>
        <w:t> </w:t>
      </w:r>
      <w:r>
        <w:rPr/>
        <w:t>tres</w:t>
      </w:r>
      <w:r>
        <w:rPr>
          <w:spacing w:val="-7"/>
        </w:rPr>
        <w:t> </w:t>
      </w:r>
      <w:r>
        <w:rPr/>
        <w:t>fuentes.</w:t>
      </w:r>
      <w:r>
        <w:rPr>
          <w:spacing w:val="-4"/>
        </w:rPr>
        <w:t> </w:t>
      </w:r>
      <w:r>
        <w:rPr/>
        <w:t>La</w:t>
      </w:r>
      <w:r>
        <w:rPr>
          <w:spacing w:val="-6"/>
        </w:rPr>
        <w:t> </w:t>
      </w:r>
      <w:r>
        <w:rPr/>
        <w:t>fuente</w:t>
      </w:r>
      <w:r>
        <w:rPr>
          <w:spacing w:val="-6"/>
        </w:rPr>
        <w:t> </w:t>
      </w:r>
      <w:r>
        <w:rPr/>
        <w:t>más</w:t>
      </w:r>
      <w:r>
        <w:rPr>
          <w:spacing w:val="-4"/>
        </w:rPr>
        <w:t> </w:t>
      </w:r>
      <w:r>
        <w:rPr/>
        <w:t>común</w:t>
      </w:r>
      <w:r>
        <w:rPr>
          <w:spacing w:val="-6"/>
        </w:rPr>
        <w:t> </w:t>
      </w:r>
      <w:r>
        <w:rPr/>
        <w:t>es el colesterol portador de lipoproteína en plasma, principalmente en forma de lipoproteína de alta densidad (LDL). Otras fuentes menores incluyen la síntesis </w:t>
      </w:r>
      <w:r>
        <w:rPr>
          <w:i/>
        </w:rPr>
        <w:t>de </w:t>
      </w:r>
      <w:r>
        <w:rPr>
          <w:i/>
        </w:rPr>
        <w:t>novo</w:t>
      </w:r>
      <w:r>
        <w:rPr>
          <w:i/>
          <w:spacing w:val="-3"/>
        </w:rPr>
        <w:t> </w:t>
      </w:r>
      <w:r>
        <w:rPr/>
        <w:t>a</w:t>
      </w:r>
      <w:r>
        <w:rPr>
          <w:spacing w:val="-6"/>
        </w:rPr>
        <w:t> </w:t>
      </w:r>
      <w:r>
        <w:rPr/>
        <w:t>partir</w:t>
      </w:r>
      <w:r>
        <w:rPr>
          <w:spacing w:val="-5"/>
        </w:rPr>
        <w:t> </w:t>
      </w:r>
      <w:r>
        <w:rPr/>
        <w:t>del</w:t>
      </w:r>
      <w:r>
        <w:rPr>
          <w:spacing w:val="-5"/>
        </w:rPr>
        <w:t> </w:t>
      </w:r>
      <w:r>
        <w:rPr/>
        <w:t>acetato</w:t>
      </w:r>
      <w:r>
        <w:rPr>
          <w:spacing w:val="-4"/>
        </w:rPr>
        <w:t> </w:t>
      </w:r>
      <w:r>
        <w:rPr/>
        <w:t>y</w:t>
      </w:r>
      <w:r>
        <w:rPr>
          <w:spacing w:val="-7"/>
        </w:rPr>
        <w:t> </w:t>
      </w:r>
      <w:r>
        <w:rPr/>
        <w:t>la</w:t>
      </w:r>
      <w:r>
        <w:rPr>
          <w:spacing w:val="-4"/>
        </w:rPr>
        <w:t> </w:t>
      </w:r>
      <w:r>
        <w:rPr/>
        <w:t>liberación</w:t>
      </w:r>
      <w:r>
        <w:rPr>
          <w:spacing w:val="-4"/>
        </w:rPr>
        <w:t> </w:t>
      </w:r>
      <w:r>
        <w:rPr/>
        <w:t>de</w:t>
      </w:r>
      <w:r>
        <w:rPr>
          <w:spacing w:val="-4"/>
        </w:rPr>
        <w:t> </w:t>
      </w:r>
      <w:r>
        <w:rPr/>
        <w:t>gotículas</w:t>
      </w:r>
      <w:r>
        <w:rPr>
          <w:spacing w:val="-4"/>
        </w:rPr>
        <w:t> </w:t>
      </w:r>
      <w:r>
        <w:rPr/>
        <w:t>de</w:t>
      </w:r>
      <w:r>
        <w:rPr>
          <w:spacing w:val="-4"/>
        </w:rPr>
        <w:t> </w:t>
      </w:r>
      <w:r>
        <w:rPr/>
        <w:t>lípido</w:t>
      </w:r>
      <w:r>
        <w:rPr>
          <w:spacing w:val="-3"/>
        </w:rPr>
        <w:t> </w:t>
      </w:r>
      <w:r>
        <w:rPr/>
        <w:t>almacenadas</w:t>
      </w:r>
      <w:r>
        <w:rPr>
          <w:spacing w:val="-4"/>
        </w:rPr>
        <w:t> </w:t>
      </w:r>
      <w:r>
        <w:rPr/>
        <w:t>(ésteres de colesterol). La estimulación de las células de los ovarios mediante hormonas tróficas como la hormona estimulante del folículo (FSH) y la hormona luteinizante (LH) facilitan la captación de colesterol al incrementar el número de receptores de LDL sobre la superficie celular. De manera subsiguiente, la partícula de LDL se internalisa</w:t>
      </w:r>
      <w:r>
        <w:rPr>
          <w:spacing w:val="-8"/>
        </w:rPr>
        <w:t> </w:t>
      </w:r>
      <w:r>
        <w:rPr/>
        <w:t>y</w:t>
      </w:r>
      <w:r>
        <w:rPr>
          <w:spacing w:val="-12"/>
        </w:rPr>
        <w:t> </w:t>
      </w:r>
      <w:r>
        <w:rPr/>
        <w:t>degrada</w:t>
      </w:r>
      <w:r>
        <w:rPr>
          <w:spacing w:val="-8"/>
        </w:rPr>
        <w:t> </w:t>
      </w:r>
      <w:r>
        <w:rPr/>
        <w:t>en</w:t>
      </w:r>
      <w:r>
        <w:rPr>
          <w:spacing w:val="-8"/>
        </w:rPr>
        <w:t> </w:t>
      </w:r>
      <w:r>
        <w:rPr/>
        <w:t>el</w:t>
      </w:r>
      <w:r>
        <w:rPr>
          <w:spacing w:val="-10"/>
        </w:rPr>
        <w:t> </w:t>
      </w:r>
      <w:r>
        <w:rPr/>
        <w:t>lisosoma.</w:t>
      </w:r>
      <w:r>
        <w:rPr>
          <w:spacing w:val="-9"/>
        </w:rPr>
        <w:t> </w:t>
      </w:r>
      <w:r>
        <w:rPr/>
        <w:t>El</w:t>
      </w:r>
      <w:r>
        <w:rPr>
          <w:spacing w:val="-10"/>
        </w:rPr>
        <w:t> </w:t>
      </w:r>
      <w:r>
        <w:rPr/>
        <w:t>colesterol</w:t>
      </w:r>
      <w:r>
        <w:rPr>
          <w:spacing w:val="-9"/>
        </w:rPr>
        <w:t> </w:t>
      </w:r>
      <w:r>
        <w:rPr/>
        <w:t>libre</w:t>
      </w:r>
      <w:r>
        <w:rPr>
          <w:spacing w:val="-9"/>
        </w:rPr>
        <w:t> </w:t>
      </w:r>
      <w:r>
        <w:rPr/>
        <w:t>que</w:t>
      </w:r>
      <w:r>
        <w:rPr>
          <w:spacing w:val="-8"/>
        </w:rPr>
        <w:t> </w:t>
      </w:r>
      <w:r>
        <w:rPr/>
        <w:t>se</w:t>
      </w:r>
      <w:r>
        <w:rPr>
          <w:spacing w:val="-11"/>
        </w:rPr>
        <w:t> </w:t>
      </w:r>
      <w:r>
        <w:rPr/>
        <w:t>libera</w:t>
      </w:r>
      <w:r>
        <w:rPr>
          <w:spacing w:val="-11"/>
        </w:rPr>
        <w:t> </w:t>
      </w:r>
      <w:r>
        <w:rPr/>
        <w:t>del</w:t>
      </w:r>
      <w:r>
        <w:rPr>
          <w:spacing w:val="-10"/>
        </w:rPr>
        <w:t> </w:t>
      </w:r>
      <w:r>
        <w:rPr/>
        <w:t>lisosoma</w:t>
      </w:r>
      <w:r>
        <w:rPr>
          <w:spacing w:val="-8"/>
        </w:rPr>
        <w:t> </w:t>
      </w:r>
      <w:r>
        <w:rPr/>
        <w:t>se envía a la mitocondria a través de un mecanismo desconocido, posiblemente por medio de microfilamentos y</w:t>
      </w:r>
      <w:r>
        <w:rPr>
          <w:spacing w:val="-15"/>
        </w:rPr>
        <w:t> </w:t>
      </w:r>
      <w:r>
        <w:rPr/>
        <w:t>microtúbulos.</w:t>
      </w:r>
    </w:p>
    <w:p>
      <w:pPr>
        <w:pStyle w:val="BodyText"/>
        <w:spacing w:line="364" w:lineRule="auto" w:before="199"/>
        <w:ind w:left="117" w:right="109" w:hanging="10"/>
        <w:jc w:val="both"/>
      </w:pPr>
      <w:r>
        <w:rPr/>
        <w:t>Después el colesterol se transloca al interior de las mitocondrias mediante la proteína esteroidogénica reguladora aguda (StAR). De este modo, la StAR representa el paso de limitación de tasa que regula la disponibilidad del sustrato para la esteroidogénesis.</w:t>
      </w:r>
    </w:p>
    <w:p>
      <w:pPr>
        <w:pStyle w:val="BodyText"/>
        <w:spacing w:line="364" w:lineRule="auto" w:before="199"/>
        <w:ind w:left="117" w:right="106" w:hanging="10"/>
        <w:jc w:val="both"/>
      </w:pPr>
      <w:r>
        <w:rPr/>
        <w:t>Aunque</w:t>
      </w:r>
      <w:r>
        <w:rPr>
          <w:spacing w:val="-6"/>
        </w:rPr>
        <w:t> </w:t>
      </w:r>
      <w:r>
        <w:rPr/>
        <w:t>debido</w:t>
      </w:r>
      <w:r>
        <w:rPr>
          <w:spacing w:val="-4"/>
        </w:rPr>
        <w:t> </w:t>
      </w:r>
      <w:r>
        <w:rPr/>
        <w:t>a</w:t>
      </w:r>
      <w:r>
        <w:rPr>
          <w:spacing w:val="-4"/>
        </w:rPr>
        <w:t> </w:t>
      </w:r>
      <w:r>
        <w:rPr/>
        <w:t>cambios</w:t>
      </w:r>
      <w:r>
        <w:rPr>
          <w:spacing w:val="-4"/>
        </w:rPr>
        <w:t> </w:t>
      </w:r>
      <w:r>
        <w:rPr/>
        <w:t>en</w:t>
      </w:r>
      <w:r>
        <w:rPr>
          <w:spacing w:val="-6"/>
        </w:rPr>
        <w:t> </w:t>
      </w:r>
      <w:r>
        <w:rPr/>
        <w:t>el</w:t>
      </w:r>
      <w:r>
        <w:rPr>
          <w:spacing w:val="-5"/>
        </w:rPr>
        <w:t> </w:t>
      </w:r>
      <w:r>
        <w:rPr/>
        <w:t>suministro</w:t>
      </w:r>
      <w:r>
        <w:rPr>
          <w:spacing w:val="-4"/>
        </w:rPr>
        <w:t> </w:t>
      </w:r>
      <w:r>
        <w:rPr/>
        <w:t>del</w:t>
      </w:r>
      <w:r>
        <w:rPr>
          <w:spacing w:val="-5"/>
        </w:rPr>
        <w:t> </w:t>
      </w:r>
      <w:r>
        <w:rPr/>
        <w:t>colesterol</w:t>
      </w:r>
      <w:r>
        <w:rPr>
          <w:spacing w:val="-7"/>
        </w:rPr>
        <w:t> </w:t>
      </w:r>
      <w:r>
        <w:rPr/>
        <w:t>a</w:t>
      </w:r>
      <w:r>
        <w:rPr>
          <w:spacing w:val="-4"/>
        </w:rPr>
        <w:t> </w:t>
      </w:r>
      <w:r>
        <w:rPr/>
        <w:t>las</w:t>
      </w:r>
      <w:r>
        <w:rPr>
          <w:spacing w:val="-6"/>
        </w:rPr>
        <w:t> </w:t>
      </w:r>
      <w:r>
        <w:rPr/>
        <w:t>mitocondrias</w:t>
      </w:r>
      <w:r>
        <w:rPr>
          <w:spacing w:val="-4"/>
        </w:rPr>
        <w:t> </w:t>
      </w:r>
      <w:r>
        <w:rPr/>
        <w:t>ocurren alteraciones agudas en la producción de esteroides, el control a largo plazo de la síntesis de esteroides es producto de la regulación de la expresión genética. La mayoría de los genes implicados en la esteroidogénesis contienen cuando menos un elemento de respuesta del factor esteroidogénico 1 (SF-1) en la región promotora; estos elementos son esenciales para la regulación de los genes esteroidogénicos, al igual que para el desarrollo de las glándulas suprarrenales, ovarios y testículos. La importancia del SF-1 para la esteroidogénesis es evidente en los ratones con genes desactivados (</w:t>
      </w:r>
      <w:r>
        <w:rPr>
          <w:i/>
        </w:rPr>
        <w:t>knockout</w:t>
      </w:r>
      <w:r>
        <w:rPr/>
        <w:t>), deficientes en este factor de transcripción, que carecen de glándulas suprarrenales y gónadas. Aunque </w:t>
      </w:r>
      <w:r>
        <w:rPr>
          <w:spacing w:val="2"/>
        </w:rPr>
        <w:t>SF-1 </w:t>
      </w:r>
      <w:r>
        <w:rPr/>
        <w:t>es esencial, la expresión específica de cada gen implica muchos otros factores de transcripción que funcionan de manera independiente o en conjunto con</w:t>
      </w:r>
      <w:r>
        <w:rPr>
          <w:spacing w:val="-18"/>
        </w:rPr>
        <w:t> </w:t>
      </w:r>
      <w:r>
        <w:rPr/>
        <w:t>SF-1.</w:t>
      </w:r>
    </w:p>
    <w:p>
      <w:pPr>
        <w:spacing w:after="0" w:line="364" w:lineRule="auto"/>
        <w:jc w:val="both"/>
        <w:sectPr>
          <w:pgSz w:w="12240" w:h="15840"/>
          <w:pgMar w:top="1220" w:bottom="280" w:left="1580" w:right="1580"/>
        </w:sectPr>
      </w:pPr>
    </w:p>
    <w:p>
      <w:pPr>
        <w:pStyle w:val="BodyText"/>
        <w:spacing w:line="364" w:lineRule="auto" w:before="43"/>
        <w:ind w:left="117" w:right="105" w:hanging="10"/>
        <w:jc w:val="both"/>
      </w:pPr>
      <w:r>
        <w:rPr/>
        <w:t>El paso de determinación de tasa que asigna el colesterol para la síntesis de esteroides es la reacción enzimática de fragmentación de la cadena lateral del colesterol (P450scc). Esta reacción convierte el colesterol en pregnenolona, precursora de las hormonas esteroideas, y ocurre en la mitocondria. La pregnenolona se transporta fuera de la mitocondria y los pasos restantes en la producción de los esteroides sexuales ocurre principalmente dentro del retículo endoplásmico liso.</w:t>
      </w:r>
    </w:p>
    <w:p>
      <w:pPr>
        <w:pStyle w:val="BodyText"/>
        <w:spacing w:line="364" w:lineRule="auto" w:before="199"/>
        <w:ind w:left="117" w:right="107" w:hanging="10"/>
        <w:jc w:val="both"/>
      </w:pPr>
      <w:r>
        <w:rPr/>
        <w:t>Una vez que se ha formado la pregnenolona, las hormonas específicas que se sintetizan dependen del órgano endocrino y del tipo de célula. Por ejemplo, las principales fuentes de esteroides sexuales en la mujer provienen de la glándula suprarrenal, ovarios y la periferia. El tipo específico de hormona que se sintetiza depende de la expresión del gen específico dentro de cada tipo de célula.</w:t>
      </w:r>
    </w:p>
    <w:p>
      <w:pPr>
        <w:pStyle w:val="BodyText"/>
        <w:spacing w:line="364" w:lineRule="auto" w:before="199"/>
        <w:ind w:left="117" w:right="111" w:hanging="10"/>
        <w:jc w:val="both"/>
      </w:pPr>
      <w:r>
        <w:rPr/>
        <w:t>En la glándula suprarrenal existen tres zonas: zona glomerular, zona fascicular y zona reticular. Las células en las diferentes zonas inician con el mismo precursor hormonal, pero difieren en sus productos. La zona glomerular produce principalmente</w:t>
      </w:r>
      <w:r>
        <w:rPr>
          <w:spacing w:val="-12"/>
        </w:rPr>
        <w:t> </w:t>
      </w:r>
      <w:r>
        <w:rPr/>
        <w:t>aldosterona,</w:t>
      </w:r>
      <w:r>
        <w:rPr>
          <w:spacing w:val="-9"/>
        </w:rPr>
        <w:t> </w:t>
      </w:r>
      <w:r>
        <w:rPr/>
        <w:t>en</w:t>
      </w:r>
      <w:r>
        <w:rPr>
          <w:spacing w:val="-12"/>
        </w:rPr>
        <w:t> </w:t>
      </w:r>
      <w:r>
        <w:rPr/>
        <w:t>tanto</w:t>
      </w:r>
      <w:r>
        <w:rPr>
          <w:spacing w:val="-11"/>
        </w:rPr>
        <w:t> </w:t>
      </w:r>
      <w:r>
        <w:rPr/>
        <w:t>que</w:t>
      </w:r>
      <w:r>
        <w:rPr>
          <w:spacing w:val="-12"/>
        </w:rPr>
        <w:t> </w:t>
      </w:r>
      <w:r>
        <w:rPr/>
        <w:t>la</w:t>
      </w:r>
      <w:r>
        <w:rPr>
          <w:spacing w:val="-12"/>
        </w:rPr>
        <w:t> </w:t>
      </w:r>
      <w:r>
        <w:rPr/>
        <w:t>fascicular</w:t>
      </w:r>
      <w:r>
        <w:rPr>
          <w:spacing w:val="-11"/>
        </w:rPr>
        <w:t> </w:t>
      </w:r>
      <w:r>
        <w:rPr/>
        <w:t>y</w:t>
      </w:r>
      <w:r>
        <w:rPr>
          <w:spacing w:val="-13"/>
        </w:rPr>
        <w:t> </w:t>
      </w:r>
      <w:r>
        <w:rPr/>
        <w:t>la</w:t>
      </w:r>
      <w:r>
        <w:rPr>
          <w:spacing w:val="-10"/>
        </w:rPr>
        <w:t> </w:t>
      </w:r>
      <w:r>
        <w:rPr/>
        <w:t>reticular</w:t>
      </w:r>
      <w:r>
        <w:rPr>
          <w:spacing w:val="-13"/>
        </w:rPr>
        <w:t> </w:t>
      </w:r>
      <w:r>
        <w:rPr/>
        <w:t>producen</w:t>
      </w:r>
      <w:r>
        <w:rPr>
          <w:spacing w:val="-9"/>
        </w:rPr>
        <w:t> </w:t>
      </w:r>
      <w:r>
        <w:rPr/>
        <w:t>cortisol y andrógenos, respectivamente. El principal andrógeno originado en las glándulas suprarrenales es el sulfato de dehidroepiandrosterona</w:t>
      </w:r>
      <w:r>
        <w:rPr>
          <w:spacing w:val="-22"/>
        </w:rPr>
        <w:t> </w:t>
      </w:r>
      <w:r>
        <w:rPr/>
        <w:t>(DHEAS).</w:t>
      </w:r>
    </w:p>
    <w:p>
      <w:pPr>
        <w:pStyle w:val="BodyText"/>
        <w:spacing w:line="364" w:lineRule="auto" w:before="199"/>
        <w:ind w:left="117" w:right="107" w:hanging="10"/>
        <w:jc w:val="both"/>
      </w:pPr>
      <w:r>
        <w:rPr/>
        <w:t>Las diferencias en actividad enzimática entre las células de las diversas zonas son lo que regula la producción hormonal. La zona reticular y la fascicular carecen de 11β-hidroxilasa,</w:t>
      </w:r>
      <w:r>
        <w:rPr>
          <w:spacing w:val="-13"/>
        </w:rPr>
        <w:t> </w:t>
      </w:r>
      <w:r>
        <w:rPr/>
        <w:t>que</w:t>
      </w:r>
      <w:r>
        <w:rPr>
          <w:spacing w:val="-13"/>
        </w:rPr>
        <w:t> </w:t>
      </w:r>
      <w:r>
        <w:rPr/>
        <w:t>se</w:t>
      </w:r>
      <w:r>
        <w:rPr>
          <w:spacing w:val="-13"/>
        </w:rPr>
        <w:t> </w:t>
      </w:r>
      <w:r>
        <w:rPr/>
        <w:t>requiere</w:t>
      </w:r>
      <w:r>
        <w:rPr>
          <w:spacing w:val="-13"/>
        </w:rPr>
        <w:t> </w:t>
      </w:r>
      <w:r>
        <w:rPr/>
        <w:t>para</w:t>
      </w:r>
      <w:r>
        <w:rPr>
          <w:spacing w:val="-13"/>
        </w:rPr>
        <w:t> </w:t>
      </w:r>
      <w:r>
        <w:rPr/>
        <w:t>la</w:t>
      </w:r>
      <w:r>
        <w:rPr>
          <w:spacing w:val="-13"/>
        </w:rPr>
        <w:t> </w:t>
      </w:r>
      <w:r>
        <w:rPr/>
        <w:t>síntesis</w:t>
      </w:r>
      <w:r>
        <w:rPr>
          <w:spacing w:val="-14"/>
        </w:rPr>
        <w:t> </w:t>
      </w:r>
      <w:r>
        <w:rPr/>
        <w:t>de</w:t>
      </w:r>
      <w:r>
        <w:rPr>
          <w:spacing w:val="-13"/>
        </w:rPr>
        <w:t> </w:t>
      </w:r>
      <w:r>
        <w:rPr/>
        <w:t>aldosterona.</w:t>
      </w:r>
      <w:r>
        <w:rPr>
          <w:spacing w:val="-13"/>
        </w:rPr>
        <w:t> </w:t>
      </w:r>
      <w:r>
        <w:rPr/>
        <w:t>La</w:t>
      </w:r>
      <w:r>
        <w:rPr>
          <w:spacing w:val="-15"/>
        </w:rPr>
        <w:t> </w:t>
      </w:r>
      <w:r>
        <w:rPr/>
        <w:t>zona</w:t>
      </w:r>
      <w:r>
        <w:rPr>
          <w:spacing w:val="-13"/>
        </w:rPr>
        <w:t> </w:t>
      </w:r>
      <w:r>
        <w:rPr/>
        <w:t>glomerular carece</w:t>
      </w:r>
      <w:r>
        <w:rPr>
          <w:spacing w:val="-8"/>
        </w:rPr>
        <w:t> </w:t>
      </w:r>
      <w:r>
        <w:rPr/>
        <w:t>de</w:t>
      </w:r>
      <w:r>
        <w:rPr>
          <w:spacing w:val="-8"/>
        </w:rPr>
        <w:t> </w:t>
      </w:r>
      <w:r>
        <w:rPr/>
        <w:t>17-hidroxilasa</w:t>
      </w:r>
      <w:r>
        <w:rPr>
          <w:spacing w:val="-8"/>
        </w:rPr>
        <w:t> </w:t>
      </w:r>
      <w:r>
        <w:rPr/>
        <w:t>y</w:t>
      </w:r>
      <w:r>
        <w:rPr>
          <w:spacing w:val="-12"/>
        </w:rPr>
        <w:t> </w:t>
      </w:r>
      <w:r>
        <w:rPr/>
        <w:t>17,20-liasa</w:t>
      </w:r>
      <w:r>
        <w:rPr>
          <w:spacing w:val="-8"/>
        </w:rPr>
        <w:t> </w:t>
      </w:r>
      <w:r>
        <w:rPr/>
        <w:t>(CYP17),</w:t>
      </w:r>
      <w:r>
        <w:rPr>
          <w:spacing w:val="-9"/>
        </w:rPr>
        <w:t> </w:t>
      </w:r>
      <w:r>
        <w:rPr/>
        <w:t>que</w:t>
      </w:r>
      <w:r>
        <w:rPr>
          <w:spacing w:val="-8"/>
        </w:rPr>
        <w:t> </w:t>
      </w:r>
      <w:r>
        <w:rPr/>
        <w:t>son</w:t>
      </w:r>
      <w:r>
        <w:rPr>
          <w:spacing w:val="-11"/>
        </w:rPr>
        <w:t> </w:t>
      </w:r>
      <w:r>
        <w:rPr/>
        <w:t>necesarias</w:t>
      </w:r>
      <w:r>
        <w:rPr>
          <w:spacing w:val="-12"/>
        </w:rPr>
        <w:t> </w:t>
      </w:r>
      <w:r>
        <w:rPr/>
        <w:t>para</w:t>
      </w:r>
      <w:r>
        <w:rPr>
          <w:spacing w:val="-9"/>
        </w:rPr>
        <w:t> </w:t>
      </w:r>
      <w:r>
        <w:rPr/>
        <w:t>la</w:t>
      </w:r>
      <w:r>
        <w:rPr>
          <w:spacing w:val="-9"/>
        </w:rPr>
        <w:t> </w:t>
      </w:r>
      <w:r>
        <w:rPr/>
        <w:t>síntesis de esteroides</w:t>
      </w:r>
      <w:r>
        <w:rPr>
          <w:spacing w:val="-8"/>
        </w:rPr>
        <w:t> </w:t>
      </w:r>
      <w:r>
        <w:rPr/>
        <w:t>sexuales.</w:t>
      </w:r>
    </w:p>
    <w:p>
      <w:pPr>
        <w:pStyle w:val="BodyText"/>
        <w:spacing w:line="364" w:lineRule="auto" w:before="199"/>
        <w:ind w:left="117" w:right="111" w:hanging="10"/>
        <w:jc w:val="both"/>
      </w:pPr>
      <w:r>
        <w:rPr/>
        <w:t>De manera similar, las células de los ovarios secretan diversas hormonas debido a la actividad enzimática diferencial. Las células intersticiales de la teca y las células intersticiales secundarias carecen de aromatasa y, en consecuencia, son las productoras de andrógenos en la corteza de los ovarios. Por otro lado, las células granulosas carecen de CYP17 y, por ende, secretan estrógenos (principalmente estradiol) a partir de los andrógenos derivados de las células de la teca, durante la fase proliferativa, y progesterona durante la fase lútea.</w:t>
      </w:r>
    </w:p>
    <w:p>
      <w:pPr>
        <w:spacing w:after="0" w:line="364" w:lineRule="auto"/>
        <w:jc w:val="both"/>
        <w:sectPr>
          <w:pgSz w:w="12240" w:h="15840"/>
          <w:pgMar w:top="1220" w:bottom="280" w:left="1580" w:right="1580"/>
        </w:sectPr>
      </w:pPr>
    </w:p>
    <w:p>
      <w:pPr>
        <w:pStyle w:val="BodyText"/>
        <w:spacing w:line="364" w:lineRule="auto" w:before="43"/>
        <w:ind w:left="117" w:right="108" w:hanging="10"/>
        <w:jc w:val="both"/>
      </w:pPr>
      <w:r>
        <w:rPr/>
        <w:t>El tejido adiposo y la piel contribuyen de manera significativa a las concentraciones plasmáticas</w:t>
      </w:r>
      <w:r>
        <w:rPr>
          <w:spacing w:val="-9"/>
        </w:rPr>
        <w:t> </w:t>
      </w:r>
      <w:r>
        <w:rPr/>
        <w:t>de</w:t>
      </w:r>
      <w:r>
        <w:rPr>
          <w:spacing w:val="-8"/>
        </w:rPr>
        <w:t> </w:t>
      </w:r>
      <w:r>
        <w:rPr/>
        <w:t>algunos</w:t>
      </w:r>
      <w:r>
        <w:rPr>
          <w:spacing w:val="-9"/>
        </w:rPr>
        <w:t> </w:t>
      </w:r>
      <w:r>
        <w:rPr/>
        <w:t>esteroides</w:t>
      </w:r>
      <w:r>
        <w:rPr>
          <w:spacing w:val="-9"/>
        </w:rPr>
        <w:t> </w:t>
      </w:r>
      <w:r>
        <w:rPr/>
        <w:t>sexuales.</w:t>
      </w:r>
      <w:r>
        <w:rPr>
          <w:spacing w:val="-11"/>
        </w:rPr>
        <w:t> </w:t>
      </w:r>
      <w:r>
        <w:rPr/>
        <w:t>El</w:t>
      </w:r>
      <w:r>
        <w:rPr>
          <w:spacing w:val="-10"/>
        </w:rPr>
        <w:t> </w:t>
      </w:r>
      <w:r>
        <w:rPr/>
        <w:t>tejido</w:t>
      </w:r>
      <w:r>
        <w:rPr>
          <w:spacing w:val="-8"/>
        </w:rPr>
        <w:t> </w:t>
      </w:r>
      <w:r>
        <w:rPr/>
        <w:t>adiposo</w:t>
      </w:r>
      <w:r>
        <w:rPr>
          <w:spacing w:val="-8"/>
        </w:rPr>
        <w:t> </w:t>
      </w:r>
      <w:r>
        <w:rPr/>
        <w:t>tiene</w:t>
      </w:r>
      <w:r>
        <w:rPr>
          <w:spacing w:val="-8"/>
        </w:rPr>
        <w:t> </w:t>
      </w:r>
      <w:r>
        <w:rPr/>
        <w:t>la</w:t>
      </w:r>
      <w:r>
        <w:rPr>
          <w:spacing w:val="-8"/>
        </w:rPr>
        <w:t> </w:t>
      </w:r>
      <w:r>
        <w:rPr/>
        <w:t>capacidad</w:t>
      </w:r>
      <w:r>
        <w:rPr>
          <w:spacing w:val="-11"/>
        </w:rPr>
        <w:t> </w:t>
      </w:r>
      <w:r>
        <w:rPr/>
        <w:t>de aislar la mayoría de los esteroides debido a su liposolubilidad. El tejido graso también expresa genes capaces de metabolizar los esteroides sexuales (es decir, aromatasa).</w:t>
      </w:r>
      <w:r>
        <w:rPr>
          <w:spacing w:val="-13"/>
        </w:rPr>
        <w:t> </w:t>
      </w:r>
      <w:r>
        <w:rPr/>
        <w:t>La</w:t>
      </w:r>
      <w:r>
        <w:rPr>
          <w:spacing w:val="-14"/>
        </w:rPr>
        <w:t> </w:t>
      </w:r>
      <w:r>
        <w:rPr/>
        <w:t>piel</w:t>
      </w:r>
      <w:r>
        <w:rPr>
          <w:spacing w:val="-13"/>
        </w:rPr>
        <w:t> </w:t>
      </w:r>
      <w:r>
        <w:rPr/>
        <w:t>contribuye</w:t>
      </w:r>
      <w:r>
        <w:rPr>
          <w:spacing w:val="-12"/>
        </w:rPr>
        <w:t> </w:t>
      </w:r>
      <w:r>
        <w:rPr/>
        <w:t>significativamente</w:t>
      </w:r>
      <w:r>
        <w:rPr>
          <w:spacing w:val="-14"/>
        </w:rPr>
        <w:t> </w:t>
      </w:r>
      <w:r>
        <w:rPr/>
        <w:t>a</w:t>
      </w:r>
      <w:r>
        <w:rPr>
          <w:spacing w:val="-12"/>
        </w:rPr>
        <w:t> </w:t>
      </w:r>
      <w:r>
        <w:rPr/>
        <w:t>las</w:t>
      </w:r>
      <w:r>
        <w:rPr>
          <w:spacing w:val="-12"/>
        </w:rPr>
        <w:t> </w:t>
      </w:r>
      <w:r>
        <w:rPr/>
        <w:t>concentraciones</w:t>
      </w:r>
      <w:r>
        <w:rPr>
          <w:spacing w:val="-13"/>
        </w:rPr>
        <w:t> </w:t>
      </w:r>
      <w:r>
        <w:rPr/>
        <w:t>plasmáticas de testosterona al utilizar el DHEAS circulante y la androstenediona como precursores.</w:t>
      </w:r>
    </w:p>
    <w:p>
      <w:pPr>
        <w:pStyle w:val="BodyText"/>
        <w:spacing w:line="364" w:lineRule="auto" w:before="199"/>
        <w:ind w:left="117" w:right="112" w:hanging="10"/>
        <w:jc w:val="both"/>
      </w:pPr>
      <w:r>
        <w:rPr/>
        <w:t>Los principales andrógenos circulantes incluyen DHEAS, androstenediona y testosterona.</w:t>
      </w:r>
      <w:r>
        <w:rPr>
          <w:spacing w:val="-10"/>
        </w:rPr>
        <w:t> </w:t>
      </w:r>
      <w:r>
        <w:rPr/>
        <w:t>Durante</w:t>
      </w:r>
      <w:r>
        <w:rPr>
          <w:spacing w:val="-9"/>
        </w:rPr>
        <w:t> </w:t>
      </w:r>
      <w:r>
        <w:rPr/>
        <w:t>los</w:t>
      </w:r>
      <w:r>
        <w:rPr>
          <w:spacing w:val="-10"/>
        </w:rPr>
        <w:t> </w:t>
      </w:r>
      <w:r>
        <w:rPr/>
        <w:t>años</w:t>
      </w:r>
      <w:r>
        <w:rPr>
          <w:spacing w:val="-10"/>
        </w:rPr>
        <w:t> </w:t>
      </w:r>
      <w:r>
        <w:rPr/>
        <w:t>reproductivos,</w:t>
      </w:r>
      <w:r>
        <w:rPr>
          <w:spacing w:val="-10"/>
        </w:rPr>
        <w:t> </w:t>
      </w:r>
      <w:r>
        <w:rPr/>
        <w:t>los</w:t>
      </w:r>
      <w:r>
        <w:rPr>
          <w:spacing w:val="-10"/>
        </w:rPr>
        <w:t> </w:t>
      </w:r>
      <w:r>
        <w:rPr/>
        <w:t>ovarios</w:t>
      </w:r>
      <w:r>
        <w:rPr>
          <w:spacing w:val="-10"/>
        </w:rPr>
        <w:t> </w:t>
      </w:r>
      <w:r>
        <w:rPr/>
        <w:t>son</w:t>
      </w:r>
      <w:r>
        <w:rPr>
          <w:spacing w:val="-9"/>
        </w:rPr>
        <w:t> </w:t>
      </w:r>
      <w:r>
        <w:rPr/>
        <w:t>responsables</w:t>
      </w:r>
      <w:r>
        <w:rPr>
          <w:spacing w:val="-10"/>
        </w:rPr>
        <w:t> </w:t>
      </w:r>
      <w:r>
        <w:rPr/>
        <w:t>directos de un tercio de la producción de testosterona. Los dos tercios restantes provienen de la periferia (17β- hidroxiesteroide deshidrogenasa [HSD] tipos 3 y 5) derivados de precursores ováricos y suprarrenales (en particular la androstenediona, que se produce en proporciones iguales en las glándulas suprarrenales y los ovarios). Es posible que las suprarrenales secreten directamente testosterona, pero su</w:t>
      </w:r>
      <w:r>
        <w:rPr>
          <w:spacing w:val="-33"/>
        </w:rPr>
        <w:t> </w:t>
      </w:r>
      <w:r>
        <w:rPr/>
        <w:t>principal contribución se deriva de su producción de</w:t>
      </w:r>
      <w:r>
        <w:rPr>
          <w:spacing w:val="-16"/>
        </w:rPr>
        <w:t> </w:t>
      </w:r>
      <w:r>
        <w:rPr/>
        <w:t>precursores.</w:t>
      </w:r>
    </w:p>
    <w:p>
      <w:pPr>
        <w:pStyle w:val="BodyText"/>
        <w:spacing w:line="364" w:lineRule="auto" w:before="199"/>
        <w:ind w:left="117" w:right="104" w:hanging="10"/>
        <w:jc w:val="both"/>
      </w:pPr>
      <w:r>
        <w:rPr/>
        <w:t>En consecuencia, los ovarios son responsables de casi dos tercios de la testosterona</w:t>
      </w:r>
      <w:r>
        <w:rPr>
          <w:spacing w:val="-11"/>
        </w:rPr>
        <w:t> </w:t>
      </w:r>
      <w:r>
        <w:rPr/>
        <w:t>circulante;</w:t>
      </w:r>
      <w:r>
        <w:rPr>
          <w:spacing w:val="-11"/>
        </w:rPr>
        <w:t> </w:t>
      </w:r>
      <w:r>
        <w:rPr/>
        <w:t>esto</w:t>
      </w:r>
      <w:r>
        <w:rPr>
          <w:spacing w:val="-10"/>
        </w:rPr>
        <w:t> </w:t>
      </w:r>
      <w:r>
        <w:rPr/>
        <w:t>difiere</w:t>
      </w:r>
      <w:r>
        <w:rPr>
          <w:spacing w:val="-11"/>
        </w:rPr>
        <w:t> </w:t>
      </w:r>
      <w:r>
        <w:rPr/>
        <w:t>de</w:t>
      </w:r>
      <w:r>
        <w:rPr>
          <w:spacing w:val="-11"/>
        </w:rPr>
        <w:t> </w:t>
      </w:r>
      <w:r>
        <w:rPr/>
        <w:t>lo</w:t>
      </w:r>
      <w:r>
        <w:rPr>
          <w:spacing w:val="-11"/>
        </w:rPr>
        <w:t> </w:t>
      </w:r>
      <w:r>
        <w:rPr/>
        <w:t>que</w:t>
      </w:r>
      <w:r>
        <w:rPr>
          <w:spacing w:val="-13"/>
        </w:rPr>
        <w:t> </w:t>
      </w:r>
      <w:r>
        <w:rPr/>
        <w:t>ocurre</w:t>
      </w:r>
      <w:r>
        <w:rPr>
          <w:spacing w:val="-11"/>
        </w:rPr>
        <w:t> </w:t>
      </w:r>
      <w:r>
        <w:rPr/>
        <w:t>en</w:t>
      </w:r>
      <w:r>
        <w:rPr>
          <w:spacing w:val="-11"/>
        </w:rPr>
        <w:t> </w:t>
      </w:r>
      <w:r>
        <w:rPr/>
        <w:t>los</w:t>
      </w:r>
      <w:r>
        <w:rPr>
          <w:spacing w:val="-11"/>
        </w:rPr>
        <w:t> </w:t>
      </w:r>
      <w:r>
        <w:rPr/>
        <w:t>varones,</w:t>
      </w:r>
      <w:r>
        <w:rPr>
          <w:spacing w:val="-11"/>
        </w:rPr>
        <w:t> </w:t>
      </w:r>
      <w:r>
        <w:rPr/>
        <w:t>en</w:t>
      </w:r>
      <w:r>
        <w:rPr>
          <w:spacing w:val="-11"/>
        </w:rPr>
        <w:t> </w:t>
      </w:r>
      <w:r>
        <w:rPr/>
        <w:t>quienes</w:t>
      </w:r>
      <w:r>
        <w:rPr>
          <w:spacing w:val="-12"/>
        </w:rPr>
        <w:t> </w:t>
      </w:r>
      <w:r>
        <w:rPr/>
        <w:t>sólo 5% de la testosterona circulante se deriva de la conversión periférica de androstenediona. También se estima que más de 60% del andrógeno más</w:t>
      </w:r>
      <w:r>
        <w:rPr>
          <w:spacing w:val="-43"/>
        </w:rPr>
        <w:t> </w:t>
      </w:r>
      <w:r>
        <w:rPr/>
        <w:t>potente, la dihidrotestosterona (DHT), se produce en la piel en el caso de las mujeres (5αreductasa</w:t>
      </w:r>
      <w:r>
        <w:rPr>
          <w:spacing w:val="-4"/>
        </w:rPr>
        <w:t> </w:t>
      </w:r>
      <w:r>
        <w:rPr/>
        <w:t>tipos</w:t>
      </w:r>
      <w:r>
        <w:rPr>
          <w:spacing w:val="-4"/>
        </w:rPr>
        <w:t> </w:t>
      </w:r>
      <w:r>
        <w:rPr/>
        <w:t>1</w:t>
      </w:r>
      <w:r>
        <w:rPr>
          <w:spacing w:val="-4"/>
        </w:rPr>
        <w:t> </w:t>
      </w:r>
      <w:r>
        <w:rPr/>
        <w:t>y</w:t>
      </w:r>
      <w:r>
        <w:rPr>
          <w:spacing w:val="-7"/>
        </w:rPr>
        <w:t> </w:t>
      </w:r>
      <w:r>
        <w:rPr/>
        <w:t>2)</w:t>
      </w:r>
      <w:r>
        <w:rPr>
          <w:spacing w:val="-5"/>
        </w:rPr>
        <w:t> </w:t>
      </w:r>
      <w:r>
        <w:rPr/>
        <w:t>y</w:t>
      </w:r>
      <w:r>
        <w:rPr>
          <w:spacing w:val="-7"/>
        </w:rPr>
        <w:t> </w:t>
      </w:r>
      <w:r>
        <w:rPr/>
        <w:t>se</w:t>
      </w:r>
      <w:r>
        <w:rPr>
          <w:spacing w:val="-4"/>
        </w:rPr>
        <w:t> </w:t>
      </w:r>
      <w:r>
        <w:rPr/>
        <w:t>origina</w:t>
      </w:r>
      <w:r>
        <w:rPr>
          <w:spacing w:val="-3"/>
        </w:rPr>
        <w:t> </w:t>
      </w:r>
      <w:r>
        <w:rPr/>
        <w:t>de</w:t>
      </w:r>
      <w:r>
        <w:rPr>
          <w:spacing w:val="-4"/>
        </w:rPr>
        <w:t> </w:t>
      </w:r>
      <w:r>
        <w:rPr/>
        <w:t>la</w:t>
      </w:r>
      <w:r>
        <w:rPr>
          <w:spacing w:val="-4"/>
        </w:rPr>
        <w:t> </w:t>
      </w:r>
      <w:r>
        <w:rPr/>
        <w:t>androstenediona.</w:t>
      </w:r>
      <w:r>
        <w:rPr>
          <w:spacing w:val="-4"/>
        </w:rPr>
        <w:t> </w:t>
      </w:r>
      <w:r>
        <w:rPr/>
        <w:t>DHEAS</w:t>
      </w:r>
      <w:r>
        <w:rPr>
          <w:spacing w:val="-4"/>
        </w:rPr>
        <w:t> </w:t>
      </w:r>
      <w:r>
        <w:rPr/>
        <w:t>es</w:t>
      </w:r>
      <w:r>
        <w:rPr>
          <w:spacing w:val="-4"/>
        </w:rPr>
        <w:t> </w:t>
      </w:r>
      <w:r>
        <w:rPr/>
        <w:t>el</w:t>
      </w:r>
      <w:r>
        <w:rPr>
          <w:spacing w:val="-5"/>
        </w:rPr>
        <w:t> </w:t>
      </w:r>
      <w:r>
        <w:rPr/>
        <w:t>principal andrógeno que producen las glándulas suprarrenales; estas glándulas son responsables de más de 95% de los niveles de DHEAS circulante. Aunque es el andrógeno más abundante en circulación en el organismo, contribuye de manera mínima a los niveles séricos de</w:t>
      </w:r>
      <w:r>
        <w:rPr>
          <w:spacing w:val="-15"/>
        </w:rPr>
        <w:t> </w:t>
      </w:r>
      <w:r>
        <w:rPr/>
        <w:t>testosterona.</w:t>
      </w:r>
    </w:p>
    <w:p>
      <w:pPr>
        <w:pStyle w:val="BodyText"/>
        <w:spacing w:line="364" w:lineRule="auto" w:before="199"/>
        <w:ind w:left="117" w:right="107" w:hanging="10"/>
        <w:jc w:val="both"/>
      </w:pPr>
      <w:r>
        <w:rPr/>
        <w:t>Los estrógenos circulantes incluyen estrona, sulfato de estrona, estradiol y estriol (embarazo). Más de 95% del estradiol en la circulación se produce en los ovarios. En contraste con el estradiol, cerca de la mitad de la estrona circulante se secreta en los ovarios, en tanto que la cantidad restante se deriva de conversión periférica. El</w:t>
      </w:r>
      <w:r>
        <w:rPr>
          <w:spacing w:val="-14"/>
        </w:rPr>
        <w:t> </w:t>
      </w:r>
      <w:r>
        <w:rPr/>
        <w:t>precursor</w:t>
      </w:r>
      <w:r>
        <w:rPr>
          <w:spacing w:val="-17"/>
        </w:rPr>
        <w:t> </w:t>
      </w:r>
      <w:r>
        <w:rPr/>
        <w:t>más</w:t>
      </w:r>
      <w:r>
        <w:rPr>
          <w:spacing w:val="-14"/>
        </w:rPr>
        <w:t> </w:t>
      </w:r>
      <w:r>
        <w:rPr/>
        <w:t>importante,</w:t>
      </w:r>
      <w:r>
        <w:rPr>
          <w:spacing w:val="-13"/>
        </w:rPr>
        <w:t> </w:t>
      </w:r>
      <w:r>
        <w:rPr/>
        <w:t>la</w:t>
      </w:r>
      <w:r>
        <w:rPr>
          <w:spacing w:val="-16"/>
        </w:rPr>
        <w:t> </w:t>
      </w:r>
      <w:r>
        <w:rPr/>
        <w:t>androstenediona,</w:t>
      </w:r>
      <w:r>
        <w:rPr>
          <w:spacing w:val="-13"/>
        </w:rPr>
        <w:t> </w:t>
      </w:r>
      <w:r>
        <w:rPr/>
        <w:t>se</w:t>
      </w:r>
      <w:r>
        <w:rPr>
          <w:spacing w:val="-15"/>
        </w:rPr>
        <w:t> </w:t>
      </w:r>
      <w:r>
        <w:rPr/>
        <w:t>aromatiza</w:t>
      </w:r>
      <w:r>
        <w:rPr>
          <w:spacing w:val="-13"/>
        </w:rPr>
        <w:t> </w:t>
      </w:r>
      <w:r>
        <w:rPr/>
        <w:t>a</w:t>
      </w:r>
      <w:r>
        <w:rPr>
          <w:spacing w:val="-13"/>
        </w:rPr>
        <w:t> </w:t>
      </w:r>
      <w:r>
        <w:rPr/>
        <w:t>estrona</w:t>
      </w:r>
      <w:r>
        <w:rPr>
          <w:spacing w:val="-16"/>
        </w:rPr>
        <w:t> </w:t>
      </w:r>
      <w:r>
        <w:rPr/>
        <w:t>en</w:t>
      </w:r>
      <w:r>
        <w:rPr>
          <w:spacing w:val="-13"/>
        </w:rPr>
        <w:t> </w:t>
      </w:r>
      <w:r>
        <w:rPr/>
        <w:t>el</w:t>
      </w:r>
      <w:r>
        <w:rPr>
          <w:spacing w:val="-17"/>
        </w:rPr>
        <w:t> </w:t>
      </w:r>
      <w:r>
        <w:rPr/>
        <w:t>tejido adiposo, folículos pilosos y el hígado. La estrona también se deriva del estradiol </w:t>
      </w:r>
      <w:r>
        <w:rPr>
          <w:spacing w:val="47"/>
        </w:rPr>
        <w:t> </w:t>
      </w:r>
      <w:r>
        <w:rPr/>
        <w:t>a</w:t>
      </w:r>
    </w:p>
    <w:p>
      <w:pPr>
        <w:spacing w:after="0" w:line="364" w:lineRule="auto"/>
        <w:jc w:val="both"/>
        <w:sectPr>
          <w:pgSz w:w="12240" w:h="15840"/>
          <w:pgMar w:top="1220" w:bottom="280" w:left="1580" w:right="1580"/>
        </w:sectPr>
      </w:pPr>
    </w:p>
    <w:p>
      <w:pPr>
        <w:pStyle w:val="BodyText"/>
        <w:spacing w:line="362" w:lineRule="auto" w:before="43"/>
        <w:ind w:left="117" w:right="105"/>
        <w:jc w:val="both"/>
      </w:pPr>
      <w:r>
        <w:rPr/>
        <w:t>través de la actividad de 17β-HSD tipo 2 o a partir del sulfato de estrona (esteroide sulfatasa). Casi todo el estriol se produce durante el embarazo y se secreta a partir de la placenta.</w:t>
      </w:r>
    </w:p>
    <w:p>
      <w:pPr>
        <w:pStyle w:val="BodyText"/>
        <w:spacing w:line="364" w:lineRule="auto" w:before="204"/>
        <w:ind w:left="117" w:right="107" w:hanging="10"/>
        <w:jc w:val="both"/>
      </w:pPr>
      <w:r>
        <w:rPr/>
        <w:t>Finalmente, la concentración sérica de los esteroides sexuales depende de la tasa de</w:t>
      </w:r>
      <w:r>
        <w:rPr>
          <w:spacing w:val="-13"/>
        </w:rPr>
        <w:t> </w:t>
      </w:r>
      <w:r>
        <w:rPr/>
        <w:t>secreción</w:t>
      </w:r>
      <w:r>
        <w:rPr>
          <w:spacing w:val="-15"/>
        </w:rPr>
        <w:t> </w:t>
      </w:r>
      <w:r>
        <w:rPr/>
        <w:t>(SR),</w:t>
      </w:r>
      <w:r>
        <w:rPr>
          <w:spacing w:val="-13"/>
        </w:rPr>
        <w:t> </w:t>
      </w:r>
      <w:r>
        <w:rPr/>
        <w:t>tasa</w:t>
      </w:r>
      <w:r>
        <w:rPr>
          <w:spacing w:val="-13"/>
        </w:rPr>
        <w:t> </w:t>
      </w:r>
      <w:r>
        <w:rPr/>
        <w:t>de</w:t>
      </w:r>
      <w:r>
        <w:rPr>
          <w:spacing w:val="-16"/>
        </w:rPr>
        <w:t> </w:t>
      </w:r>
      <w:r>
        <w:rPr/>
        <w:t>producción</w:t>
      </w:r>
      <w:r>
        <w:rPr>
          <w:spacing w:val="-13"/>
        </w:rPr>
        <w:t> </w:t>
      </w:r>
      <w:r>
        <w:rPr/>
        <w:t>(PR)</w:t>
      </w:r>
      <w:r>
        <w:rPr>
          <w:spacing w:val="-15"/>
        </w:rPr>
        <w:t> </w:t>
      </w:r>
      <w:r>
        <w:rPr/>
        <w:t>y</w:t>
      </w:r>
      <w:r>
        <w:rPr>
          <w:spacing w:val="-16"/>
        </w:rPr>
        <w:t> </w:t>
      </w:r>
      <w:r>
        <w:rPr/>
        <w:t>tasa</w:t>
      </w:r>
      <w:r>
        <w:rPr>
          <w:spacing w:val="-15"/>
        </w:rPr>
        <w:t> </w:t>
      </w:r>
      <w:r>
        <w:rPr/>
        <w:t>de</w:t>
      </w:r>
      <w:r>
        <w:rPr>
          <w:spacing w:val="-16"/>
        </w:rPr>
        <w:t> </w:t>
      </w:r>
      <w:r>
        <w:rPr/>
        <w:t>depuración</w:t>
      </w:r>
      <w:r>
        <w:rPr>
          <w:spacing w:val="-18"/>
        </w:rPr>
        <w:t> </w:t>
      </w:r>
      <w:r>
        <w:rPr/>
        <w:t>metabólica</w:t>
      </w:r>
      <w:r>
        <w:rPr>
          <w:spacing w:val="-13"/>
        </w:rPr>
        <w:t> </w:t>
      </w:r>
      <w:r>
        <w:rPr/>
        <w:t>(MCR). La SR de los esteroides sexuales de cada órgano determina la PR de la hormona. Si la SR de una hormona específica en el ovario es igual a la PR, entonces no hay formación</w:t>
      </w:r>
      <w:r>
        <w:rPr>
          <w:spacing w:val="-15"/>
        </w:rPr>
        <w:t> </w:t>
      </w:r>
      <w:r>
        <w:rPr/>
        <w:t>extragonadal.</w:t>
      </w:r>
      <w:r>
        <w:rPr>
          <w:spacing w:val="-14"/>
        </w:rPr>
        <w:t> </w:t>
      </w:r>
      <w:r>
        <w:rPr/>
        <w:t>Sin</w:t>
      </w:r>
      <w:r>
        <w:rPr>
          <w:spacing w:val="-13"/>
        </w:rPr>
        <w:t> </w:t>
      </w:r>
      <w:r>
        <w:rPr/>
        <w:t>embargo,</w:t>
      </w:r>
      <w:r>
        <w:rPr>
          <w:spacing w:val="-13"/>
        </w:rPr>
        <w:t> </w:t>
      </w:r>
      <w:r>
        <w:rPr/>
        <w:t>si</w:t>
      </w:r>
      <w:r>
        <w:rPr>
          <w:spacing w:val="-14"/>
        </w:rPr>
        <w:t> </w:t>
      </w:r>
      <w:r>
        <w:rPr/>
        <w:t>existe</w:t>
      </w:r>
      <w:r>
        <w:rPr>
          <w:spacing w:val="-15"/>
        </w:rPr>
        <w:t> </w:t>
      </w:r>
      <w:r>
        <w:rPr/>
        <w:t>formación</w:t>
      </w:r>
      <w:r>
        <w:rPr>
          <w:spacing w:val="-13"/>
        </w:rPr>
        <w:t> </w:t>
      </w:r>
      <w:r>
        <w:rPr/>
        <w:t>extragonadal,</w:t>
      </w:r>
      <w:r>
        <w:rPr>
          <w:spacing w:val="-7"/>
        </w:rPr>
        <w:t> </w:t>
      </w:r>
      <w:r>
        <w:rPr/>
        <w:t>entonces</w:t>
      </w:r>
      <w:r>
        <w:rPr>
          <w:spacing w:val="-14"/>
        </w:rPr>
        <w:t> </w:t>
      </w:r>
      <w:r>
        <w:rPr/>
        <w:t>la PR excede a la</w:t>
      </w:r>
      <w:r>
        <w:rPr>
          <w:spacing w:val="-5"/>
        </w:rPr>
        <w:t> </w:t>
      </w:r>
      <w:r>
        <w:rPr/>
        <w:t>SR.</w:t>
      </w:r>
    </w:p>
    <w:p>
      <w:pPr>
        <w:pStyle w:val="BodyText"/>
        <w:spacing w:line="367" w:lineRule="auto" w:before="199"/>
        <w:ind w:left="117" w:right="107" w:hanging="10"/>
        <w:jc w:val="both"/>
      </w:pPr>
      <w:r>
        <w:rPr/>
        <w:t>La</w:t>
      </w:r>
      <w:r>
        <w:rPr>
          <w:spacing w:val="-8"/>
        </w:rPr>
        <w:t> </w:t>
      </w:r>
      <w:r>
        <w:rPr/>
        <w:t>MCR</w:t>
      </w:r>
      <w:r>
        <w:rPr>
          <w:spacing w:val="-10"/>
        </w:rPr>
        <w:t> </w:t>
      </w:r>
      <w:r>
        <w:rPr/>
        <w:t>es</w:t>
      </w:r>
      <w:r>
        <w:rPr>
          <w:spacing w:val="-9"/>
        </w:rPr>
        <w:t> </w:t>
      </w:r>
      <w:r>
        <w:rPr/>
        <w:t>el</w:t>
      </w:r>
      <w:r>
        <w:rPr>
          <w:spacing w:val="-10"/>
        </w:rPr>
        <w:t> </w:t>
      </w:r>
      <w:r>
        <w:rPr/>
        <w:t>volumen</w:t>
      </w:r>
      <w:r>
        <w:rPr>
          <w:spacing w:val="-10"/>
        </w:rPr>
        <w:t> </w:t>
      </w:r>
      <w:r>
        <w:rPr/>
        <w:t>de</w:t>
      </w:r>
      <w:r>
        <w:rPr>
          <w:spacing w:val="-8"/>
        </w:rPr>
        <w:t> </w:t>
      </w:r>
      <w:r>
        <w:rPr/>
        <w:t>sangre</w:t>
      </w:r>
      <w:r>
        <w:rPr>
          <w:spacing w:val="-9"/>
        </w:rPr>
        <w:t> </w:t>
      </w:r>
      <w:r>
        <w:rPr/>
        <w:t>por</w:t>
      </w:r>
      <w:r>
        <w:rPr>
          <w:spacing w:val="-10"/>
        </w:rPr>
        <w:t> </w:t>
      </w:r>
      <w:r>
        <w:rPr/>
        <w:t>unidad</w:t>
      </w:r>
      <w:r>
        <w:rPr>
          <w:spacing w:val="-11"/>
        </w:rPr>
        <w:t> </w:t>
      </w:r>
      <w:r>
        <w:rPr/>
        <w:t>de</w:t>
      </w:r>
      <w:r>
        <w:rPr>
          <w:spacing w:val="-8"/>
        </w:rPr>
        <w:t> </w:t>
      </w:r>
      <w:r>
        <w:rPr/>
        <w:t>tiempo</w:t>
      </w:r>
      <w:r>
        <w:rPr>
          <w:spacing w:val="-8"/>
        </w:rPr>
        <w:t> </w:t>
      </w:r>
      <w:r>
        <w:rPr/>
        <w:t>depurado</w:t>
      </w:r>
      <w:r>
        <w:rPr>
          <w:spacing w:val="-11"/>
        </w:rPr>
        <w:t> </w:t>
      </w:r>
      <w:r>
        <w:rPr/>
        <w:t>de</w:t>
      </w:r>
      <w:r>
        <w:rPr>
          <w:spacing w:val="-11"/>
        </w:rPr>
        <w:t> </w:t>
      </w:r>
      <w:r>
        <w:rPr/>
        <w:t>la</w:t>
      </w:r>
      <w:r>
        <w:rPr>
          <w:spacing w:val="-9"/>
        </w:rPr>
        <w:t> </w:t>
      </w:r>
      <w:r>
        <w:rPr/>
        <w:t>hormona.</w:t>
      </w:r>
      <w:r>
        <w:rPr>
          <w:spacing w:val="-9"/>
        </w:rPr>
        <w:t> </w:t>
      </w:r>
      <w:r>
        <w:rPr/>
        <w:t>La tasa de depuración metabólica de los esteroides sexuales se relaciona de manera inversa con la afinidad por la globulina fijadora de hormonas sexuales (SHBG), albúmina,</w:t>
      </w:r>
      <w:r>
        <w:rPr>
          <w:spacing w:val="-16"/>
        </w:rPr>
        <w:t> </w:t>
      </w:r>
      <w:r>
        <w:rPr/>
        <w:t>o</w:t>
      </w:r>
      <w:r>
        <w:rPr>
          <w:spacing w:val="-13"/>
        </w:rPr>
        <w:t> </w:t>
      </w:r>
      <w:r>
        <w:rPr/>
        <w:t>ambas.</w:t>
      </w:r>
      <w:r>
        <w:rPr>
          <w:spacing w:val="-13"/>
        </w:rPr>
        <w:t> </w:t>
      </w:r>
      <w:r>
        <w:rPr/>
        <w:t>Antes</w:t>
      </w:r>
      <w:r>
        <w:rPr>
          <w:spacing w:val="-14"/>
        </w:rPr>
        <w:t> </w:t>
      </w:r>
      <w:r>
        <w:rPr/>
        <w:t>de</w:t>
      </w:r>
      <w:r>
        <w:rPr>
          <w:spacing w:val="-15"/>
        </w:rPr>
        <w:t> </w:t>
      </w:r>
      <w:r>
        <w:rPr/>
        <w:t>la</w:t>
      </w:r>
      <w:r>
        <w:rPr>
          <w:spacing w:val="-13"/>
        </w:rPr>
        <w:t> </w:t>
      </w:r>
      <w:r>
        <w:rPr/>
        <w:t>excreción,</w:t>
      </w:r>
      <w:r>
        <w:rPr>
          <w:spacing w:val="-13"/>
        </w:rPr>
        <w:t> </w:t>
      </w:r>
      <w:r>
        <w:rPr/>
        <w:t>los</w:t>
      </w:r>
      <w:r>
        <w:rPr>
          <w:spacing w:val="-16"/>
        </w:rPr>
        <w:t> </w:t>
      </w:r>
      <w:r>
        <w:rPr/>
        <w:t>esteroides</w:t>
      </w:r>
      <w:r>
        <w:rPr>
          <w:spacing w:val="-14"/>
        </w:rPr>
        <w:t> </w:t>
      </w:r>
      <w:r>
        <w:rPr/>
        <w:t>se</w:t>
      </w:r>
      <w:r>
        <w:rPr>
          <w:spacing w:val="-13"/>
        </w:rPr>
        <w:t> </w:t>
      </w:r>
      <w:r>
        <w:rPr/>
        <w:t>conjugan</w:t>
      </w:r>
      <w:r>
        <w:rPr>
          <w:spacing w:val="-15"/>
        </w:rPr>
        <w:t> </w:t>
      </w:r>
      <w:r>
        <w:rPr/>
        <w:t>para</w:t>
      </w:r>
      <w:r>
        <w:rPr>
          <w:spacing w:val="-14"/>
        </w:rPr>
        <w:t> </w:t>
      </w:r>
      <w:r>
        <w:rPr/>
        <w:t>volverlos hidrosolubles. La mayor cantidad de testosterona se fija a la SHBG </w:t>
      </w:r>
      <w:r>
        <w:rPr>
          <w:spacing w:val="-7"/>
        </w:rPr>
        <w:t>(</w:t>
      </w:r>
      <w:r>
        <w:rPr>
          <w:rFonts w:ascii="Cambria Math" w:hAnsi="Cambria Math"/>
          <w:spacing w:val="-7"/>
        </w:rPr>
        <w:t>∼</w:t>
      </w:r>
      <w:r>
        <w:rPr>
          <w:spacing w:val="-7"/>
        </w:rPr>
        <w:t>65%) </w:t>
      </w:r>
      <w:r>
        <w:rPr/>
        <w:t>y a menor grado con la albúmina </w:t>
      </w:r>
      <w:r>
        <w:rPr>
          <w:spacing w:val="-7"/>
        </w:rPr>
        <w:t>(</w:t>
      </w:r>
      <w:r>
        <w:rPr>
          <w:rFonts w:ascii="Cambria Math" w:hAnsi="Cambria Math"/>
          <w:spacing w:val="-7"/>
        </w:rPr>
        <w:t>∼</w:t>
      </w:r>
      <w:r>
        <w:rPr>
          <w:spacing w:val="-7"/>
        </w:rPr>
        <w:t>35%); </w:t>
      </w:r>
      <w:r>
        <w:rPr/>
        <w:t>sólo 1% (hormona </w:t>
      </w:r>
      <w:r>
        <w:rPr>
          <w:i/>
        </w:rPr>
        <w:t>libre</w:t>
      </w:r>
      <w:r>
        <w:rPr/>
        <w:t>) está activa y disponible para el metabolismo. Los andrógenos restantes tienen una afinidad de unión con la SHBG que es insignificante. La testosterona libre se puede convertir a andrógenos más potentes como DHT o quizá se metabolice a través de la androstenediona.</w:t>
      </w:r>
      <w:r>
        <w:rPr>
          <w:spacing w:val="-11"/>
        </w:rPr>
        <w:t> </w:t>
      </w:r>
      <w:r>
        <w:rPr/>
        <w:t>Los</w:t>
      </w:r>
      <w:r>
        <w:rPr>
          <w:spacing w:val="-14"/>
        </w:rPr>
        <w:t> </w:t>
      </w:r>
      <w:r>
        <w:rPr/>
        <w:t>metabolitos</w:t>
      </w:r>
      <w:r>
        <w:rPr>
          <w:spacing w:val="-12"/>
        </w:rPr>
        <w:t> </w:t>
      </w:r>
      <w:r>
        <w:rPr/>
        <w:t>de</w:t>
      </w:r>
      <w:r>
        <w:rPr>
          <w:spacing w:val="-9"/>
        </w:rPr>
        <w:t> </w:t>
      </w:r>
      <w:r>
        <w:rPr/>
        <w:t>la</w:t>
      </w:r>
      <w:r>
        <w:rPr>
          <w:spacing w:val="-11"/>
        </w:rPr>
        <w:t> </w:t>
      </w:r>
      <w:r>
        <w:rPr/>
        <w:t>androstenediona</w:t>
      </w:r>
      <w:r>
        <w:rPr>
          <w:spacing w:val="-11"/>
        </w:rPr>
        <w:t> </w:t>
      </w:r>
      <w:r>
        <w:rPr/>
        <w:t>y</w:t>
      </w:r>
      <w:r>
        <w:rPr>
          <w:spacing w:val="-12"/>
        </w:rPr>
        <w:t> </w:t>
      </w:r>
      <w:r>
        <w:rPr/>
        <w:t>DHT</w:t>
      </w:r>
      <w:r>
        <w:rPr>
          <w:spacing w:val="-8"/>
        </w:rPr>
        <w:t> </w:t>
      </w:r>
      <w:r>
        <w:rPr/>
        <w:t>se</w:t>
      </w:r>
      <w:r>
        <w:rPr>
          <w:spacing w:val="-11"/>
        </w:rPr>
        <w:t> </w:t>
      </w:r>
      <w:r>
        <w:rPr/>
        <w:t>conjugan</w:t>
      </w:r>
      <w:r>
        <w:rPr>
          <w:spacing w:val="-11"/>
        </w:rPr>
        <w:t> </w:t>
      </w:r>
      <w:r>
        <w:rPr/>
        <w:t>con</w:t>
      </w:r>
      <w:r>
        <w:rPr>
          <w:spacing w:val="-11"/>
        </w:rPr>
        <w:t> </w:t>
      </w:r>
      <w:r>
        <w:rPr/>
        <w:t>un sulfato</w:t>
      </w:r>
      <w:r>
        <w:rPr>
          <w:spacing w:val="-8"/>
        </w:rPr>
        <w:t> </w:t>
      </w:r>
      <w:r>
        <w:rPr/>
        <w:t>o</w:t>
      </w:r>
      <w:r>
        <w:rPr>
          <w:spacing w:val="-6"/>
        </w:rPr>
        <w:t> </w:t>
      </w:r>
      <w:r>
        <w:rPr/>
        <w:t>glucurónido</w:t>
      </w:r>
      <w:r>
        <w:rPr>
          <w:spacing w:val="-6"/>
        </w:rPr>
        <w:t> </w:t>
      </w:r>
      <w:r>
        <w:rPr/>
        <w:t>y</w:t>
      </w:r>
      <w:r>
        <w:rPr>
          <w:spacing w:val="-9"/>
        </w:rPr>
        <w:t> </w:t>
      </w:r>
      <w:r>
        <w:rPr/>
        <w:t>se</w:t>
      </w:r>
      <w:r>
        <w:rPr>
          <w:spacing w:val="-6"/>
        </w:rPr>
        <w:t> </w:t>
      </w:r>
      <w:r>
        <w:rPr/>
        <w:t>excretan</w:t>
      </w:r>
      <w:r>
        <w:rPr>
          <w:spacing w:val="-6"/>
        </w:rPr>
        <w:t> </w:t>
      </w:r>
      <w:r>
        <w:rPr/>
        <w:t>por</w:t>
      </w:r>
      <w:r>
        <w:rPr>
          <w:spacing w:val="-7"/>
        </w:rPr>
        <w:t> </w:t>
      </w:r>
      <w:r>
        <w:rPr/>
        <w:t>la</w:t>
      </w:r>
      <w:r>
        <w:rPr>
          <w:spacing w:val="-6"/>
        </w:rPr>
        <w:t> </w:t>
      </w:r>
      <w:r>
        <w:rPr/>
        <w:t>orina.</w:t>
      </w:r>
      <w:r>
        <w:rPr>
          <w:spacing w:val="-6"/>
        </w:rPr>
        <w:t> </w:t>
      </w:r>
      <w:r>
        <w:rPr/>
        <w:t>La</w:t>
      </w:r>
      <w:r>
        <w:rPr>
          <w:spacing w:val="-8"/>
        </w:rPr>
        <w:t> </w:t>
      </w:r>
      <w:r>
        <w:rPr/>
        <w:t>mayoría</w:t>
      </w:r>
      <w:r>
        <w:rPr>
          <w:spacing w:val="-6"/>
        </w:rPr>
        <w:t> </w:t>
      </w:r>
      <w:r>
        <w:rPr/>
        <w:t>del</w:t>
      </w:r>
      <w:r>
        <w:rPr>
          <w:spacing w:val="-7"/>
        </w:rPr>
        <w:t> </w:t>
      </w:r>
      <w:r>
        <w:rPr/>
        <w:t>estradiol</w:t>
      </w:r>
      <w:r>
        <w:rPr>
          <w:spacing w:val="-7"/>
        </w:rPr>
        <w:t> </w:t>
      </w:r>
      <w:r>
        <w:rPr/>
        <w:t>también</w:t>
      </w:r>
      <w:r>
        <w:rPr>
          <w:spacing w:val="-6"/>
        </w:rPr>
        <w:t> </w:t>
      </w:r>
      <w:r>
        <w:rPr/>
        <w:t>se fija, aunque tiene menor afinidad de fijación por la SHBG (38%) y más para la albúmina (60%) que la testosterona; aproximadamente 2% no se</w:t>
      </w:r>
      <w:r>
        <w:rPr>
          <w:spacing w:val="-20"/>
        </w:rPr>
        <w:t> </w:t>
      </w:r>
      <w:r>
        <w:rPr/>
        <w:t>fija.</w:t>
      </w:r>
    </w:p>
    <w:p>
      <w:pPr>
        <w:pStyle w:val="BodyText"/>
        <w:spacing w:before="7"/>
        <w:rPr>
          <w:sz w:val="20"/>
        </w:rPr>
      </w:pPr>
    </w:p>
    <w:p>
      <w:pPr>
        <w:pStyle w:val="BodyText"/>
        <w:spacing w:line="362" w:lineRule="auto"/>
        <w:ind w:left="117" w:right="107" w:hanging="10"/>
        <w:jc w:val="both"/>
      </w:pPr>
      <w:r>
        <w:rPr/>
        <w:t>El estradiol se puede conjugar directamente (acción de 16α-hidroxilasa o 2hidroxilasa) o se metaboliza a estrona antes de la conjugación. Los estrógenos restantes</w:t>
      </w:r>
      <w:r>
        <w:rPr>
          <w:spacing w:val="-15"/>
        </w:rPr>
        <w:t> </w:t>
      </w:r>
      <w:r>
        <w:rPr/>
        <w:t>se</w:t>
      </w:r>
      <w:r>
        <w:rPr>
          <w:spacing w:val="-17"/>
        </w:rPr>
        <w:t> </w:t>
      </w:r>
      <w:r>
        <w:rPr/>
        <w:t>fijan</w:t>
      </w:r>
      <w:r>
        <w:rPr>
          <w:spacing w:val="-17"/>
        </w:rPr>
        <w:t> </w:t>
      </w:r>
      <w:r>
        <w:rPr/>
        <w:t>débilmente</w:t>
      </w:r>
      <w:r>
        <w:rPr>
          <w:spacing w:val="-16"/>
        </w:rPr>
        <w:t> </w:t>
      </w:r>
      <w:r>
        <w:rPr/>
        <w:t>a</w:t>
      </w:r>
      <w:r>
        <w:rPr>
          <w:spacing w:val="-16"/>
        </w:rPr>
        <w:t> </w:t>
      </w:r>
      <w:r>
        <w:rPr/>
        <w:t>proteínas.</w:t>
      </w:r>
      <w:r>
        <w:rPr>
          <w:spacing w:val="-17"/>
        </w:rPr>
        <w:t> </w:t>
      </w:r>
      <w:r>
        <w:rPr/>
        <w:t>La</w:t>
      </w:r>
      <w:r>
        <w:rPr>
          <w:spacing w:val="-19"/>
        </w:rPr>
        <w:t> </w:t>
      </w:r>
      <w:r>
        <w:rPr/>
        <w:t>progesterona</w:t>
      </w:r>
      <w:r>
        <w:rPr>
          <w:spacing w:val="-14"/>
        </w:rPr>
        <w:t> </w:t>
      </w:r>
      <w:r>
        <w:rPr/>
        <w:t>se</w:t>
      </w:r>
      <w:r>
        <w:rPr>
          <w:spacing w:val="-17"/>
        </w:rPr>
        <w:t> </w:t>
      </w:r>
      <w:r>
        <w:rPr/>
        <w:t>metaboliza</w:t>
      </w:r>
      <w:r>
        <w:rPr>
          <w:spacing w:val="-8"/>
        </w:rPr>
        <w:t> </w:t>
      </w:r>
      <w:r>
        <w:rPr/>
        <w:t>en</w:t>
      </w:r>
      <w:r>
        <w:rPr>
          <w:spacing w:val="-17"/>
        </w:rPr>
        <w:t> </w:t>
      </w:r>
      <w:r>
        <w:rPr/>
        <w:t>muchos intermediarios</w:t>
      </w:r>
      <w:r>
        <w:rPr>
          <w:spacing w:val="-12"/>
        </w:rPr>
        <w:t> </w:t>
      </w:r>
      <w:r>
        <w:rPr/>
        <w:t>antes</w:t>
      </w:r>
      <w:r>
        <w:rPr>
          <w:spacing w:val="-12"/>
        </w:rPr>
        <w:t> </w:t>
      </w:r>
      <w:r>
        <w:rPr/>
        <w:t>de</w:t>
      </w:r>
      <w:r>
        <w:rPr>
          <w:spacing w:val="-9"/>
        </w:rPr>
        <w:t> </w:t>
      </w:r>
      <w:r>
        <w:rPr/>
        <w:t>la</w:t>
      </w:r>
      <w:r>
        <w:rPr>
          <w:spacing w:val="-12"/>
        </w:rPr>
        <w:t> </w:t>
      </w:r>
      <w:r>
        <w:rPr/>
        <w:t>conjugación.</w:t>
      </w:r>
      <w:r>
        <w:rPr>
          <w:spacing w:val="-12"/>
        </w:rPr>
        <w:t> </w:t>
      </w:r>
      <w:r>
        <w:rPr/>
        <w:t>El</w:t>
      </w:r>
      <w:r>
        <w:rPr>
          <w:spacing w:val="-11"/>
        </w:rPr>
        <w:t> </w:t>
      </w:r>
      <w:r>
        <w:rPr/>
        <w:t>glucurónido</w:t>
      </w:r>
      <w:r>
        <w:rPr>
          <w:spacing w:val="-11"/>
        </w:rPr>
        <w:t> </w:t>
      </w:r>
      <w:r>
        <w:rPr/>
        <w:t>de</w:t>
      </w:r>
      <w:r>
        <w:rPr>
          <w:spacing w:val="-12"/>
        </w:rPr>
        <w:t> </w:t>
      </w:r>
      <w:r>
        <w:rPr/>
        <w:t>pregnandiol</w:t>
      </w:r>
      <w:r>
        <w:rPr>
          <w:spacing w:val="-10"/>
        </w:rPr>
        <w:t> </w:t>
      </w:r>
      <w:r>
        <w:rPr/>
        <w:t>es</w:t>
      </w:r>
      <w:r>
        <w:rPr>
          <w:spacing w:val="-12"/>
        </w:rPr>
        <w:t> </w:t>
      </w:r>
      <w:r>
        <w:rPr/>
        <w:t>el</w:t>
      </w:r>
      <w:r>
        <w:rPr>
          <w:spacing w:val="-12"/>
        </w:rPr>
        <w:t> </w:t>
      </w:r>
      <w:r>
        <w:rPr/>
        <w:t>principal metabolito observado en la</w:t>
      </w:r>
      <w:r>
        <w:rPr>
          <w:spacing w:val="-12"/>
        </w:rPr>
        <w:t> </w:t>
      </w:r>
      <w:r>
        <w:rPr/>
        <w:t>orina</w:t>
      </w:r>
      <w:r>
        <w:rPr>
          <w:position w:val="8"/>
          <w:sz w:val="16"/>
        </w:rPr>
        <w:t>7</w:t>
      </w:r>
      <w:r>
        <w:rPr/>
        <w:t>.</w:t>
      </w:r>
    </w:p>
    <w:p>
      <w:pPr>
        <w:pStyle w:val="BodyText"/>
        <w:rPr>
          <w:sz w:val="26"/>
        </w:rPr>
      </w:pPr>
    </w:p>
    <w:p>
      <w:pPr>
        <w:pStyle w:val="BodyText"/>
        <w:rPr>
          <w:sz w:val="26"/>
        </w:rPr>
      </w:pPr>
    </w:p>
    <w:p>
      <w:pPr>
        <w:spacing w:before="192"/>
        <w:ind w:left="107" w:right="0" w:firstLine="0"/>
        <w:jc w:val="both"/>
        <w:rPr>
          <w:sz w:val="22"/>
        </w:rPr>
      </w:pPr>
      <w:r>
        <w:rPr>
          <w:color w:val="5A5A5A"/>
          <w:sz w:val="22"/>
        </w:rPr>
        <w:t>FISIOPATOLOGÍA DEL SÍNDROME DE OVARIO POLIQUÍSTICO</w:t>
      </w:r>
    </w:p>
    <w:p>
      <w:pPr>
        <w:spacing w:after="0"/>
        <w:jc w:val="both"/>
        <w:rPr>
          <w:sz w:val="22"/>
        </w:rPr>
        <w:sectPr>
          <w:pgSz w:w="12240" w:h="15840"/>
          <w:pgMar w:top="1220" w:bottom="280" w:left="1580" w:right="1580"/>
        </w:sectPr>
      </w:pPr>
    </w:p>
    <w:p>
      <w:pPr>
        <w:pStyle w:val="BodyText"/>
        <w:spacing w:line="364" w:lineRule="auto" w:before="43"/>
        <w:ind w:left="117" w:right="105" w:hanging="10"/>
        <w:jc w:val="both"/>
      </w:pPr>
      <w:r>
        <w:rPr/>
        <w:t>Uno</w:t>
      </w:r>
      <w:r>
        <w:rPr>
          <w:spacing w:val="-18"/>
        </w:rPr>
        <w:t> </w:t>
      </w:r>
      <w:r>
        <w:rPr/>
        <w:t>de</w:t>
      </w:r>
      <w:r>
        <w:rPr>
          <w:spacing w:val="-18"/>
        </w:rPr>
        <w:t> </w:t>
      </w:r>
      <w:r>
        <w:rPr/>
        <w:t>los</w:t>
      </w:r>
      <w:r>
        <w:rPr>
          <w:spacing w:val="-19"/>
        </w:rPr>
        <w:t> </w:t>
      </w:r>
      <w:r>
        <w:rPr/>
        <w:t>rasgos</w:t>
      </w:r>
      <w:r>
        <w:rPr>
          <w:spacing w:val="-19"/>
        </w:rPr>
        <w:t> </w:t>
      </w:r>
      <w:r>
        <w:rPr/>
        <w:t>bioquímicos</w:t>
      </w:r>
      <w:r>
        <w:rPr>
          <w:spacing w:val="-18"/>
        </w:rPr>
        <w:t> </w:t>
      </w:r>
      <w:r>
        <w:rPr/>
        <w:t>más</w:t>
      </w:r>
      <w:r>
        <w:rPr>
          <w:spacing w:val="-19"/>
        </w:rPr>
        <w:t> </w:t>
      </w:r>
      <w:r>
        <w:rPr/>
        <w:t>consistente</w:t>
      </w:r>
      <w:r>
        <w:rPr>
          <w:spacing w:val="-18"/>
        </w:rPr>
        <w:t> </w:t>
      </w:r>
      <w:r>
        <w:rPr/>
        <w:t>en</w:t>
      </w:r>
      <w:r>
        <w:rPr>
          <w:spacing w:val="-20"/>
        </w:rPr>
        <w:t> </w:t>
      </w:r>
      <w:r>
        <w:rPr/>
        <w:t>el</w:t>
      </w:r>
      <w:r>
        <w:rPr>
          <w:spacing w:val="-19"/>
        </w:rPr>
        <w:t> </w:t>
      </w:r>
      <w:r>
        <w:rPr/>
        <w:t>síndrome</w:t>
      </w:r>
      <w:r>
        <w:rPr>
          <w:spacing w:val="-18"/>
        </w:rPr>
        <w:t> </w:t>
      </w:r>
      <w:r>
        <w:rPr/>
        <w:t>de</w:t>
      </w:r>
      <w:r>
        <w:rPr>
          <w:spacing w:val="-18"/>
        </w:rPr>
        <w:t> </w:t>
      </w:r>
      <w:r>
        <w:rPr/>
        <w:t>ovario</w:t>
      </w:r>
      <w:r>
        <w:rPr>
          <w:spacing w:val="-18"/>
        </w:rPr>
        <w:t> </w:t>
      </w:r>
      <w:r>
        <w:rPr/>
        <w:t>poliquístico es el aumento de secreción de andrógenos. Este es el resultado de las anormalidades de todos los niveles del eje hipotálamo-hipófisis-ovario. La</w:t>
      </w:r>
      <w:r>
        <w:rPr>
          <w:spacing w:val="-36"/>
        </w:rPr>
        <w:t> </w:t>
      </w:r>
      <w:r>
        <w:rPr/>
        <w:t>hormona luteinizante (LH) regula la síntesis de andrógenos a partir del colesterol de las células de la teca ovárica. La Hormona Folículo Estimulante (FSH) regula la actividad de la aromatasa de las células de la granulosa determinando la cantidad de estrógeno por sintetizar proveniente de precursores de andrógenos. Cuando ocurre el pico de LH-FSH, los ovarios preferentemente sintetizan andrógenos. La porción relativa de síntesis de LH y FSH en la hipófisis está controlada por el hipotálamo</w:t>
      </w:r>
      <w:r>
        <w:rPr>
          <w:spacing w:val="-5"/>
        </w:rPr>
        <w:t> </w:t>
      </w:r>
      <w:r>
        <w:rPr/>
        <w:t>por</w:t>
      </w:r>
      <w:r>
        <w:rPr>
          <w:spacing w:val="-6"/>
        </w:rPr>
        <w:t> </w:t>
      </w:r>
      <w:r>
        <w:rPr/>
        <w:t>el</w:t>
      </w:r>
      <w:r>
        <w:rPr>
          <w:spacing w:val="-6"/>
        </w:rPr>
        <w:t> </w:t>
      </w:r>
      <w:r>
        <w:rPr/>
        <w:t>pulso</w:t>
      </w:r>
      <w:r>
        <w:rPr>
          <w:spacing w:val="-5"/>
        </w:rPr>
        <w:t> </w:t>
      </w:r>
      <w:r>
        <w:rPr/>
        <w:t>de</w:t>
      </w:r>
      <w:r>
        <w:rPr>
          <w:spacing w:val="-7"/>
        </w:rPr>
        <w:t> </w:t>
      </w:r>
      <w:r>
        <w:rPr/>
        <w:t>frecuencia</w:t>
      </w:r>
      <w:r>
        <w:rPr>
          <w:spacing w:val="-5"/>
        </w:rPr>
        <w:t> </w:t>
      </w:r>
      <w:r>
        <w:rPr/>
        <w:t>de</w:t>
      </w:r>
      <w:r>
        <w:rPr>
          <w:spacing w:val="-5"/>
        </w:rPr>
        <w:t> </w:t>
      </w:r>
      <w:r>
        <w:rPr/>
        <w:t>GnRH.</w:t>
      </w:r>
      <w:r>
        <w:rPr>
          <w:spacing w:val="-5"/>
        </w:rPr>
        <w:t> </w:t>
      </w:r>
      <w:r>
        <w:rPr/>
        <w:t>Un</w:t>
      </w:r>
      <w:r>
        <w:rPr>
          <w:spacing w:val="-5"/>
        </w:rPr>
        <w:t> </w:t>
      </w:r>
      <w:r>
        <w:rPr/>
        <w:t>incremento</w:t>
      </w:r>
      <w:r>
        <w:rPr>
          <w:spacing w:val="-5"/>
        </w:rPr>
        <w:t> </w:t>
      </w:r>
      <w:r>
        <w:rPr/>
        <w:t>en</w:t>
      </w:r>
      <w:r>
        <w:rPr>
          <w:spacing w:val="-7"/>
        </w:rPr>
        <w:t> </w:t>
      </w:r>
      <w:r>
        <w:rPr/>
        <w:t>la</w:t>
      </w:r>
      <w:r>
        <w:rPr>
          <w:spacing w:val="-5"/>
        </w:rPr>
        <w:t> </w:t>
      </w:r>
      <w:r>
        <w:rPr/>
        <w:t>frecuencia</w:t>
      </w:r>
      <w:r>
        <w:rPr>
          <w:spacing w:val="-8"/>
        </w:rPr>
        <w:t> </w:t>
      </w:r>
      <w:r>
        <w:rPr/>
        <w:t>del pulso de GnRH favorece la transcripción de la subunidad-b de LH sobre la subunidad-b de la FSH, así mismo se incrementa el rango de LH a FSH favoreciendo</w:t>
      </w:r>
      <w:r>
        <w:rPr>
          <w:spacing w:val="-6"/>
        </w:rPr>
        <w:t> </w:t>
      </w:r>
      <w:r>
        <w:rPr/>
        <w:t>la</w:t>
      </w:r>
      <w:r>
        <w:rPr>
          <w:spacing w:val="-6"/>
        </w:rPr>
        <w:t> </w:t>
      </w:r>
      <w:r>
        <w:rPr/>
        <w:t>síntesis</w:t>
      </w:r>
      <w:r>
        <w:rPr>
          <w:spacing w:val="-7"/>
        </w:rPr>
        <w:t> </w:t>
      </w:r>
      <w:r>
        <w:rPr/>
        <w:t>de</w:t>
      </w:r>
      <w:r>
        <w:rPr>
          <w:spacing w:val="-6"/>
        </w:rPr>
        <w:t> </w:t>
      </w:r>
      <w:r>
        <w:rPr/>
        <w:t>andrógenos.</w:t>
      </w:r>
      <w:r>
        <w:rPr>
          <w:spacing w:val="-6"/>
        </w:rPr>
        <w:t> </w:t>
      </w:r>
      <w:r>
        <w:rPr/>
        <w:t>De</w:t>
      </w:r>
      <w:r>
        <w:rPr>
          <w:spacing w:val="-6"/>
        </w:rPr>
        <w:t> </w:t>
      </w:r>
      <w:r>
        <w:rPr/>
        <w:t>tal</w:t>
      </w:r>
      <w:r>
        <w:rPr>
          <w:spacing w:val="-7"/>
        </w:rPr>
        <w:t> </w:t>
      </w:r>
      <w:r>
        <w:rPr/>
        <w:t>forma</w:t>
      </w:r>
      <w:r>
        <w:rPr>
          <w:spacing w:val="-6"/>
        </w:rPr>
        <w:t> </w:t>
      </w:r>
      <w:r>
        <w:rPr/>
        <w:t>que</w:t>
      </w:r>
      <w:r>
        <w:rPr>
          <w:spacing w:val="-6"/>
        </w:rPr>
        <w:t> </w:t>
      </w:r>
      <w:r>
        <w:rPr/>
        <w:t>las</w:t>
      </w:r>
      <w:r>
        <w:rPr>
          <w:spacing w:val="-9"/>
        </w:rPr>
        <w:t> </w:t>
      </w:r>
      <w:r>
        <w:rPr/>
        <w:t>mujeres</w:t>
      </w:r>
      <w:r>
        <w:rPr>
          <w:spacing w:val="-7"/>
        </w:rPr>
        <w:t> </w:t>
      </w:r>
      <w:r>
        <w:rPr/>
        <w:t>con</w:t>
      </w:r>
      <w:r>
        <w:rPr>
          <w:spacing w:val="-6"/>
        </w:rPr>
        <w:t> </w:t>
      </w:r>
      <w:r>
        <w:rPr/>
        <w:t>síndrome de ovario poliquístico usualmente tienen un incremento en el rango LH-FSH, por lo que</w:t>
      </w:r>
      <w:r>
        <w:rPr>
          <w:spacing w:val="-13"/>
        </w:rPr>
        <w:t> </w:t>
      </w:r>
      <w:r>
        <w:rPr/>
        <w:t>se</w:t>
      </w:r>
      <w:r>
        <w:rPr>
          <w:spacing w:val="-13"/>
        </w:rPr>
        <w:t> </w:t>
      </w:r>
      <w:r>
        <w:rPr/>
        <w:t>infiere</w:t>
      </w:r>
      <w:r>
        <w:rPr>
          <w:spacing w:val="-13"/>
        </w:rPr>
        <w:t> </w:t>
      </w:r>
      <w:r>
        <w:rPr/>
        <w:t>que</w:t>
      </w:r>
      <w:r>
        <w:rPr>
          <w:spacing w:val="-13"/>
        </w:rPr>
        <w:t> </w:t>
      </w:r>
      <w:r>
        <w:rPr/>
        <w:t>la</w:t>
      </w:r>
      <w:r>
        <w:rPr>
          <w:spacing w:val="-16"/>
        </w:rPr>
        <w:t> </w:t>
      </w:r>
      <w:r>
        <w:rPr/>
        <w:t>frecuencia</w:t>
      </w:r>
      <w:r>
        <w:rPr>
          <w:spacing w:val="-13"/>
        </w:rPr>
        <w:t> </w:t>
      </w:r>
      <w:r>
        <w:rPr/>
        <w:t>de</w:t>
      </w:r>
      <w:r>
        <w:rPr>
          <w:spacing w:val="-13"/>
        </w:rPr>
        <w:t> </w:t>
      </w:r>
      <w:r>
        <w:rPr/>
        <w:t>pulso</w:t>
      </w:r>
      <w:r>
        <w:rPr>
          <w:spacing w:val="-13"/>
        </w:rPr>
        <w:t> </w:t>
      </w:r>
      <w:r>
        <w:rPr/>
        <w:t>de</w:t>
      </w:r>
      <w:r>
        <w:rPr>
          <w:spacing w:val="-13"/>
        </w:rPr>
        <w:t> </w:t>
      </w:r>
      <w:r>
        <w:rPr/>
        <w:t>GnRH</w:t>
      </w:r>
      <w:r>
        <w:rPr>
          <w:spacing w:val="-15"/>
        </w:rPr>
        <w:t> </w:t>
      </w:r>
      <w:r>
        <w:rPr/>
        <w:t>está</w:t>
      </w:r>
      <w:r>
        <w:rPr>
          <w:spacing w:val="-13"/>
        </w:rPr>
        <w:t> </w:t>
      </w:r>
      <w:r>
        <w:rPr/>
        <w:t>acelerada</w:t>
      </w:r>
      <w:r>
        <w:rPr>
          <w:spacing w:val="-13"/>
        </w:rPr>
        <w:t> </w:t>
      </w:r>
      <w:r>
        <w:rPr/>
        <w:t>en</w:t>
      </w:r>
      <w:r>
        <w:rPr>
          <w:spacing w:val="-15"/>
        </w:rPr>
        <w:t> </w:t>
      </w:r>
      <w:r>
        <w:rPr/>
        <w:t>este</w:t>
      </w:r>
      <w:r>
        <w:rPr>
          <w:spacing w:val="-13"/>
        </w:rPr>
        <w:t> </w:t>
      </w:r>
      <w:r>
        <w:rPr/>
        <w:t>síndrome. El</w:t>
      </w:r>
      <w:r>
        <w:rPr>
          <w:spacing w:val="-10"/>
        </w:rPr>
        <w:t> </w:t>
      </w:r>
      <w:r>
        <w:rPr/>
        <w:t>rol</w:t>
      </w:r>
      <w:r>
        <w:rPr>
          <w:spacing w:val="-9"/>
        </w:rPr>
        <w:t> </w:t>
      </w:r>
      <w:r>
        <w:rPr/>
        <w:t>de</w:t>
      </w:r>
      <w:r>
        <w:rPr>
          <w:spacing w:val="-8"/>
        </w:rPr>
        <w:t> </w:t>
      </w:r>
      <w:r>
        <w:rPr/>
        <w:t>la</w:t>
      </w:r>
      <w:r>
        <w:rPr>
          <w:spacing w:val="-11"/>
        </w:rPr>
        <w:t> </w:t>
      </w:r>
      <w:r>
        <w:rPr/>
        <w:t>resistencia</w:t>
      </w:r>
      <w:r>
        <w:rPr>
          <w:spacing w:val="-11"/>
        </w:rPr>
        <w:t> </w:t>
      </w:r>
      <w:r>
        <w:rPr/>
        <w:t>a</w:t>
      </w:r>
      <w:r>
        <w:rPr>
          <w:spacing w:val="-8"/>
        </w:rPr>
        <w:t> </w:t>
      </w:r>
      <w:r>
        <w:rPr/>
        <w:t>la</w:t>
      </w:r>
      <w:r>
        <w:rPr>
          <w:spacing w:val="-9"/>
        </w:rPr>
        <w:t> </w:t>
      </w:r>
      <w:r>
        <w:rPr/>
        <w:t>insulina</w:t>
      </w:r>
      <w:r>
        <w:rPr>
          <w:spacing w:val="-8"/>
        </w:rPr>
        <w:t> </w:t>
      </w:r>
      <w:r>
        <w:rPr/>
        <w:t>en</w:t>
      </w:r>
      <w:r>
        <w:rPr>
          <w:spacing w:val="-8"/>
        </w:rPr>
        <w:t> </w:t>
      </w:r>
      <w:r>
        <w:rPr/>
        <w:t>el</w:t>
      </w:r>
      <w:r>
        <w:rPr>
          <w:spacing w:val="-10"/>
        </w:rPr>
        <w:t> </w:t>
      </w:r>
      <w:r>
        <w:rPr/>
        <w:t>síndrome</w:t>
      </w:r>
      <w:r>
        <w:rPr>
          <w:spacing w:val="-11"/>
        </w:rPr>
        <w:t> </w:t>
      </w:r>
      <w:r>
        <w:rPr/>
        <w:t>de</w:t>
      </w:r>
      <w:r>
        <w:rPr>
          <w:spacing w:val="-11"/>
        </w:rPr>
        <w:t> </w:t>
      </w:r>
      <w:r>
        <w:rPr/>
        <w:t>ovario</w:t>
      </w:r>
      <w:r>
        <w:rPr>
          <w:spacing w:val="-8"/>
        </w:rPr>
        <w:t> </w:t>
      </w:r>
      <w:r>
        <w:rPr/>
        <w:t>poliquístico</w:t>
      </w:r>
      <w:r>
        <w:rPr>
          <w:spacing w:val="-8"/>
        </w:rPr>
        <w:t> </w:t>
      </w:r>
      <w:r>
        <w:rPr/>
        <w:t>es</w:t>
      </w:r>
      <w:r>
        <w:rPr>
          <w:spacing w:val="-9"/>
        </w:rPr>
        <w:t> </w:t>
      </w:r>
      <w:r>
        <w:rPr/>
        <w:t>aún</w:t>
      </w:r>
      <w:r>
        <w:rPr>
          <w:spacing w:val="-11"/>
        </w:rPr>
        <w:t> </w:t>
      </w:r>
      <w:r>
        <w:rPr/>
        <w:t>más complejo, ya que la insulina juega un rol directo e indirecto en la patogénesis de la hiperandrogenemia. A nivel ovárico la insulina actúa haciendo sinergismo con LH para aumentar la producción de andrógenos de las células de la teca. La insulina también inhibe la síntesis hepática de globulina fijadora de hormonas seculares (SHBG), incrementado la cantidad de testosterona libre activa circulante e incrementando</w:t>
      </w:r>
      <w:r>
        <w:rPr>
          <w:spacing w:val="-14"/>
        </w:rPr>
        <w:t> </w:t>
      </w:r>
      <w:r>
        <w:rPr/>
        <w:t>el</w:t>
      </w:r>
      <w:r>
        <w:rPr>
          <w:spacing w:val="-13"/>
        </w:rPr>
        <w:t> </w:t>
      </w:r>
      <w:r>
        <w:rPr/>
        <w:t>efecto</w:t>
      </w:r>
      <w:r>
        <w:rPr>
          <w:spacing w:val="-12"/>
        </w:rPr>
        <w:t> </w:t>
      </w:r>
      <w:r>
        <w:rPr/>
        <w:t>de</w:t>
      </w:r>
      <w:r>
        <w:rPr>
          <w:spacing w:val="-12"/>
        </w:rPr>
        <w:t> </w:t>
      </w:r>
      <w:r>
        <w:rPr/>
        <w:t>andrógenos</w:t>
      </w:r>
      <w:r>
        <w:rPr>
          <w:spacing w:val="-13"/>
        </w:rPr>
        <w:t> </w:t>
      </w:r>
      <w:r>
        <w:rPr/>
        <w:t>circulantes.</w:t>
      </w:r>
      <w:r>
        <w:rPr>
          <w:spacing w:val="-12"/>
        </w:rPr>
        <w:t> </w:t>
      </w:r>
      <w:r>
        <w:rPr/>
        <w:t>La</w:t>
      </w:r>
      <w:r>
        <w:rPr>
          <w:spacing w:val="-12"/>
        </w:rPr>
        <w:t> </w:t>
      </w:r>
      <w:r>
        <w:rPr/>
        <w:t>patogénesis</w:t>
      </w:r>
      <w:r>
        <w:rPr>
          <w:spacing w:val="-15"/>
        </w:rPr>
        <w:t> </w:t>
      </w:r>
      <w:r>
        <w:rPr/>
        <w:t>de</w:t>
      </w:r>
      <w:r>
        <w:rPr>
          <w:spacing w:val="-12"/>
        </w:rPr>
        <w:t> </w:t>
      </w:r>
      <w:r>
        <w:rPr/>
        <w:t>la</w:t>
      </w:r>
      <w:r>
        <w:rPr>
          <w:spacing w:val="-12"/>
        </w:rPr>
        <w:t> </w:t>
      </w:r>
      <w:r>
        <w:rPr/>
        <w:t>disfunción ovulatoria es menos comprendida pero también se piensa que es el resultado del hiperandrogenismo.</w:t>
      </w:r>
      <w:r>
        <w:rPr>
          <w:spacing w:val="-13"/>
        </w:rPr>
        <w:t> </w:t>
      </w:r>
      <w:r>
        <w:rPr/>
        <w:t>Morfológicamente</w:t>
      </w:r>
      <w:r>
        <w:rPr>
          <w:spacing w:val="-12"/>
        </w:rPr>
        <w:t> </w:t>
      </w:r>
      <w:r>
        <w:rPr/>
        <w:t>las</w:t>
      </w:r>
      <w:r>
        <w:rPr>
          <w:spacing w:val="-13"/>
        </w:rPr>
        <w:t> </w:t>
      </w:r>
      <w:r>
        <w:rPr/>
        <w:t>características</w:t>
      </w:r>
      <w:r>
        <w:rPr>
          <w:spacing w:val="-14"/>
        </w:rPr>
        <w:t> </w:t>
      </w:r>
      <w:r>
        <w:rPr/>
        <w:t>del</w:t>
      </w:r>
      <w:r>
        <w:rPr>
          <w:spacing w:val="-14"/>
        </w:rPr>
        <w:t> </w:t>
      </w:r>
      <w:r>
        <w:rPr/>
        <w:t>ovario</w:t>
      </w:r>
      <w:r>
        <w:rPr>
          <w:spacing w:val="-11"/>
        </w:rPr>
        <w:t> </w:t>
      </w:r>
      <w:r>
        <w:rPr/>
        <w:t>poliquístico</w:t>
      </w:r>
      <w:r>
        <w:rPr>
          <w:spacing w:val="-13"/>
        </w:rPr>
        <w:t> </w:t>
      </w:r>
      <w:r>
        <w:rPr/>
        <w:t>son una falla aparente en la selección del folículo dominante y la acumulación antral de folículos con diámetros de 2 a 8 mm. Se asume que la apariencia refleja el</w:t>
      </w:r>
      <w:r>
        <w:rPr>
          <w:spacing w:val="-29"/>
        </w:rPr>
        <w:t> </w:t>
      </w:r>
      <w:r>
        <w:rPr/>
        <w:t>arresto</w:t>
      </w:r>
    </w:p>
    <w:p>
      <w:pPr>
        <w:spacing w:line="156" w:lineRule="exact" w:before="0"/>
        <w:ind w:left="0" w:right="2404" w:firstLine="0"/>
        <w:jc w:val="right"/>
        <w:rPr>
          <w:sz w:val="16"/>
        </w:rPr>
      </w:pPr>
      <w:r>
        <w:rPr>
          <w:w w:val="100"/>
          <w:sz w:val="16"/>
        </w:rPr>
        <w:t>3</w:t>
      </w:r>
    </w:p>
    <w:p>
      <w:pPr>
        <w:pStyle w:val="BodyText"/>
        <w:spacing w:line="264" w:lineRule="exact"/>
        <w:ind w:left="107"/>
        <w:jc w:val="both"/>
      </w:pPr>
      <w:r>
        <w:rPr/>
        <w:t>inducido de andrógenos en el desarrollo de folículos antrales .</w:t>
      </w:r>
    </w:p>
    <w:p>
      <w:pPr>
        <w:pStyle w:val="BodyText"/>
      </w:pPr>
    </w:p>
    <w:p>
      <w:pPr>
        <w:pStyle w:val="BodyText"/>
      </w:pPr>
    </w:p>
    <w:p>
      <w:pPr>
        <w:pStyle w:val="BodyText"/>
      </w:pPr>
    </w:p>
    <w:p>
      <w:pPr>
        <w:spacing w:before="149"/>
        <w:ind w:left="107" w:right="0" w:firstLine="0"/>
        <w:jc w:val="both"/>
        <w:rPr>
          <w:i/>
          <w:sz w:val="24"/>
        </w:rPr>
      </w:pPr>
      <w:r>
        <w:rPr>
          <w:i/>
          <w:sz w:val="24"/>
        </w:rPr>
        <w:t>Disfunción neuroendocrina.</w:t>
      </w:r>
    </w:p>
    <w:p>
      <w:pPr>
        <w:spacing w:after="0"/>
        <w:jc w:val="both"/>
        <w:rPr>
          <w:sz w:val="24"/>
        </w:rPr>
        <w:sectPr>
          <w:pgSz w:w="12240" w:h="15840"/>
          <w:pgMar w:top="1220" w:bottom="280" w:left="1580" w:right="1580"/>
        </w:sectPr>
      </w:pPr>
    </w:p>
    <w:p>
      <w:pPr>
        <w:pStyle w:val="BodyText"/>
        <w:spacing w:line="364" w:lineRule="auto" w:before="43"/>
        <w:ind w:left="117" w:right="109" w:hanging="10"/>
        <w:jc w:val="both"/>
      </w:pPr>
      <w:r>
        <w:rPr/>
        <w:t>Se</w:t>
      </w:r>
      <w:r>
        <w:rPr>
          <w:spacing w:val="-17"/>
        </w:rPr>
        <w:t> </w:t>
      </w:r>
      <w:r>
        <w:rPr/>
        <w:t>caracteriza</w:t>
      </w:r>
      <w:r>
        <w:rPr>
          <w:spacing w:val="-17"/>
        </w:rPr>
        <w:t> </w:t>
      </w:r>
      <w:r>
        <w:rPr/>
        <w:t>por</w:t>
      </w:r>
      <w:r>
        <w:rPr>
          <w:spacing w:val="-18"/>
        </w:rPr>
        <w:t> </w:t>
      </w:r>
      <w:r>
        <w:rPr/>
        <w:t>un</w:t>
      </w:r>
      <w:r>
        <w:rPr>
          <w:spacing w:val="-17"/>
        </w:rPr>
        <w:t> </w:t>
      </w:r>
      <w:r>
        <w:rPr/>
        <w:t>aumento</w:t>
      </w:r>
      <w:r>
        <w:rPr>
          <w:spacing w:val="-19"/>
        </w:rPr>
        <w:t> </w:t>
      </w:r>
      <w:r>
        <w:rPr/>
        <w:t>de</w:t>
      </w:r>
      <w:r>
        <w:rPr>
          <w:spacing w:val="-17"/>
        </w:rPr>
        <w:t> </w:t>
      </w:r>
      <w:r>
        <w:rPr/>
        <w:t>la</w:t>
      </w:r>
      <w:r>
        <w:rPr>
          <w:spacing w:val="-17"/>
        </w:rPr>
        <w:t> </w:t>
      </w:r>
      <w:r>
        <w:rPr/>
        <w:t>secreción</w:t>
      </w:r>
      <w:r>
        <w:rPr>
          <w:spacing w:val="-19"/>
        </w:rPr>
        <w:t> </w:t>
      </w:r>
      <w:r>
        <w:rPr/>
        <w:t>de</w:t>
      </w:r>
      <w:r>
        <w:rPr>
          <w:spacing w:val="-17"/>
        </w:rPr>
        <w:t> </w:t>
      </w:r>
      <w:r>
        <w:rPr/>
        <w:t>LH</w:t>
      </w:r>
      <w:r>
        <w:rPr>
          <w:spacing w:val="-18"/>
        </w:rPr>
        <w:t> </w:t>
      </w:r>
      <w:r>
        <w:rPr/>
        <w:t>y</w:t>
      </w:r>
      <w:r>
        <w:rPr>
          <w:spacing w:val="-20"/>
        </w:rPr>
        <w:t> </w:t>
      </w:r>
      <w:r>
        <w:rPr/>
        <w:t>una</w:t>
      </w:r>
      <w:r>
        <w:rPr>
          <w:spacing w:val="-17"/>
        </w:rPr>
        <w:t> </w:t>
      </w:r>
      <w:r>
        <w:rPr/>
        <w:t>secreción</w:t>
      </w:r>
      <w:r>
        <w:rPr>
          <w:spacing w:val="-19"/>
        </w:rPr>
        <w:t> </w:t>
      </w:r>
      <w:r>
        <w:rPr/>
        <w:t>de</w:t>
      </w:r>
      <w:r>
        <w:rPr>
          <w:spacing w:val="-17"/>
        </w:rPr>
        <w:t> </w:t>
      </w:r>
      <w:r>
        <w:rPr/>
        <w:t>FSH</w:t>
      </w:r>
      <w:r>
        <w:rPr>
          <w:spacing w:val="-18"/>
        </w:rPr>
        <w:t> </w:t>
      </w:r>
      <w:r>
        <w:rPr/>
        <w:t>normal o</w:t>
      </w:r>
      <w:r>
        <w:rPr>
          <w:spacing w:val="-11"/>
        </w:rPr>
        <w:t> </w:t>
      </w:r>
      <w:r>
        <w:rPr/>
        <w:t>disminuida.</w:t>
      </w:r>
      <w:r>
        <w:rPr>
          <w:spacing w:val="-13"/>
        </w:rPr>
        <w:t> </w:t>
      </w:r>
      <w:r>
        <w:rPr/>
        <w:t>En</w:t>
      </w:r>
      <w:r>
        <w:rPr>
          <w:spacing w:val="-11"/>
        </w:rPr>
        <w:t> </w:t>
      </w:r>
      <w:r>
        <w:rPr/>
        <w:t>pacientes</w:t>
      </w:r>
      <w:r>
        <w:rPr>
          <w:spacing w:val="-12"/>
        </w:rPr>
        <w:t> </w:t>
      </w:r>
      <w:r>
        <w:rPr/>
        <w:t>se</w:t>
      </w:r>
      <w:r>
        <w:rPr>
          <w:spacing w:val="-13"/>
        </w:rPr>
        <w:t> </w:t>
      </w:r>
      <w:r>
        <w:rPr/>
        <w:t>ha</w:t>
      </w:r>
      <w:r>
        <w:rPr>
          <w:spacing w:val="-11"/>
        </w:rPr>
        <w:t> </w:t>
      </w:r>
      <w:r>
        <w:rPr/>
        <w:t>observado</w:t>
      </w:r>
      <w:r>
        <w:rPr>
          <w:spacing w:val="-13"/>
        </w:rPr>
        <w:t> </w:t>
      </w:r>
      <w:r>
        <w:rPr/>
        <w:t>un</w:t>
      </w:r>
      <w:r>
        <w:rPr>
          <w:spacing w:val="-11"/>
        </w:rPr>
        <w:t> </w:t>
      </w:r>
      <w:r>
        <w:rPr/>
        <w:t>aumento</w:t>
      </w:r>
      <w:r>
        <w:rPr>
          <w:spacing w:val="-13"/>
        </w:rPr>
        <w:t> </w:t>
      </w:r>
      <w:r>
        <w:rPr/>
        <w:t>de</w:t>
      </w:r>
      <w:r>
        <w:rPr>
          <w:spacing w:val="-11"/>
        </w:rPr>
        <w:t> </w:t>
      </w:r>
      <w:r>
        <w:rPr/>
        <w:t>la</w:t>
      </w:r>
      <w:r>
        <w:rPr>
          <w:spacing w:val="-11"/>
        </w:rPr>
        <w:t> </w:t>
      </w:r>
      <w:r>
        <w:rPr/>
        <w:t>amplitud</w:t>
      </w:r>
      <w:r>
        <w:rPr>
          <w:spacing w:val="-11"/>
        </w:rPr>
        <w:t> </w:t>
      </w:r>
      <w:r>
        <w:rPr/>
        <w:t>y</w:t>
      </w:r>
      <w:r>
        <w:rPr>
          <w:spacing w:val="-14"/>
        </w:rPr>
        <w:t> </w:t>
      </w:r>
      <w:r>
        <w:rPr/>
        <w:t>frecuencia de los pulsos de LH, lo que reflejaría un aumento de los pulsos del factor liberador de gonadotrofinas (GnRH). No se han identificado alteraciones en neurotransmisores específicos que expliquen este trastorno y las evidencias actuales sugieren que se trataría probablemente de una disfunción hipotalámica secundaria a los niveles elevados de andrógenos e</w:t>
      </w:r>
      <w:r>
        <w:rPr>
          <w:spacing w:val="-22"/>
        </w:rPr>
        <w:t> </w:t>
      </w:r>
      <w:r>
        <w:rPr/>
        <w:t>insulina.</w:t>
      </w:r>
    </w:p>
    <w:p>
      <w:pPr>
        <w:pStyle w:val="BodyText"/>
      </w:pPr>
    </w:p>
    <w:p>
      <w:pPr>
        <w:pStyle w:val="BodyText"/>
      </w:pPr>
    </w:p>
    <w:p>
      <w:pPr>
        <w:pStyle w:val="BodyText"/>
        <w:spacing w:before="4"/>
        <w:rPr>
          <w:sz w:val="22"/>
        </w:rPr>
      </w:pPr>
    </w:p>
    <w:p>
      <w:pPr>
        <w:spacing w:before="0"/>
        <w:ind w:left="124" w:right="0" w:firstLine="0"/>
        <w:jc w:val="both"/>
        <w:rPr>
          <w:i/>
          <w:sz w:val="24"/>
        </w:rPr>
      </w:pPr>
      <w:r>
        <w:rPr>
          <w:i/>
          <w:sz w:val="24"/>
        </w:rPr>
        <w:t>Disfunción metabólica.</w:t>
      </w:r>
    </w:p>
    <w:p>
      <w:pPr>
        <w:pStyle w:val="BodyText"/>
        <w:rPr>
          <w:i/>
          <w:sz w:val="30"/>
        </w:rPr>
      </w:pPr>
    </w:p>
    <w:p>
      <w:pPr>
        <w:pStyle w:val="BodyText"/>
        <w:spacing w:line="364" w:lineRule="auto"/>
        <w:ind w:left="117" w:right="108" w:hanging="10"/>
        <w:jc w:val="both"/>
      </w:pPr>
      <w:r>
        <w:rPr/>
        <w:t>Está</w:t>
      </w:r>
      <w:r>
        <w:rPr>
          <w:spacing w:val="-16"/>
        </w:rPr>
        <w:t> </w:t>
      </w:r>
      <w:r>
        <w:rPr/>
        <w:t>representada</w:t>
      </w:r>
      <w:r>
        <w:rPr>
          <w:spacing w:val="-16"/>
        </w:rPr>
        <w:t> </w:t>
      </w:r>
      <w:r>
        <w:rPr/>
        <w:t>principalmente</w:t>
      </w:r>
      <w:r>
        <w:rPr>
          <w:spacing w:val="-16"/>
        </w:rPr>
        <w:t> </w:t>
      </w:r>
      <w:r>
        <w:rPr/>
        <w:t>por</w:t>
      </w:r>
      <w:r>
        <w:rPr>
          <w:spacing w:val="-18"/>
        </w:rPr>
        <w:t> </w:t>
      </w:r>
      <w:r>
        <w:rPr/>
        <w:t>una</w:t>
      </w:r>
      <w:r>
        <w:rPr>
          <w:spacing w:val="-16"/>
        </w:rPr>
        <w:t> </w:t>
      </w:r>
      <w:r>
        <w:rPr/>
        <w:t>resistencia</w:t>
      </w:r>
      <w:r>
        <w:rPr>
          <w:spacing w:val="-17"/>
        </w:rPr>
        <w:t> </w:t>
      </w:r>
      <w:r>
        <w:rPr/>
        <w:t>a</w:t>
      </w:r>
      <w:r>
        <w:rPr>
          <w:spacing w:val="-16"/>
        </w:rPr>
        <w:t> </w:t>
      </w:r>
      <w:r>
        <w:rPr/>
        <w:t>la</w:t>
      </w:r>
      <w:r>
        <w:rPr>
          <w:spacing w:val="-17"/>
        </w:rPr>
        <w:t> </w:t>
      </w:r>
      <w:r>
        <w:rPr/>
        <w:t>insulina</w:t>
      </w:r>
      <w:r>
        <w:rPr>
          <w:spacing w:val="-14"/>
        </w:rPr>
        <w:t> </w:t>
      </w:r>
      <w:r>
        <w:rPr/>
        <w:t>(RI)</w:t>
      </w:r>
      <w:r>
        <w:rPr>
          <w:spacing w:val="-16"/>
        </w:rPr>
        <w:t> </w:t>
      </w:r>
      <w:r>
        <w:rPr/>
        <w:t>periférica</w:t>
      </w:r>
      <w:r>
        <w:rPr>
          <w:spacing w:val="-16"/>
        </w:rPr>
        <w:t> </w:t>
      </w:r>
      <w:r>
        <w:rPr/>
        <w:t>que se</w:t>
      </w:r>
      <w:r>
        <w:rPr>
          <w:spacing w:val="-4"/>
        </w:rPr>
        <w:t> </w:t>
      </w:r>
      <w:r>
        <w:rPr/>
        <w:t>expresa</w:t>
      </w:r>
      <w:r>
        <w:rPr>
          <w:spacing w:val="-3"/>
        </w:rPr>
        <w:t> </w:t>
      </w:r>
      <w:r>
        <w:rPr/>
        <w:t>por</w:t>
      </w:r>
      <w:r>
        <w:rPr>
          <w:spacing w:val="-5"/>
        </w:rPr>
        <w:t> </w:t>
      </w:r>
      <w:r>
        <w:rPr/>
        <w:t>una</w:t>
      </w:r>
      <w:r>
        <w:rPr>
          <w:spacing w:val="-4"/>
        </w:rPr>
        <w:t> </w:t>
      </w:r>
      <w:r>
        <w:rPr/>
        <w:t>hipersecreción</w:t>
      </w:r>
      <w:r>
        <w:rPr>
          <w:spacing w:val="-4"/>
        </w:rPr>
        <w:t> </w:t>
      </w:r>
      <w:r>
        <w:rPr/>
        <w:t>de</w:t>
      </w:r>
      <w:r>
        <w:rPr>
          <w:spacing w:val="-4"/>
        </w:rPr>
        <w:t> </w:t>
      </w:r>
      <w:r>
        <w:rPr/>
        <w:t>insulina.</w:t>
      </w:r>
      <w:r>
        <w:rPr>
          <w:spacing w:val="-4"/>
        </w:rPr>
        <w:t> </w:t>
      </w:r>
      <w:r>
        <w:rPr/>
        <w:t>Esta</w:t>
      </w:r>
      <w:r>
        <w:rPr>
          <w:spacing w:val="-3"/>
        </w:rPr>
        <w:t> </w:t>
      </w:r>
      <w:r>
        <w:rPr/>
        <w:t>a</w:t>
      </w:r>
      <w:r>
        <w:rPr>
          <w:spacing w:val="-4"/>
        </w:rPr>
        <w:t> </w:t>
      </w:r>
      <w:r>
        <w:rPr/>
        <w:t>su</w:t>
      </w:r>
      <w:r>
        <w:rPr>
          <w:spacing w:val="-4"/>
        </w:rPr>
        <w:t> </w:t>
      </w:r>
      <w:r>
        <w:rPr/>
        <w:t>vez,</w:t>
      </w:r>
      <w:r>
        <w:rPr>
          <w:spacing w:val="-4"/>
        </w:rPr>
        <w:t> </w:t>
      </w:r>
      <w:r>
        <w:rPr/>
        <w:t>promueve</w:t>
      </w:r>
      <w:r>
        <w:rPr>
          <w:spacing w:val="-4"/>
        </w:rPr>
        <w:t> </w:t>
      </w:r>
      <w:r>
        <w:rPr/>
        <w:t>una</w:t>
      </w:r>
      <w:r>
        <w:rPr>
          <w:spacing w:val="-4"/>
        </w:rPr>
        <w:t> </w:t>
      </w:r>
      <w:r>
        <w:rPr/>
        <w:t>mayor secreción</w:t>
      </w:r>
      <w:r>
        <w:rPr>
          <w:spacing w:val="-6"/>
        </w:rPr>
        <w:t> </w:t>
      </w:r>
      <w:r>
        <w:rPr/>
        <w:t>de</w:t>
      </w:r>
      <w:r>
        <w:rPr>
          <w:spacing w:val="-6"/>
        </w:rPr>
        <w:t> </w:t>
      </w:r>
      <w:r>
        <w:rPr/>
        <w:t>andrógenos</w:t>
      </w:r>
      <w:r>
        <w:rPr>
          <w:spacing w:val="-4"/>
        </w:rPr>
        <w:t> </w:t>
      </w:r>
      <w:r>
        <w:rPr/>
        <w:t>por</w:t>
      </w:r>
      <w:r>
        <w:rPr>
          <w:spacing w:val="-5"/>
        </w:rPr>
        <w:t> </w:t>
      </w:r>
      <w:r>
        <w:rPr/>
        <w:t>el</w:t>
      </w:r>
      <w:r>
        <w:rPr>
          <w:spacing w:val="-7"/>
        </w:rPr>
        <w:t> </w:t>
      </w:r>
      <w:r>
        <w:rPr/>
        <w:t>ovario</w:t>
      </w:r>
      <w:r>
        <w:rPr>
          <w:spacing w:val="-4"/>
        </w:rPr>
        <w:t> </w:t>
      </w:r>
      <w:r>
        <w:rPr/>
        <w:t>y</w:t>
      </w:r>
      <w:r>
        <w:rPr>
          <w:spacing w:val="-7"/>
        </w:rPr>
        <w:t> </w:t>
      </w:r>
      <w:r>
        <w:rPr/>
        <w:t>las</w:t>
      </w:r>
      <w:r>
        <w:rPr>
          <w:spacing w:val="-4"/>
        </w:rPr>
        <w:t> </w:t>
      </w:r>
      <w:r>
        <w:rPr/>
        <w:t>suprarrenales;</w:t>
      </w:r>
      <w:r>
        <w:rPr>
          <w:spacing w:val="-6"/>
        </w:rPr>
        <w:t> </w:t>
      </w:r>
      <w:r>
        <w:rPr/>
        <w:t>estimula</w:t>
      </w:r>
      <w:r>
        <w:rPr>
          <w:spacing w:val="-6"/>
        </w:rPr>
        <w:t> </w:t>
      </w:r>
      <w:r>
        <w:rPr/>
        <w:t>la</w:t>
      </w:r>
      <w:r>
        <w:rPr>
          <w:spacing w:val="-4"/>
        </w:rPr>
        <w:t> </w:t>
      </w:r>
      <w:r>
        <w:rPr/>
        <w:t>secreción</w:t>
      </w:r>
      <w:r>
        <w:rPr>
          <w:spacing w:val="-4"/>
        </w:rPr>
        <w:t> </w:t>
      </w:r>
      <w:r>
        <w:rPr/>
        <w:t>de LH y además disminuye la síntesis hepática de la SHBG con lo cual aumenta la fracción libre y actividad biológica de los andrógenos. De acuerdo a estudios de nuestro grupo, la hipersecreción de insulina se manifiesta desde la pubertad temprana y precede al hiperandrogenismo bioquímico. Además, cabe hacer notar que la disfunción metabólica se asocia fundamentalmente a los fenotipos clásicos que cursan con</w:t>
      </w:r>
      <w:r>
        <w:rPr>
          <w:spacing w:val="-10"/>
        </w:rPr>
        <w:t> </w:t>
      </w:r>
      <w:r>
        <w:rPr/>
        <w:t>hiperandrogenemia.</w:t>
      </w:r>
    </w:p>
    <w:p>
      <w:pPr>
        <w:pStyle w:val="BodyText"/>
        <w:spacing w:line="364" w:lineRule="auto" w:before="199"/>
        <w:ind w:left="117" w:right="106" w:hanging="10"/>
        <w:jc w:val="both"/>
      </w:pPr>
      <w:r>
        <w:rPr/>
        <w:t>El mecanismo por el cual se genera una resistencia insulínica en el síndrome de ovario poliquístico no está claro. En estas pacientes se ha establecido, que no habría</w:t>
      </w:r>
      <w:r>
        <w:rPr>
          <w:spacing w:val="-8"/>
        </w:rPr>
        <w:t> </w:t>
      </w:r>
      <w:r>
        <w:rPr/>
        <w:t>una</w:t>
      </w:r>
      <w:r>
        <w:rPr>
          <w:spacing w:val="-11"/>
        </w:rPr>
        <w:t> </w:t>
      </w:r>
      <w:r>
        <w:rPr/>
        <w:t>alteración</w:t>
      </w:r>
      <w:r>
        <w:rPr>
          <w:spacing w:val="-11"/>
        </w:rPr>
        <w:t> </w:t>
      </w:r>
      <w:r>
        <w:rPr/>
        <w:t>del</w:t>
      </w:r>
      <w:r>
        <w:rPr>
          <w:spacing w:val="-10"/>
        </w:rPr>
        <w:t> </w:t>
      </w:r>
      <w:r>
        <w:rPr/>
        <w:t>receptor</w:t>
      </w:r>
      <w:r>
        <w:rPr>
          <w:spacing w:val="-10"/>
        </w:rPr>
        <w:t> </w:t>
      </w:r>
      <w:r>
        <w:rPr/>
        <w:t>de</w:t>
      </w:r>
      <w:r>
        <w:rPr>
          <w:spacing w:val="-8"/>
        </w:rPr>
        <w:t> </w:t>
      </w:r>
      <w:r>
        <w:rPr/>
        <w:t>insulina</w:t>
      </w:r>
      <w:r>
        <w:rPr>
          <w:spacing w:val="-13"/>
        </w:rPr>
        <w:t> </w:t>
      </w:r>
      <w:r>
        <w:rPr/>
        <w:t>ni</w:t>
      </w:r>
      <w:r>
        <w:rPr>
          <w:spacing w:val="-10"/>
        </w:rPr>
        <w:t> </w:t>
      </w:r>
      <w:r>
        <w:rPr/>
        <w:t>del</w:t>
      </w:r>
      <w:r>
        <w:rPr>
          <w:spacing w:val="-12"/>
        </w:rPr>
        <w:t> </w:t>
      </w:r>
      <w:r>
        <w:rPr/>
        <w:t>número</w:t>
      </w:r>
      <w:r>
        <w:rPr>
          <w:spacing w:val="-11"/>
        </w:rPr>
        <w:t> </w:t>
      </w:r>
      <w:r>
        <w:rPr/>
        <w:t>de</w:t>
      </w:r>
      <w:r>
        <w:rPr>
          <w:spacing w:val="-2"/>
        </w:rPr>
        <w:t> </w:t>
      </w:r>
      <w:r>
        <w:rPr/>
        <w:t>ellos,</w:t>
      </w:r>
      <w:r>
        <w:rPr>
          <w:spacing w:val="-11"/>
        </w:rPr>
        <w:t> </w:t>
      </w:r>
      <w:r>
        <w:rPr/>
        <w:t>sino</w:t>
      </w:r>
      <w:r>
        <w:rPr>
          <w:spacing w:val="-8"/>
        </w:rPr>
        <w:t> </w:t>
      </w:r>
      <w:r>
        <w:rPr/>
        <w:t>que</w:t>
      </w:r>
      <w:r>
        <w:rPr>
          <w:spacing w:val="-11"/>
        </w:rPr>
        <w:t> </w:t>
      </w:r>
      <w:r>
        <w:rPr/>
        <w:t>de</w:t>
      </w:r>
      <w:r>
        <w:rPr>
          <w:spacing w:val="-11"/>
        </w:rPr>
        <w:t> </w:t>
      </w:r>
      <w:r>
        <w:rPr/>
        <w:t>los eventos post-receptor en cualquier punto de la señalización insúlinica. En el síndrome de ovario poliquístico (SOP) semejante a lo descrito en la diabetes 2, la RI precede a la disminución de la tolerancia a la glucosa. No todas las pacientes con SOP y RI desarrollan una intolerancia a la glucosa y una diabetes tipo 2, por lo que</w:t>
      </w:r>
      <w:r>
        <w:rPr>
          <w:spacing w:val="-5"/>
        </w:rPr>
        <w:t> </w:t>
      </w:r>
      <w:r>
        <w:rPr/>
        <w:t>se</w:t>
      </w:r>
      <w:r>
        <w:rPr>
          <w:spacing w:val="-5"/>
        </w:rPr>
        <w:t> </w:t>
      </w:r>
      <w:r>
        <w:rPr/>
        <w:t>ha</w:t>
      </w:r>
      <w:r>
        <w:rPr>
          <w:spacing w:val="-5"/>
        </w:rPr>
        <w:t> </w:t>
      </w:r>
      <w:r>
        <w:rPr/>
        <w:t>sugerido</w:t>
      </w:r>
      <w:r>
        <w:rPr>
          <w:spacing w:val="-7"/>
        </w:rPr>
        <w:t> </w:t>
      </w:r>
      <w:r>
        <w:rPr/>
        <w:t>que,</w:t>
      </w:r>
      <w:r>
        <w:rPr>
          <w:spacing w:val="-5"/>
        </w:rPr>
        <w:t> </w:t>
      </w:r>
      <w:r>
        <w:rPr/>
        <w:t>en</w:t>
      </w:r>
      <w:r>
        <w:rPr>
          <w:spacing w:val="-5"/>
        </w:rPr>
        <w:t> </w:t>
      </w:r>
      <w:r>
        <w:rPr/>
        <w:t>estos</w:t>
      </w:r>
      <w:r>
        <w:rPr>
          <w:spacing w:val="-5"/>
        </w:rPr>
        <w:t> </w:t>
      </w:r>
      <w:r>
        <w:rPr/>
        <w:t>casos,</w:t>
      </w:r>
      <w:r>
        <w:rPr>
          <w:spacing w:val="-7"/>
        </w:rPr>
        <w:t> </w:t>
      </w:r>
      <w:r>
        <w:rPr/>
        <w:t>debe</w:t>
      </w:r>
      <w:r>
        <w:rPr>
          <w:spacing w:val="-5"/>
        </w:rPr>
        <w:t> </w:t>
      </w:r>
      <w:r>
        <w:rPr/>
        <w:t>coexistir</w:t>
      </w:r>
      <w:r>
        <w:rPr>
          <w:spacing w:val="-7"/>
        </w:rPr>
        <w:t> </w:t>
      </w:r>
      <w:r>
        <w:rPr/>
        <w:t>una</w:t>
      </w:r>
      <w:r>
        <w:rPr>
          <w:spacing w:val="-7"/>
        </w:rPr>
        <w:t> </w:t>
      </w:r>
      <w:r>
        <w:rPr/>
        <w:t>disfunciónn</w:t>
      </w:r>
      <w:r>
        <w:rPr>
          <w:spacing w:val="-7"/>
        </w:rPr>
        <w:t> </w:t>
      </w:r>
      <w:r>
        <w:rPr/>
        <w:t>de</w:t>
      </w:r>
      <w:r>
        <w:rPr>
          <w:spacing w:val="-5"/>
        </w:rPr>
        <w:t> </w:t>
      </w:r>
      <w:r>
        <w:rPr/>
        <w:t>la</w:t>
      </w:r>
      <w:r>
        <w:rPr>
          <w:spacing w:val="-5"/>
        </w:rPr>
        <w:t> </w:t>
      </w:r>
      <w:r>
        <w:rPr/>
        <w:t>célula β-pancreática la cual podría ser condicionada por el mismo defecto que genera la resistencia insulínica o por otros factores. En la minoría de los casos (20-30 %), el SOP puede manifestarse sin resistencia insulínica, lo que se debería a que por</w:t>
      </w:r>
      <w:r>
        <w:rPr>
          <w:spacing w:val="14"/>
        </w:rPr>
        <w:t> </w:t>
      </w:r>
      <w:r>
        <w:rPr/>
        <w:t>ser</w:t>
      </w:r>
    </w:p>
    <w:p>
      <w:pPr>
        <w:spacing w:after="0" w:line="364" w:lineRule="auto"/>
        <w:jc w:val="both"/>
        <w:sectPr>
          <w:pgSz w:w="12240" w:h="15840"/>
          <w:pgMar w:top="1220" w:bottom="280" w:left="1580" w:right="1580"/>
        </w:sectPr>
      </w:pPr>
    </w:p>
    <w:p>
      <w:pPr>
        <w:pStyle w:val="BodyText"/>
        <w:spacing w:line="362" w:lineRule="auto" w:before="43"/>
        <w:ind w:left="117" w:right="114"/>
        <w:jc w:val="both"/>
      </w:pPr>
      <w:r>
        <w:rPr/>
        <w:t>una</w:t>
      </w:r>
      <w:r>
        <w:rPr>
          <w:spacing w:val="-15"/>
        </w:rPr>
        <w:t> </w:t>
      </w:r>
      <w:r>
        <w:rPr/>
        <w:t>enfermedad</w:t>
      </w:r>
      <w:r>
        <w:rPr>
          <w:spacing w:val="-15"/>
        </w:rPr>
        <w:t> </w:t>
      </w:r>
      <w:r>
        <w:rPr/>
        <w:t>multigénica</w:t>
      </w:r>
      <w:r>
        <w:rPr>
          <w:spacing w:val="-13"/>
        </w:rPr>
        <w:t> </w:t>
      </w:r>
      <w:r>
        <w:rPr/>
        <w:t>compleja</w:t>
      </w:r>
      <w:r>
        <w:rPr>
          <w:spacing w:val="-15"/>
        </w:rPr>
        <w:t> </w:t>
      </w:r>
      <w:r>
        <w:rPr/>
        <w:t>no</w:t>
      </w:r>
      <w:r>
        <w:rPr>
          <w:spacing w:val="-13"/>
        </w:rPr>
        <w:t> </w:t>
      </w:r>
      <w:r>
        <w:rPr/>
        <w:t>siempre</w:t>
      </w:r>
      <w:r>
        <w:rPr>
          <w:spacing w:val="-13"/>
        </w:rPr>
        <w:t> </w:t>
      </w:r>
      <w:r>
        <w:rPr/>
        <w:t>se</w:t>
      </w:r>
      <w:r>
        <w:rPr>
          <w:spacing w:val="-13"/>
        </w:rPr>
        <w:t> </w:t>
      </w:r>
      <w:r>
        <w:rPr/>
        <w:t>heredan</w:t>
      </w:r>
      <w:r>
        <w:rPr>
          <w:spacing w:val="-13"/>
        </w:rPr>
        <w:t> </w:t>
      </w:r>
      <w:r>
        <w:rPr/>
        <w:t>conjuntamente</w:t>
      </w:r>
      <w:r>
        <w:rPr>
          <w:spacing w:val="-12"/>
        </w:rPr>
        <w:t> </w:t>
      </w:r>
      <w:r>
        <w:rPr/>
        <w:t>genes asociados a RI con genes asociados a la disfunción</w:t>
      </w:r>
      <w:r>
        <w:rPr>
          <w:spacing w:val="-20"/>
        </w:rPr>
        <w:t> </w:t>
      </w:r>
      <w:r>
        <w:rPr/>
        <w:t>reproductiva.</w:t>
      </w:r>
    </w:p>
    <w:p>
      <w:pPr>
        <w:spacing w:before="197"/>
        <w:ind w:left="107" w:right="0" w:firstLine="0"/>
        <w:jc w:val="both"/>
        <w:rPr>
          <w:i/>
          <w:sz w:val="24"/>
        </w:rPr>
      </w:pPr>
      <w:r>
        <w:rPr>
          <w:i/>
          <w:sz w:val="24"/>
        </w:rPr>
        <w:t>Disfunción de la esteroidogénesis ovárica/suprarrenal.</w:t>
      </w:r>
    </w:p>
    <w:p>
      <w:pPr>
        <w:pStyle w:val="BodyText"/>
        <w:rPr>
          <w:i/>
          <w:sz w:val="30"/>
        </w:rPr>
      </w:pPr>
    </w:p>
    <w:p>
      <w:pPr>
        <w:pStyle w:val="BodyText"/>
        <w:spacing w:line="364" w:lineRule="auto"/>
        <w:ind w:left="117" w:right="105" w:hanging="10"/>
        <w:jc w:val="both"/>
      </w:pPr>
      <w:r>
        <w:rPr/>
        <w:t>Es un pilar fundamental en este síndrome y se caracteriza por una alteración de la biosíntesis</w:t>
      </w:r>
      <w:r>
        <w:rPr>
          <w:spacing w:val="-10"/>
        </w:rPr>
        <w:t> </w:t>
      </w:r>
      <w:r>
        <w:rPr/>
        <w:t>de</w:t>
      </w:r>
      <w:r>
        <w:rPr>
          <w:spacing w:val="-11"/>
        </w:rPr>
        <w:t> </w:t>
      </w:r>
      <w:r>
        <w:rPr/>
        <w:t>los</w:t>
      </w:r>
      <w:r>
        <w:rPr>
          <w:spacing w:val="-9"/>
        </w:rPr>
        <w:t> </w:t>
      </w:r>
      <w:r>
        <w:rPr/>
        <w:t>andrógenos,</w:t>
      </w:r>
      <w:r>
        <w:rPr>
          <w:spacing w:val="-9"/>
        </w:rPr>
        <w:t> </w:t>
      </w:r>
      <w:r>
        <w:rPr/>
        <w:t>la</w:t>
      </w:r>
      <w:r>
        <w:rPr>
          <w:spacing w:val="-11"/>
        </w:rPr>
        <w:t> </w:t>
      </w:r>
      <w:r>
        <w:rPr/>
        <w:t>cual</w:t>
      </w:r>
      <w:r>
        <w:rPr>
          <w:spacing w:val="-12"/>
        </w:rPr>
        <w:t> </w:t>
      </w:r>
      <w:r>
        <w:rPr/>
        <w:t>tanto</w:t>
      </w:r>
      <w:r>
        <w:rPr>
          <w:spacing w:val="-10"/>
        </w:rPr>
        <w:t> </w:t>
      </w:r>
      <w:r>
        <w:rPr/>
        <w:t>en</w:t>
      </w:r>
      <w:r>
        <w:rPr>
          <w:spacing w:val="-8"/>
        </w:rPr>
        <w:t> </w:t>
      </w:r>
      <w:r>
        <w:rPr/>
        <w:t>el</w:t>
      </w:r>
      <w:r>
        <w:rPr>
          <w:spacing w:val="-10"/>
        </w:rPr>
        <w:t> </w:t>
      </w:r>
      <w:r>
        <w:rPr/>
        <w:t>ovario</w:t>
      </w:r>
      <w:r>
        <w:rPr>
          <w:spacing w:val="-9"/>
        </w:rPr>
        <w:t> </w:t>
      </w:r>
      <w:r>
        <w:rPr/>
        <w:t>como</w:t>
      </w:r>
      <w:r>
        <w:rPr>
          <w:spacing w:val="-11"/>
        </w:rPr>
        <w:t> </w:t>
      </w:r>
      <w:r>
        <w:rPr/>
        <w:t>en</w:t>
      </w:r>
      <w:r>
        <w:rPr>
          <w:spacing w:val="-8"/>
        </w:rPr>
        <w:t> </w:t>
      </w:r>
      <w:r>
        <w:rPr/>
        <w:t>la</w:t>
      </w:r>
      <w:r>
        <w:rPr>
          <w:spacing w:val="-11"/>
        </w:rPr>
        <w:t> </w:t>
      </w:r>
      <w:r>
        <w:rPr/>
        <w:t>suprarrenal</w:t>
      </w:r>
      <w:r>
        <w:rPr>
          <w:spacing w:val="-12"/>
        </w:rPr>
        <w:t> </w:t>
      </w:r>
      <w:r>
        <w:rPr/>
        <w:t>está determinada por la actividad de una enzima denominada citocromo P450c17. En pacientes con síndrome de ovario poliquístico la actividad de esta enzima está aumentada, lo que lleva a una mayor producción de andrógenos ováricos y adrenales. El aumento de los andrógenos intraováricos, alteran el desarrollo de los folículos y la ovulación. El hiperandrogenismo adrenal funcional está presente en alrededor</w:t>
      </w:r>
      <w:r>
        <w:rPr>
          <w:spacing w:val="-7"/>
        </w:rPr>
        <w:t> </w:t>
      </w:r>
      <w:r>
        <w:rPr/>
        <w:t>del</w:t>
      </w:r>
      <w:r>
        <w:rPr>
          <w:spacing w:val="-10"/>
        </w:rPr>
        <w:t> </w:t>
      </w:r>
      <w:r>
        <w:rPr/>
        <w:t>50%</w:t>
      </w:r>
      <w:r>
        <w:rPr>
          <w:spacing w:val="-9"/>
        </w:rPr>
        <w:t> </w:t>
      </w:r>
      <w:r>
        <w:rPr/>
        <w:t>de</w:t>
      </w:r>
      <w:r>
        <w:rPr>
          <w:spacing w:val="-6"/>
        </w:rPr>
        <w:t> </w:t>
      </w:r>
      <w:r>
        <w:rPr/>
        <w:t>las</w:t>
      </w:r>
      <w:r>
        <w:rPr>
          <w:spacing w:val="-7"/>
        </w:rPr>
        <w:t> </w:t>
      </w:r>
      <w:r>
        <w:rPr/>
        <w:t>mujeres</w:t>
      </w:r>
      <w:r>
        <w:rPr>
          <w:spacing w:val="-7"/>
        </w:rPr>
        <w:t> </w:t>
      </w:r>
      <w:r>
        <w:rPr/>
        <w:t>con</w:t>
      </w:r>
      <w:r>
        <w:rPr>
          <w:spacing w:val="-6"/>
        </w:rPr>
        <w:t> </w:t>
      </w:r>
      <w:r>
        <w:rPr/>
        <w:t>síndrome</w:t>
      </w:r>
      <w:r>
        <w:rPr>
          <w:spacing w:val="-8"/>
        </w:rPr>
        <w:t> </w:t>
      </w:r>
      <w:r>
        <w:rPr/>
        <w:t>de</w:t>
      </w:r>
      <w:r>
        <w:rPr>
          <w:spacing w:val="-8"/>
        </w:rPr>
        <w:t> </w:t>
      </w:r>
      <w:r>
        <w:rPr/>
        <w:t>ovario</w:t>
      </w:r>
      <w:r>
        <w:rPr>
          <w:spacing w:val="-6"/>
        </w:rPr>
        <w:t> </w:t>
      </w:r>
      <w:r>
        <w:rPr/>
        <w:t>poliquístico,</w:t>
      </w:r>
      <w:r>
        <w:rPr>
          <w:spacing w:val="-6"/>
        </w:rPr>
        <w:t> </w:t>
      </w:r>
      <w:r>
        <w:rPr/>
        <w:t>y</w:t>
      </w:r>
      <w:r>
        <w:rPr>
          <w:spacing w:val="-9"/>
        </w:rPr>
        <w:t> </w:t>
      </w:r>
      <w:r>
        <w:rPr/>
        <w:t>se</w:t>
      </w:r>
      <w:r>
        <w:rPr>
          <w:spacing w:val="-6"/>
        </w:rPr>
        <w:t> </w:t>
      </w:r>
      <w:r>
        <w:rPr/>
        <w:t>expresa por</w:t>
      </w:r>
      <w:r>
        <w:rPr>
          <w:spacing w:val="-5"/>
        </w:rPr>
        <w:t> </w:t>
      </w:r>
      <w:r>
        <w:rPr/>
        <w:t>una</w:t>
      </w:r>
      <w:r>
        <w:rPr>
          <w:spacing w:val="-6"/>
        </w:rPr>
        <w:t> </w:t>
      </w:r>
      <w:r>
        <w:rPr/>
        <w:t>elevación</w:t>
      </w:r>
      <w:r>
        <w:rPr>
          <w:spacing w:val="-6"/>
        </w:rPr>
        <w:t> </w:t>
      </w:r>
      <w:r>
        <w:rPr/>
        <w:t>moderada</w:t>
      </w:r>
      <w:r>
        <w:rPr>
          <w:spacing w:val="-6"/>
        </w:rPr>
        <w:t> </w:t>
      </w:r>
      <w:r>
        <w:rPr/>
        <w:t>de</w:t>
      </w:r>
      <w:r>
        <w:rPr>
          <w:spacing w:val="-6"/>
        </w:rPr>
        <w:t> </w:t>
      </w:r>
      <w:r>
        <w:rPr/>
        <w:t>DHEAS.</w:t>
      </w:r>
      <w:r>
        <w:rPr>
          <w:spacing w:val="-6"/>
        </w:rPr>
        <w:t> </w:t>
      </w:r>
      <w:r>
        <w:rPr/>
        <w:t>Se</w:t>
      </w:r>
      <w:r>
        <w:rPr>
          <w:spacing w:val="-8"/>
        </w:rPr>
        <w:t> </w:t>
      </w:r>
      <w:r>
        <w:rPr/>
        <w:t>ha</w:t>
      </w:r>
      <w:r>
        <w:rPr>
          <w:spacing w:val="-4"/>
        </w:rPr>
        <w:t> </w:t>
      </w:r>
      <w:r>
        <w:rPr/>
        <w:t>propuesto</w:t>
      </w:r>
      <w:r>
        <w:rPr>
          <w:spacing w:val="-5"/>
        </w:rPr>
        <w:t> </w:t>
      </w:r>
      <w:r>
        <w:rPr/>
        <w:t>que</w:t>
      </w:r>
      <w:r>
        <w:rPr>
          <w:spacing w:val="-4"/>
        </w:rPr>
        <w:t> </w:t>
      </w:r>
      <w:r>
        <w:rPr/>
        <w:t>la</w:t>
      </w:r>
      <w:r>
        <w:rPr>
          <w:spacing w:val="-6"/>
        </w:rPr>
        <w:t> </w:t>
      </w:r>
      <w:r>
        <w:rPr/>
        <w:t>disfunción</w:t>
      </w:r>
      <w:r>
        <w:rPr>
          <w:spacing w:val="-4"/>
        </w:rPr>
        <w:t> </w:t>
      </w:r>
      <w:r>
        <w:rPr/>
        <w:t>de</w:t>
      </w:r>
      <w:r>
        <w:rPr>
          <w:spacing w:val="-4"/>
        </w:rPr>
        <w:t> </w:t>
      </w:r>
      <w:r>
        <w:rPr/>
        <w:t>esta enzima (P450c17) sería exclusiva del síndrome de ovario poliquístico pudiendo ser un evento primario o secundario al exceso de LH y/o insulina; la cual potenciaría esta disfunción. Además, cabe destacar que el tejido adiposo juega un papel preponderante</w:t>
      </w:r>
      <w:r>
        <w:rPr>
          <w:spacing w:val="-21"/>
        </w:rPr>
        <w:t> </w:t>
      </w:r>
      <w:r>
        <w:rPr/>
        <w:t>en</w:t>
      </w:r>
      <w:r>
        <w:rPr>
          <w:spacing w:val="-19"/>
        </w:rPr>
        <w:t> </w:t>
      </w:r>
      <w:r>
        <w:rPr/>
        <w:t>la</w:t>
      </w:r>
      <w:r>
        <w:rPr>
          <w:spacing w:val="-21"/>
        </w:rPr>
        <w:t> </w:t>
      </w:r>
      <w:r>
        <w:rPr/>
        <w:t>fisiopatología</w:t>
      </w:r>
      <w:r>
        <w:rPr>
          <w:spacing w:val="-19"/>
        </w:rPr>
        <w:t> </w:t>
      </w:r>
      <w:r>
        <w:rPr/>
        <w:t>del</w:t>
      </w:r>
      <w:r>
        <w:rPr>
          <w:spacing w:val="-20"/>
        </w:rPr>
        <w:t> </w:t>
      </w:r>
      <w:r>
        <w:rPr/>
        <w:t>SOP</w:t>
      </w:r>
      <w:r>
        <w:rPr>
          <w:spacing w:val="-19"/>
        </w:rPr>
        <w:t> </w:t>
      </w:r>
      <w:r>
        <w:rPr/>
        <w:t>ya</w:t>
      </w:r>
      <w:r>
        <w:rPr>
          <w:spacing w:val="-21"/>
        </w:rPr>
        <w:t> </w:t>
      </w:r>
      <w:r>
        <w:rPr/>
        <w:t>que</w:t>
      </w:r>
      <w:r>
        <w:rPr>
          <w:spacing w:val="-19"/>
        </w:rPr>
        <w:t> </w:t>
      </w:r>
      <w:r>
        <w:rPr/>
        <w:t>tiene</w:t>
      </w:r>
      <w:r>
        <w:rPr>
          <w:spacing w:val="-21"/>
        </w:rPr>
        <w:t> </w:t>
      </w:r>
      <w:r>
        <w:rPr/>
        <w:t>una</w:t>
      </w:r>
      <w:r>
        <w:rPr>
          <w:spacing w:val="-21"/>
        </w:rPr>
        <w:t> </w:t>
      </w:r>
      <w:r>
        <w:rPr/>
        <w:t>función</w:t>
      </w:r>
      <w:r>
        <w:rPr>
          <w:spacing w:val="-21"/>
        </w:rPr>
        <w:t> </w:t>
      </w:r>
      <w:r>
        <w:rPr/>
        <w:t>esteroidogénica intrínseca y es un tejido blanco para los</w:t>
      </w:r>
      <w:r>
        <w:rPr>
          <w:spacing w:val="-16"/>
        </w:rPr>
        <w:t> </w:t>
      </w:r>
      <w:r>
        <w:rPr/>
        <w:t>andrógenos.</w:t>
      </w:r>
    </w:p>
    <w:p>
      <w:pPr>
        <w:pStyle w:val="BodyText"/>
      </w:pPr>
    </w:p>
    <w:p>
      <w:pPr>
        <w:pStyle w:val="BodyText"/>
      </w:pPr>
    </w:p>
    <w:p>
      <w:pPr>
        <w:pStyle w:val="BodyText"/>
        <w:spacing w:before="1"/>
        <w:rPr>
          <w:sz w:val="22"/>
        </w:rPr>
      </w:pPr>
    </w:p>
    <w:p>
      <w:pPr>
        <w:spacing w:before="0"/>
        <w:ind w:left="107" w:right="0" w:firstLine="0"/>
        <w:jc w:val="both"/>
        <w:rPr>
          <w:i/>
          <w:sz w:val="24"/>
        </w:rPr>
      </w:pPr>
      <w:r>
        <w:rPr>
          <w:i/>
          <w:sz w:val="24"/>
        </w:rPr>
        <w:t>Disfunción de la foliculogénesis.</w:t>
      </w:r>
    </w:p>
    <w:p>
      <w:pPr>
        <w:pStyle w:val="BodyText"/>
        <w:rPr>
          <w:i/>
          <w:sz w:val="30"/>
        </w:rPr>
      </w:pPr>
    </w:p>
    <w:p>
      <w:pPr>
        <w:pStyle w:val="BodyText"/>
        <w:spacing w:line="364" w:lineRule="auto"/>
        <w:ind w:left="117" w:right="110" w:hanging="10"/>
        <w:jc w:val="both"/>
      </w:pPr>
      <w:r>
        <w:rPr/>
        <w:t>Se ha podido establecer, mediante estudios ultrasonográficos y biopsias ováricas, que</w:t>
      </w:r>
      <w:r>
        <w:rPr>
          <w:spacing w:val="-18"/>
        </w:rPr>
        <w:t> </w:t>
      </w:r>
      <w:r>
        <w:rPr/>
        <w:t>las</w:t>
      </w:r>
      <w:r>
        <w:rPr>
          <w:spacing w:val="-18"/>
        </w:rPr>
        <w:t> </w:t>
      </w:r>
      <w:r>
        <w:rPr/>
        <w:t>pacientes</w:t>
      </w:r>
      <w:r>
        <w:rPr>
          <w:spacing w:val="-19"/>
        </w:rPr>
        <w:t> </w:t>
      </w:r>
      <w:r>
        <w:rPr/>
        <w:t>con</w:t>
      </w:r>
      <w:r>
        <w:rPr>
          <w:spacing w:val="-19"/>
        </w:rPr>
        <w:t> </w:t>
      </w:r>
      <w:r>
        <w:rPr/>
        <w:t>SOP</w:t>
      </w:r>
      <w:r>
        <w:rPr>
          <w:spacing w:val="-18"/>
        </w:rPr>
        <w:t> </w:t>
      </w:r>
      <w:r>
        <w:rPr/>
        <w:t>presentan</w:t>
      </w:r>
      <w:r>
        <w:rPr>
          <w:spacing w:val="-18"/>
        </w:rPr>
        <w:t> </w:t>
      </w:r>
      <w:r>
        <w:rPr/>
        <w:t>un</w:t>
      </w:r>
      <w:r>
        <w:rPr>
          <w:spacing w:val="-14"/>
        </w:rPr>
        <w:t> </w:t>
      </w:r>
      <w:r>
        <w:rPr>
          <w:i/>
        </w:rPr>
        <w:t>pool</w:t>
      </w:r>
      <w:r>
        <w:rPr>
          <w:i/>
          <w:spacing w:val="-20"/>
        </w:rPr>
        <w:t> </w:t>
      </w:r>
      <w:r>
        <w:rPr/>
        <w:t>de</w:t>
      </w:r>
      <w:r>
        <w:rPr>
          <w:spacing w:val="-18"/>
        </w:rPr>
        <w:t> </w:t>
      </w:r>
      <w:r>
        <w:rPr/>
        <w:t>folículos</w:t>
      </w:r>
      <w:r>
        <w:rPr>
          <w:spacing w:val="-18"/>
        </w:rPr>
        <w:t> </w:t>
      </w:r>
      <w:r>
        <w:rPr/>
        <w:t>en</w:t>
      </w:r>
      <w:r>
        <w:rPr>
          <w:spacing w:val="-18"/>
        </w:rPr>
        <w:t> </w:t>
      </w:r>
      <w:r>
        <w:rPr/>
        <w:t>crecimiento</w:t>
      </w:r>
      <w:r>
        <w:rPr>
          <w:spacing w:val="-18"/>
        </w:rPr>
        <w:t> </w:t>
      </w:r>
      <w:r>
        <w:rPr/>
        <w:t>2</w:t>
      </w:r>
      <w:r>
        <w:rPr>
          <w:spacing w:val="-19"/>
        </w:rPr>
        <w:t> </w:t>
      </w:r>
      <w:r>
        <w:rPr/>
        <w:t>a</w:t>
      </w:r>
      <w:r>
        <w:rPr>
          <w:spacing w:val="-18"/>
        </w:rPr>
        <w:t> </w:t>
      </w:r>
      <w:r>
        <w:rPr/>
        <w:t>3</w:t>
      </w:r>
      <w:r>
        <w:rPr>
          <w:spacing w:val="-18"/>
        </w:rPr>
        <w:t> </w:t>
      </w:r>
      <w:r>
        <w:rPr/>
        <w:t>veces superior</w:t>
      </w:r>
      <w:r>
        <w:rPr>
          <w:spacing w:val="-11"/>
        </w:rPr>
        <w:t> </w:t>
      </w:r>
      <w:r>
        <w:rPr/>
        <w:t>que</w:t>
      </w:r>
      <w:r>
        <w:rPr>
          <w:spacing w:val="-9"/>
        </w:rPr>
        <w:t> </w:t>
      </w:r>
      <w:r>
        <w:rPr/>
        <w:t>las</w:t>
      </w:r>
      <w:r>
        <w:rPr>
          <w:spacing w:val="-10"/>
        </w:rPr>
        <w:t> </w:t>
      </w:r>
      <w:r>
        <w:rPr/>
        <w:t>mujeres</w:t>
      </w:r>
      <w:r>
        <w:rPr>
          <w:spacing w:val="-10"/>
        </w:rPr>
        <w:t> </w:t>
      </w:r>
      <w:r>
        <w:rPr/>
        <w:t>sanas.</w:t>
      </w:r>
      <w:r>
        <w:rPr>
          <w:spacing w:val="-10"/>
        </w:rPr>
        <w:t> </w:t>
      </w:r>
      <w:r>
        <w:rPr/>
        <w:t>La</w:t>
      </w:r>
      <w:r>
        <w:rPr>
          <w:spacing w:val="-9"/>
        </w:rPr>
        <w:t> </w:t>
      </w:r>
      <w:r>
        <w:rPr/>
        <w:t>histología</w:t>
      </w:r>
      <w:r>
        <w:rPr>
          <w:spacing w:val="-9"/>
        </w:rPr>
        <w:t> </w:t>
      </w:r>
      <w:r>
        <w:rPr/>
        <w:t>del</w:t>
      </w:r>
      <w:r>
        <w:rPr>
          <w:spacing w:val="-11"/>
        </w:rPr>
        <w:t> </w:t>
      </w:r>
      <w:r>
        <w:rPr/>
        <w:t>síndrome</w:t>
      </w:r>
      <w:r>
        <w:rPr>
          <w:spacing w:val="-9"/>
        </w:rPr>
        <w:t> </w:t>
      </w:r>
      <w:r>
        <w:rPr/>
        <w:t>de</w:t>
      </w:r>
      <w:r>
        <w:rPr>
          <w:spacing w:val="-9"/>
        </w:rPr>
        <w:t> </w:t>
      </w:r>
      <w:r>
        <w:rPr/>
        <w:t>ovario</w:t>
      </w:r>
      <w:r>
        <w:rPr>
          <w:spacing w:val="-9"/>
        </w:rPr>
        <w:t> </w:t>
      </w:r>
      <w:r>
        <w:rPr/>
        <w:t>poliquístico</w:t>
      </w:r>
      <w:r>
        <w:rPr>
          <w:spacing w:val="-9"/>
        </w:rPr>
        <w:t> </w:t>
      </w:r>
      <w:r>
        <w:rPr/>
        <w:t>se caracteriza</w:t>
      </w:r>
      <w:r>
        <w:rPr>
          <w:spacing w:val="-9"/>
        </w:rPr>
        <w:t> </w:t>
      </w:r>
      <w:r>
        <w:rPr/>
        <w:t>por</w:t>
      </w:r>
      <w:r>
        <w:rPr>
          <w:spacing w:val="-13"/>
        </w:rPr>
        <w:t> </w:t>
      </w:r>
      <w:r>
        <w:rPr/>
        <w:t>un</w:t>
      </w:r>
      <w:r>
        <w:rPr>
          <w:spacing w:val="-12"/>
        </w:rPr>
        <w:t> </w:t>
      </w:r>
      <w:r>
        <w:rPr/>
        <w:t>aumento</w:t>
      </w:r>
      <w:r>
        <w:rPr>
          <w:spacing w:val="-12"/>
        </w:rPr>
        <w:t> </w:t>
      </w:r>
      <w:r>
        <w:rPr/>
        <w:t>de</w:t>
      </w:r>
      <w:r>
        <w:rPr>
          <w:spacing w:val="-14"/>
        </w:rPr>
        <w:t> </w:t>
      </w:r>
      <w:r>
        <w:rPr/>
        <w:t>folículos</w:t>
      </w:r>
      <w:r>
        <w:rPr>
          <w:spacing w:val="-12"/>
        </w:rPr>
        <w:t> </w:t>
      </w:r>
      <w:r>
        <w:rPr/>
        <w:t>preantrales</w:t>
      </w:r>
      <w:r>
        <w:rPr>
          <w:spacing w:val="-10"/>
        </w:rPr>
        <w:t> </w:t>
      </w:r>
      <w:r>
        <w:rPr/>
        <w:t>y</w:t>
      </w:r>
      <w:r>
        <w:rPr>
          <w:spacing w:val="-13"/>
        </w:rPr>
        <w:t> </w:t>
      </w:r>
      <w:r>
        <w:rPr/>
        <w:t>antrales</w:t>
      </w:r>
      <w:r>
        <w:rPr>
          <w:spacing w:val="-12"/>
        </w:rPr>
        <w:t> </w:t>
      </w:r>
      <w:r>
        <w:rPr/>
        <w:t>pequeños</w:t>
      </w:r>
      <w:r>
        <w:rPr>
          <w:spacing w:val="-10"/>
        </w:rPr>
        <w:t> </w:t>
      </w:r>
      <w:r>
        <w:rPr/>
        <w:t>y</w:t>
      </w:r>
      <w:r>
        <w:rPr>
          <w:spacing w:val="-15"/>
        </w:rPr>
        <w:t> </w:t>
      </w:r>
      <w:r>
        <w:rPr/>
        <w:t>un</w:t>
      </w:r>
      <w:r>
        <w:rPr>
          <w:spacing w:val="-12"/>
        </w:rPr>
        <w:t> </w:t>
      </w:r>
      <w:r>
        <w:rPr/>
        <w:t>mayor reclutamiento folicular. Esta situación se acompaña además de una detención del proceso</w:t>
      </w:r>
      <w:r>
        <w:rPr>
          <w:spacing w:val="-4"/>
        </w:rPr>
        <w:t> </w:t>
      </w:r>
      <w:r>
        <w:rPr/>
        <w:t>de</w:t>
      </w:r>
      <w:r>
        <w:rPr>
          <w:spacing w:val="-4"/>
        </w:rPr>
        <w:t> </w:t>
      </w:r>
      <w:r>
        <w:rPr/>
        <w:t>selección</w:t>
      </w:r>
      <w:r>
        <w:rPr>
          <w:spacing w:val="-6"/>
        </w:rPr>
        <w:t> </w:t>
      </w:r>
      <w:r>
        <w:rPr/>
        <w:t>folicular,</w:t>
      </w:r>
      <w:r>
        <w:rPr>
          <w:spacing w:val="-4"/>
        </w:rPr>
        <w:t> </w:t>
      </w:r>
      <w:r>
        <w:rPr/>
        <w:t>lo</w:t>
      </w:r>
      <w:r>
        <w:rPr>
          <w:spacing w:val="-4"/>
        </w:rPr>
        <w:t> </w:t>
      </w:r>
      <w:r>
        <w:rPr/>
        <w:t>que</w:t>
      </w:r>
      <w:r>
        <w:rPr>
          <w:spacing w:val="-4"/>
        </w:rPr>
        <w:t> </w:t>
      </w:r>
      <w:r>
        <w:rPr/>
        <w:t>explica</w:t>
      </w:r>
      <w:r>
        <w:rPr>
          <w:spacing w:val="-4"/>
        </w:rPr>
        <w:t> </w:t>
      </w:r>
      <w:r>
        <w:rPr/>
        <w:t>la</w:t>
      </w:r>
      <w:r>
        <w:rPr>
          <w:spacing w:val="-4"/>
        </w:rPr>
        <w:t> </w:t>
      </w:r>
      <w:r>
        <w:rPr/>
        <w:t>ausencia</w:t>
      </w:r>
      <w:r>
        <w:rPr>
          <w:spacing w:val="-4"/>
        </w:rPr>
        <w:t> </w:t>
      </w:r>
      <w:r>
        <w:rPr/>
        <w:t>de</w:t>
      </w:r>
      <w:r>
        <w:rPr>
          <w:spacing w:val="-6"/>
        </w:rPr>
        <w:t> </w:t>
      </w:r>
      <w:r>
        <w:rPr/>
        <w:t>ovulación.</w:t>
      </w:r>
      <w:r>
        <w:rPr>
          <w:spacing w:val="-4"/>
        </w:rPr>
        <w:t> </w:t>
      </w:r>
      <w:r>
        <w:rPr/>
        <w:t>Por</w:t>
      </w:r>
      <w:r>
        <w:rPr>
          <w:spacing w:val="-5"/>
        </w:rPr>
        <w:t> </w:t>
      </w:r>
      <w:r>
        <w:rPr/>
        <w:t>lo</w:t>
      </w:r>
      <w:r>
        <w:rPr>
          <w:spacing w:val="-4"/>
        </w:rPr>
        <w:t> </w:t>
      </w:r>
      <w:r>
        <w:rPr/>
        <w:t>tanto, en el síndrome de ovario poliquístico habría mayor reclutamiento y una menor selección, lo que mantiene un aumento del </w:t>
      </w:r>
      <w:r>
        <w:rPr>
          <w:i/>
        </w:rPr>
        <w:t>pool </w:t>
      </w:r>
      <w:r>
        <w:rPr/>
        <w:t>de folículos en crecimiento productores de</w:t>
      </w:r>
      <w:r>
        <w:rPr>
          <w:spacing w:val="-10"/>
        </w:rPr>
        <w:t> </w:t>
      </w:r>
      <w:r>
        <w:rPr/>
        <w:t>andrógenos.</w:t>
      </w:r>
    </w:p>
    <w:p>
      <w:pPr>
        <w:spacing w:after="0" w:line="364" w:lineRule="auto"/>
        <w:jc w:val="both"/>
        <w:sectPr>
          <w:pgSz w:w="12240" w:h="15840"/>
          <w:pgMar w:top="1220" w:bottom="280" w:left="1580" w:right="1580"/>
        </w:sectPr>
      </w:pPr>
    </w:p>
    <w:p>
      <w:pPr>
        <w:pStyle w:val="BodyText"/>
        <w:spacing w:line="364" w:lineRule="auto" w:before="43"/>
        <w:ind w:left="107" w:right="108"/>
        <w:jc w:val="both"/>
      </w:pPr>
      <w:r>
        <w:rPr/>
        <w:t>En los últimos años se ha propuesto que la Hormona Antimülleriana (AMH) podría ser utilizada como un marcador sérico de la reserva folicular. La AMH es una glicoproteína</w:t>
      </w:r>
      <w:r>
        <w:rPr>
          <w:spacing w:val="-7"/>
        </w:rPr>
        <w:t> </w:t>
      </w:r>
      <w:r>
        <w:rPr/>
        <w:t>dimérica</w:t>
      </w:r>
      <w:r>
        <w:rPr>
          <w:spacing w:val="-9"/>
        </w:rPr>
        <w:t> </w:t>
      </w:r>
      <w:r>
        <w:rPr/>
        <w:t>miembro</w:t>
      </w:r>
      <w:r>
        <w:rPr>
          <w:spacing w:val="-10"/>
        </w:rPr>
        <w:t> </w:t>
      </w:r>
      <w:r>
        <w:rPr/>
        <w:t>de</w:t>
      </w:r>
      <w:r>
        <w:rPr>
          <w:spacing w:val="-7"/>
        </w:rPr>
        <w:t> </w:t>
      </w:r>
      <w:r>
        <w:rPr/>
        <w:t>la</w:t>
      </w:r>
      <w:r>
        <w:rPr>
          <w:spacing w:val="-7"/>
        </w:rPr>
        <w:t> </w:t>
      </w:r>
      <w:r>
        <w:rPr/>
        <w:t>superfamilia</w:t>
      </w:r>
      <w:r>
        <w:rPr>
          <w:spacing w:val="-10"/>
        </w:rPr>
        <w:t> </w:t>
      </w:r>
      <w:r>
        <w:rPr/>
        <w:t>TGFβ,</w:t>
      </w:r>
      <w:r>
        <w:rPr>
          <w:spacing w:val="-10"/>
        </w:rPr>
        <w:t> </w:t>
      </w:r>
      <w:r>
        <w:rPr/>
        <w:t>producida</w:t>
      </w:r>
      <w:r>
        <w:rPr>
          <w:spacing w:val="-9"/>
        </w:rPr>
        <w:t> </w:t>
      </w:r>
      <w:r>
        <w:rPr/>
        <w:t>exclusivamente por las células de la granulosa en la mujer. Su concentración es independiente de las</w:t>
      </w:r>
      <w:r>
        <w:rPr>
          <w:spacing w:val="-4"/>
        </w:rPr>
        <w:t> </w:t>
      </w:r>
      <w:r>
        <w:rPr/>
        <w:t>gonadotrofinas</w:t>
      </w:r>
      <w:r>
        <w:rPr>
          <w:spacing w:val="-4"/>
        </w:rPr>
        <w:t> </w:t>
      </w:r>
      <w:r>
        <w:rPr/>
        <w:t>y</w:t>
      </w:r>
      <w:r>
        <w:rPr>
          <w:spacing w:val="-7"/>
        </w:rPr>
        <w:t> </w:t>
      </w:r>
      <w:r>
        <w:rPr/>
        <w:t>por</w:t>
      </w:r>
      <w:r>
        <w:rPr>
          <w:spacing w:val="-5"/>
        </w:rPr>
        <w:t> </w:t>
      </w:r>
      <w:r>
        <w:rPr/>
        <w:t>lo</w:t>
      </w:r>
      <w:r>
        <w:rPr>
          <w:spacing w:val="-4"/>
        </w:rPr>
        <w:t> </w:t>
      </w:r>
      <w:r>
        <w:rPr/>
        <w:t>tanto</w:t>
      </w:r>
      <w:r>
        <w:rPr>
          <w:spacing w:val="-4"/>
        </w:rPr>
        <w:t> </w:t>
      </w:r>
      <w:r>
        <w:rPr/>
        <w:t>refleja</w:t>
      </w:r>
      <w:r>
        <w:rPr>
          <w:spacing w:val="-4"/>
        </w:rPr>
        <w:t> </w:t>
      </w:r>
      <w:r>
        <w:rPr/>
        <w:t>la reserva</w:t>
      </w:r>
      <w:r>
        <w:rPr>
          <w:spacing w:val="-4"/>
        </w:rPr>
        <w:t> </w:t>
      </w:r>
      <w:r>
        <w:rPr/>
        <w:t>ovárica</w:t>
      </w:r>
      <w:r>
        <w:rPr>
          <w:spacing w:val="-4"/>
        </w:rPr>
        <w:t> </w:t>
      </w:r>
      <w:r>
        <w:rPr/>
        <w:t>en</w:t>
      </w:r>
      <w:r>
        <w:rPr>
          <w:spacing w:val="-4"/>
        </w:rPr>
        <w:t> </w:t>
      </w:r>
      <w:r>
        <w:rPr/>
        <w:t>cualquier</w:t>
      </w:r>
      <w:r>
        <w:rPr>
          <w:spacing w:val="-5"/>
        </w:rPr>
        <w:t> </w:t>
      </w:r>
      <w:r>
        <w:rPr/>
        <w:t>momento</w:t>
      </w:r>
      <w:r>
        <w:rPr>
          <w:spacing w:val="-4"/>
        </w:rPr>
        <w:t> </w:t>
      </w:r>
      <w:r>
        <w:rPr/>
        <w:t>de la vida de la mujer. Además, recientemente hemos podido establecer que las hijas de mujeres con síndrome de ovario poliquístico tienen niveles significativamente mayores de AMH desde la infancia temprana (2 a 3 meses de vida) hasta la peripubertad, lo que sugiere que estas niñas nacen con una masa de folículos aumentada,</w:t>
      </w:r>
      <w:r>
        <w:rPr>
          <w:spacing w:val="-5"/>
        </w:rPr>
        <w:t> </w:t>
      </w:r>
      <w:r>
        <w:rPr/>
        <w:t>lo</w:t>
      </w:r>
      <w:r>
        <w:rPr>
          <w:spacing w:val="-5"/>
        </w:rPr>
        <w:t> </w:t>
      </w:r>
      <w:r>
        <w:rPr/>
        <w:t>que</w:t>
      </w:r>
      <w:r>
        <w:rPr>
          <w:spacing w:val="-5"/>
        </w:rPr>
        <w:t> </w:t>
      </w:r>
      <w:r>
        <w:rPr/>
        <w:t>podría</w:t>
      </w:r>
      <w:r>
        <w:rPr>
          <w:spacing w:val="-5"/>
        </w:rPr>
        <w:t> </w:t>
      </w:r>
      <w:r>
        <w:rPr/>
        <w:t>constituir</w:t>
      </w:r>
      <w:r>
        <w:rPr>
          <w:spacing w:val="-7"/>
        </w:rPr>
        <w:t> </w:t>
      </w:r>
      <w:r>
        <w:rPr/>
        <w:t>un</w:t>
      </w:r>
      <w:r>
        <w:rPr>
          <w:spacing w:val="-5"/>
        </w:rPr>
        <w:t> </w:t>
      </w:r>
      <w:r>
        <w:rPr/>
        <w:t>eslabón</w:t>
      </w:r>
      <w:r>
        <w:rPr>
          <w:spacing w:val="-5"/>
        </w:rPr>
        <w:t> </w:t>
      </w:r>
      <w:r>
        <w:rPr/>
        <w:t>para</w:t>
      </w:r>
      <w:r>
        <w:rPr>
          <w:spacing w:val="-5"/>
        </w:rPr>
        <w:t> </w:t>
      </w:r>
      <w:r>
        <w:rPr/>
        <w:t>el</w:t>
      </w:r>
      <w:r>
        <w:rPr>
          <w:spacing w:val="-8"/>
        </w:rPr>
        <w:t> </w:t>
      </w:r>
      <w:r>
        <w:rPr/>
        <w:t>desarrollo</w:t>
      </w:r>
      <w:r>
        <w:rPr>
          <w:spacing w:val="-5"/>
        </w:rPr>
        <w:t> </w:t>
      </w:r>
      <w:r>
        <w:rPr/>
        <w:t>ulterior</w:t>
      </w:r>
      <w:r>
        <w:rPr>
          <w:spacing w:val="-6"/>
        </w:rPr>
        <w:t> </w:t>
      </w:r>
      <w:r>
        <w:rPr/>
        <w:t>de</w:t>
      </w:r>
      <w:r>
        <w:rPr>
          <w:spacing w:val="-5"/>
        </w:rPr>
        <w:t> </w:t>
      </w:r>
      <w:r>
        <w:rPr/>
        <w:t>PCOS.</w:t>
      </w:r>
    </w:p>
    <w:p>
      <w:pPr>
        <w:pStyle w:val="BodyText"/>
      </w:pPr>
    </w:p>
    <w:p>
      <w:pPr>
        <w:pStyle w:val="BodyText"/>
      </w:pPr>
    </w:p>
    <w:p>
      <w:pPr>
        <w:pStyle w:val="BodyText"/>
        <w:spacing w:before="9"/>
        <w:rPr>
          <w:sz w:val="20"/>
        </w:rPr>
      </w:pPr>
    </w:p>
    <w:p>
      <w:pPr>
        <w:spacing w:before="0"/>
        <w:ind w:left="107" w:right="0" w:firstLine="0"/>
        <w:jc w:val="both"/>
        <w:rPr>
          <w:sz w:val="22"/>
        </w:rPr>
      </w:pPr>
      <w:r>
        <w:rPr>
          <w:color w:val="5A5A5A"/>
          <w:sz w:val="22"/>
        </w:rPr>
        <w:t>DESCRIPCIÓN DEL SÍNDROME DE OVARIO POLIQUÍSTICO</w:t>
      </w:r>
    </w:p>
    <w:p>
      <w:pPr>
        <w:pStyle w:val="BodyText"/>
        <w:rPr>
          <w:sz w:val="22"/>
        </w:rPr>
      </w:pPr>
    </w:p>
    <w:p>
      <w:pPr>
        <w:pStyle w:val="BodyText"/>
        <w:rPr>
          <w:sz w:val="22"/>
        </w:rPr>
      </w:pPr>
    </w:p>
    <w:p>
      <w:pPr>
        <w:pStyle w:val="BodyText"/>
        <w:spacing w:before="3"/>
        <w:rPr>
          <w:sz w:val="31"/>
        </w:rPr>
      </w:pPr>
    </w:p>
    <w:p>
      <w:pPr>
        <w:pStyle w:val="BodyText"/>
        <w:spacing w:line="364" w:lineRule="auto"/>
        <w:ind w:left="117" w:right="108" w:hanging="10"/>
        <w:jc w:val="both"/>
      </w:pPr>
      <w:r>
        <w:rPr/>
        <w:t>Inicialmente fue descrito por Stein y Leventhal en 1935, quienes observaron la asociación de amenorrea, hirsutismo y obesidad, con ovarios poliquísticos. Desde entonces,</w:t>
      </w:r>
      <w:r>
        <w:rPr>
          <w:spacing w:val="-6"/>
        </w:rPr>
        <w:t> </w:t>
      </w:r>
      <w:r>
        <w:rPr/>
        <w:t>con</w:t>
      </w:r>
      <w:r>
        <w:rPr>
          <w:spacing w:val="-6"/>
        </w:rPr>
        <w:t> </w:t>
      </w:r>
      <w:r>
        <w:rPr/>
        <w:t>el</w:t>
      </w:r>
      <w:r>
        <w:rPr>
          <w:spacing w:val="-5"/>
        </w:rPr>
        <w:t> </w:t>
      </w:r>
      <w:r>
        <w:rPr/>
        <w:t>avance</w:t>
      </w:r>
      <w:r>
        <w:rPr>
          <w:spacing w:val="-5"/>
        </w:rPr>
        <w:t> </w:t>
      </w:r>
      <w:r>
        <w:rPr/>
        <w:t>en</w:t>
      </w:r>
      <w:r>
        <w:rPr>
          <w:spacing w:val="-6"/>
        </w:rPr>
        <w:t> </w:t>
      </w:r>
      <w:r>
        <w:rPr/>
        <w:t>los</w:t>
      </w:r>
      <w:r>
        <w:rPr>
          <w:spacing w:val="-5"/>
        </w:rPr>
        <w:t> </w:t>
      </w:r>
      <w:r>
        <w:rPr/>
        <w:t>estudios</w:t>
      </w:r>
      <w:r>
        <w:rPr>
          <w:spacing w:val="-5"/>
        </w:rPr>
        <w:t> </w:t>
      </w:r>
      <w:r>
        <w:rPr/>
        <w:t>de</w:t>
      </w:r>
      <w:r>
        <w:rPr>
          <w:spacing w:val="-5"/>
        </w:rPr>
        <w:t> </w:t>
      </w:r>
      <w:r>
        <w:rPr/>
        <w:t>imagen</w:t>
      </w:r>
      <w:r>
        <w:rPr>
          <w:spacing w:val="-5"/>
        </w:rPr>
        <w:t> </w:t>
      </w:r>
      <w:r>
        <w:rPr/>
        <w:t>y</w:t>
      </w:r>
      <w:r>
        <w:rPr>
          <w:spacing w:val="-7"/>
        </w:rPr>
        <w:t> </w:t>
      </w:r>
      <w:r>
        <w:rPr/>
        <w:t>con</w:t>
      </w:r>
      <w:r>
        <w:rPr>
          <w:spacing w:val="-5"/>
        </w:rPr>
        <w:t> </w:t>
      </w:r>
      <w:r>
        <w:rPr/>
        <w:t>el</w:t>
      </w:r>
      <w:r>
        <w:rPr>
          <w:spacing w:val="-7"/>
        </w:rPr>
        <w:t> </w:t>
      </w:r>
      <w:r>
        <w:rPr/>
        <w:t>mayor</w:t>
      </w:r>
      <w:r>
        <w:rPr>
          <w:spacing w:val="-5"/>
        </w:rPr>
        <w:t> </w:t>
      </w:r>
      <w:r>
        <w:rPr/>
        <w:t>conocimiento</w:t>
      </w:r>
      <w:r>
        <w:rPr>
          <w:spacing w:val="-5"/>
        </w:rPr>
        <w:t> </w:t>
      </w:r>
      <w:r>
        <w:rPr/>
        <w:t>de la</w:t>
      </w:r>
      <w:r>
        <w:rPr>
          <w:spacing w:val="-9"/>
        </w:rPr>
        <w:t> </w:t>
      </w:r>
      <w:r>
        <w:rPr/>
        <w:t>fisiopatología</w:t>
      </w:r>
      <w:r>
        <w:rPr>
          <w:spacing w:val="-8"/>
        </w:rPr>
        <w:t> </w:t>
      </w:r>
      <w:r>
        <w:rPr/>
        <w:t>y</w:t>
      </w:r>
      <w:r>
        <w:rPr>
          <w:spacing w:val="-12"/>
        </w:rPr>
        <w:t> </w:t>
      </w:r>
      <w:r>
        <w:rPr/>
        <w:t>los</w:t>
      </w:r>
      <w:r>
        <w:rPr>
          <w:spacing w:val="-9"/>
        </w:rPr>
        <w:t> </w:t>
      </w:r>
      <w:r>
        <w:rPr/>
        <w:t>aspectos</w:t>
      </w:r>
      <w:r>
        <w:rPr>
          <w:spacing w:val="-9"/>
        </w:rPr>
        <w:t> </w:t>
      </w:r>
      <w:r>
        <w:rPr/>
        <w:t>epidemiológicos</w:t>
      </w:r>
      <w:r>
        <w:rPr>
          <w:spacing w:val="-9"/>
        </w:rPr>
        <w:t> </w:t>
      </w:r>
      <w:r>
        <w:rPr/>
        <w:t>de</w:t>
      </w:r>
      <w:r>
        <w:rPr>
          <w:spacing w:val="-8"/>
        </w:rPr>
        <w:t> </w:t>
      </w:r>
      <w:r>
        <w:rPr/>
        <w:t>la</w:t>
      </w:r>
      <w:r>
        <w:rPr>
          <w:spacing w:val="-11"/>
        </w:rPr>
        <w:t> </w:t>
      </w:r>
      <w:r>
        <w:rPr/>
        <w:t>enfermedad</w:t>
      </w:r>
      <w:r>
        <w:rPr>
          <w:spacing w:val="-8"/>
        </w:rPr>
        <w:t> </w:t>
      </w:r>
      <w:r>
        <w:rPr/>
        <w:t>ha</w:t>
      </w:r>
      <w:r>
        <w:rPr>
          <w:spacing w:val="-8"/>
        </w:rPr>
        <w:t> </w:t>
      </w:r>
      <w:r>
        <w:rPr/>
        <w:t>sido</w:t>
      </w:r>
      <w:r>
        <w:rPr>
          <w:spacing w:val="-8"/>
        </w:rPr>
        <w:t> </w:t>
      </w:r>
      <w:r>
        <w:rPr/>
        <w:t>necesario crear criterios diagnósticos con mayor sensibilidad y especificidad para identificar a las pacientes portadoras. Los criterios designados en la conferencia de 1990 por el Instituto</w:t>
      </w:r>
      <w:r>
        <w:rPr>
          <w:spacing w:val="-8"/>
        </w:rPr>
        <w:t> </w:t>
      </w:r>
      <w:r>
        <w:rPr/>
        <w:t>Nacional</w:t>
      </w:r>
      <w:r>
        <w:rPr>
          <w:spacing w:val="-12"/>
        </w:rPr>
        <w:t> </w:t>
      </w:r>
      <w:r>
        <w:rPr/>
        <w:t>de</w:t>
      </w:r>
      <w:r>
        <w:rPr>
          <w:spacing w:val="-11"/>
        </w:rPr>
        <w:t> </w:t>
      </w:r>
      <w:r>
        <w:rPr/>
        <w:t>Salud</w:t>
      </w:r>
      <w:r>
        <w:rPr>
          <w:spacing w:val="-10"/>
        </w:rPr>
        <w:t> </w:t>
      </w:r>
      <w:r>
        <w:rPr/>
        <w:t>Infantil</w:t>
      </w:r>
      <w:r>
        <w:rPr>
          <w:spacing w:val="-10"/>
        </w:rPr>
        <w:t> </w:t>
      </w:r>
      <w:r>
        <w:rPr/>
        <w:t>y</w:t>
      </w:r>
      <w:r>
        <w:rPr>
          <w:spacing w:val="-12"/>
        </w:rPr>
        <w:t> </w:t>
      </w:r>
      <w:r>
        <w:rPr/>
        <w:t>Desarrollo</w:t>
      </w:r>
      <w:r>
        <w:rPr>
          <w:spacing w:val="-8"/>
        </w:rPr>
        <w:t> </w:t>
      </w:r>
      <w:r>
        <w:rPr/>
        <w:t>Humano</w:t>
      </w:r>
      <w:r>
        <w:rPr>
          <w:spacing w:val="-11"/>
        </w:rPr>
        <w:t> </w:t>
      </w:r>
      <w:r>
        <w:rPr/>
        <w:t>de</w:t>
      </w:r>
      <w:r>
        <w:rPr>
          <w:spacing w:val="-11"/>
        </w:rPr>
        <w:t> </w:t>
      </w:r>
      <w:r>
        <w:rPr/>
        <w:t>los</w:t>
      </w:r>
      <w:r>
        <w:rPr>
          <w:spacing w:val="-11"/>
        </w:rPr>
        <w:t> </w:t>
      </w:r>
      <w:r>
        <w:rPr/>
        <w:t>Institutos</w:t>
      </w:r>
      <w:r>
        <w:rPr>
          <w:spacing w:val="-9"/>
        </w:rPr>
        <w:t> </w:t>
      </w:r>
      <w:r>
        <w:rPr/>
        <w:t>Nacionales de Salud de Estados Unidos fueron los más aceptados hasta hace seis años, cuando se revisaron en el Consenso de Rotterdam de 2003, en el que se incluyó como criterio mayor la presencia de ovarios poliquísticos. Sin embargo, no se ha alcanzado</w:t>
      </w:r>
      <w:r>
        <w:rPr>
          <w:spacing w:val="-5"/>
        </w:rPr>
        <w:t> </w:t>
      </w:r>
      <w:r>
        <w:rPr/>
        <w:t>un</w:t>
      </w:r>
      <w:r>
        <w:rPr>
          <w:spacing w:val="-5"/>
        </w:rPr>
        <w:t> </w:t>
      </w:r>
      <w:r>
        <w:rPr/>
        <w:t>consenso</w:t>
      </w:r>
      <w:r>
        <w:rPr>
          <w:spacing w:val="-5"/>
        </w:rPr>
        <w:t> </w:t>
      </w:r>
      <w:r>
        <w:rPr/>
        <w:t>que</w:t>
      </w:r>
      <w:r>
        <w:rPr>
          <w:spacing w:val="-5"/>
        </w:rPr>
        <w:t> </w:t>
      </w:r>
      <w:r>
        <w:rPr/>
        <w:t>abarque</w:t>
      </w:r>
      <w:r>
        <w:rPr>
          <w:spacing w:val="-5"/>
        </w:rPr>
        <w:t> </w:t>
      </w:r>
      <w:r>
        <w:rPr/>
        <w:t>a</w:t>
      </w:r>
      <w:r>
        <w:rPr>
          <w:spacing w:val="-5"/>
        </w:rPr>
        <w:t> </w:t>
      </w:r>
      <w:r>
        <w:rPr/>
        <w:t>todas</w:t>
      </w:r>
      <w:r>
        <w:rPr>
          <w:spacing w:val="-8"/>
        </w:rPr>
        <w:t> </w:t>
      </w:r>
      <w:r>
        <w:rPr/>
        <w:t>las</w:t>
      </w:r>
      <w:r>
        <w:rPr>
          <w:spacing w:val="-5"/>
        </w:rPr>
        <w:t> </w:t>
      </w:r>
      <w:r>
        <w:rPr/>
        <w:t>pacientes</w:t>
      </w:r>
      <w:r>
        <w:rPr>
          <w:spacing w:val="-8"/>
        </w:rPr>
        <w:t> </w:t>
      </w:r>
      <w:r>
        <w:rPr/>
        <w:t>portadoras</w:t>
      </w:r>
      <w:r>
        <w:rPr>
          <w:spacing w:val="-5"/>
        </w:rPr>
        <w:t> </w:t>
      </w:r>
      <w:r>
        <w:rPr/>
        <w:t>de</w:t>
      </w:r>
      <w:r>
        <w:rPr>
          <w:spacing w:val="-5"/>
        </w:rPr>
        <w:t> </w:t>
      </w:r>
      <w:r>
        <w:rPr/>
        <w:t>síndrome de</w:t>
      </w:r>
      <w:r>
        <w:rPr>
          <w:spacing w:val="-12"/>
        </w:rPr>
        <w:t> </w:t>
      </w:r>
      <w:r>
        <w:rPr/>
        <w:t>ovario</w:t>
      </w:r>
      <w:r>
        <w:rPr>
          <w:spacing w:val="-9"/>
        </w:rPr>
        <w:t> </w:t>
      </w:r>
      <w:r>
        <w:rPr/>
        <w:t>poliquístico</w:t>
      </w:r>
      <w:r>
        <w:rPr>
          <w:spacing w:val="-9"/>
        </w:rPr>
        <w:t> </w:t>
      </w:r>
      <w:r>
        <w:rPr/>
        <w:t>debido</w:t>
      </w:r>
      <w:r>
        <w:rPr>
          <w:spacing w:val="-11"/>
        </w:rPr>
        <w:t> </w:t>
      </w:r>
      <w:r>
        <w:rPr/>
        <w:t>a</w:t>
      </w:r>
      <w:r>
        <w:rPr>
          <w:spacing w:val="-12"/>
        </w:rPr>
        <w:t> </w:t>
      </w:r>
      <w:r>
        <w:rPr/>
        <w:t>la</w:t>
      </w:r>
      <w:r>
        <w:rPr>
          <w:spacing w:val="-12"/>
        </w:rPr>
        <w:t> </w:t>
      </w:r>
      <w:r>
        <w:rPr/>
        <w:t>heterogeneidad</w:t>
      </w:r>
      <w:r>
        <w:rPr>
          <w:spacing w:val="-12"/>
        </w:rPr>
        <w:t> </w:t>
      </w:r>
      <w:r>
        <w:rPr/>
        <w:t>que</w:t>
      </w:r>
      <w:r>
        <w:rPr>
          <w:spacing w:val="-9"/>
        </w:rPr>
        <w:t> </w:t>
      </w:r>
      <w:r>
        <w:rPr/>
        <w:t>lo</w:t>
      </w:r>
      <w:r>
        <w:rPr>
          <w:spacing w:val="-12"/>
        </w:rPr>
        <w:t> </w:t>
      </w:r>
      <w:r>
        <w:rPr/>
        <w:t>caracteriza</w:t>
      </w:r>
      <w:r>
        <w:rPr>
          <w:spacing w:val="-9"/>
        </w:rPr>
        <w:t> </w:t>
      </w:r>
      <w:r>
        <w:rPr/>
        <w:t>y</w:t>
      </w:r>
      <w:r>
        <w:rPr>
          <w:spacing w:val="-13"/>
        </w:rPr>
        <w:t> </w:t>
      </w:r>
      <w:r>
        <w:rPr/>
        <w:t>a</w:t>
      </w:r>
      <w:r>
        <w:rPr>
          <w:spacing w:val="-9"/>
        </w:rPr>
        <w:t> </w:t>
      </w:r>
      <w:r>
        <w:rPr/>
        <w:t>que</w:t>
      </w:r>
      <w:r>
        <w:rPr>
          <w:spacing w:val="-9"/>
        </w:rPr>
        <w:t> </w:t>
      </w:r>
      <w:r>
        <w:rPr/>
        <w:t>algunas pacientes cuentan con alteraciones subclínicas que pueden no manifestarse claramente como criterios</w:t>
      </w:r>
      <w:r>
        <w:rPr>
          <w:spacing w:val="-9"/>
        </w:rPr>
        <w:t> </w:t>
      </w:r>
      <w:r>
        <w:rPr/>
        <w:t>diagnósticos</w:t>
      </w:r>
      <w:r>
        <w:rPr>
          <w:position w:val="8"/>
          <w:sz w:val="16"/>
        </w:rPr>
        <w:t>5</w:t>
      </w:r>
      <w:r>
        <w:rPr/>
        <w:t>.</w:t>
      </w:r>
    </w:p>
    <w:p>
      <w:pPr>
        <w:pStyle w:val="BodyText"/>
        <w:spacing w:line="362" w:lineRule="auto" w:before="197"/>
        <w:ind w:left="117" w:right="111" w:hanging="10"/>
        <w:jc w:val="both"/>
      </w:pPr>
      <w:r>
        <w:rPr/>
        <w:t>La inclusión de ovarios poliquísticos por ecografía como criterio diagnóstico originó un importante debate, por lo que surge la reunión de expertos de la Sociedad de Exceso  de  Andrógenos  y  se  realizó  una  revisión  sistemática  de  trabajos   de</w:t>
      </w:r>
    </w:p>
    <w:p>
      <w:pPr>
        <w:spacing w:after="0" w:line="362" w:lineRule="auto"/>
        <w:jc w:val="both"/>
        <w:sectPr>
          <w:pgSz w:w="12240" w:h="15840"/>
          <w:pgMar w:top="1220" w:bottom="280" w:left="1580" w:right="1580"/>
        </w:sectPr>
      </w:pPr>
    </w:p>
    <w:p>
      <w:pPr>
        <w:pStyle w:val="BodyText"/>
        <w:spacing w:line="364" w:lineRule="auto" w:before="43"/>
        <w:ind w:left="117" w:right="107"/>
        <w:jc w:val="both"/>
      </w:pPr>
      <w:r>
        <w:rPr/>
        <w:t>investigación</w:t>
      </w:r>
      <w:r>
        <w:rPr>
          <w:spacing w:val="-3"/>
        </w:rPr>
        <w:t> </w:t>
      </w:r>
      <w:r>
        <w:rPr/>
        <w:t>sobre</w:t>
      </w:r>
      <w:r>
        <w:rPr>
          <w:spacing w:val="-7"/>
        </w:rPr>
        <w:t> </w:t>
      </w:r>
      <w:r>
        <w:rPr/>
        <w:t>los</w:t>
      </w:r>
      <w:r>
        <w:rPr>
          <w:spacing w:val="-6"/>
        </w:rPr>
        <w:t> </w:t>
      </w:r>
      <w:r>
        <w:rPr/>
        <w:t>aspectos</w:t>
      </w:r>
      <w:r>
        <w:rPr>
          <w:spacing w:val="-7"/>
        </w:rPr>
        <w:t> </w:t>
      </w:r>
      <w:r>
        <w:rPr/>
        <w:t>epidemiológicos</w:t>
      </w:r>
      <w:r>
        <w:rPr>
          <w:spacing w:val="-4"/>
        </w:rPr>
        <w:t> </w:t>
      </w:r>
      <w:r>
        <w:rPr/>
        <w:t>y</w:t>
      </w:r>
      <w:r>
        <w:rPr>
          <w:spacing w:val="-9"/>
        </w:rPr>
        <w:t> </w:t>
      </w:r>
      <w:r>
        <w:rPr/>
        <w:t>fenotípicos</w:t>
      </w:r>
      <w:r>
        <w:rPr>
          <w:spacing w:val="-6"/>
        </w:rPr>
        <w:t> </w:t>
      </w:r>
      <w:r>
        <w:rPr/>
        <w:t>del</w:t>
      </w:r>
      <w:r>
        <w:rPr>
          <w:spacing w:val="-7"/>
        </w:rPr>
        <w:t> </w:t>
      </w:r>
      <w:r>
        <w:rPr/>
        <w:t>síndrome,</w:t>
      </w:r>
      <w:r>
        <w:rPr>
          <w:spacing w:val="-6"/>
        </w:rPr>
        <w:t> </w:t>
      </w:r>
      <w:r>
        <w:rPr/>
        <w:t>con</w:t>
      </w:r>
      <w:r>
        <w:rPr>
          <w:spacing w:val="-6"/>
        </w:rPr>
        <w:t> </w:t>
      </w:r>
      <w:r>
        <w:rPr/>
        <w:t>el fin de guiar el diagnóstico clínico y las futuras investigaciones sobre SPO. Así, se publicó la última definición de SOP que determina que los criterios son los siguientes:</w:t>
      </w:r>
    </w:p>
    <w:p>
      <w:pPr>
        <w:pStyle w:val="ListParagraph"/>
        <w:numPr>
          <w:ilvl w:val="0"/>
          <w:numId w:val="1"/>
        </w:numPr>
        <w:tabs>
          <w:tab w:pos="816" w:val="left" w:leader="none"/>
        </w:tabs>
        <w:spacing w:line="240" w:lineRule="auto" w:before="199" w:after="0"/>
        <w:ind w:left="815" w:right="0" w:hanging="708"/>
        <w:jc w:val="both"/>
        <w:rPr>
          <w:sz w:val="24"/>
        </w:rPr>
      </w:pPr>
      <w:r>
        <w:rPr>
          <w:sz w:val="24"/>
        </w:rPr>
        <w:t>Hiperandrogenismo: hirsutismo y/o</w:t>
      </w:r>
      <w:r>
        <w:rPr>
          <w:spacing w:val="-22"/>
          <w:sz w:val="24"/>
        </w:rPr>
        <w:t> </w:t>
      </w:r>
      <w:r>
        <w:rPr>
          <w:sz w:val="24"/>
        </w:rPr>
        <w:t>hiperandrogenemia.</w:t>
      </w:r>
    </w:p>
    <w:p>
      <w:pPr>
        <w:pStyle w:val="BodyText"/>
        <w:spacing w:before="9"/>
        <w:rPr>
          <w:sz w:val="29"/>
        </w:rPr>
      </w:pPr>
    </w:p>
    <w:p>
      <w:pPr>
        <w:pStyle w:val="ListParagraph"/>
        <w:numPr>
          <w:ilvl w:val="0"/>
          <w:numId w:val="1"/>
        </w:numPr>
        <w:tabs>
          <w:tab w:pos="816" w:val="left" w:leader="none"/>
        </w:tabs>
        <w:spacing w:line="240" w:lineRule="auto" w:before="0" w:after="0"/>
        <w:ind w:left="815" w:right="0" w:hanging="708"/>
        <w:jc w:val="both"/>
        <w:rPr>
          <w:sz w:val="24"/>
        </w:rPr>
      </w:pPr>
      <w:r>
        <w:rPr>
          <w:sz w:val="24"/>
        </w:rPr>
        <w:t>Oligo-anovulación.</w:t>
      </w:r>
    </w:p>
    <w:p>
      <w:pPr>
        <w:pStyle w:val="BodyText"/>
        <w:rPr>
          <w:sz w:val="30"/>
        </w:rPr>
      </w:pPr>
    </w:p>
    <w:p>
      <w:pPr>
        <w:pStyle w:val="ListParagraph"/>
        <w:numPr>
          <w:ilvl w:val="0"/>
          <w:numId w:val="1"/>
        </w:numPr>
        <w:tabs>
          <w:tab w:pos="816" w:val="left" w:leader="none"/>
        </w:tabs>
        <w:spacing w:line="240" w:lineRule="auto" w:before="0" w:after="0"/>
        <w:ind w:left="815" w:right="0" w:hanging="708"/>
        <w:jc w:val="both"/>
        <w:rPr>
          <w:sz w:val="24"/>
        </w:rPr>
      </w:pPr>
      <w:r>
        <w:rPr>
          <w:sz w:val="24"/>
        </w:rPr>
        <w:t>Ovarios poliquísticos por</w:t>
      </w:r>
      <w:r>
        <w:rPr>
          <w:spacing w:val="-13"/>
          <w:sz w:val="24"/>
        </w:rPr>
        <w:t> </w:t>
      </w:r>
      <w:r>
        <w:rPr>
          <w:sz w:val="24"/>
        </w:rPr>
        <w:t>ecografía.</w:t>
      </w:r>
    </w:p>
    <w:p>
      <w:pPr>
        <w:pStyle w:val="BodyText"/>
      </w:pPr>
    </w:p>
    <w:p>
      <w:pPr>
        <w:pStyle w:val="BodyText"/>
      </w:pPr>
    </w:p>
    <w:p>
      <w:pPr>
        <w:pStyle w:val="BodyText"/>
        <w:spacing w:before="3"/>
        <w:rPr>
          <w:sz w:val="35"/>
        </w:rPr>
      </w:pPr>
    </w:p>
    <w:p>
      <w:pPr>
        <w:pStyle w:val="BodyText"/>
        <w:spacing w:line="364" w:lineRule="auto" w:before="1"/>
        <w:ind w:left="117" w:right="111" w:hanging="10"/>
        <w:jc w:val="both"/>
      </w:pPr>
      <w:r>
        <w:rPr/>
        <w:t>Considerando siempre la exclusión de otros desórdenes de andrógenos o enfermedades</w:t>
      </w:r>
      <w:r>
        <w:rPr>
          <w:spacing w:val="-17"/>
        </w:rPr>
        <w:t> </w:t>
      </w:r>
      <w:r>
        <w:rPr/>
        <w:t>relacionadas,</w:t>
      </w:r>
      <w:r>
        <w:rPr>
          <w:spacing w:val="-19"/>
        </w:rPr>
        <w:t> </w:t>
      </w:r>
      <w:r>
        <w:rPr/>
        <w:t>tales</w:t>
      </w:r>
      <w:r>
        <w:rPr>
          <w:spacing w:val="-17"/>
        </w:rPr>
        <w:t> </w:t>
      </w:r>
      <w:r>
        <w:rPr/>
        <w:t>como:</w:t>
      </w:r>
      <w:r>
        <w:rPr>
          <w:spacing w:val="-16"/>
        </w:rPr>
        <w:t> </w:t>
      </w:r>
      <w:r>
        <w:rPr/>
        <w:t>hiperplasia</w:t>
      </w:r>
      <w:r>
        <w:rPr>
          <w:spacing w:val="-16"/>
        </w:rPr>
        <w:t> </w:t>
      </w:r>
      <w:r>
        <w:rPr/>
        <w:t>suprarrenal</w:t>
      </w:r>
      <w:r>
        <w:rPr>
          <w:spacing w:val="-20"/>
        </w:rPr>
        <w:t> </w:t>
      </w:r>
      <w:r>
        <w:rPr/>
        <w:t>congénita,</w:t>
      </w:r>
      <w:r>
        <w:rPr>
          <w:spacing w:val="-16"/>
        </w:rPr>
        <w:t> </w:t>
      </w:r>
      <w:r>
        <w:rPr/>
        <w:t>tumores secretores de andrógenos, hiperprolactinemia, síndrome de Cushing, disfunción tiroidea.</w:t>
      </w:r>
    </w:p>
    <w:p>
      <w:pPr>
        <w:pStyle w:val="BodyText"/>
      </w:pPr>
    </w:p>
    <w:p>
      <w:pPr>
        <w:pStyle w:val="BodyText"/>
      </w:pPr>
    </w:p>
    <w:p>
      <w:pPr>
        <w:pStyle w:val="BodyText"/>
      </w:pPr>
    </w:p>
    <w:p>
      <w:pPr>
        <w:pStyle w:val="BodyText"/>
      </w:pPr>
    </w:p>
    <w:p>
      <w:pPr>
        <w:pStyle w:val="BodyText"/>
      </w:pPr>
    </w:p>
    <w:p>
      <w:pPr>
        <w:pStyle w:val="BodyText"/>
      </w:pPr>
    </w:p>
    <w:p>
      <w:pPr>
        <w:spacing w:before="145"/>
        <w:ind w:left="107" w:right="0" w:firstLine="0"/>
        <w:jc w:val="both"/>
        <w:rPr>
          <w:rFonts w:ascii="Calibri" w:hAnsi="Calibri"/>
          <w:sz w:val="22"/>
        </w:rPr>
      </w:pPr>
      <w:r>
        <w:rPr>
          <w:rFonts w:ascii="Calibri" w:hAnsi="Calibri"/>
          <w:color w:val="5A5A5A"/>
          <w:sz w:val="22"/>
        </w:rPr>
        <w:t>DEFINICIONES DE LOS CRITERIOS DIAGNÓSTICOS</w:t>
      </w:r>
    </w:p>
    <w:p>
      <w:pPr>
        <w:spacing w:before="169"/>
        <w:ind w:left="107" w:right="0" w:firstLine="0"/>
        <w:jc w:val="both"/>
        <w:rPr>
          <w:i/>
          <w:sz w:val="24"/>
        </w:rPr>
      </w:pPr>
      <w:r>
        <w:rPr>
          <w:i/>
          <w:sz w:val="24"/>
          <w:u w:val="single"/>
        </w:rPr>
        <w:t>Hiperandrogenismo (signos clínicos)</w:t>
      </w:r>
    </w:p>
    <w:p>
      <w:pPr>
        <w:pStyle w:val="BodyText"/>
        <w:spacing w:before="7"/>
        <w:rPr>
          <w:i/>
          <w:sz w:val="23"/>
        </w:rPr>
      </w:pPr>
    </w:p>
    <w:p>
      <w:pPr>
        <w:pStyle w:val="ListParagraph"/>
        <w:numPr>
          <w:ilvl w:val="0"/>
          <w:numId w:val="2"/>
        </w:numPr>
        <w:tabs>
          <w:tab w:pos="744" w:val="left" w:leader="none"/>
        </w:tabs>
        <w:spacing w:line="364" w:lineRule="auto" w:before="69" w:after="0"/>
        <w:ind w:left="117" w:right="104" w:hanging="10"/>
        <w:jc w:val="both"/>
        <w:rPr>
          <w:sz w:val="24"/>
        </w:rPr>
      </w:pPr>
      <w:r>
        <w:rPr>
          <w:sz w:val="24"/>
        </w:rPr>
        <w:t>Hirsutismo: es el crecimiento de pelo terminal en zona andrógeno- dependientes,</w:t>
      </w:r>
      <w:r>
        <w:rPr>
          <w:spacing w:val="-20"/>
          <w:sz w:val="24"/>
        </w:rPr>
        <w:t> </w:t>
      </w:r>
      <w:r>
        <w:rPr>
          <w:sz w:val="24"/>
        </w:rPr>
        <w:t>donde</w:t>
      </w:r>
      <w:r>
        <w:rPr>
          <w:spacing w:val="-20"/>
          <w:sz w:val="24"/>
        </w:rPr>
        <w:t> </w:t>
      </w:r>
      <w:r>
        <w:rPr>
          <w:sz w:val="24"/>
        </w:rPr>
        <w:t>habitualmente</w:t>
      </w:r>
      <w:r>
        <w:rPr>
          <w:spacing w:val="-20"/>
          <w:sz w:val="24"/>
        </w:rPr>
        <w:t> </w:t>
      </w:r>
      <w:r>
        <w:rPr>
          <w:sz w:val="24"/>
        </w:rPr>
        <w:t>la</w:t>
      </w:r>
      <w:r>
        <w:rPr>
          <w:spacing w:val="-20"/>
          <w:sz w:val="24"/>
        </w:rPr>
        <w:t> </w:t>
      </w:r>
      <w:r>
        <w:rPr>
          <w:sz w:val="24"/>
        </w:rPr>
        <w:t>mujer</w:t>
      </w:r>
      <w:r>
        <w:rPr>
          <w:spacing w:val="-21"/>
          <w:sz w:val="24"/>
        </w:rPr>
        <w:t> </w:t>
      </w:r>
      <w:r>
        <w:rPr>
          <w:sz w:val="24"/>
        </w:rPr>
        <w:t>no</w:t>
      </w:r>
      <w:r>
        <w:rPr>
          <w:spacing w:val="-20"/>
          <w:sz w:val="24"/>
        </w:rPr>
        <w:t> </w:t>
      </w:r>
      <w:r>
        <w:rPr>
          <w:sz w:val="24"/>
        </w:rPr>
        <w:t>posee.</w:t>
      </w:r>
      <w:r>
        <w:rPr>
          <w:spacing w:val="-22"/>
          <w:sz w:val="24"/>
        </w:rPr>
        <w:t> </w:t>
      </w:r>
      <w:r>
        <w:rPr>
          <w:sz w:val="24"/>
        </w:rPr>
        <w:t>Para</w:t>
      </w:r>
      <w:r>
        <w:rPr>
          <w:spacing w:val="-21"/>
          <w:sz w:val="24"/>
        </w:rPr>
        <w:t> </w:t>
      </w:r>
      <w:r>
        <w:rPr>
          <w:sz w:val="24"/>
        </w:rPr>
        <w:t>su</w:t>
      </w:r>
      <w:r>
        <w:rPr>
          <w:spacing w:val="-20"/>
          <w:sz w:val="24"/>
        </w:rPr>
        <w:t> </w:t>
      </w:r>
      <w:r>
        <w:rPr>
          <w:sz w:val="24"/>
        </w:rPr>
        <w:t>diagnóstico</w:t>
      </w:r>
      <w:r>
        <w:rPr>
          <w:spacing w:val="-20"/>
          <w:sz w:val="24"/>
        </w:rPr>
        <w:t> </w:t>
      </w:r>
      <w:r>
        <w:rPr>
          <w:sz w:val="24"/>
        </w:rPr>
        <w:t>se</w:t>
      </w:r>
      <w:r>
        <w:rPr>
          <w:spacing w:val="-21"/>
          <w:sz w:val="24"/>
        </w:rPr>
        <w:t> </w:t>
      </w:r>
      <w:r>
        <w:rPr>
          <w:sz w:val="24"/>
        </w:rPr>
        <w:t>utiliza el </w:t>
      </w:r>
      <w:r>
        <w:rPr>
          <w:i/>
          <w:sz w:val="24"/>
        </w:rPr>
        <w:t>score </w:t>
      </w:r>
      <w:r>
        <w:rPr>
          <w:sz w:val="24"/>
        </w:rPr>
        <w:t>de Ferriman-Gallwey </w:t>
      </w:r>
      <w:r>
        <w:rPr>
          <w:b/>
          <w:i/>
          <w:sz w:val="24"/>
        </w:rPr>
        <w:t>(Figura 1)</w:t>
      </w:r>
      <w:r>
        <w:rPr>
          <w:sz w:val="24"/>
        </w:rPr>
        <w:t>. Este divide la superficie corporal en 9 regiones y a cada una de ellas le asigna un puntaje de 1 a 4 en función de la severidad del crecimiento de pelo. Valores mayores a </w:t>
      </w:r>
      <w:r>
        <w:rPr>
          <w:spacing w:val="2"/>
          <w:sz w:val="24"/>
        </w:rPr>
        <w:t>6-8 </w:t>
      </w:r>
      <w:r>
        <w:rPr>
          <w:sz w:val="24"/>
        </w:rPr>
        <w:t>son considerados positivos para determinar presencia de</w:t>
      </w:r>
      <w:r>
        <w:rPr>
          <w:spacing w:val="-21"/>
          <w:sz w:val="24"/>
        </w:rPr>
        <w:t> </w:t>
      </w:r>
      <w:r>
        <w:rPr>
          <w:sz w:val="24"/>
        </w:rPr>
        <w:t>hirsutismo.</w:t>
      </w:r>
    </w:p>
    <w:p>
      <w:pPr>
        <w:spacing w:before="201"/>
        <w:ind w:left="2008" w:right="28" w:firstLine="0"/>
        <w:jc w:val="left"/>
        <w:rPr>
          <w:sz w:val="24"/>
        </w:rPr>
      </w:pPr>
      <w:r>
        <w:rPr>
          <w:b/>
          <w:i/>
          <w:sz w:val="24"/>
        </w:rPr>
        <w:t>Figura 1. </w:t>
      </w:r>
      <w:r>
        <w:rPr>
          <w:sz w:val="24"/>
        </w:rPr>
        <w:t>Esquema de Score Ferriman-Gallwey</w:t>
      </w:r>
    </w:p>
    <w:p>
      <w:pPr>
        <w:spacing w:after="0"/>
        <w:jc w:val="left"/>
        <w:rPr>
          <w:sz w:val="24"/>
        </w:rPr>
        <w:sectPr>
          <w:pgSz w:w="12240" w:h="15840"/>
          <w:pgMar w:top="1220" w:bottom="280" w:left="1580" w:right="1580"/>
        </w:sectPr>
      </w:pPr>
    </w:p>
    <w:p>
      <w:pPr>
        <w:pStyle w:val="BodyText"/>
        <w:ind w:left="117"/>
        <w:rPr>
          <w:sz w:val="20"/>
        </w:rPr>
      </w:pPr>
      <w:r>
        <w:rPr>
          <w:sz w:val="20"/>
        </w:rPr>
        <w:pict>
          <v:group style="width:476.3pt;height:203.8pt;mso-position-horizontal-relative:char;mso-position-vertical-relative:line" coordorigin="0,0" coordsize="9526,4076">
            <v:shape style="position:absolute;left:425;top:341;width:8774;height:3314" type="#_x0000_t75" stroked="false">
              <v:imagedata r:id="rId6" o:title=""/>
            </v:shape>
            <v:shape style="position:absolute;left:0;top:0;width:9526;height:4075" type="#_x0000_t75" stroked="false">
              <v:imagedata r:id="rId7" o:title=""/>
            </v:shape>
            <v:rect style="position:absolute;left:83;top:42;width:9360;height:3912" filled="false" stroked="true" strokeweight="2.04pt" strokecolor="#000000"/>
          </v:group>
        </w:pict>
      </w:r>
      <w:r>
        <w:rPr>
          <w:sz w:val="20"/>
        </w:rPr>
      </w:r>
    </w:p>
    <w:p>
      <w:pPr>
        <w:pStyle w:val="BodyText"/>
        <w:spacing w:before="8"/>
        <w:rPr>
          <w:sz w:val="15"/>
        </w:rPr>
      </w:pPr>
    </w:p>
    <w:p>
      <w:pPr>
        <w:pStyle w:val="BodyText"/>
        <w:spacing w:before="70"/>
        <w:ind w:left="1123"/>
      </w:pPr>
      <w:r>
        <w:rPr/>
        <w:t>Fuente: ‘Hirsutism in Women’, Brooke Army Medical Center, (2012).</w:t>
      </w:r>
    </w:p>
    <w:p>
      <w:pPr>
        <w:pStyle w:val="BodyText"/>
      </w:pPr>
    </w:p>
    <w:p>
      <w:pPr>
        <w:pStyle w:val="BodyText"/>
      </w:pPr>
    </w:p>
    <w:p>
      <w:pPr>
        <w:pStyle w:val="BodyText"/>
        <w:spacing w:before="7"/>
        <w:rPr>
          <w:sz w:val="34"/>
        </w:rPr>
      </w:pPr>
    </w:p>
    <w:p>
      <w:pPr>
        <w:pStyle w:val="ListParagraph"/>
        <w:numPr>
          <w:ilvl w:val="0"/>
          <w:numId w:val="2"/>
        </w:numPr>
        <w:tabs>
          <w:tab w:pos="944" w:val="left" w:leader="none"/>
        </w:tabs>
        <w:spacing w:line="364" w:lineRule="auto" w:before="0" w:after="0"/>
        <w:ind w:left="317" w:right="597" w:hanging="10"/>
        <w:jc w:val="both"/>
        <w:rPr>
          <w:sz w:val="24"/>
        </w:rPr>
      </w:pPr>
      <w:r>
        <w:rPr>
          <w:sz w:val="24"/>
        </w:rPr>
        <w:t>Acné: es evaluado en forma independiente en cara y espalda usando la clasificación de leve, moderado y severo, según la cantidad de lesiones y tipo de ellas.</w:t>
      </w:r>
    </w:p>
    <w:p>
      <w:pPr>
        <w:pStyle w:val="ListParagraph"/>
        <w:numPr>
          <w:ilvl w:val="1"/>
          <w:numId w:val="2"/>
        </w:numPr>
        <w:tabs>
          <w:tab w:pos="1041" w:val="left" w:leader="none"/>
          <w:tab w:pos="1042" w:val="left" w:leader="none"/>
        </w:tabs>
        <w:spacing w:line="240" w:lineRule="auto" w:before="199" w:after="0"/>
        <w:ind w:left="1042" w:right="0" w:hanging="360"/>
        <w:jc w:val="left"/>
        <w:rPr>
          <w:sz w:val="24"/>
        </w:rPr>
      </w:pPr>
      <w:r>
        <w:rPr>
          <w:sz w:val="24"/>
        </w:rPr>
        <w:t>Leve:</w:t>
      </w:r>
      <w:r>
        <w:rPr>
          <w:spacing w:val="-4"/>
          <w:sz w:val="24"/>
        </w:rPr>
        <w:t> </w:t>
      </w:r>
      <w:r>
        <w:rPr>
          <w:sz w:val="24"/>
        </w:rPr>
        <w:t>microcomedones</w:t>
      </w:r>
      <w:r>
        <w:rPr>
          <w:spacing w:val="-4"/>
          <w:sz w:val="24"/>
        </w:rPr>
        <w:t> </w:t>
      </w:r>
      <w:r>
        <w:rPr>
          <w:sz w:val="24"/>
        </w:rPr>
        <w:t>≤2</w:t>
      </w:r>
      <w:r>
        <w:rPr>
          <w:spacing w:val="-6"/>
          <w:sz w:val="24"/>
        </w:rPr>
        <w:t> </w:t>
      </w:r>
      <w:r>
        <w:rPr>
          <w:sz w:val="24"/>
        </w:rPr>
        <w:t>mm,</w:t>
      </w:r>
      <w:r>
        <w:rPr>
          <w:spacing w:val="-6"/>
          <w:sz w:val="24"/>
        </w:rPr>
        <w:t> </w:t>
      </w:r>
      <w:r>
        <w:rPr>
          <w:sz w:val="24"/>
        </w:rPr>
        <w:t>o</w:t>
      </w:r>
      <w:r>
        <w:rPr>
          <w:spacing w:val="-6"/>
          <w:sz w:val="24"/>
        </w:rPr>
        <w:t> </w:t>
      </w:r>
      <w:r>
        <w:rPr>
          <w:sz w:val="24"/>
        </w:rPr>
        <w:t>menos</w:t>
      </w:r>
      <w:r>
        <w:rPr>
          <w:spacing w:val="-7"/>
          <w:sz w:val="24"/>
        </w:rPr>
        <w:t> </w:t>
      </w:r>
      <w:r>
        <w:rPr>
          <w:sz w:val="24"/>
        </w:rPr>
        <w:t>de</w:t>
      </w:r>
      <w:r>
        <w:rPr>
          <w:spacing w:val="-6"/>
          <w:sz w:val="24"/>
        </w:rPr>
        <w:t> </w:t>
      </w:r>
      <w:r>
        <w:rPr>
          <w:sz w:val="24"/>
        </w:rPr>
        <w:t>20</w:t>
      </w:r>
      <w:r>
        <w:rPr>
          <w:spacing w:val="-4"/>
          <w:sz w:val="24"/>
        </w:rPr>
        <w:t> </w:t>
      </w:r>
      <w:r>
        <w:rPr>
          <w:sz w:val="24"/>
        </w:rPr>
        <w:t>comedones</w:t>
      </w:r>
      <w:r>
        <w:rPr>
          <w:spacing w:val="-7"/>
          <w:sz w:val="24"/>
        </w:rPr>
        <w:t> </w:t>
      </w:r>
      <w:r>
        <w:rPr>
          <w:sz w:val="24"/>
        </w:rPr>
        <w:t>de</w:t>
      </w:r>
      <w:r>
        <w:rPr>
          <w:spacing w:val="-6"/>
          <w:sz w:val="24"/>
        </w:rPr>
        <w:t> </w:t>
      </w:r>
      <w:r>
        <w:rPr>
          <w:sz w:val="24"/>
        </w:rPr>
        <w:t>más</w:t>
      </w:r>
      <w:r>
        <w:rPr>
          <w:spacing w:val="-7"/>
          <w:sz w:val="24"/>
        </w:rPr>
        <w:t> </w:t>
      </w:r>
      <w:r>
        <w:rPr>
          <w:sz w:val="24"/>
        </w:rPr>
        <w:t>de</w:t>
      </w:r>
      <w:r>
        <w:rPr>
          <w:spacing w:val="-6"/>
          <w:sz w:val="24"/>
        </w:rPr>
        <w:t> </w:t>
      </w:r>
      <w:r>
        <w:rPr>
          <w:sz w:val="24"/>
        </w:rPr>
        <w:t>2</w:t>
      </w:r>
      <w:r>
        <w:rPr>
          <w:spacing w:val="-6"/>
          <w:sz w:val="24"/>
        </w:rPr>
        <w:t> </w:t>
      </w:r>
      <w:r>
        <w:rPr>
          <w:sz w:val="24"/>
        </w:rPr>
        <w:t>mm</w:t>
      </w:r>
    </w:p>
    <w:p>
      <w:pPr>
        <w:pStyle w:val="BodyText"/>
        <w:spacing w:before="8"/>
        <w:rPr>
          <w:sz w:val="26"/>
        </w:rPr>
      </w:pPr>
    </w:p>
    <w:p>
      <w:pPr>
        <w:pStyle w:val="ListParagraph"/>
        <w:numPr>
          <w:ilvl w:val="1"/>
          <w:numId w:val="2"/>
        </w:numPr>
        <w:tabs>
          <w:tab w:pos="1041" w:val="left" w:leader="none"/>
          <w:tab w:pos="1042" w:val="left" w:leader="none"/>
        </w:tabs>
        <w:spacing w:line="240" w:lineRule="auto" w:before="0" w:after="0"/>
        <w:ind w:left="1042" w:right="0" w:hanging="360"/>
        <w:jc w:val="left"/>
        <w:rPr>
          <w:sz w:val="24"/>
        </w:rPr>
      </w:pPr>
      <w:r>
        <w:rPr>
          <w:sz w:val="24"/>
        </w:rPr>
        <w:t>Moderado: más de 20 comedones ≥2 mm con menos de 20</w:t>
      </w:r>
      <w:r>
        <w:rPr>
          <w:spacing w:val="-27"/>
          <w:sz w:val="24"/>
        </w:rPr>
        <w:t> </w:t>
      </w:r>
      <w:r>
        <w:rPr>
          <w:sz w:val="24"/>
        </w:rPr>
        <w:t>pústulas</w:t>
      </w:r>
    </w:p>
    <w:p>
      <w:pPr>
        <w:pStyle w:val="BodyText"/>
        <w:spacing w:before="1"/>
        <w:rPr>
          <w:sz w:val="27"/>
        </w:rPr>
      </w:pPr>
    </w:p>
    <w:p>
      <w:pPr>
        <w:pStyle w:val="ListParagraph"/>
        <w:numPr>
          <w:ilvl w:val="1"/>
          <w:numId w:val="2"/>
        </w:numPr>
        <w:tabs>
          <w:tab w:pos="1041" w:val="left" w:leader="none"/>
          <w:tab w:pos="1042" w:val="left" w:leader="none"/>
        </w:tabs>
        <w:spacing w:line="240" w:lineRule="auto" w:before="0" w:after="0"/>
        <w:ind w:left="1042" w:right="0" w:hanging="360"/>
        <w:jc w:val="left"/>
        <w:rPr>
          <w:sz w:val="24"/>
        </w:rPr>
      </w:pPr>
      <w:r>
        <w:rPr>
          <w:sz w:val="24"/>
        </w:rPr>
        <w:t>Severo: más de 20 comedones ≥2 mm con más de 20</w:t>
      </w:r>
      <w:r>
        <w:rPr>
          <w:spacing w:val="-20"/>
          <w:sz w:val="24"/>
        </w:rPr>
        <w:t> </w:t>
      </w:r>
      <w:r>
        <w:rPr>
          <w:sz w:val="24"/>
        </w:rPr>
        <w:t>pústulas</w:t>
      </w:r>
    </w:p>
    <w:p>
      <w:pPr>
        <w:pStyle w:val="BodyText"/>
        <w:spacing w:before="2"/>
        <w:rPr>
          <w:sz w:val="19"/>
        </w:rPr>
      </w:pPr>
    </w:p>
    <w:p>
      <w:pPr>
        <w:pStyle w:val="ListParagraph"/>
        <w:numPr>
          <w:ilvl w:val="1"/>
          <w:numId w:val="2"/>
        </w:numPr>
        <w:tabs>
          <w:tab w:pos="1041" w:val="left" w:leader="none"/>
          <w:tab w:pos="1042" w:val="left" w:leader="none"/>
        </w:tabs>
        <w:spacing w:line="240" w:lineRule="auto" w:before="0" w:after="0"/>
        <w:ind w:left="1042" w:right="0" w:hanging="360"/>
        <w:jc w:val="left"/>
        <w:rPr>
          <w:sz w:val="24"/>
        </w:rPr>
      </w:pPr>
      <w:r>
        <w:rPr>
          <w:sz w:val="24"/>
        </w:rPr>
        <w:t>Quístico: lesiones inflamatorias ≥5 mm en número</w:t>
      </w:r>
      <w:r>
        <w:rPr>
          <w:spacing w:val="-17"/>
          <w:sz w:val="24"/>
        </w:rPr>
        <w:t> </w:t>
      </w:r>
      <w:r>
        <w:rPr>
          <w:sz w:val="24"/>
        </w:rPr>
        <w:t>variable</w:t>
      </w:r>
    </w:p>
    <w:p>
      <w:pPr>
        <w:pStyle w:val="BodyText"/>
      </w:pPr>
    </w:p>
    <w:p>
      <w:pPr>
        <w:pStyle w:val="BodyText"/>
      </w:pPr>
    </w:p>
    <w:p>
      <w:pPr>
        <w:pStyle w:val="BodyText"/>
        <w:spacing w:before="1"/>
        <w:rPr>
          <w:sz w:val="31"/>
        </w:rPr>
      </w:pPr>
    </w:p>
    <w:p>
      <w:pPr>
        <w:pStyle w:val="BodyText"/>
        <w:spacing w:line="364" w:lineRule="auto"/>
        <w:ind w:left="317" w:right="592" w:hanging="10"/>
        <w:jc w:val="both"/>
      </w:pPr>
      <w:r>
        <w:rPr/>
        <w:t>El</w:t>
      </w:r>
      <w:r>
        <w:rPr>
          <w:spacing w:val="-15"/>
        </w:rPr>
        <w:t> </w:t>
      </w:r>
      <w:r>
        <w:rPr/>
        <w:t>hiperadrogenismo</w:t>
      </w:r>
      <w:r>
        <w:rPr>
          <w:spacing w:val="-16"/>
        </w:rPr>
        <w:t> </w:t>
      </w:r>
      <w:r>
        <w:rPr/>
        <w:t>es</w:t>
      </w:r>
      <w:r>
        <w:rPr>
          <w:spacing w:val="-15"/>
        </w:rPr>
        <w:t> </w:t>
      </w:r>
      <w:r>
        <w:rPr/>
        <w:t>el</w:t>
      </w:r>
      <w:r>
        <w:rPr>
          <w:spacing w:val="-18"/>
        </w:rPr>
        <w:t> </w:t>
      </w:r>
      <w:r>
        <w:rPr/>
        <w:t>distintivo</w:t>
      </w:r>
      <w:r>
        <w:rPr>
          <w:spacing w:val="-14"/>
        </w:rPr>
        <w:t> </w:t>
      </w:r>
      <w:r>
        <w:rPr/>
        <w:t>de</w:t>
      </w:r>
      <w:r>
        <w:rPr>
          <w:spacing w:val="-16"/>
        </w:rPr>
        <w:t> </w:t>
      </w:r>
      <w:r>
        <w:rPr/>
        <w:t>SPO</w:t>
      </w:r>
      <w:r>
        <w:rPr>
          <w:spacing w:val="-17"/>
        </w:rPr>
        <w:t> </w:t>
      </w:r>
      <w:r>
        <w:rPr/>
        <w:t>y</w:t>
      </w:r>
      <w:r>
        <w:rPr>
          <w:spacing w:val="-20"/>
        </w:rPr>
        <w:t> </w:t>
      </w:r>
      <w:r>
        <w:rPr/>
        <w:t>se</w:t>
      </w:r>
      <w:r>
        <w:rPr>
          <w:spacing w:val="-14"/>
        </w:rPr>
        <w:t> </w:t>
      </w:r>
      <w:r>
        <w:rPr/>
        <w:t>origina</w:t>
      </w:r>
      <w:r>
        <w:rPr>
          <w:spacing w:val="-16"/>
        </w:rPr>
        <w:t> </w:t>
      </w:r>
      <w:r>
        <w:rPr/>
        <w:t>predominante</w:t>
      </w:r>
      <w:r>
        <w:rPr>
          <w:spacing w:val="-14"/>
        </w:rPr>
        <w:t> </w:t>
      </w:r>
      <w:r>
        <w:rPr/>
        <w:t>de</w:t>
      </w:r>
      <w:r>
        <w:rPr>
          <w:spacing w:val="-16"/>
        </w:rPr>
        <w:t> </w:t>
      </w:r>
      <w:r>
        <w:rPr/>
        <w:t>las</w:t>
      </w:r>
      <w:r>
        <w:rPr>
          <w:spacing w:val="-14"/>
        </w:rPr>
        <w:t> </w:t>
      </w:r>
      <w:r>
        <w:rPr/>
        <w:t>células intersticiales de la teca ovárica, que se caracterizan por el incremento en la capacidad de biosíntesis de</w:t>
      </w:r>
      <w:r>
        <w:rPr>
          <w:spacing w:val="-16"/>
        </w:rPr>
        <w:t> </w:t>
      </w:r>
      <w:r>
        <w:rPr/>
        <w:t>andrógenos.</w:t>
      </w:r>
    </w:p>
    <w:p>
      <w:pPr>
        <w:pStyle w:val="BodyText"/>
        <w:spacing w:line="364" w:lineRule="auto" w:before="199"/>
        <w:ind w:left="317" w:right="589" w:hanging="10"/>
        <w:jc w:val="both"/>
      </w:pPr>
      <w:r>
        <w:rPr/>
        <w:t>Los niveles circulantes de andrógenos se elevan en un 60 a 80% de los pacientes, mientras</w:t>
      </w:r>
      <w:r>
        <w:rPr>
          <w:spacing w:val="-12"/>
        </w:rPr>
        <w:t> </w:t>
      </w:r>
      <w:r>
        <w:rPr/>
        <w:t>que</w:t>
      </w:r>
      <w:r>
        <w:rPr>
          <w:spacing w:val="-13"/>
        </w:rPr>
        <w:t> </w:t>
      </w:r>
      <w:r>
        <w:rPr/>
        <w:t>el</w:t>
      </w:r>
      <w:r>
        <w:rPr>
          <w:spacing w:val="-14"/>
        </w:rPr>
        <w:t> </w:t>
      </w:r>
      <w:r>
        <w:rPr/>
        <w:t>hirsutismo</w:t>
      </w:r>
      <w:r>
        <w:rPr>
          <w:spacing w:val="-13"/>
        </w:rPr>
        <w:t> </w:t>
      </w:r>
      <w:r>
        <w:rPr/>
        <w:t>está</w:t>
      </w:r>
      <w:r>
        <w:rPr>
          <w:spacing w:val="-11"/>
        </w:rPr>
        <w:t> </w:t>
      </w:r>
      <w:r>
        <w:rPr/>
        <w:t>presente</w:t>
      </w:r>
      <w:r>
        <w:rPr>
          <w:spacing w:val="-13"/>
        </w:rPr>
        <w:t> </w:t>
      </w:r>
      <w:r>
        <w:rPr/>
        <w:t>en</w:t>
      </w:r>
      <w:r>
        <w:rPr>
          <w:spacing w:val="-13"/>
        </w:rPr>
        <w:t> </w:t>
      </w:r>
      <w:r>
        <w:rPr/>
        <w:t>60%</w:t>
      </w:r>
      <w:r>
        <w:rPr>
          <w:spacing w:val="-11"/>
        </w:rPr>
        <w:t> </w:t>
      </w:r>
      <w:r>
        <w:rPr/>
        <w:t>y</w:t>
      </w:r>
      <w:r>
        <w:rPr>
          <w:spacing w:val="-14"/>
        </w:rPr>
        <w:t> </w:t>
      </w:r>
      <w:r>
        <w:rPr/>
        <w:t>el</w:t>
      </w:r>
      <w:r>
        <w:rPr>
          <w:spacing w:val="-12"/>
        </w:rPr>
        <w:t> </w:t>
      </w:r>
      <w:r>
        <w:rPr/>
        <w:t>acné</w:t>
      </w:r>
      <w:r>
        <w:rPr>
          <w:spacing w:val="-13"/>
        </w:rPr>
        <w:t> </w:t>
      </w:r>
      <w:r>
        <w:rPr/>
        <w:t>en</w:t>
      </w:r>
      <w:r>
        <w:rPr>
          <w:spacing w:val="-13"/>
        </w:rPr>
        <w:t> </w:t>
      </w:r>
      <w:r>
        <w:rPr/>
        <w:t>15</w:t>
      </w:r>
      <w:r>
        <w:rPr>
          <w:spacing w:val="-11"/>
        </w:rPr>
        <w:t> </w:t>
      </w:r>
      <w:r>
        <w:rPr/>
        <w:t>%.</w:t>
      </w:r>
      <w:r>
        <w:rPr>
          <w:spacing w:val="-13"/>
        </w:rPr>
        <w:t> </w:t>
      </w:r>
      <w:r>
        <w:rPr/>
        <w:t>Esto</w:t>
      </w:r>
      <w:r>
        <w:rPr>
          <w:spacing w:val="-10"/>
        </w:rPr>
        <w:t> </w:t>
      </w:r>
      <w:r>
        <w:rPr/>
        <w:t>representa un factor de riesgo independiente para el desarrollo de hipertensión y morbilidad cardiovascular, así como síndrome metabólico. El exceso androgénico también conduce al decremento en la sensibilidad de insulina y la tolerancia de</w:t>
      </w:r>
      <w:r>
        <w:rPr>
          <w:spacing w:val="-19"/>
        </w:rPr>
        <w:t> </w:t>
      </w:r>
      <w:r>
        <w:rPr/>
        <w:t>glucosa.</w:t>
      </w:r>
    </w:p>
    <w:p>
      <w:pPr>
        <w:spacing w:after="0" w:line="364" w:lineRule="auto"/>
        <w:jc w:val="both"/>
        <w:sectPr>
          <w:pgSz w:w="12240" w:h="15840"/>
          <w:pgMar w:top="1260" w:bottom="280" w:left="1380" w:right="1100"/>
        </w:sectPr>
      </w:pPr>
    </w:p>
    <w:p>
      <w:pPr>
        <w:pStyle w:val="BodyText"/>
        <w:spacing w:line="362" w:lineRule="auto" w:before="43"/>
        <w:ind w:left="117" w:right="115" w:hanging="10"/>
        <w:jc w:val="both"/>
      </w:pPr>
      <w:r>
        <w:rPr/>
        <w:t>Si la hiperandrogenemia no tiene tratamiento adecuado puede conducir a la patogénesis de acné vulgaris. Los niveles de andrógenos libres elevados representan un factor de riesgo independiente para el desarrollo de hipertensión y complicación cardiovascular</w:t>
      </w:r>
      <w:r>
        <w:rPr>
          <w:position w:val="8"/>
          <w:sz w:val="16"/>
        </w:rPr>
        <w:t>8</w:t>
      </w:r>
      <w:r>
        <w:rPr/>
        <w:t>.</w:t>
      </w:r>
    </w:p>
    <w:p>
      <w:pPr>
        <w:spacing w:before="195"/>
        <w:ind w:left="107" w:right="0" w:firstLine="0"/>
        <w:jc w:val="both"/>
        <w:rPr>
          <w:i/>
          <w:sz w:val="24"/>
        </w:rPr>
      </w:pPr>
      <w:r>
        <w:rPr>
          <w:i/>
          <w:sz w:val="24"/>
          <w:u w:val="single"/>
        </w:rPr>
        <w:t>Hiperandrogenemia (signos bioquímicos)</w:t>
      </w:r>
    </w:p>
    <w:p>
      <w:pPr>
        <w:pStyle w:val="BodyText"/>
        <w:spacing w:before="7"/>
        <w:rPr>
          <w:i/>
          <w:sz w:val="23"/>
        </w:rPr>
      </w:pPr>
    </w:p>
    <w:p>
      <w:pPr>
        <w:pStyle w:val="BodyText"/>
        <w:spacing w:line="364" w:lineRule="auto" w:before="69"/>
        <w:ind w:left="117" w:right="110" w:hanging="10"/>
        <w:jc w:val="both"/>
      </w:pPr>
      <w:r>
        <w:rPr/>
        <w:t>De las dosis disponibles de andrógenos, según consta en las revisiones sistemáticas, se concluye que los dos mejores predictores para el diagnóstico de hiperandrogenemia</w:t>
      </w:r>
      <w:r>
        <w:rPr>
          <w:spacing w:val="-6"/>
        </w:rPr>
        <w:t> </w:t>
      </w:r>
      <w:r>
        <w:rPr/>
        <w:t>son</w:t>
      </w:r>
      <w:r>
        <w:rPr>
          <w:spacing w:val="-6"/>
        </w:rPr>
        <w:t> </w:t>
      </w:r>
      <w:r>
        <w:rPr/>
        <w:t>el</w:t>
      </w:r>
      <w:r>
        <w:rPr>
          <w:spacing w:val="-7"/>
        </w:rPr>
        <w:t> </w:t>
      </w:r>
      <w:r>
        <w:rPr/>
        <w:t>cálculo</w:t>
      </w:r>
      <w:r>
        <w:rPr>
          <w:spacing w:val="-8"/>
        </w:rPr>
        <w:t> </w:t>
      </w:r>
      <w:r>
        <w:rPr/>
        <w:t>del</w:t>
      </w:r>
      <w:r>
        <w:rPr>
          <w:spacing w:val="-7"/>
        </w:rPr>
        <w:t> </w:t>
      </w:r>
      <w:r>
        <w:rPr/>
        <w:t>índice</w:t>
      </w:r>
      <w:r>
        <w:rPr>
          <w:spacing w:val="-9"/>
        </w:rPr>
        <w:t> </w:t>
      </w:r>
      <w:r>
        <w:rPr/>
        <w:t>de</w:t>
      </w:r>
      <w:r>
        <w:rPr>
          <w:spacing w:val="-3"/>
        </w:rPr>
        <w:t> </w:t>
      </w:r>
      <w:r>
        <w:rPr/>
        <w:t>andrógenos</w:t>
      </w:r>
      <w:r>
        <w:rPr>
          <w:spacing w:val="-7"/>
        </w:rPr>
        <w:t> </w:t>
      </w:r>
      <w:r>
        <w:rPr/>
        <w:t>libres</w:t>
      </w:r>
      <w:r>
        <w:rPr>
          <w:spacing w:val="-7"/>
        </w:rPr>
        <w:t> </w:t>
      </w:r>
      <w:r>
        <w:rPr/>
        <w:t>y</w:t>
      </w:r>
      <w:r>
        <w:rPr>
          <w:spacing w:val="-9"/>
        </w:rPr>
        <w:t> </w:t>
      </w:r>
      <w:r>
        <w:rPr/>
        <w:t>de</w:t>
      </w:r>
      <w:r>
        <w:rPr>
          <w:spacing w:val="-6"/>
        </w:rPr>
        <w:t> </w:t>
      </w:r>
      <w:r>
        <w:rPr/>
        <w:t>testosterona libre.</w:t>
      </w:r>
    </w:p>
    <w:p>
      <w:pPr>
        <w:pStyle w:val="ListParagraph"/>
        <w:numPr>
          <w:ilvl w:val="0"/>
          <w:numId w:val="3"/>
        </w:numPr>
        <w:tabs>
          <w:tab w:pos="655" w:val="left" w:leader="none"/>
        </w:tabs>
        <w:spacing w:line="240" w:lineRule="auto" w:before="196" w:after="0"/>
        <w:ind w:left="654" w:right="0" w:hanging="360"/>
        <w:jc w:val="left"/>
        <w:rPr>
          <w:sz w:val="24"/>
        </w:rPr>
      </w:pPr>
      <w:r>
        <w:rPr>
          <w:sz w:val="24"/>
        </w:rPr>
        <w:t>Índice de andrógenos libres (FAI): se calcula mediante la</w:t>
      </w:r>
      <w:r>
        <w:rPr>
          <w:spacing w:val="-24"/>
          <w:sz w:val="24"/>
        </w:rPr>
        <w:t> </w:t>
      </w:r>
      <w:r>
        <w:rPr>
          <w:sz w:val="24"/>
        </w:rPr>
        <w:t>fórmula:</w:t>
      </w:r>
    </w:p>
    <w:p>
      <w:pPr>
        <w:pStyle w:val="BodyText"/>
        <w:spacing w:before="4"/>
        <w:rPr>
          <w:sz w:val="29"/>
        </w:rPr>
      </w:pPr>
    </w:p>
    <w:p>
      <w:pPr>
        <w:pStyle w:val="BodyText"/>
        <w:spacing w:before="1"/>
        <w:ind w:left="2561" w:right="28"/>
      </w:pPr>
      <w:r>
        <w:rPr/>
        <w:t>(testosterona total x 3,47 / SHBG) x 100.</w:t>
      </w:r>
    </w:p>
    <w:p>
      <w:pPr>
        <w:pStyle w:val="BodyText"/>
        <w:spacing w:before="4"/>
        <w:rPr>
          <w:sz w:val="29"/>
        </w:rPr>
      </w:pPr>
    </w:p>
    <w:p>
      <w:pPr>
        <w:pStyle w:val="BodyText"/>
        <w:spacing w:line="364" w:lineRule="auto" w:before="1"/>
        <w:ind w:left="117" w:right="111" w:hanging="10"/>
        <w:jc w:val="both"/>
      </w:pPr>
      <w:r>
        <w:rPr/>
        <w:t>La SHBG es la globulina fijadora de hormonas sexuales. El valor de testosterona total se expresa en ng/ml, mientras que el de SHBG en nmol/l, por lo que para convertir</w:t>
      </w:r>
      <w:r>
        <w:rPr>
          <w:spacing w:val="-13"/>
        </w:rPr>
        <w:t> </w:t>
      </w:r>
      <w:r>
        <w:rPr/>
        <w:t>el</w:t>
      </w:r>
      <w:r>
        <w:rPr>
          <w:spacing w:val="-13"/>
        </w:rPr>
        <w:t> </w:t>
      </w:r>
      <w:r>
        <w:rPr/>
        <w:t>valor</w:t>
      </w:r>
      <w:r>
        <w:rPr>
          <w:spacing w:val="-13"/>
        </w:rPr>
        <w:t> </w:t>
      </w:r>
      <w:r>
        <w:rPr/>
        <w:t>de</w:t>
      </w:r>
      <w:r>
        <w:rPr>
          <w:spacing w:val="-14"/>
        </w:rPr>
        <w:t> </w:t>
      </w:r>
      <w:r>
        <w:rPr/>
        <w:t>testosterona</w:t>
      </w:r>
      <w:r>
        <w:rPr>
          <w:spacing w:val="-14"/>
        </w:rPr>
        <w:t> </w:t>
      </w:r>
      <w:r>
        <w:rPr/>
        <w:t>a</w:t>
      </w:r>
      <w:r>
        <w:rPr>
          <w:spacing w:val="-14"/>
        </w:rPr>
        <w:t> </w:t>
      </w:r>
      <w:r>
        <w:rPr/>
        <w:t>la</w:t>
      </w:r>
      <w:r>
        <w:rPr>
          <w:spacing w:val="-14"/>
        </w:rPr>
        <w:t> </w:t>
      </w:r>
      <w:r>
        <w:rPr/>
        <w:t>expresión</w:t>
      </w:r>
      <w:r>
        <w:rPr>
          <w:spacing w:val="-12"/>
        </w:rPr>
        <w:t> </w:t>
      </w:r>
      <w:r>
        <w:rPr/>
        <w:t>en</w:t>
      </w:r>
      <w:r>
        <w:rPr>
          <w:spacing w:val="-14"/>
        </w:rPr>
        <w:t> </w:t>
      </w:r>
      <w:r>
        <w:rPr/>
        <w:t>nmol/l</w:t>
      </w:r>
      <w:r>
        <w:rPr>
          <w:spacing w:val="-15"/>
        </w:rPr>
        <w:t> </w:t>
      </w:r>
      <w:r>
        <w:rPr/>
        <w:t>debe</w:t>
      </w:r>
      <w:r>
        <w:rPr>
          <w:spacing w:val="-14"/>
        </w:rPr>
        <w:t> </w:t>
      </w:r>
      <w:r>
        <w:rPr/>
        <w:t>multiplicarse</w:t>
      </w:r>
      <w:r>
        <w:rPr>
          <w:spacing w:val="-12"/>
        </w:rPr>
        <w:t> </w:t>
      </w:r>
      <w:r>
        <w:rPr/>
        <w:t>su</w:t>
      </w:r>
      <w:r>
        <w:rPr>
          <w:spacing w:val="-14"/>
        </w:rPr>
        <w:t> </w:t>
      </w:r>
      <w:r>
        <w:rPr/>
        <w:t>valor por la constante 3,47. Se utiliza como valor de corte un resultado ≥4,5, y los resultados mayores son indicadores de</w:t>
      </w:r>
      <w:r>
        <w:rPr>
          <w:spacing w:val="-20"/>
        </w:rPr>
        <w:t> </w:t>
      </w:r>
      <w:r>
        <w:rPr/>
        <w:t>hiperandrogenemia.</w:t>
      </w:r>
    </w:p>
    <w:p>
      <w:pPr>
        <w:pStyle w:val="ListParagraph"/>
        <w:numPr>
          <w:ilvl w:val="0"/>
          <w:numId w:val="3"/>
        </w:numPr>
        <w:tabs>
          <w:tab w:pos="655" w:val="left" w:leader="none"/>
        </w:tabs>
        <w:spacing w:line="364" w:lineRule="auto" w:before="199" w:after="0"/>
        <w:ind w:left="654" w:right="108" w:hanging="360"/>
        <w:jc w:val="both"/>
        <w:rPr>
          <w:sz w:val="24"/>
        </w:rPr>
      </w:pPr>
      <w:r>
        <w:rPr>
          <w:sz w:val="24"/>
        </w:rPr>
        <w:t>Testosterona libre: los resultados no son fidedignos en la actualidad, debido a las dificultades surgidas de los kits comerciales. Dichas determinaciones son las utilizadas para el diagnóstico. Su elección dependerá de la disponibilidad en cada</w:t>
      </w:r>
      <w:r>
        <w:rPr>
          <w:spacing w:val="-4"/>
          <w:sz w:val="24"/>
        </w:rPr>
        <w:t> </w:t>
      </w:r>
      <w:r>
        <w:rPr>
          <w:sz w:val="24"/>
        </w:rPr>
        <w:t>centr</w:t>
      </w:r>
    </w:p>
    <w:p>
      <w:pPr>
        <w:spacing w:before="198"/>
        <w:ind w:left="107" w:right="0" w:firstLine="0"/>
        <w:jc w:val="both"/>
        <w:rPr>
          <w:rFonts w:ascii="Calibri" w:hAnsi="Calibri"/>
          <w:sz w:val="22"/>
        </w:rPr>
      </w:pPr>
      <w:r>
        <w:rPr>
          <w:rFonts w:ascii="Calibri" w:hAnsi="Calibri"/>
          <w:color w:val="5A5A5A"/>
          <w:sz w:val="22"/>
        </w:rPr>
        <w:t>MECANISMO DE ANOVULACIÓN</w:t>
      </w:r>
    </w:p>
    <w:p>
      <w:pPr>
        <w:pStyle w:val="BodyText"/>
        <w:rPr>
          <w:rFonts w:ascii="Calibri"/>
          <w:sz w:val="22"/>
        </w:rPr>
      </w:pPr>
    </w:p>
    <w:p>
      <w:pPr>
        <w:pStyle w:val="BodyText"/>
        <w:spacing w:before="5"/>
        <w:rPr>
          <w:rFonts w:ascii="Calibri"/>
          <w:sz w:val="16"/>
        </w:rPr>
      </w:pPr>
    </w:p>
    <w:p>
      <w:pPr>
        <w:pStyle w:val="BodyText"/>
        <w:spacing w:line="364" w:lineRule="auto"/>
        <w:ind w:left="117" w:right="109" w:hanging="10"/>
        <w:jc w:val="both"/>
      </w:pPr>
      <w:r>
        <w:rPr/>
        <w:t>En el síndrome de ovario poliquístico sigue siendo poco claro. Es evidente que aumenta la población de folículos antrales y que se atrofia el desarrollo folicular. También se sabe que el desarrollo de los folículos preantrales no está principalmente bajo control hormonal. La evidencia sustenta que los componentes de la red intraovárica funcionan como reguladores del desarrollo de los folículos antrales.</w:t>
      </w:r>
      <w:r>
        <w:rPr>
          <w:spacing w:val="-13"/>
        </w:rPr>
        <w:t> </w:t>
      </w:r>
      <w:r>
        <w:rPr/>
        <w:t>Se</w:t>
      </w:r>
      <w:r>
        <w:rPr>
          <w:spacing w:val="-11"/>
        </w:rPr>
        <w:t> </w:t>
      </w:r>
      <w:r>
        <w:rPr/>
        <w:t>sabe</w:t>
      </w:r>
      <w:r>
        <w:rPr>
          <w:spacing w:val="-11"/>
        </w:rPr>
        <w:t> </w:t>
      </w:r>
      <w:r>
        <w:rPr/>
        <w:t>que</w:t>
      </w:r>
      <w:r>
        <w:rPr>
          <w:spacing w:val="-13"/>
        </w:rPr>
        <w:t> </w:t>
      </w:r>
      <w:r>
        <w:rPr/>
        <w:t>muchos</w:t>
      </w:r>
      <w:r>
        <w:rPr>
          <w:spacing w:val="-12"/>
        </w:rPr>
        <w:t> </w:t>
      </w:r>
      <w:r>
        <w:rPr/>
        <w:t>de</w:t>
      </w:r>
      <w:r>
        <w:rPr>
          <w:spacing w:val="-11"/>
        </w:rPr>
        <w:t> </w:t>
      </w:r>
      <w:r>
        <w:rPr/>
        <w:t>los</w:t>
      </w:r>
      <w:r>
        <w:rPr>
          <w:spacing w:val="-13"/>
        </w:rPr>
        <w:t> </w:t>
      </w:r>
      <w:r>
        <w:rPr/>
        <w:t>folículos</w:t>
      </w:r>
      <w:r>
        <w:rPr>
          <w:spacing w:val="-11"/>
        </w:rPr>
        <w:t> </w:t>
      </w:r>
      <w:r>
        <w:rPr/>
        <w:t>acumulados</w:t>
      </w:r>
      <w:r>
        <w:rPr>
          <w:spacing w:val="-6"/>
        </w:rPr>
        <w:t> </w:t>
      </w:r>
      <w:r>
        <w:rPr/>
        <w:t>en</w:t>
      </w:r>
      <w:r>
        <w:rPr>
          <w:spacing w:val="-13"/>
        </w:rPr>
        <w:t> </w:t>
      </w:r>
      <w:r>
        <w:rPr/>
        <w:t>el</w:t>
      </w:r>
      <w:r>
        <w:rPr>
          <w:spacing w:val="-12"/>
        </w:rPr>
        <w:t> </w:t>
      </w:r>
      <w:r>
        <w:rPr/>
        <w:t>síndrome</w:t>
      </w:r>
      <w:r>
        <w:rPr>
          <w:spacing w:val="-11"/>
        </w:rPr>
        <w:t> </w:t>
      </w:r>
      <w:r>
        <w:rPr/>
        <w:t>de</w:t>
      </w:r>
      <w:r>
        <w:rPr>
          <w:spacing w:val="-11"/>
        </w:rPr>
        <w:t> </w:t>
      </w:r>
      <w:r>
        <w:rPr/>
        <w:t>ovario poliquístico siguen siendo competentes en un sentido esteroidogénico y</w:t>
      </w:r>
      <w:r>
        <w:rPr>
          <w:spacing w:val="-2"/>
        </w:rPr>
        <w:t> </w:t>
      </w:r>
      <w:r>
        <w:rPr/>
        <w:t>conservan</w:t>
      </w:r>
    </w:p>
    <w:p>
      <w:pPr>
        <w:spacing w:after="0" w:line="364" w:lineRule="auto"/>
        <w:jc w:val="both"/>
        <w:sectPr>
          <w:pgSz w:w="12240" w:h="15840"/>
          <w:pgMar w:top="1220" w:bottom="280" w:left="1580" w:right="1580"/>
        </w:sectPr>
      </w:pPr>
    </w:p>
    <w:p>
      <w:pPr>
        <w:pStyle w:val="BodyText"/>
        <w:spacing w:line="362" w:lineRule="auto" w:before="43"/>
        <w:ind w:left="117" w:right="106"/>
        <w:jc w:val="both"/>
      </w:pPr>
      <w:r>
        <w:rPr/>
        <w:t>la capacidad de producir estrógenos y progesterona. De hecho, es interesante señalar que las mujeres con síndrome de ovario poliquístico producen un exceso tanto de andrógenos como de estrógenos (estrona).</w:t>
      </w:r>
    </w:p>
    <w:p>
      <w:pPr>
        <w:pStyle w:val="BodyText"/>
        <w:spacing w:line="364" w:lineRule="auto" w:before="204"/>
        <w:ind w:left="117" w:right="106" w:hanging="10"/>
        <w:jc w:val="both"/>
      </w:pPr>
      <w:r>
        <w:rPr/>
        <w:t>Una de las características descritas con más frecuencia en el síndrome de ovario poliquístico es el desarreglo funcional en la secreción de LH. Numerosos estudios han mostrado que aumentan la frecuencia, amplitud y concentraciones medias de LH. La aberración en secreción de LH puede ser resultado de aumento en la respuesta hipofisaria y en la actividad hipotalámica de la hormona liberadora de gonadotropina (GnRH). En condiciones normales, los folículos responden a la LH después de alcanzar aproximadamente 10 mm de diámetro; sin embargo, los folículos ováricos poliquísticos adquieren una respuesta a la LH cuando tienen un diámetro</w:t>
      </w:r>
      <w:r>
        <w:rPr>
          <w:spacing w:val="-19"/>
        </w:rPr>
        <w:t> </w:t>
      </w:r>
      <w:r>
        <w:rPr/>
        <w:t>mucho</w:t>
      </w:r>
      <w:r>
        <w:rPr>
          <w:spacing w:val="-18"/>
        </w:rPr>
        <w:t> </w:t>
      </w:r>
      <w:r>
        <w:rPr/>
        <w:t>menor,</w:t>
      </w:r>
      <w:r>
        <w:rPr>
          <w:spacing w:val="-17"/>
        </w:rPr>
        <w:t> </w:t>
      </w:r>
      <w:r>
        <w:rPr/>
        <w:t>lo</w:t>
      </w:r>
      <w:r>
        <w:rPr>
          <w:spacing w:val="-16"/>
        </w:rPr>
        <w:t> </w:t>
      </w:r>
      <w:r>
        <w:rPr/>
        <w:t>cual</w:t>
      </w:r>
      <w:r>
        <w:rPr>
          <w:spacing w:val="-19"/>
        </w:rPr>
        <w:t> </w:t>
      </w:r>
      <w:r>
        <w:rPr/>
        <w:t>puede</w:t>
      </w:r>
      <w:r>
        <w:rPr>
          <w:spacing w:val="-16"/>
        </w:rPr>
        <w:t> </w:t>
      </w:r>
      <w:r>
        <w:rPr/>
        <w:t>conducir</w:t>
      </w:r>
      <w:r>
        <w:rPr>
          <w:spacing w:val="-18"/>
        </w:rPr>
        <w:t> </w:t>
      </w:r>
      <w:r>
        <w:rPr/>
        <w:t>a</w:t>
      </w:r>
      <w:r>
        <w:rPr>
          <w:spacing w:val="-16"/>
        </w:rPr>
        <w:t> </w:t>
      </w:r>
      <w:r>
        <w:rPr/>
        <w:t>diferenciación</w:t>
      </w:r>
      <w:r>
        <w:rPr>
          <w:spacing w:val="-15"/>
        </w:rPr>
        <w:t> </w:t>
      </w:r>
      <w:r>
        <w:rPr/>
        <w:t>terminal</w:t>
      </w:r>
      <w:r>
        <w:rPr>
          <w:spacing w:val="-17"/>
        </w:rPr>
        <w:t> </w:t>
      </w:r>
      <w:r>
        <w:rPr/>
        <w:t>inapropiada de las células de la granulosa y dar por resultado una desorganización en el desarrollo</w:t>
      </w:r>
      <w:r>
        <w:rPr>
          <w:spacing w:val="-17"/>
        </w:rPr>
        <w:t> </w:t>
      </w:r>
      <w:r>
        <w:rPr/>
        <w:t>folicular.</w:t>
      </w:r>
      <w:r>
        <w:rPr>
          <w:spacing w:val="-17"/>
        </w:rPr>
        <w:t> </w:t>
      </w:r>
      <w:r>
        <w:rPr/>
        <w:t>Se</w:t>
      </w:r>
      <w:r>
        <w:rPr>
          <w:spacing w:val="-19"/>
        </w:rPr>
        <w:t> </w:t>
      </w:r>
      <w:r>
        <w:rPr/>
        <w:t>ha</w:t>
      </w:r>
      <w:r>
        <w:rPr>
          <w:spacing w:val="-14"/>
        </w:rPr>
        <w:t> </w:t>
      </w:r>
      <w:r>
        <w:rPr/>
        <w:t>sugerido</w:t>
      </w:r>
      <w:r>
        <w:rPr>
          <w:spacing w:val="-14"/>
        </w:rPr>
        <w:t> </w:t>
      </w:r>
      <w:r>
        <w:rPr/>
        <w:t>que</w:t>
      </w:r>
      <w:r>
        <w:rPr>
          <w:spacing w:val="-16"/>
        </w:rPr>
        <w:t> </w:t>
      </w:r>
      <w:r>
        <w:rPr/>
        <w:t>las</w:t>
      </w:r>
      <w:r>
        <w:rPr>
          <w:spacing w:val="-17"/>
        </w:rPr>
        <w:t> </w:t>
      </w:r>
      <w:r>
        <w:rPr/>
        <w:t>células</w:t>
      </w:r>
      <w:r>
        <w:rPr>
          <w:spacing w:val="-17"/>
        </w:rPr>
        <w:t> </w:t>
      </w:r>
      <w:r>
        <w:rPr/>
        <w:t>de</w:t>
      </w:r>
      <w:r>
        <w:rPr>
          <w:spacing w:val="-14"/>
        </w:rPr>
        <w:t> </w:t>
      </w:r>
      <w:r>
        <w:rPr/>
        <w:t>la</w:t>
      </w:r>
      <w:r>
        <w:rPr>
          <w:spacing w:val="-14"/>
        </w:rPr>
        <w:t> </w:t>
      </w:r>
      <w:r>
        <w:rPr/>
        <w:t>teca</w:t>
      </w:r>
      <w:r>
        <w:rPr>
          <w:spacing w:val="-16"/>
        </w:rPr>
        <w:t> </w:t>
      </w:r>
      <w:r>
        <w:rPr/>
        <w:t>aumentan</w:t>
      </w:r>
      <w:r>
        <w:rPr>
          <w:spacing w:val="-14"/>
        </w:rPr>
        <w:t> </w:t>
      </w:r>
      <w:r>
        <w:rPr/>
        <w:t>su</w:t>
      </w:r>
      <w:r>
        <w:rPr>
          <w:spacing w:val="-17"/>
        </w:rPr>
        <w:t> </w:t>
      </w:r>
      <w:r>
        <w:rPr/>
        <w:t>expresión de enzimas esteroidogénicas después de la estimulación de LH, en tanto que la granulosa presenta resistencia a la FSH. Las concentraciones elevadas de LH y la hiperinsulinemia relativa que existen en algunas pacientes con síndrome de ovario poliquístico quizá potencien de manera sinérgica la génesis folicular</w:t>
      </w:r>
      <w:r>
        <w:rPr>
          <w:spacing w:val="-27"/>
        </w:rPr>
        <w:t> </w:t>
      </w:r>
      <w:r>
        <w:rPr/>
        <w:t>trastornada.</w:t>
      </w:r>
    </w:p>
    <w:p>
      <w:pPr>
        <w:pStyle w:val="BodyText"/>
        <w:spacing w:line="364" w:lineRule="auto" w:before="199"/>
        <w:ind w:left="117" w:right="112" w:hanging="10"/>
        <w:jc w:val="both"/>
      </w:pPr>
      <w:r>
        <w:rPr/>
        <w:t>Aunque</w:t>
      </w:r>
      <w:r>
        <w:rPr>
          <w:spacing w:val="-11"/>
        </w:rPr>
        <w:t> </w:t>
      </w:r>
      <w:r>
        <w:rPr/>
        <w:t>el</w:t>
      </w:r>
      <w:r>
        <w:rPr>
          <w:spacing w:val="-10"/>
        </w:rPr>
        <w:t> </w:t>
      </w:r>
      <w:r>
        <w:rPr/>
        <w:t>hiperandrogenismo</w:t>
      </w:r>
      <w:r>
        <w:rPr>
          <w:spacing w:val="-8"/>
        </w:rPr>
        <w:t> </w:t>
      </w:r>
      <w:r>
        <w:rPr/>
        <w:t>es</w:t>
      </w:r>
      <w:r>
        <w:rPr>
          <w:spacing w:val="-12"/>
        </w:rPr>
        <w:t> </w:t>
      </w:r>
      <w:r>
        <w:rPr/>
        <w:t>parte</w:t>
      </w:r>
      <w:r>
        <w:rPr>
          <w:spacing w:val="-11"/>
        </w:rPr>
        <w:t> </w:t>
      </w:r>
      <w:r>
        <w:rPr/>
        <w:t>de</w:t>
      </w:r>
      <w:r>
        <w:rPr>
          <w:spacing w:val="-8"/>
        </w:rPr>
        <w:t> </w:t>
      </w:r>
      <w:r>
        <w:rPr/>
        <w:t>los</w:t>
      </w:r>
      <w:r>
        <w:rPr>
          <w:spacing w:val="-12"/>
        </w:rPr>
        <w:t> </w:t>
      </w:r>
      <w:r>
        <w:rPr/>
        <w:t>criterios</w:t>
      </w:r>
      <w:r>
        <w:rPr>
          <w:spacing w:val="-9"/>
        </w:rPr>
        <w:t> </w:t>
      </w:r>
      <w:r>
        <w:rPr/>
        <w:t>diagnósticos</w:t>
      </w:r>
      <w:r>
        <w:rPr>
          <w:spacing w:val="-12"/>
        </w:rPr>
        <w:t> </w:t>
      </w:r>
      <w:r>
        <w:rPr/>
        <w:t>del</w:t>
      </w:r>
      <w:r>
        <w:rPr>
          <w:spacing w:val="-10"/>
        </w:rPr>
        <w:t> </w:t>
      </w:r>
      <w:r>
        <w:rPr/>
        <w:t>síndrome</w:t>
      </w:r>
      <w:r>
        <w:rPr>
          <w:spacing w:val="-11"/>
        </w:rPr>
        <w:t> </w:t>
      </w:r>
      <w:r>
        <w:rPr/>
        <w:t>de ovario poliquístico, su impacto directo sobre la génesis de los folículos no es evidente.</w:t>
      </w:r>
      <w:r>
        <w:rPr>
          <w:spacing w:val="-13"/>
        </w:rPr>
        <w:t> </w:t>
      </w:r>
      <w:r>
        <w:rPr/>
        <w:t>Es</w:t>
      </w:r>
      <w:r>
        <w:rPr>
          <w:spacing w:val="-12"/>
        </w:rPr>
        <w:t> </w:t>
      </w:r>
      <w:r>
        <w:rPr/>
        <w:t>posible</w:t>
      </w:r>
      <w:r>
        <w:rPr>
          <w:spacing w:val="-11"/>
        </w:rPr>
        <w:t> </w:t>
      </w:r>
      <w:r>
        <w:rPr/>
        <w:t>concebir</w:t>
      </w:r>
      <w:r>
        <w:rPr>
          <w:spacing w:val="-13"/>
        </w:rPr>
        <w:t> </w:t>
      </w:r>
      <w:r>
        <w:rPr/>
        <w:t>que</w:t>
      </w:r>
      <w:r>
        <w:rPr>
          <w:spacing w:val="-11"/>
        </w:rPr>
        <w:t> </w:t>
      </w:r>
      <w:r>
        <w:rPr/>
        <w:t>los</w:t>
      </w:r>
      <w:r>
        <w:rPr>
          <w:spacing w:val="-12"/>
        </w:rPr>
        <w:t> </w:t>
      </w:r>
      <w:r>
        <w:rPr/>
        <w:t>andrógenos</w:t>
      </w:r>
      <w:r>
        <w:rPr>
          <w:spacing w:val="-12"/>
        </w:rPr>
        <w:t> </w:t>
      </w:r>
      <w:r>
        <w:rPr/>
        <w:t>contribuyen</w:t>
      </w:r>
      <w:r>
        <w:rPr>
          <w:spacing w:val="-13"/>
        </w:rPr>
        <w:t> </w:t>
      </w:r>
      <w:r>
        <w:rPr/>
        <w:t>a</w:t>
      </w:r>
      <w:r>
        <w:rPr>
          <w:spacing w:val="-11"/>
        </w:rPr>
        <w:t> </w:t>
      </w:r>
      <w:r>
        <w:rPr/>
        <w:t>los</w:t>
      </w:r>
      <w:r>
        <w:rPr>
          <w:spacing w:val="-13"/>
        </w:rPr>
        <w:t> </w:t>
      </w:r>
      <w:r>
        <w:rPr/>
        <w:t>efectos</w:t>
      </w:r>
      <w:r>
        <w:rPr>
          <w:spacing w:val="-14"/>
        </w:rPr>
        <w:t> </w:t>
      </w:r>
      <w:r>
        <w:rPr/>
        <w:t>de</w:t>
      </w:r>
      <w:r>
        <w:rPr>
          <w:spacing w:val="-13"/>
        </w:rPr>
        <w:t> </w:t>
      </w:r>
      <w:r>
        <w:rPr/>
        <w:t>la</w:t>
      </w:r>
      <w:r>
        <w:rPr>
          <w:spacing w:val="-11"/>
        </w:rPr>
        <w:t> </w:t>
      </w:r>
      <w:r>
        <w:rPr/>
        <w:t>LH y de la insulina sobre la maduración folicular. También es posible que el exceso de estrógenos provoque un circuito de retroalimentación negativa que inhiba la liberación de FSH e impida el desarrollo folicular</w:t>
      </w:r>
      <w:r>
        <w:rPr>
          <w:spacing w:val="-20"/>
        </w:rPr>
        <w:t> </w:t>
      </w:r>
      <w:r>
        <w:rPr/>
        <w:t>posterior.</w:t>
      </w:r>
    </w:p>
    <w:p>
      <w:pPr>
        <w:pStyle w:val="BodyText"/>
        <w:spacing w:line="364" w:lineRule="auto" w:before="199"/>
        <w:ind w:left="117" w:right="106" w:hanging="10"/>
        <w:jc w:val="both"/>
      </w:pPr>
      <w:r>
        <w:rPr/>
        <w:t>La mayoría de los expertos opinan que el exceso en la producción de andrógenos constituye una anormalidad fundamental en las mujeres con SOP. Los andrógenos dentro</w:t>
      </w:r>
      <w:r>
        <w:rPr>
          <w:spacing w:val="-9"/>
        </w:rPr>
        <w:t> </w:t>
      </w:r>
      <w:r>
        <w:rPr/>
        <w:t>del</w:t>
      </w:r>
      <w:r>
        <w:rPr>
          <w:spacing w:val="-7"/>
        </w:rPr>
        <w:t> </w:t>
      </w:r>
      <w:r>
        <w:rPr/>
        <w:t>ovario</w:t>
      </w:r>
      <w:r>
        <w:rPr>
          <w:spacing w:val="-6"/>
        </w:rPr>
        <w:t> </w:t>
      </w:r>
      <w:r>
        <w:rPr/>
        <w:t>se</w:t>
      </w:r>
      <w:r>
        <w:rPr>
          <w:spacing w:val="-6"/>
        </w:rPr>
        <w:t> </w:t>
      </w:r>
      <w:r>
        <w:rPr/>
        <w:t>producen</w:t>
      </w:r>
      <w:r>
        <w:rPr>
          <w:spacing w:val="-6"/>
        </w:rPr>
        <w:t> </w:t>
      </w:r>
      <w:r>
        <w:rPr/>
        <w:t>principalmente</w:t>
      </w:r>
      <w:r>
        <w:rPr>
          <w:spacing w:val="-8"/>
        </w:rPr>
        <w:t> </w:t>
      </w:r>
      <w:r>
        <w:rPr/>
        <w:t>por</w:t>
      </w:r>
      <w:r>
        <w:rPr>
          <w:spacing w:val="-7"/>
        </w:rPr>
        <w:t> </w:t>
      </w:r>
      <w:r>
        <w:rPr/>
        <w:t>las</w:t>
      </w:r>
      <w:r>
        <w:rPr>
          <w:spacing w:val="-6"/>
        </w:rPr>
        <w:t> </w:t>
      </w:r>
      <w:r>
        <w:rPr/>
        <w:t>células</w:t>
      </w:r>
      <w:r>
        <w:rPr>
          <w:spacing w:val="-7"/>
        </w:rPr>
        <w:t> </w:t>
      </w:r>
      <w:r>
        <w:rPr/>
        <w:t>intersticiales</w:t>
      </w:r>
      <w:r>
        <w:rPr>
          <w:spacing w:val="-7"/>
        </w:rPr>
        <w:t> </w:t>
      </w:r>
      <w:r>
        <w:rPr/>
        <w:t>de</w:t>
      </w:r>
      <w:r>
        <w:rPr>
          <w:spacing w:val="-6"/>
        </w:rPr>
        <w:t> </w:t>
      </w:r>
      <w:r>
        <w:rPr/>
        <w:t>la</w:t>
      </w:r>
      <w:r>
        <w:rPr>
          <w:spacing w:val="-6"/>
        </w:rPr>
        <w:t> </w:t>
      </w:r>
      <w:r>
        <w:rPr/>
        <w:t>teca que rodean el folículo y en menor grado por las células intersticiales secundarias localizadas en el estroma. Se piensa que el complejo CYP17α es la enzima clave en la biosíntesis de andrógenos ováricos. En condiciones normales, una gran proporción de los andrógenos que se producen en las células de la teca se</w:t>
      </w:r>
      <w:r>
        <w:rPr>
          <w:spacing w:val="-17"/>
        </w:rPr>
        <w:t> </w:t>
      </w:r>
      <w:r>
        <w:rPr/>
        <w:t>difunde</w:t>
      </w:r>
    </w:p>
    <w:p>
      <w:pPr>
        <w:spacing w:after="0" w:line="364" w:lineRule="auto"/>
        <w:jc w:val="both"/>
        <w:sectPr>
          <w:pgSz w:w="12240" w:h="15840"/>
          <w:pgMar w:top="1220" w:bottom="280" w:left="1580" w:right="1580"/>
        </w:sectPr>
      </w:pPr>
    </w:p>
    <w:p>
      <w:pPr>
        <w:pStyle w:val="BodyText"/>
        <w:spacing w:line="364" w:lineRule="auto" w:before="43"/>
        <w:ind w:left="117" w:right="114"/>
        <w:jc w:val="both"/>
      </w:pPr>
      <w:r>
        <w:rPr/>
        <w:t>a la capa de células granulosas del folículo, donde se convierte con rapidez en estrógeno. El control intrínseco de la producción de andrógenos en el ovario se modula por medio de hormonas y factores intraováricos. La disregulación de la producción hormonal es la responsable más probable del SOP.</w:t>
      </w:r>
    </w:p>
    <w:p>
      <w:pPr>
        <w:pStyle w:val="BodyText"/>
        <w:spacing w:line="364" w:lineRule="auto" w:before="199"/>
        <w:ind w:left="117" w:right="105" w:hanging="10"/>
        <w:jc w:val="both"/>
      </w:pPr>
      <w:r>
        <w:rPr/>
        <w:t>Se ha encontrado que las proteínas fijadoras de IGF (IGFBP), en especial</w:t>
      </w:r>
      <w:r>
        <w:rPr>
          <w:spacing w:val="-36"/>
        </w:rPr>
        <w:t> </w:t>
      </w:r>
      <w:r>
        <w:rPr/>
        <w:t>IGFBP-2 e IGFBP-4, aumentan en el líquido folicular de los ovarios poliquísticos. Es posible que actúen de manera local reduciendo la IGF-2 libre y, en consecuencia, que reduzcan los efectos de la FSH en el ovocito y las células de la granulosa. De manera alternativa, es posible que estas células provoquen una regulación descendente de sus receptores de insulina como resultado de hiperinsulinemia. Esto privaría a las células de la granulosa de su co-gonadotropina, IGF-2, y eso explicaría la relativa insensibilidad a la FSH. La inhibina también es una candidata probable, debido a que una gran proporción de mujeres con síndrome de ovario poliquístico</w:t>
      </w:r>
      <w:r>
        <w:rPr>
          <w:spacing w:val="-6"/>
        </w:rPr>
        <w:t> </w:t>
      </w:r>
      <w:r>
        <w:rPr/>
        <w:t>tienen</w:t>
      </w:r>
      <w:r>
        <w:rPr>
          <w:spacing w:val="-6"/>
        </w:rPr>
        <w:t> </w:t>
      </w:r>
      <w:r>
        <w:rPr/>
        <w:t>una</w:t>
      </w:r>
      <w:r>
        <w:rPr>
          <w:spacing w:val="-8"/>
        </w:rPr>
        <w:t> </w:t>
      </w:r>
      <w:r>
        <w:rPr/>
        <w:t>relativa</w:t>
      </w:r>
      <w:r>
        <w:rPr>
          <w:spacing w:val="-6"/>
        </w:rPr>
        <w:t> </w:t>
      </w:r>
      <w:r>
        <w:rPr/>
        <w:t>supresión</w:t>
      </w:r>
      <w:r>
        <w:rPr>
          <w:spacing w:val="-8"/>
        </w:rPr>
        <w:t> </w:t>
      </w:r>
      <w:r>
        <w:rPr/>
        <w:t>de</w:t>
      </w:r>
      <w:r>
        <w:rPr>
          <w:spacing w:val="-8"/>
        </w:rPr>
        <w:t> </w:t>
      </w:r>
      <w:r>
        <w:rPr/>
        <w:t>FSH.</w:t>
      </w:r>
      <w:r>
        <w:rPr>
          <w:spacing w:val="-7"/>
        </w:rPr>
        <w:t> </w:t>
      </w:r>
      <w:r>
        <w:rPr/>
        <w:t>Sin</w:t>
      </w:r>
      <w:r>
        <w:rPr>
          <w:spacing w:val="-9"/>
        </w:rPr>
        <w:t> </w:t>
      </w:r>
      <w:r>
        <w:rPr/>
        <w:t>embargo,</w:t>
      </w:r>
      <w:r>
        <w:rPr>
          <w:spacing w:val="-6"/>
        </w:rPr>
        <w:t> </w:t>
      </w:r>
      <w:r>
        <w:rPr/>
        <w:t>los</w:t>
      </w:r>
      <w:r>
        <w:rPr>
          <w:spacing w:val="-9"/>
        </w:rPr>
        <w:t> </w:t>
      </w:r>
      <w:r>
        <w:rPr/>
        <w:t>estudios</w:t>
      </w:r>
      <w:r>
        <w:rPr>
          <w:spacing w:val="-9"/>
        </w:rPr>
        <w:t> </w:t>
      </w:r>
      <w:r>
        <w:rPr/>
        <w:t>no</w:t>
      </w:r>
      <w:r>
        <w:rPr>
          <w:spacing w:val="-8"/>
        </w:rPr>
        <w:t> </w:t>
      </w:r>
      <w:r>
        <w:rPr/>
        <w:t>han mostrado resultados consistentes, lo cual sugiere que, si existe participación de la inhibina, el efecto es</w:t>
      </w:r>
      <w:r>
        <w:rPr>
          <w:spacing w:val="-8"/>
        </w:rPr>
        <w:t> </w:t>
      </w:r>
      <w:r>
        <w:rPr/>
        <w:t>mínimo.</w:t>
      </w:r>
    </w:p>
    <w:p>
      <w:pPr>
        <w:pStyle w:val="BodyText"/>
        <w:spacing w:line="364" w:lineRule="auto" w:before="199"/>
        <w:ind w:left="117" w:right="107" w:hanging="10"/>
        <w:jc w:val="both"/>
      </w:pPr>
      <w:r>
        <w:rPr/>
        <w:t>La glándula suprarrenal puede tener una importante participación en la patogenia de algunos casos de SPO. La conexión parece plausible, debido a que los andrógenos suprarrenales se pueden convertir en andrógenos más potentes en el ovario. Lo que, es más, una parte significativa de las mujeres con hiperplasia suprarrenal</w:t>
      </w:r>
      <w:r>
        <w:rPr>
          <w:spacing w:val="-19"/>
        </w:rPr>
        <w:t> </w:t>
      </w:r>
      <w:r>
        <w:rPr/>
        <w:t>congénita</w:t>
      </w:r>
      <w:r>
        <w:rPr>
          <w:spacing w:val="-17"/>
        </w:rPr>
        <w:t> </w:t>
      </w:r>
      <w:r>
        <w:rPr/>
        <w:t>tienen</w:t>
      </w:r>
      <w:r>
        <w:rPr>
          <w:spacing w:val="-17"/>
        </w:rPr>
        <w:t> </w:t>
      </w:r>
      <w:r>
        <w:rPr/>
        <w:t>ovarios</w:t>
      </w:r>
      <w:r>
        <w:rPr>
          <w:spacing w:val="-16"/>
        </w:rPr>
        <w:t> </w:t>
      </w:r>
      <w:r>
        <w:rPr/>
        <w:t>poliquísticos.</w:t>
      </w:r>
      <w:r>
        <w:rPr>
          <w:spacing w:val="-16"/>
        </w:rPr>
        <w:t> </w:t>
      </w:r>
      <w:r>
        <w:rPr/>
        <w:t>Las</w:t>
      </w:r>
      <w:r>
        <w:rPr>
          <w:spacing w:val="-16"/>
        </w:rPr>
        <w:t> </w:t>
      </w:r>
      <w:r>
        <w:rPr/>
        <w:t>concentraciones</w:t>
      </w:r>
      <w:r>
        <w:rPr>
          <w:spacing w:val="-16"/>
        </w:rPr>
        <w:t> </w:t>
      </w:r>
      <w:r>
        <w:rPr/>
        <w:t>de</w:t>
      </w:r>
      <w:r>
        <w:rPr>
          <w:spacing w:val="-16"/>
        </w:rPr>
        <w:t> </w:t>
      </w:r>
      <w:r>
        <w:rPr/>
        <w:t>hormona adrenocorticocotropa (ACTH) son normales en las mujeres con</w:t>
      </w:r>
      <w:r>
        <w:rPr>
          <w:spacing w:val="-22"/>
        </w:rPr>
        <w:t> </w:t>
      </w:r>
      <w:r>
        <w:rPr/>
        <w:t>SPO.</w:t>
      </w:r>
    </w:p>
    <w:p>
      <w:pPr>
        <w:pStyle w:val="BodyText"/>
        <w:spacing w:line="362" w:lineRule="auto" w:before="201"/>
        <w:ind w:left="117" w:right="112" w:hanging="10"/>
        <w:jc w:val="both"/>
      </w:pPr>
      <w:r>
        <w:rPr/>
        <w:t>También</w:t>
      </w:r>
      <w:r>
        <w:rPr>
          <w:spacing w:val="-19"/>
        </w:rPr>
        <w:t> </w:t>
      </w:r>
      <w:r>
        <w:rPr/>
        <w:t>se</w:t>
      </w:r>
      <w:r>
        <w:rPr>
          <w:spacing w:val="-19"/>
        </w:rPr>
        <w:t> </w:t>
      </w:r>
      <w:r>
        <w:rPr/>
        <w:t>ha</w:t>
      </w:r>
      <w:r>
        <w:rPr>
          <w:spacing w:val="-21"/>
        </w:rPr>
        <w:t> </w:t>
      </w:r>
      <w:r>
        <w:rPr/>
        <w:t>mostrado</w:t>
      </w:r>
      <w:r>
        <w:rPr>
          <w:spacing w:val="-17"/>
        </w:rPr>
        <w:t> </w:t>
      </w:r>
      <w:r>
        <w:rPr/>
        <w:t>que</w:t>
      </w:r>
      <w:r>
        <w:rPr>
          <w:spacing w:val="-17"/>
        </w:rPr>
        <w:t> </w:t>
      </w:r>
      <w:r>
        <w:rPr/>
        <w:t>los</w:t>
      </w:r>
      <w:r>
        <w:rPr>
          <w:spacing w:val="-19"/>
        </w:rPr>
        <w:t> </w:t>
      </w:r>
      <w:r>
        <w:rPr/>
        <w:t>esteroides</w:t>
      </w:r>
      <w:r>
        <w:rPr>
          <w:spacing w:val="-20"/>
        </w:rPr>
        <w:t> </w:t>
      </w:r>
      <w:r>
        <w:rPr/>
        <w:t>ováricos</w:t>
      </w:r>
      <w:r>
        <w:rPr>
          <w:spacing w:val="-17"/>
        </w:rPr>
        <w:t> </w:t>
      </w:r>
      <w:r>
        <w:rPr/>
        <w:t>pueden</w:t>
      </w:r>
      <w:r>
        <w:rPr>
          <w:spacing w:val="-19"/>
        </w:rPr>
        <w:t> </w:t>
      </w:r>
      <w:r>
        <w:rPr/>
        <w:t>estimular</w:t>
      </w:r>
      <w:r>
        <w:rPr>
          <w:spacing w:val="-18"/>
        </w:rPr>
        <w:t> </w:t>
      </w:r>
      <w:r>
        <w:rPr/>
        <w:t>la</w:t>
      </w:r>
      <w:r>
        <w:rPr>
          <w:spacing w:val="-19"/>
        </w:rPr>
        <w:t> </w:t>
      </w:r>
      <w:r>
        <w:rPr/>
        <w:t>producción suprarrenal de andrógenos; no obstante, datos adicionales sugieren que el ovario no es la causa principal de la respuesta suprarrenal</w:t>
      </w:r>
      <w:r>
        <w:rPr>
          <w:spacing w:val="-26"/>
        </w:rPr>
        <w:t> </w:t>
      </w:r>
      <w:r>
        <w:rPr/>
        <w:t>exagerada.</w:t>
      </w:r>
    </w:p>
    <w:p>
      <w:pPr>
        <w:spacing w:before="182"/>
        <w:ind w:left="107" w:right="0" w:firstLine="0"/>
        <w:jc w:val="both"/>
        <w:rPr>
          <w:sz w:val="22"/>
        </w:rPr>
      </w:pPr>
      <w:r>
        <w:rPr>
          <w:color w:val="5A5A5A"/>
          <w:sz w:val="22"/>
        </w:rPr>
        <w:t>ECOGRAFÍA GINECOLÓGICA</w:t>
      </w:r>
    </w:p>
    <w:p>
      <w:pPr>
        <w:pStyle w:val="BodyText"/>
        <w:spacing w:line="362" w:lineRule="auto" w:before="177"/>
        <w:ind w:left="117" w:right="109" w:hanging="10"/>
        <w:jc w:val="both"/>
      </w:pPr>
      <w:r>
        <w:rPr/>
        <w:t>Se establece que al menos uno de los dos ovarios debe tener un volumen ovárico mayor a 10 cm3 y/o presentar 12 o más folículos de 2 a 9 mm de diámetro. Los valores</w:t>
      </w:r>
      <w:r>
        <w:rPr>
          <w:spacing w:val="-11"/>
        </w:rPr>
        <w:t> </w:t>
      </w:r>
      <w:r>
        <w:rPr/>
        <w:t>hormonales</w:t>
      </w:r>
      <w:r>
        <w:rPr>
          <w:spacing w:val="-13"/>
        </w:rPr>
        <w:t> </w:t>
      </w:r>
      <w:r>
        <w:rPr/>
        <w:t>de</w:t>
      </w:r>
      <w:r>
        <w:rPr>
          <w:spacing w:val="-13"/>
        </w:rPr>
        <w:t> </w:t>
      </w:r>
      <w:r>
        <w:rPr/>
        <w:t>laboratorio</w:t>
      </w:r>
      <w:r>
        <w:rPr>
          <w:spacing w:val="-10"/>
        </w:rPr>
        <w:t> </w:t>
      </w:r>
      <w:r>
        <w:rPr/>
        <w:t>y</w:t>
      </w:r>
      <w:r>
        <w:rPr>
          <w:spacing w:val="-14"/>
        </w:rPr>
        <w:t> </w:t>
      </w:r>
      <w:r>
        <w:rPr/>
        <w:t>la</w:t>
      </w:r>
      <w:r>
        <w:rPr>
          <w:spacing w:val="-11"/>
        </w:rPr>
        <w:t> </w:t>
      </w:r>
      <w:r>
        <w:rPr/>
        <w:t>ecografía</w:t>
      </w:r>
      <w:r>
        <w:rPr>
          <w:spacing w:val="-10"/>
        </w:rPr>
        <w:t> </w:t>
      </w:r>
      <w:r>
        <w:rPr/>
        <w:t>ginecológica</w:t>
      </w:r>
      <w:r>
        <w:rPr>
          <w:spacing w:val="-11"/>
        </w:rPr>
        <w:t> </w:t>
      </w:r>
      <w:r>
        <w:rPr/>
        <w:t>deberán</w:t>
      </w:r>
      <w:r>
        <w:rPr>
          <w:spacing w:val="-10"/>
        </w:rPr>
        <w:t> </w:t>
      </w:r>
      <w:r>
        <w:rPr/>
        <w:t>realizarse</w:t>
      </w:r>
      <w:r>
        <w:rPr>
          <w:spacing w:val="-11"/>
        </w:rPr>
        <w:t> </w:t>
      </w:r>
      <w:r>
        <w:rPr/>
        <w:t>en fase folicular</w:t>
      </w:r>
      <w:r>
        <w:rPr>
          <w:spacing w:val="-5"/>
        </w:rPr>
        <w:t> </w:t>
      </w:r>
      <w:r>
        <w:rPr/>
        <w:t>temprana</w:t>
      </w:r>
      <w:r>
        <w:rPr>
          <w:position w:val="8"/>
          <w:sz w:val="16"/>
        </w:rPr>
        <w:t>9</w:t>
      </w:r>
      <w:r>
        <w:rPr/>
        <w:t>.</w:t>
      </w:r>
    </w:p>
    <w:p>
      <w:pPr>
        <w:spacing w:after="0" w:line="362" w:lineRule="auto"/>
        <w:jc w:val="both"/>
        <w:sectPr>
          <w:pgSz w:w="12240" w:h="15840"/>
          <w:pgMar w:top="1220" w:bottom="280" w:left="1580" w:right="1580"/>
        </w:sectPr>
      </w:pPr>
    </w:p>
    <w:p>
      <w:pPr>
        <w:pStyle w:val="BodyText"/>
        <w:spacing w:line="362" w:lineRule="auto" w:before="43"/>
        <w:ind w:left="117" w:right="108" w:hanging="10"/>
        <w:jc w:val="both"/>
      </w:pPr>
      <w:r>
        <w:rPr/>
        <w:t>Se</w:t>
      </w:r>
      <w:r>
        <w:rPr>
          <w:spacing w:val="-9"/>
        </w:rPr>
        <w:t> </w:t>
      </w:r>
      <w:r>
        <w:rPr/>
        <w:t>propuso,</w:t>
      </w:r>
      <w:r>
        <w:rPr>
          <w:spacing w:val="-7"/>
        </w:rPr>
        <w:t> </w:t>
      </w:r>
      <w:r>
        <w:rPr/>
        <w:t>que</w:t>
      </w:r>
      <w:r>
        <w:rPr>
          <w:spacing w:val="-7"/>
        </w:rPr>
        <w:t> </w:t>
      </w:r>
      <w:r>
        <w:rPr/>
        <w:t>luego</w:t>
      </w:r>
      <w:r>
        <w:rPr>
          <w:spacing w:val="-7"/>
        </w:rPr>
        <w:t> </w:t>
      </w:r>
      <w:r>
        <w:rPr/>
        <w:t>de</w:t>
      </w:r>
      <w:r>
        <w:rPr>
          <w:spacing w:val="-9"/>
        </w:rPr>
        <w:t> </w:t>
      </w:r>
      <w:r>
        <w:rPr/>
        <w:t>excluir</w:t>
      </w:r>
      <w:r>
        <w:rPr>
          <w:spacing w:val="-8"/>
        </w:rPr>
        <w:t> </w:t>
      </w:r>
      <w:r>
        <w:rPr/>
        <w:t>otras</w:t>
      </w:r>
      <w:r>
        <w:rPr>
          <w:spacing w:val="-10"/>
        </w:rPr>
        <w:t> </w:t>
      </w:r>
      <w:r>
        <w:rPr/>
        <w:t>formas</w:t>
      </w:r>
      <w:r>
        <w:rPr>
          <w:spacing w:val="-8"/>
        </w:rPr>
        <w:t> </w:t>
      </w:r>
      <w:r>
        <w:rPr/>
        <w:t>de</w:t>
      </w:r>
      <w:r>
        <w:rPr>
          <w:spacing w:val="-9"/>
        </w:rPr>
        <w:t> </w:t>
      </w:r>
      <w:r>
        <w:rPr/>
        <w:t>hiperandrogenismo,</w:t>
      </w:r>
      <w:r>
        <w:rPr>
          <w:spacing w:val="-7"/>
        </w:rPr>
        <w:t> </w:t>
      </w:r>
      <w:r>
        <w:rPr/>
        <w:t>el</w:t>
      </w:r>
      <w:r>
        <w:rPr>
          <w:spacing w:val="-11"/>
        </w:rPr>
        <w:t> </w:t>
      </w:r>
      <w:r>
        <w:rPr/>
        <w:t>SOP</w:t>
      </w:r>
      <w:r>
        <w:rPr>
          <w:spacing w:val="-9"/>
        </w:rPr>
        <w:t> </w:t>
      </w:r>
      <w:r>
        <w:rPr/>
        <w:t>podía ser diagnosticado en pacientes que presentaran a lo menos dos de las tres características siguientes: hiperandrogenismo clínico o bioquímico, oligoovulación, y presencia de ovarios de morfología poliquística, dando origen a cuatro fenotipos. Los fenotipos A y B cumplen con los criterios del National Institute of Health y son considerados formas clásicas. Mientras que los fenotipos C y D están en discusión </w:t>
      </w:r>
      <w:r>
        <w:rPr>
          <w:b/>
          <w:i/>
        </w:rPr>
        <w:t>(Figura 2)</w:t>
      </w:r>
      <w:r>
        <w:rPr/>
        <w:t>. Por lo tanto, de acuerdo al consenso de Rotterdam, los ovarios poliquísticos no necesariamente deben estar presentes para definir la enfermedad y la presencia de ovarios poliquísticos por sí solo no establecen el</w:t>
      </w:r>
      <w:r>
        <w:rPr>
          <w:spacing w:val="-22"/>
        </w:rPr>
        <w:t> </w:t>
      </w:r>
      <w:r>
        <w:rPr/>
        <w:t>diagnóstico</w:t>
      </w:r>
      <w:r>
        <w:rPr>
          <w:position w:val="8"/>
          <w:sz w:val="16"/>
        </w:rPr>
        <w:t>10</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1"/>
        </w:rPr>
      </w:pPr>
    </w:p>
    <w:p>
      <w:pPr>
        <w:spacing w:line="343" w:lineRule="auto" w:before="0"/>
        <w:ind w:left="117" w:right="103" w:hanging="10"/>
        <w:jc w:val="both"/>
        <w:rPr>
          <w:sz w:val="22"/>
        </w:rPr>
      </w:pPr>
      <w:r>
        <w:rPr/>
        <w:pict>
          <v:group style="position:absolute;margin-left:100.800003pt;margin-top:39.307873pt;width:410.05pt;height:210.15pt;mso-position-horizontal-relative:page;mso-position-vertical-relative:paragraph;z-index:1072;mso-wrap-distance-left:0;mso-wrap-distance-right:0" coordorigin="2016,786" coordsize="8201,4203">
            <v:shape style="position:absolute;left:2016;top:786;width:8201;height:4202" type="#_x0000_t75" stroked="false">
              <v:imagedata r:id="rId8" o:title=""/>
            </v:shape>
            <v:rect style="position:absolute;left:2101;top:831;width:8042;height:4044" filled="false" stroked="true" strokeweight="2.04pt" strokecolor="#000000"/>
            <v:shape style="position:absolute;left:2458;top:988;width:7572;height:3802" type="#_x0000_t75" stroked="false">
              <v:imagedata r:id="rId9" o:title=""/>
            </v:shape>
            <w10:wrap type="topAndBottom"/>
          </v:group>
        </w:pict>
      </w:r>
      <w:r>
        <w:rPr>
          <w:b/>
          <w:i/>
          <w:sz w:val="22"/>
        </w:rPr>
        <w:t>Figura 2. </w:t>
      </w:r>
      <w:r>
        <w:rPr>
          <w:sz w:val="22"/>
        </w:rPr>
        <w:t>Diagrama que muestra los criterios para diagnóstico de Síndrome de Ovario poliquístico, así como sus subfenotipos.</w:t>
      </w:r>
    </w:p>
    <w:p>
      <w:pPr>
        <w:pStyle w:val="BodyText"/>
        <w:rPr>
          <w:sz w:val="22"/>
        </w:rPr>
      </w:pPr>
    </w:p>
    <w:p>
      <w:pPr>
        <w:pStyle w:val="BodyText"/>
        <w:spacing w:before="2"/>
        <w:rPr>
          <w:sz w:val="23"/>
        </w:rPr>
      </w:pPr>
    </w:p>
    <w:p>
      <w:pPr>
        <w:spacing w:line="249" w:lineRule="auto" w:before="0"/>
        <w:ind w:left="117" w:right="102" w:hanging="10"/>
        <w:jc w:val="both"/>
        <w:rPr>
          <w:sz w:val="22"/>
        </w:rPr>
      </w:pPr>
      <w:r>
        <w:rPr>
          <w:sz w:val="22"/>
        </w:rPr>
        <w:t>FUENTE</w:t>
      </w:r>
      <w:r>
        <w:rPr>
          <w:i/>
          <w:sz w:val="22"/>
        </w:rPr>
        <w:t>: </w:t>
      </w:r>
      <w:r>
        <w:rPr>
          <w:sz w:val="22"/>
        </w:rPr>
        <w:t>Dra.Teresa Sir, Dra. Jessica Preisle R. Dr. Amiram Magendoz N., ‘Síndrome de ovario poliquístico. Diagnóstico y Manejo’ (2013)</w:t>
      </w:r>
    </w:p>
    <w:p>
      <w:pPr>
        <w:spacing w:after="0" w:line="249" w:lineRule="auto"/>
        <w:jc w:val="both"/>
        <w:rPr>
          <w:sz w:val="22"/>
        </w:rPr>
        <w:sectPr>
          <w:pgSz w:w="12240" w:h="15840"/>
          <w:pgMar w:top="1220" w:bottom="280" w:left="1580" w:right="1580"/>
        </w:sectPr>
      </w:pPr>
    </w:p>
    <w:p>
      <w:pPr>
        <w:spacing w:before="62"/>
        <w:ind w:left="107" w:right="0" w:firstLine="0"/>
        <w:jc w:val="both"/>
        <w:rPr>
          <w:sz w:val="22"/>
        </w:rPr>
      </w:pPr>
      <w:r>
        <w:rPr>
          <w:color w:val="5A5A5A"/>
          <w:sz w:val="22"/>
        </w:rPr>
        <w:t>FACTORES PREDISPONENTES</w:t>
      </w:r>
    </w:p>
    <w:p>
      <w:pPr>
        <w:pStyle w:val="BodyText"/>
        <w:spacing w:line="364" w:lineRule="auto" w:before="177"/>
        <w:ind w:left="117" w:right="109" w:hanging="10"/>
        <w:jc w:val="both"/>
      </w:pPr>
      <w:r>
        <w:rPr/>
        <w:t>Se ha propuesto que el SOP podría comenzar en la vida intrauterina. Estudios chilenos en hijas de mujeres con este síndrome han mostrado niveles de AMH elevados</w:t>
      </w:r>
      <w:r>
        <w:rPr>
          <w:spacing w:val="-7"/>
        </w:rPr>
        <w:t> </w:t>
      </w:r>
      <w:r>
        <w:rPr/>
        <w:t>y</w:t>
      </w:r>
      <w:r>
        <w:rPr>
          <w:spacing w:val="-9"/>
        </w:rPr>
        <w:t> </w:t>
      </w:r>
      <w:r>
        <w:rPr/>
        <w:t>un</w:t>
      </w:r>
      <w:r>
        <w:rPr>
          <w:spacing w:val="-8"/>
        </w:rPr>
        <w:t> </w:t>
      </w:r>
      <w:r>
        <w:rPr/>
        <w:t>perfil</w:t>
      </w:r>
      <w:r>
        <w:rPr>
          <w:spacing w:val="-8"/>
        </w:rPr>
        <w:t> </w:t>
      </w:r>
      <w:r>
        <w:rPr/>
        <w:t>metabólico</w:t>
      </w:r>
      <w:r>
        <w:rPr>
          <w:spacing w:val="-8"/>
        </w:rPr>
        <w:t> </w:t>
      </w:r>
      <w:r>
        <w:rPr/>
        <w:t>adverso</w:t>
      </w:r>
      <w:r>
        <w:rPr>
          <w:spacing w:val="-7"/>
        </w:rPr>
        <w:t> </w:t>
      </w:r>
      <w:r>
        <w:rPr/>
        <w:t>similar</w:t>
      </w:r>
      <w:r>
        <w:rPr>
          <w:spacing w:val="-7"/>
        </w:rPr>
        <w:t> </w:t>
      </w:r>
      <w:r>
        <w:rPr/>
        <w:t>al</w:t>
      </w:r>
      <w:r>
        <w:rPr>
          <w:spacing w:val="-7"/>
        </w:rPr>
        <w:t> </w:t>
      </w:r>
      <w:r>
        <w:rPr/>
        <w:t>que</w:t>
      </w:r>
      <w:r>
        <w:rPr>
          <w:spacing w:val="-6"/>
        </w:rPr>
        <w:t> </w:t>
      </w:r>
      <w:r>
        <w:rPr/>
        <w:t>se</w:t>
      </w:r>
      <w:r>
        <w:rPr>
          <w:spacing w:val="-6"/>
        </w:rPr>
        <w:t> </w:t>
      </w:r>
      <w:r>
        <w:rPr/>
        <w:t>ve</w:t>
      </w:r>
      <w:r>
        <w:rPr>
          <w:spacing w:val="-6"/>
        </w:rPr>
        <w:t> </w:t>
      </w:r>
      <w:r>
        <w:rPr/>
        <w:t>en</w:t>
      </w:r>
      <w:r>
        <w:rPr>
          <w:spacing w:val="-6"/>
        </w:rPr>
        <w:t> </w:t>
      </w:r>
      <w:r>
        <w:rPr/>
        <w:t>SOP</w:t>
      </w:r>
      <w:r>
        <w:rPr>
          <w:spacing w:val="-8"/>
        </w:rPr>
        <w:t> </w:t>
      </w:r>
      <w:r>
        <w:rPr/>
        <w:t>en</w:t>
      </w:r>
      <w:r>
        <w:rPr>
          <w:spacing w:val="-6"/>
        </w:rPr>
        <w:t> </w:t>
      </w:r>
      <w:r>
        <w:rPr/>
        <w:t>estas</w:t>
      </w:r>
      <w:r>
        <w:rPr>
          <w:spacing w:val="-9"/>
        </w:rPr>
        <w:t> </w:t>
      </w:r>
      <w:r>
        <w:rPr/>
        <w:t>niñas, sugiriendo un rol de la exposición prenatal a andrógenos. Otros factores predisponentes</w:t>
      </w:r>
      <w:r>
        <w:rPr>
          <w:spacing w:val="-9"/>
        </w:rPr>
        <w:t> </w:t>
      </w:r>
      <w:r>
        <w:rPr/>
        <w:t>de</w:t>
      </w:r>
      <w:r>
        <w:rPr>
          <w:spacing w:val="-8"/>
        </w:rPr>
        <w:t> </w:t>
      </w:r>
      <w:r>
        <w:rPr/>
        <w:t>SOP</w:t>
      </w:r>
      <w:r>
        <w:rPr>
          <w:spacing w:val="-6"/>
        </w:rPr>
        <w:t> </w:t>
      </w:r>
      <w:r>
        <w:rPr/>
        <w:t>son</w:t>
      </w:r>
      <w:r>
        <w:rPr>
          <w:spacing w:val="-8"/>
        </w:rPr>
        <w:t> </w:t>
      </w:r>
      <w:r>
        <w:rPr/>
        <w:t>obesidad</w:t>
      </w:r>
      <w:r>
        <w:rPr>
          <w:spacing w:val="-8"/>
        </w:rPr>
        <w:t> </w:t>
      </w:r>
      <w:r>
        <w:rPr/>
        <w:t>e</w:t>
      </w:r>
      <w:r>
        <w:rPr>
          <w:spacing w:val="-6"/>
        </w:rPr>
        <w:t> </w:t>
      </w:r>
      <w:r>
        <w:rPr/>
        <w:t>insulinorresistencia.</w:t>
      </w:r>
      <w:r>
        <w:rPr>
          <w:spacing w:val="-6"/>
        </w:rPr>
        <w:t> </w:t>
      </w:r>
      <w:r>
        <w:rPr/>
        <w:t>El</w:t>
      </w:r>
      <w:r>
        <w:rPr>
          <w:spacing w:val="-10"/>
        </w:rPr>
        <w:t> </w:t>
      </w:r>
      <w:r>
        <w:rPr/>
        <w:t>bajo</w:t>
      </w:r>
      <w:r>
        <w:rPr>
          <w:spacing w:val="-11"/>
        </w:rPr>
        <w:t> </w:t>
      </w:r>
      <w:r>
        <w:rPr/>
        <w:t>peso</w:t>
      </w:r>
      <w:r>
        <w:rPr>
          <w:spacing w:val="-8"/>
        </w:rPr>
        <w:t> </w:t>
      </w:r>
      <w:r>
        <w:rPr/>
        <w:t>al</w:t>
      </w:r>
      <w:r>
        <w:rPr>
          <w:spacing w:val="-7"/>
        </w:rPr>
        <w:t> </w:t>
      </w:r>
      <w:r>
        <w:rPr/>
        <w:t>nacer</w:t>
      </w:r>
      <w:r>
        <w:rPr>
          <w:spacing w:val="-7"/>
        </w:rPr>
        <w:t> </w:t>
      </w:r>
      <w:r>
        <w:rPr/>
        <w:t>y el uso de ciertos fármacos predispone, pero no determina, el desarrollo de este síndrome.</w:t>
      </w:r>
    </w:p>
    <w:p>
      <w:pPr>
        <w:pStyle w:val="BodyText"/>
        <w:spacing w:line="364" w:lineRule="auto" w:before="199"/>
        <w:ind w:left="117" w:right="106" w:hanging="10"/>
        <w:jc w:val="both"/>
      </w:pPr>
      <w:r>
        <w:rPr/>
        <w:t>Estudios que evalúan la asociación entre obesidad e hiperandrogenismo en la infancia y pubertad, muestran que el Índice de Masa Corporal se relaciona directamente</w:t>
      </w:r>
      <w:r>
        <w:rPr>
          <w:spacing w:val="-8"/>
        </w:rPr>
        <w:t> </w:t>
      </w:r>
      <w:r>
        <w:rPr/>
        <w:t>con</w:t>
      </w:r>
      <w:r>
        <w:rPr>
          <w:spacing w:val="-11"/>
        </w:rPr>
        <w:t> </w:t>
      </w:r>
      <w:r>
        <w:rPr/>
        <w:t>mayores</w:t>
      </w:r>
      <w:r>
        <w:rPr>
          <w:spacing w:val="-9"/>
        </w:rPr>
        <w:t> </w:t>
      </w:r>
      <w:r>
        <w:rPr/>
        <w:t>niveles</w:t>
      </w:r>
      <w:r>
        <w:rPr>
          <w:spacing w:val="-9"/>
        </w:rPr>
        <w:t> </w:t>
      </w:r>
      <w:r>
        <w:rPr/>
        <w:t>de</w:t>
      </w:r>
      <w:r>
        <w:rPr>
          <w:spacing w:val="-8"/>
        </w:rPr>
        <w:t> </w:t>
      </w:r>
      <w:r>
        <w:rPr/>
        <w:t>testosterona</w:t>
      </w:r>
      <w:r>
        <w:rPr>
          <w:spacing w:val="-8"/>
        </w:rPr>
        <w:t> </w:t>
      </w:r>
      <w:r>
        <w:rPr/>
        <w:t>total</w:t>
      </w:r>
      <w:r>
        <w:rPr>
          <w:spacing w:val="-10"/>
        </w:rPr>
        <w:t> </w:t>
      </w:r>
      <w:r>
        <w:rPr/>
        <w:t>y</w:t>
      </w:r>
      <w:r>
        <w:rPr>
          <w:spacing w:val="-12"/>
        </w:rPr>
        <w:t> </w:t>
      </w:r>
      <w:r>
        <w:rPr/>
        <w:t>libre</w:t>
      </w:r>
      <w:r>
        <w:rPr>
          <w:spacing w:val="-7"/>
        </w:rPr>
        <w:t> </w:t>
      </w:r>
      <w:r>
        <w:rPr/>
        <w:t>y</w:t>
      </w:r>
      <w:r>
        <w:rPr>
          <w:spacing w:val="-12"/>
        </w:rPr>
        <w:t> </w:t>
      </w:r>
      <w:r>
        <w:rPr/>
        <w:t>menores</w:t>
      </w:r>
      <w:r>
        <w:rPr>
          <w:spacing w:val="-9"/>
        </w:rPr>
        <w:t> </w:t>
      </w:r>
      <w:r>
        <w:rPr/>
        <w:t>niveles</w:t>
      </w:r>
      <w:r>
        <w:rPr>
          <w:spacing w:val="-9"/>
        </w:rPr>
        <w:t> </w:t>
      </w:r>
      <w:r>
        <w:rPr/>
        <w:t>de SHBG.</w:t>
      </w:r>
      <w:r>
        <w:rPr>
          <w:spacing w:val="-12"/>
        </w:rPr>
        <w:t> </w:t>
      </w:r>
      <w:r>
        <w:rPr/>
        <w:t>Un</w:t>
      </w:r>
      <w:r>
        <w:rPr>
          <w:spacing w:val="-12"/>
        </w:rPr>
        <w:t> </w:t>
      </w:r>
      <w:r>
        <w:rPr/>
        <w:t>estudio</w:t>
      </w:r>
      <w:r>
        <w:rPr>
          <w:spacing w:val="-12"/>
        </w:rPr>
        <w:t> </w:t>
      </w:r>
      <w:r>
        <w:rPr/>
        <w:t>en</w:t>
      </w:r>
      <w:r>
        <w:rPr>
          <w:spacing w:val="-14"/>
        </w:rPr>
        <w:t> </w:t>
      </w:r>
      <w:r>
        <w:rPr/>
        <w:t>adolescentes</w:t>
      </w:r>
      <w:r>
        <w:rPr>
          <w:spacing w:val="-13"/>
        </w:rPr>
        <w:t> </w:t>
      </w:r>
      <w:r>
        <w:rPr/>
        <w:t>obesas,</w:t>
      </w:r>
      <w:r>
        <w:rPr>
          <w:spacing w:val="-14"/>
        </w:rPr>
        <w:t> </w:t>
      </w:r>
      <w:r>
        <w:rPr/>
        <w:t>el</w:t>
      </w:r>
      <w:r>
        <w:rPr>
          <w:spacing w:val="-13"/>
        </w:rPr>
        <w:t> </w:t>
      </w:r>
      <w:r>
        <w:rPr/>
        <w:t>grupo</w:t>
      </w:r>
      <w:r>
        <w:rPr>
          <w:spacing w:val="-12"/>
        </w:rPr>
        <w:t> </w:t>
      </w:r>
      <w:r>
        <w:rPr/>
        <w:t>con</w:t>
      </w:r>
      <w:r>
        <w:rPr>
          <w:spacing w:val="-12"/>
        </w:rPr>
        <w:t> </w:t>
      </w:r>
      <w:r>
        <w:rPr/>
        <w:t>síndrome</w:t>
      </w:r>
      <w:r>
        <w:rPr>
          <w:spacing w:val="-14"/>
        </w:rPr>
        <w:t> </w:t>
      </w:r>
      <w:r>
        <w:rPr/>
        <w:t>metabólico</w:t>
      </w:r>
      <w:r>
        <w:rPr>
          <w:spacing w:val="-14"/>
        </w:rPr>
        <w:t> </w:t>
      </w:r>
      <w:r>
        <w:rPr/>
        <w:t>tiene niveles mayores de testosterona y DHEAS comparado con aquellas sin síndrome metabólico.</w:t>
      </w:r>
    </w:p>
    <w:p>
      <w:pPr>
        <w:pStyle w:val="BodyText"/>
        <w:spacing w:line="362" w:lineRule="auto" w:before="201"/>
        <w:ind w:left="107" w:right="106"/>
        <w:jc w:val="both"/>
      </w:pPr>
      <w:r>
        <w:rPr/>
        <w:t>La insulinorresistencia ha sido implicada en la fisiopatología de SOP, ya que se ha relacionado con un aumento en la secreción de andrógenos por las células de la teca y una menor producción hepática de su hormona transportadora (SHBG). La evaluación de insulinorresistencia mediante medición de insulina y hormona antimülleriana, no forman parte de los criterios diagnósticos de SOP, ni en la mujer adulta ni en las adolescentes. Además, en la adolescencia, existe un grado de IR fisiológica con niveles de insulinemia más altos que los descritos en las adultas</w:t>
      </w:r>
      <w:r>
        <w:rPr>
          <w:position w:val="8"/>
          <w:sz w:val="16"/>
        </w:rPr>
        <w:t>11</w:t>
      </w:r>
      <w:r>
        <w:rPr/>
        <w:t>.</w:t>
      </w:r>
    </w:p>
    <w:p>
      <w:pPr>
        <w:spacing w:before="196"/>
        <w:ind w:left="107" w:right="0" w:firstLine="0"/>
        <w:jc w:val="both"/>
        <w:rPr>
          <w:rFonts w:ascii="Calibri" w:hAnsi="Calibri"/>
          <w:sz w:val="22"/>
        </w:rPr>
      </w:pPr>
      <w:r>
        <w:rPr>
          <w:rFonts w:ascii="Calibri" w:hAnsi="Calibri"/>
          <w:color w:val="5A5A5A"/>
          <w:sz w:val="22"/>
        </w:rPr>
        <w:t>DIAGNÓSTICO BIOQUÍMICO</w:t>
      </w:r>
    </w:p>
    <w:p>
      <w:pPr>
        <w:pStyle w:val="BodyText"/>
        <w:spacing w:line="362" w:lineRule="auto" w:before="172"/>
        <w:ind w:left="117" w:right="115" w:hanging="10"/>
        <w:jc w:val="both"/>
      </w:pPr>
      <w:r>
        <w:rPr/>
        <w:t>Se requiere una cuidadosa valoración de los antecedentes, examen físico y evaluación de los laboratorios, enfatizando la precisión y la validación de la metodología</w:t>
      </w:r>
      <w:r>
        <w:rPr>
          <w:spacing w:val="-17"/>
        </w:rPr>
        <w:t> </w:t>
      </w:r>
      <w:r>
        <w:rPr/>
        <w:t>usada</w:t>
      </w:r>
      <w:r>
        <w:rPr>
          <w:spacing w:val="-19"/>
        </w:rPr>
        <w:t> </w:t>
      </w:r>
      <w:r>
        <w:rPr/>
        <w:t>para</w:t>
      </w:r>
      <w:r>
        <w:rPr>
          <w:spacing w:val="-17"/>
        </w:rPr>
        <w:t> </w:t>
      </w:r>
      <w:r>
        <w:rPr/>
        <w:t>ambas</w:t>
      </w:r>
      <w:r>
        <w:rPr>
          <w:spacing w:val="-20"/>
        </w:rPr>
        <w:t> </w:t>
      </w:r>
      <w:r>
        <w:rPr/>
        <w:t>medidas</w:t>
      </w:r>
      <w:r>
        <w:rPr>
          <w:spacing w:val="-20"/>
        </w:rPr>
        <w:t> </w:t>
      </w:r>
      <w:r>
        <w:rPr/>
        <w:t>bioquímicas</w:t>
      </w:r>
      <w:r>
        <w:rPr>
          <w:spacing w:val="-17"/>
        </w:rPr>
        <w:t> </w:t>
      </w:r>
      <w:r>
        <w:rPr/>
        <w:t>y</w:t>
      </w:r>
      <w:r>
        <w:rPr>
          <w:spacing w:val="-20"/>
        </w:rPr>
        <w:t> </w:t>
      </w:r>
      <w:r>
        <w:rPr/>
        <w:t>de</w:t>
      </w:r>
      <w:r>
        <w:rPr>
          <w:spacing w:val="-17"/>
        </w:rPr>
        <w:t> </w:t>
      </w:r>
      <w:r>
        <w:rPr/>
        <w:t>los</w:t>
      </w:r>
      <w:r>
        <w:rPr>
          <w:spacing w:val="-17"/>
        </w:rPr>
        <w:t> </w:t>
      </w:r>
      <w:r>
        <w:rPr/>
        <w:t>hallazgos</w:t>
      </w:r>
      <w:r>
        <w:rPr>
          <w:spacing w:val="-17"/>
        </w:rPr>
        <w:t> </w:t>
      </w:r>
      <w:r>
        <w:rPr/>
        <w:t>por</w:t>
      </w:r>
      <w:r>
        <w:rPr>
          <w:spacing w:val="-18"/>
        </w:rPr>
        <w:t> </w:t>
      </w:r>
      <w:r>
        <w:rPr/>
        <w:t>imagen. Los niveles de testosterona libre son más sensibles que las mediciones de testosterona total para establecer la existencia del aumento de andrógenos y debe ser determinado idealmente a través de las técnicas de diálisis de</w:t>
      </w:r>
      <w:r>
        <w:rPr>
          <w:spacing w:val="-22"/>
        </w:rPr>
        <w:t> </w:t>
      </w:r>
      <w:r>
        <w:rPr/>
        <w:t>equilibrio</w:t>
      </w:r>
      <w:r>
        <w:rPr>
          <w:position w:val="8"/>
          <w:sz w:val="16"/>
        </w:rPr>
        <w:t>12</w:t>
      </w:r>
      <w:r>
        <w:rPr/>
        <w:t>.</w:t>
      </w:r>
    </w:p>
    <w:p>
      <w:pPr>
        <w:spacing w:after="0" w:line="362" w:lineRule="auto"/>
        <w:jc w:val="both"/>
        <w:sectPr>
          <w:pgSz w:w="12240" w:h="15840"/>
          <w:pgMar w:top="1200" w:bottom="280" w:left="1580" w:right="1580"/>
        </w:sectPr>
      </w:pPr>
    </w:p>
    <w:p>
      <w:pPr>
        <w:pStyle w:val="BodyText"/>
        <w:spacing w:line="429" w:lineRule="auto" w:before="40"/>
        <w:ind w:left="117" w:right="113" w:hanging="10"/>
        <w:jc w:val="both"/>
      </w:pPr>
      <w:r>
        <w:rPr/>
        <w:t>La analítica inicial incluye la determinación de las concentraciones séricas de 17hidroxi-progesterona (17-OHP) en la fase folicular del ciclo menstrual o después de al menos dos meses de amenorrea, y del índice de andrógenos libre (AL)</w:t>
      </w:r>
      <w:r>
        <w:rPr>
          <w:position w:val="8"/>
          <w:sz w:val="16"/>
        </w:rPr>
        <w:t>9 </w:t>
      </w:r>
      <w:r>
        <w:rPr/>
        <w:t>.</w:t>
      </w:r>
    </w:p>
    <w:p>
      <w:pPr>
        <w:pStyle w:val="BodyText"/>
        <w:spacing w:line="364" w:lineRule="auto" w:before="125"/>
        <w:ind w:left="117" w:right="107" w:hanging="10"/>
        <w:jc w:val="both"/>
      </w:pPr>
      <w:r>
        <w:rPr/>
        <w:t>La</w:t>
      </w:r>
      <w:r>
        <w:rPr>
          <w:spacing w:val="-9"/>
        </w:rPr>
        <w:t> </w:t>
      </w:r>
      <w:r>
        <w:rPr/>
        <w:t>17</w:t>
      </w:r>
      <w:r>
        <w:rPr>
          <w:spacing w:val="-9"/>
        </w:rPr>
        <w:t> </w:t>
      </w:r>
      <w:r>
        <w:rPr/>
        <w:t>hidroxiprogesterona</w:t>
      </w:r>
      <w:r>
        <w:rPr>
          <w:spacing w:val="-9"/>
        </w:rPr>
        <w:t> </w:t>
      </w:r>
      <w:r>
        <w:rPr/>
        <w:t>(17-OHP)</w:t>
      </w:r>
      <w:r>
        <w:rPr>
          <w:spacing w:val="-11"/>
        </w:rPr>
        <w:t> </w:t>
      </w:r>
      <w:r>
        <w:rPr/>
        <w:t>es</w:t>
      </w:r>
      <w:r>
        <w:rPr>
          <w:spacing w:val="-10"/>
        </w:rPr>
        <w:t> </w:t>
      </w:r>
      <w:r>
        <w:rPr/>
        <w:t>el</w:t>
      </w:r>
      <w:r>
        <w:rPr>
          <w:spacing w:val="-13"/>
        </w:rPr>
        <w:t> </w:t>
      </w:r>
      <w:r>
        <w:rPr/>
        <w:t>mejor</w:t>
      </w:r>
      <w:r>
        <w:rPr>
          <w:spacing w:val="-10"/>
        </w:rPr>
        <w:t> </w:t>
      </w:r>
      <w:r>
        <w:rPr/>
        <w:t>metabolito</w:t>
      </w:r>
      <w:r>
        <w:rPr>
          <w:spacing w:val="-9"/>
        </w:rPr>
        <w:t> </w:t>
      </w:r>
      <w:r>
        <w:rPr/>
        <w:t>para</w:t>
      </w:r>
      <w:r>
        <w:rPr>
          <w:spacing w:val="-9"/>
        </w:rPr>
        <w:t> </w:t>
      </w:r>
      <w:r>
        <w:rPr/>
        <w:t>descartar</w:t>
      </w:r>
      <w:r>
        <w:rPr>
          <w:spacing w:val="-11"/>
        </w:rPr>
        <w:t> </w:t>
      </w:r>
      <w:r>
        <w:rPr/>
        <w:t>déficit</w:t>
      </w:r>
      <w:r>
        <w:rPr>
          <w:spacing w:val="-12"/>
        </w:rPr>
        <w:t> </w:t>
      </w:r>
      <w:r>
        <w:rPr/>
        <w:t>de la enzima 21-hidroxilasa; su valor normal en ayunas en fase folicular temprana del ciclo menstrual es inferior a 2 ng/ml. Valores superiores a 6 son indicadores de bloqueo</w:t>
      </w:r>
      <w:r>
        <w:rPr>
          <w:spacing w:val="-7"/>
        </w:rPr>
        <w:t> </w:t>
      </w:r>
      <w:r>
        <w:rPr/>
        <w:t>enzimático;</w:t>
      </w:r>
      <w:r>
        <w:rPr>
          <w:spacing w:val="-7"/>
        </w:rPr>
        <w:t> </w:t>
      </w:r>
      <w:r>
        <w:rPr/>
        <w:t>concentraciones</w:t>
      </w:r>
      <w:r>
        <w:rPr>
          <w:spacing w:val="-10"/>
        </w:rPr>
        <w:t> </w:t>
      </w:r>
      <w:r>
        <w:rPr/>
        <w:t>entre</w:t>
      </w:r>
      <w:r>
        <w:rPr>
          <w:spacing w:val="-10"/>
        </w:rPr>
        <w:t> </w:t>
      </w:r>
      <w:r>
        <w:rPr/>
        <w:t>2</w:t>
      </w:r>
      <w:r>
        <w:rPr>
          <w:spacing w:val="-9"/>
        </w:rPr>
        <w:t> </w:t>
      </w:r>
      <w:r>
        <w:rPr/>
        <w:t>y</w:t>
      </w:r>
      <w:r>
        <w:rPr>
          <w:spacing w:val="-10"/>
        </w:rPr>
        <w:t> </w:t>
      </w:r>
      <w:r>
        <w:rPr/>
        <w:t>4</w:t>
      </w:r>
      <w:r>
        <w:rPr>
          <w:spacing w:val="-7"/>
        </w:rPr>
        <w:t> </w:t>
      </w:r>
      <w:r>
        <w:rPr/>
        <w:t>ng/ml</w:t>
      </w:r>
      <w:r>
        <w:rPr>
          <w:spacing w:val="-8"/>
        </w:rPr>
        <w:t> </w:t>
      </w:r>
      <w:r>
        <w:rPr/>
        <w:t>hacen</w:t>
      </w:r>
      <w:r>
        <w:rPr>
          <w:spacing w:val="-9"/>
        </w:rPr>
        <w:t> </w:t>
      </w:r>
      <w:r>
        <w:rPr/>
        <w:t>necesario</w:t>
      </w:r>
      <w:r>
        <w:rPr>
          <w:spacing w:val="-7"/>
        </w:rPr>
        <w:t> </w:t>
      </w:r>
      <w:r>
        <w:rPr/>
        <w:t>efectuar</w:t>
      </w:r>
      <w:r>
        <w:rPr>
          <w:spacing w:val="-8"/>
        </w:rPr>
        <w:t> </w:t>
      </w:r>
      <w:r>
        <w:rPr/>
        <w:t>un test</w:t>
      </w:r>
      <w:r>
        <w:rPr>
          <w:spacing w:val="-16"/>
        </w:rPr>
        <w:t> </w:t>
      </w:r>
      <w:r>
        <w:rPr/>
        <w:t>de</w:t>
      </w:r>
      <w:r>
        <w:rPr>
          <w:spacing w:val="-16"/>
        </w:rPr>
        <w:t> </w:t>
      </w:r>
      <w:r>
        <w:rPr/>
        <w:t>ACTH,</w:t>
      </w:r>
      <w:r>
        <w:rPr>
          <w:spacing w:val="-16"/>
        </w:rPr>
        <w:t> </w:t>
      </w:r>
      <w:r>
        <w:rPr/>
        <w:t>el</w:t>
      </w:r>
      <w:r>
        <w:rPr>
          <w:spacing w:val="-17"/>
        </w:rPr>
        <w:t> </w:t>
      </w:r>
      <w:r>
        <w:rPr/>
        <w:t>cual</w:t>
      </w:r>
      <w:r>
        <w:rPr>
          <w:spacing w:val="-17"/>
        </w:rPr>
        <w:t> </w:t>
      </w:r>
      <w:r>
        <w:rPr/>
        <w:t>consiste</w:t>
      </w:r>
      <w:r>
        <w:rPr>
          <w:spacing w:val="-16"/>
        </w:rPr>
        <w:t> </w:t>
      </w:r>
      <w:r>
        <w:rPr/>
        <w:t>en</w:t>
      </w:r>
      <w:r>
        <w:rPr>
          <w:spacing w:val="-16"/>
        </w:rPr>
        <w:t> </w:t>
      </w:r>
      <w:r>
        <w:rPr/>
        <w:t>la</w:t>
      </w:r>
      <w:r>
        <w:rPr>
          <w:spacing w:val="-16"/>
        </w:rPr>
        <w:t> </w:t>
      </w:r>
      <w:r>
        <w:rPr/>
        <w:t>administración</w:t>
      </w:r>
      <w:r>
        <w:rPr>
          <w:spacing w:val="-16"/>
        </w:rPr>
        <w:t> </w:t>
      </w:r>
      <w:r>
        <w:rPr/>
        <w:t>endovenosa</w:t>
      </w:r>
      <w:r>
        <w:rPr>
          <w:spacing w:val="-16"/>
        </w:rPr>
        <w:t> </w:t>
      </w:r>
      <w:r>
        <w:rPr/>
        <w:t>de</w:t>
      </w:r>
      <w:r>
        <w:rPr>
          <w:spacing w:val="-16"/>
        </w:rPr>
        <w:t> </w:t>
      </w:r>
      <w:r>
        <w:rPr/>
        <w:t>0,25</w:t>
      </w:r>
      <w:r>
        <w:rPr>
          <w:spacing w:val="-16"/>
        </w:rPr>
        <w:t> </w:t>
      </w:r>
      <w:r>
        <w:rPr/>
        <w:t>ug</w:t>
      </w:r>
      <w:r>
        <w:rPr>
          <w:spacing w:val="-18"/>
        </w:rPr>
        <w:t> </w:t>
      </w:r>
      <w:r>
        <w:rPr/>
        <w:t>de</w:t>
      </w:r>
      <w:r>
        <w:rPr>
          <w:spacing w:val="-18"/>
        </w:rPr>
        <w:t> </w:t>
      </w:r>
      <w:r>
        <w:rPr/>
        <w:t>ACTH (Valores de OHP superiores a 10 ng/ml a los 60 minutos post ACTH establecen el diagnóstico). Alrededor del 50% de las pacientes con SOP pueden presentar elevaciones muy discretas de esta</w:t>
      </w:r>
      <w:r>
        <w:rPr>
          <w:spacing w:val="-15"/>
        </w:rPr>
        <w:t> </w:t>
      </w:r>
      <w:r>
        <w:rPr/>
        <w:t>hormona.</w:t>
      </w:r>
    </w:p>
    <w:p>
      <w:pPr>
        <w:pStyle w:val="BodyText"/>
        <w:spacing w:line="362" w:lineRule="auto" w:before="199"/>
        <w:ind w:left="117" w:right="109" w:hanging="10"/>
        <w:jc w:val="both"/>
      </w:pPr>
      <w:r>
        <w:rPr/>
        <w:t>Las</w:t>
      </w:r>
      <w:r>
        <w:rPr>
          <w:spacing w:val="-13"/>
        </w:rPr>
        <w:t> </w:t>
      </w:r>
      <w:r>
        <w:rPr/>
        <w:t>pacientes</w:t>
      </w:r>
      <w:r>
        <w:rPr>
          <w:spacing w:val="-13"/>
        </w:rPr>
        <w:t> </w:t>
      </w:r>
      <w:r>
        <w:rPr/>
        <w:t>con</w:t>
      </w:r>
      <w:r>
        <w:rPr>
          <w:spacing w:val="-12"/>
        </w:rPr>
        <w:t> </w:t>
      </w:r>
      <w:r>
        <w:rPr/>
        <w:t>síndrome</w:t>
      </w:r>
      <w:r>
        <w:rPr>
          <w:spacing w:val="-14"/>
        </w:rPr>
        <w:t> </w:t>
      </w:r>
      <w:r>
        <w:rPr/>
        <w:t>de</w:t>
      </w:r>
      <w:r>
        <w:rPr>
          <w:spacing w:val="-12"/>
        </w:rPr>
        <w:t> </w:t>
      </w:r>
      <w:r>
        <w:rPr/>
        <w:t>ovario</w:t>
      </w:r>
      <w:r>
        <w:rPr>
          <w:spacing w:val="-12"/>
        </w:rPr>
        <w:t> </w:t>
      </w:r>
      <w:r>
        <w:rPr/>
        <w:t>poliquístico</w:t>
      </w:r>
      <w:r>
        <w:rPr>
          <w:spacing w:val="-14"/>
        </w:rPr>
        <w:t> </w:t>
      </w:r>
      <w:r>
        <w:rPr/>
        <w:t>frecuentemente</w:t>
      </w:r>
      <w:r>
        <w:rPr>
          <w:spacing w:val="-11"/>
        </w:rPr>
        <w:t> </w:t>
      </w:r>
      <w:r>
        <w:rPr/>
        <w:t>(60%)</w:t>
      </w:r>
      <w:r>
        <w:rPr>
          <w:spacing w:val="-13"/>
        </w:rPr>
        <w:t> </w:t>
      </w:r>
      <w:r>
        <w:rPr/>
        <w:t>tienen</w:t>
      </w:r>
      <w:r>
        <w:rPr>
          <w:spacing w:val="-12"/>
        </w:rPr>
        <w:t> </w:t>
      </w:r>
      <w:r>
        <w:rPr/>
        <w:t>una relación LH/FSH aumentada (mayor de 2), la cual por lo general se observa en mujeres de peso corporal normal. Originalmente se la consideró un marcador de síndrome de ovario poliquístico. No obstante, debido a que su normalidad no descarta el diagnóstico, no se la utiliza en la actualidad como parte de los criterios de SOP, pero sigue siendo un elemento</w:t>
      </w:r>
      <w:r>
        <w:rPr>
          <w:spacing w:val="-17"/>
        </w:rPr>
        <w:t> </w:t>
      </w:r>
      <w:r>
        <w:rPr/>
        <w:t>orientador</w:t>
      </w:r>
      <w:r>
        <w:rPr>
          <w:position w:val="8"/>
          <w:sz w:val="16"/>
        </w:rPr>
        <w:t>10</w:t>
      </w:r>
      <w:r>
        <w:rPr/>
        <w:t>.</w:t>
      </w:r>
    </w:p>
    <w:p>
      <w:pPr>
        <w:pStyle w:val="BodyText"/>
        <w:spacing w:line="362" w:lineRule="auto" w:before="44"/>
        <w:ind w:left="117" w:right="116" w:hanging="10"/>
        <w:jc w:val="both"/>
      </w:pPr>
      <w:r>
        <w:rPr/>
        <w:t>Se ha aceptado que el nivel elevado de testosterona sérica provee evidencia bioquímica de hiperandrogenismo. Se considera que la testosterona sérica total de</w:t>
      </w:r>
    </w:p>
    <w:p>
      <w:pPr>
        <w:pStyle w:val="BodyText"/>
        <w:spacing w:line="364" w:lineRule="auto" w:before="7"/>
        <w:ind w:left="107" w:right="114" w:firstLine="9"/>
        <w:jc w:val="both"/>
      </w:pPr>
      <w:r>
        <w:rPr/>
        <w:t>&lt;5.0</w:t>
      </w:r>
      <w:r>
        <w:rPr>
          <w:spacing w:val="-16"/>
        </w:rPr>
        <w:t> </w:t>
      </w:r>
      <w:r>
        <w:rPr/>
        <w:t>nmol/L,</w:t>
      </w:r>
      <w:r>
        <w:rPr>
          <w:spacing w:val="-18"/>
        </w:rPr>
        <w:t> </w:t>
      </w:r>
      <w:r>
        <w:rPr/>
        <w:t>medida</w:t>
      </w:r>
      <w:r>
        <w:rPr>
          <w:spacing w:val="-16"/>
        </w:rPr>
        <w:t> </w:t>
      </w:r>
      <w:r>
        <w:rPr/>
        <w:t>con</w:t>
      </w:r>
      <w:r>
        <w:rPr>
          <w:spacing w:val="-17"/>
        </w:rPr>
        <w:t> </w:t>
      </w:r>
      <w:r>
        <w:rPr/>
        <w:t>extracción</w:t>
      </w:r>
      <w:r>
        <w:rPr>
          <w:spacing w:val="-16"/>
        </w:rPr>
        <w:t> </w:t>
      </w:r>
      <w:r>
        <w:rPr/>
        <w:t>de</w:t>
      </w:r>
      <w:r>
        <w:rPr>
          <w:spacing w:val="-17"/>
        </w:rPr>
        <w:t> </w:t>
      </w:r>
      <w:r>
        <w:rPr/>
        <w:t>inmunoensayo</w:t>
      </w:r>
      <w:r>
        <w:rPr>
          <w:spacing w:val="-17"/>
        </w:rPr>
        <w:t> </w:t>
      </w:r>
      <w:r>
        <w:rPr/>
        <w:t>traduce</w:t>
      </w:r>
      <w:r>
        <w:rPr>
          <w:spacing w:val="-17"/>
        </w:rPr>
        <w:t> </w:t>
      </w:r>
      <w:r>
        <w:rPr/>
        <w:t>patología</w:t>
      </w:r>
      <w:r>
        <w:rPr>
          <w:spacing w:val="-17"/>
        </w:rPr>
        <w:t> </w:t>
      </w:r>
      <w:r>
        <w:rPr/>
        <w:t>en</w:t>
      </w:r>
      <w:r>
        <w:rPr>
          <w:spacing w:val="-17"/>
        </w:rPr>
        <w:t> </w:t>
      </w:r>
      <w:r>
        <w:rPr/>
        <w:t>la</w:t>
      </w:r>
      <w:r>
        <w:rPr>
          <w:spacing w:val="-17"/>
        </w:rPr>
        <w:t> </w:t>
      </w:r>
      <w:r>
        <w:rPr/>
        <w:t>mujer. A</w:t>
      </w:r>
      <w:r>
        <w:rPr>
          <w:spacing w:val="-7"/>
        </w:rPr>
        <w:t> </w:t>
      </w:r>
      <w:r>
        <w:rPr/>
        <w:t>partir</w:t>
      </w:r>
      <w:r>
        <w:rPr>
          <w:spacing w:val="-8"/>
        </w:rPr>
        <w:t> </w:t>
      </w:r>
      <w:r>
        <w:rPr/>
        <w:t>del</w:t>
      </w:r>
      <w:r>
        <w:rPr>
          <w:spacing w:val="-11"/>
        </w:rPr>
        <w:t> </w:t>
      </w:r>
      <w:r>
        <w:rPr/>
        <w:t>hiperandrogenismo</w:t>
      </w:r>
      <w:r>
        <w:rPr>
          <w:spacing w:val="-9"/>
        </w:rPr>
        <w:t> </w:t>
      </w:r>
      <w:r>
        <w:rPr/>
        <w:t>moderado</w:t>
      </w:r>
      <w:r>
        <w:rPr>
          <w:spacing w:val="-7"/>
        </w:rPr>
        <w:t> </w:t>
      </w:r>
      <w:r>
        <w:rPr/>
        <w:t>con</w:t>
      </w:r>
      <w:r>
        <w:rPr>
          <w:spacing w:val="-7"/>
        </w:rPr>
        <w:t> </w:t>
      </w:r>
      <w:r>
        <w:rPr/>
        <w:t>una</w:t>
      </w:r>
      <w:r>
        <w:rPr>
          <w:spacing w:val="-7"/>
        </w:rPr>
        <w:t> </w:t>
      </w:r>
      <w:r>
        <w:rPr/>
        <w:t>testosterona</w:t>
      </w:r>
      <w:r>
        <w:rPr>
          <w:spacing w:val="-9"/>
        </w:rPr>
        <w:t> </w:t>
      </w:r>
      <w:r>
        <w:rPr/>
        <w:t>sérica</w:t>
      </w:r>
      <w:r>
        <w:rPr>
          <w:spacing w:val="-7"/>
        </w:rPr>
        <w:t> </w:t>
      </w:r>
      <w:r>
        <w:rPr/>
        <w:t>total</w:t>
      </w:r>
      <w:r>
        <w:rPr>
          <w:spacing w:val="-8"/>
        </w:rPr>
        <w:t> </w:t>
      </w:r>
      <w:r>
        <w:rPr/>
        <w:t>entre</w:t>
      </w:r>
      <w:r>
        <w:rPr>
          <w:spacing w:val="-7"/>
        </w:rPr>
        <w:t> </w:t>
      </w:r>
      <w:r>
        <w:rPr/>
        <w:t>25 nmol/L se considera consistente con síndrome de ovario poliquístico, mientras que las elevaciones &gt;5 nmol/L sugieren la investigación de otras causas, tales</w:t>
      </w:r>
      <w:r>
        <w:rPr>
          <w:spacing w:val="-24"/>
        </w:rPr>
        <w:t> </w:t>
      </w:r>
      <w:r>
        <w:rPr/>
        <w:t>como</w:t>
      </w:r>
    </w:p>
    <w:p>
      <w:pPr>
        <w:spacing w:line="156" w:lineRule="exact" w:before="0"/>
        <w:ind w:left="0" w:right="2247" w:firstLine="0"/>
        <w:jc w:val="center"/>
        <w:rPr>
          <w:sz w:val="16"/>
        </w:rPr>
      </w:pPr>
      <w:r>
        <w:rPr>
          <w:sz w:val="16"/>
        </w:rPr>
        <w:t>13</w:t>
      </w:r>
    </w:p>
    <w:p>
      <w:pPr>
        <w:pStyle w:val="BodyText"/>
        <w:spacing w:line="264" w:lineRule="exact"/>
        <w:ind w:left="107"/>
        <w:jc w:val="both"/>
      </w:pPr>
      <w:r>
        <w:rPr/>
        <w:t>tumor secretor de andrógenos .</w:t>
      </w:r>
    </w:p>
    <w:p>
      <w:pPr>
        <w:pStyle w:val="BodyText"/>
        <w:spacing w:before="4"/>
        <w:rPr>
          <w:sz w:val="32"/>
        </w:rPr>
      </w:pPr>
    </w:p>
    <w:p>
      <w:pPr>
        <w:pStyle w:val="BodyText"/>
        <w:spacing w:line="364" w:lineRule="auto"/>
        <w:ind w:left="117" w:right="106" w:hanging="10"/>
        <w:jc w:val="both"/>
      </w:pPr>
      <w:r>
        <w:rPr/>
        <w:t>El índice de andrógenos libre (AL) equivalente a la testosterona libre, a partir de</w:t>
      </w:r>
      <w:r>
        <w:rPr>
          <w:spacing w:val="-37"/>
        </w:rPr>
        <w:t> </w:t>
      </w:r>
      <w:r>
        <w:rPr/>
        <w:t>las concentraciones de testosterona total y de la proteína transportadora de las hormonas sexuales (</w:t>
      </w:r>
      <w:r>
        <w:rPr>
          <w:i/>
        </w:rPr>
        <w:t>sex hormone-binding globulin </w:t>
      </w:r>
      <w:r>
        <w:rPr/>
        <w:t>[SHBG]) se calcula utilizando la fórmula</w:t>
      </w:r>
      <w:r>
        <w:rPr>
          <w:spacing w:val="-5"/>
        </w:rPr>
        <w:t> </w:t>
      </w:r>
      <w:r>
        <w:rPr/>
        <w:t>siguiente:</w:t>
      </w:r>
    </w:p>
    <w:p>
      <w:pPr>
        <w:pStyle w:val="BodyText"/>
        <w:spacing w:before="199"/>
        <w:jc w:val="center"/>
      </w:pPr>
      <w:r>
        <w:rPr/>
        <w:t>IAL = testosterona total (nmol/l x 100/SHBG (nmol/l)</w:t>
      </w:r>
    </w:p>
    <w:p>
      <w:pPr>
        <w:spacing w:after="0"/>
        <w:jc w:val="center"/>
        <w:sectPr>
          <w:pgSz w:w="12240" w:h="15840"/>
          <w:pgMar w:top="1220" w:bottom="280" w:left="1580" w:right="1580"/>
        </w:sectPr>
      </w:pPr>
    </w:p>
    <w:p>
      <w:pPr>
        <w:pStyle w:val="BodyText"/>
        <w:spacing w:line="364" w:lineRule="auto" w:before="43"/>
        <w:ind w:left="117" w:right="110" w:hanging="10"/>
        <w:jc w:val="both"/>
      </w:pPr>
      <w:r>
        <w:rPr/>
        <w:t>Un IAL normal (≤ 5) sugiere hirsutismo idiopático. Un IAL muy elevado (&gt; 30) o niveles muy altos de testosterona total (&gt; 200 ng/dl) asociados al desarrollo de hirsutismo severo de rápida evolución sugieren un tumor productor de andrógenos. Un IAL moderadamente elevado es sugestivo de SOP; en estas adolescentes, es aconsejable medir las concentraciones basales de glucosa e insulina, y el perfil lipídico.</w:t>
      </w:r>
    </w:p>
    <w:p>
      <w:pPr>
        <w:pStyle w:val="BodyText"/>
        <w:spacing w:line="364" w:lineRule="auto" w:before="199"/>
        <w:ind w:left="117" w:right="105" w:hanging="10"/>
        <w:jc w:val="both"/>
      </w:pPr>
      <w:r>
        <w:rPr/>
        <w:t>Esta</w:t>
      </w:r>
      <w:r>
        <w:rPr>
          <w:spacing w:val="-12"/>
        </w:rPr>
        <w:t> </w:t>
      </w:r>
      <w:r>
        <w:rPr/>
        <w:t>indicado</w:t>
      </w:r>
      <w:r>
        <w:rPr>
          <w:spacing w:val="-12"/>
        </w:rPr>
        <w:t> </w:t>
      </w:r>
      <w:r>
        <w:rPr/>
        <w:t>realizar</w:t>
      </w:r>
      <w:r>
        <w:rPr>
          <w:spacing w:val="-11"/>
        </w:rPr>
        <w:t> </w:t>
      </w:r>
      <w:r>
        <w:rPr/>
        <w:t>un</w:t>
      </w:r>
      <w:r>
        <w:rPr>
          <w:spacing w:val="-12"/>
        </w:rPr>
        <w:t> </w:t>
      </w:r>
      <w:r>
        <w:rPr/>
        <w:t>test</w:t>
      </w:r>
      <w:r>
        <w:rPr>
          <w:spacing w:val="-15"/>
        </w:rPr>
        <w:t> </w:t>
      </w:r>
      <w:r>
        <w:rPr/>
        <w:t>de</w:t>
      </w:r>
      <w:r>
        <w:rPr>
          <w:spacing w:val="-12"/>
        </w:rPr>
        <w:t> </w:t>
      </w:r>
      <w:r>
        <w:rPr/>
        <w:t>ACTH</w:t>
      </w:r>
      <w:r>
        <w:rPr>
          <w:spacing w:val="-13"/>
        </w:rPr>
        <w:t> </w:t>
      </w:r>
      <w:r>
        <w:rPr/>
        <w:t>cuando</w:t>
      </w:r>
      <w:r>
        <w:rPr>
          <w:spacing w:val="-12"/>
        </w:rPr>
        <w:t> </w:t>
      </w:r>
      <w:r>
        <w:rPr/>
        <w:t>las</w:t>
      </w:r>
      <w:r>
        <w:rPr>
          <w:spacing w:val="-12"/>
        </w:rPr>
        <w:t> </w:t>
      </w:r>
      <w:r>
        <w:rPr/>
        <w:t>cifras</w:t>
      </w:r>
      <w:r>
        <w:rPr>
          <w:spacing w:val="-15"/>
        </w:rPr>
        <w:t> </w:t>
      </w:r>
      <w:r>
        <w:rPr/>
        <w:t>basales</w:t>
      </w:r>
      <w:r>
        <w:rPr>
          <w:spacing w:val="-13"/>
        </w:rPr>
        <w:t> </w:t>
      </w:r>
      <w:r>
        <w:rPr/>
        <w:t>de</w:t>
      </w:r>
      <w:r>
        <w:rPr>
          <w:spacing w:val="-15"/>
        </w:rPr>
        <w:t> </w:t>
      </w:r>
      <w:r>
        <w:rPr/>
        <w:t>17-OHP</w:t>
      </w:r>
      <w:r>
        <w:rPr>
          <w:spacing w:val="-12"/>
        </w:rPr>
        <w:t> </w:t>
      </w:r>
      <w:r>
        <w:rPr/>
        <w:t>en</w:t>
      </w:r>
      <w:r>
        <w:rPr>
          <w:spacing w:val="-15"/>
        </w:rPr>
        <w:t> </w:t>
      </w:r>
      <w:r>
        <w:rPr/>
        <w:t>fase folicular son &gt; 200 ng/dl. Cifras de 17-OHP post-ACTH &gt; 1000 ng/dl obligan a descartar la existencia de una hiperplasia suprarrenal congénita por déficit de 21hidroxilasa mediante estudio genético. Los valores de 17-OHP post-ACTH entre 1000 y 1500 ng/dl suelen corresponder a heterocigotos, mientras que los homocigotos suelen presentar concentraciones de 17-OHP post-ACTH &gt; 1500 ng/dl. La prevalencia de este defecto enzimático no es superior al</w:t>
      </w:r>
      <w:r>
        <w:rPr>
          <w:spacing w:val="-29"/>
        </w:rPr>
        <w:t> </w:t>
      </w:r>
      <w:r>
        <w:rPr/>
        <w:t>3%.</w:t>
      </w:r>
    </w:p>
    <w:p>
      <w:pPr>
        <w:pStyle w:val="BodyText"/>
        <w:spacing w:line="362" w:lineRule="auto" w:before="199"/>
        <w:ind w:left="107" w:right="28"/>
      </w:pPr>
      <w:r>
        <w:rPr/>
        <w:t>El test de estimulación con agonistas de GnRH (acetato de leuprorelina, 500 mg SC) es de interés para constatar la existencia de SOP. La determinación de la 17OHP ovárica basal y a las 24 horas de administrar el agonista permite determinar la respuesta gónada; en los casos de SOP, las gonadotrofinas hipofisiarias (LH y FSH) se encuentran significativamente elevadas a las tres horas de administrar el agonista.</w:t>
      </w:r>
    </w:p>
    <w:p>
      <w:pPr>
        <w:pStyle w:val="BodyText"/>
        <w:spacing w:line="364" w:lineRule="auto" w:before="201"/>
        <w:ind w:left="117" w:right="111" w:hanging="10"/>
        <w:jc w:val="both"/>
      </w:pPr>
      <w:r>
        <w:rPr/>
        <w:t>El test de tolerancia oral a la glucosa (TTOG) está indicado en las pacientes con riesgo de desarrollar intolerancia a la glucosa; por ejemplo, las pacientes obesas y aquellas con bajo peso al nacer seguido de una recuperación exagerada de peso. La presencia de ovarios poliquísticos ecográficos no es necesaria para el diagnóstico</w:t>
      </w:r>
      <w:r>
        <w:rPr>
          <w:spacing w:val="-6"/>
        </w:rPr>
        <w:t> </w:t>
      </w:r>
      <w:r>
        <w:rPr/>
        <w:t>de</w:t>
      </w:r>
      <w:r>
        <w:rPr>
          <w:spacing w:val="-6"/>
        </w:rPr>
        <w:t> </w:t>
      </w:r>
      <w:r>
        <w:rPr/>
        <w:t>SOP,</w:t>
      </w:r>
      <w:r>
        <w:rPr>
          <w:spacing w:val="-6"/>
        </w:rPr>
        <w:t> </w:t>
      </w:r>
      <w:r>
        <w:rPr/>
        <w:t>por</w:t>
      </w:r>
      <w:r>
        <w:rPr>
          <w:spacing w:val="-7"/>
        </w:rPr>
        <w:t> </w:t>
      </w:r>
      <w:r>
        <w:rPr/>
        <w:t>lo</w:t>
      </w:r>
      <w:r>
        <w:rPr>
          <w:spacing w:val="-6"/>
        </w:rPr>
        <w:t> </w:t>
      </w:r>
      <w:r>
        <w:rPr/>
        <w:t>que</w:t>
      </w:r>
      <w:r>
        <w:rPr>
          <w:spacing w:val="-6"/>
        </w:rPr>
        <w:t> </w:t>
      </w:r>
      <w:r>
        <w:rPr/>
        <w:t>no</w:t>
      </w:r>
      <w:r>
        <w:rPr>
          <w:spacing w:val="-6"/>
        </w:rPr>
        <w:t> </w:t>
      </w:r>
      <w:r>
        <w:rPr/>
        <w:t>se</w:t>
      </w:r>
      <w:r>
        <w:rPr>
          <w:spacing w:val="-6"/>
        </w:rPr>
        <w:t> </w:t>
      </w:r>
      <w:r>
        <w:rPr/>
        <w:t>recomienda</w:t>
      </w:r>
      <w:r>
        <w:rPr>
          <w:spacing w:val="-6"/>
        </w:rPr>
        <w:t> </w:t>
      </w:r>
      <w:r>
        <w:rPr/>
        <w:t>realizar</w:t>
      </w:r>
      <w:r>
        <w:rPr>
          <w:spacing w:val="-7"/>
        </w:rPr>
        <w:t> </w:t>
      </w:r>
      <w:r>
        <w:rPr/>
        <w:t>una</w:t>
      </w:r>
      <w:r>
        <w:rPr>
          <w:spacing w:val="-6"/>
        </w:rPr>
        <w:t> </w:t>
      </w:r>
      <w:r>
        <w:rPr/>
        <w:t>ecografía</w:t>
      </w:r>
      <w:r>
        <w:rPr>
          <w:spacing w:val="-6"/>
        </w:rPr>
        <w:t> </w:t>
      </w:r>
      <w:r>
        <w:rPr/>
        <w:t>de</w:t>
      </w:r>
      <w:r>
        <w:rPr>
          <w:spacing w:val="-8"/>
        </w:rPr>
        <w:t> </w:t>
      </w:r>
      <w:r>
        <w:rPr/>
        <w:t>manera sistemática. Los estudios de imagen como la tomografía computarizada o la resonancia magnética pueden ser necesarios en caso de sospecha</w:t>
      </w:r>
      <w:r>
        <w:rPr>
          <w:spacing w:val="-26"/>
        </w:rPr>
        <w:t> </w:t>
      </w:r>
      <w:r>
        <w:rPr/>
        <w:t>tumoral.</w:t>
      </w:r>
    </w:p>
    <w:p>
      <w:pPr>
        <w:pStyle w:val="BodyText"/>
      </w:pPr>
    </w:p>
    <w:p>
      <w:pPr>
        <w:pStyle w:val="BodyText"/>
      </w:pPr>
    </w:p>
    <w:p>
      <w:pPr>
        <w:pStyle w:val="BodyText"/>
        <w:spacing w:before="3"/>
        <w:rPr>
          <w:sz w:val="22"/>
        </w:rPr>
      </w:pPr>
    </w:p>
    <w:p>
      <w:pPr>
        <w:pStyle w:val="BodyText"/>
        <w:spacing w:line="499" w:lineRule="auto"/>
        <w:ind w:left="117" w:right="112" w:hanging="10"/>
        <w:jc w:val="both"/>
      </w:pPr>
      <w:r>
        <w:rPr/>
        <w:t>Otras entidades como el síndrome de Cushing y el hipotiroidismo presentan habitualmente signos y síntomas específicos que orientarán al diagnóstico</w:t>
      </w:r>
      <w:r>
        <w:rPr>
          <w:position w:val="8"/>
          <w:sz w:val="16"/>
        </w:rPr>
        <w:t>9</w:t>
      </w:r>
      <w:r>
        <w:rPr/>
        <w:t>.</w:t>
      </w:r>
    </w:p>
    <w:p>
      <w:pPr>
        <w:spacing w:after="0" w:line="499" w:lineRule="auto"/>
        <w:jc w:val="both"/>
        <w:sectPr>
          <w:pgSz w:w="12240" w:h="15840"/>
          <w:pgMar w:top="1220" w:bottom="280" w:left="1580" w:right="1580"/>
        </w:sectPr>
      </w:pPr>
    </w:p>
    <w:p>
      <w:pPr>
        <w:pStyle w:val="BodyText"/>
        <w:spacing w:line="362" w:lineRule="auto" w:before="43"/>
        <w:ind w:left="117" w:right="112" w:hanging="10"/>
        <w:jc w:val="both"/>
      </w:pPr>
      <w:r>
        <w:rPr/>
        <w:t>Los niveles elevados de la hormona antimülleriana, un péptido producido por las células de la granulosa de los folículos ováricos, es la alteración endocrina más destacada asociada a morfología de ovario poliquístico y en particular con exceso folicular</w:t>
      </w:r>
      <w:r>
        <w:rPr>
          <w:spacing w:val="-8"/>
        </w:rPr>
        <w:t> </w:t>
      </w:r>
      <w:r>
        <w:rPr/>
        <w:t>ovárico.</w:t>
      </w:r>
      <w:r>
        <w:rPr>
          <w:spacing w:val="-7"/>
        </w:rPr>
        <w:t> </w:t>
      </w:r>
      <w:r>
        <w:rPr/>
        <w:t>Las</w:t>
      </w:r>
      <w:r>
        <w:rPr>
          <w:spacing w:val="-8"/>
        </w:rPr>
        <w:t> </w:t>
      </w:r>
      <w:r>
        <w:rPr/>
        <w:t>concentraciones</w:t>
      </w:r>
      <w:r>
        <w:rPr>
          <w:spacing w:val="-8"/>
        </w:rPr>
        <w:t> </w:t>
      </w:r>
      <w:r>
        <w:rPr/>
        <w:t>séricas</w:t>
      </w:r>
      <w:r>
        <w:rPr>
          <w:spacing w:val="-10"/>
        </w:rPr>
        <w:t> </w:t>
      </w:r>
      <w:r>
        <w:rPr/>
        <w:t>de</w:t>
      </w:r>
      <w:r>
        <w:rPr>
          <w:spacing w:val="-7"/>
        </w:rPr>
        <w:t> </w:t>
      </w:r>
      <w:r>
        <w:rPr/>
        <w:t>AMH</w:t>
      </w:r>
      <w:r>
        <w:rPr>
          <w:spacing w:val="-8"/>
        </w:rPr>
        <w:t> </w:t>
      </w:r>
      <w:r>
        <w:rPr/>
        <w:t>se</w:t>
      </w:r>
      <w:r>
        <w:rPr>
          <w:spacing w:val="-9"/>
        </w:rPr>
        <w:t> </w:t>
      </w:r>
      <w:r>
        <w:rPr/>
        <w:t>incrementan</w:t>
      </w:r>
      <w:r>
        <w:rPr>
          <w:spacing w:val="-7"/>
        </w:rPr>
        <w:t> </w:t>
      </w:r>
      <w:r>
        <w:rPr/>
        <w:t>en</w:t>
      </w:r>
      <w:r>
        <w:rPr>
          <w:spacing w:val="-7"/>
        </w:rPr>
        <w:t> </w:t>
      </w:r>
      <w:r>
        <w:rPr/>
        <w:t>pacientes portadoras del síndrome de ovario poliquístico cuando los ovarios presentan un incremento de AMH que produce la formación de folículos pequeños antrales y preantrales, lo que traduce que la producción de AMH está muy incrementada por las células de la granulosa. De tal forma que existe una relación consistente entre los niveles séricos de la hormona antimülleriana y la detección ultrasonográfica del número de folículos por</w:t>
      </w:r>
      <w:r>
        <w:rPr>
          <w:spacing w:val="-12"/>
        </w:rPr>
        <w:t> </w:t>
      </w:r>
      <w:r>
        <w:rPr/>
        <w:t>ovario</w:t>
      </w:r>
      <w:r>
        <w:rPr>
          <w:position w:val="8"/>
          <w:sz w:val="16"/>
        </w:rPr>
        <w:t>14</w:t>
      </w:r>
      <w:r>
        <w:rPr/>
        <w:t>.</w:t>
      </w:r>
    </w:p>
    <w:p>
      <w:pPr>
        <w:pStyle w:val="BodyText"/>
        <w:rPr>
          <w:sz w:val="26"/>
        </w:rPr>
      </w:pPr>
    </w:p>
    <w:p>
      <w:pPr>
        <w:pStyle w:val="BodyText"/>
        <w:spacing w:before="10"/>
        <w:rPr>
          <w:sz w:val="28"/>
        </w:rPr>
      </w:pPr>
    </w:p>
    <w:p>
      <w:pPr>
        <w:spacing w:before="0"/>
        <w:ind w:left="107" w:right="0" w:firstLine="0"/>
        <w:jc w:val="both"/>
        <w:rPr>
          <w:rFonts w:ascii="Calibri" w:hAnsi="Calibri"/>
          <w:sz w:val="22"/>
        </w:rPr>
      </w:pPr>
      <w:r>
        <w:rPr>
          <w:rFonts w:ascii="Calibri" w:hAnsi="Calibri"/>
          <w:color w:val="5A5A5A"/>
          <w:sz w:val="22"/>
        </w:rPr>
        <w:t>DIAGNÓSTICO ECOGRÁFICO</w:t>
      </w:r>
    </w:p>
    <w:p>
      <w:pPr>
        <w:pStyle w:val="BodyText"/>
        <w:rPr>
          <w:rFonts w:ascii="Calibri"/>
          <w:sz w:val="22"/>
        </w:rPr>
      </w:pPr>
    </w:p>
    <w:p>
      <w:pPr>
        <w:pStyle w:val="BodyText"/>
        <w:spacing w:before="5"/>
        <w:rPr>
          <w:rFonts w:ascii="Calibri"/>
          <w:sz w:val="16"/>
        </w:rPr>
      </w:pPr>
    </w:p>
    <w:p>
      <w:pPr>
        <w:pStyle w:val="BodyText"/>
        <w:spacing w:line="362" w:lineRule="auto"/>
        <w:ind w:left="117" w:right="106" w:hanging="10"/>
        <w:jc w:val="both"/>
      </w:pPr>
      <w:r>
        <w:rPr/>
        <w:t>De acuerdo con la literatura disponible, los criterios que cumplen con la suficiente especificidad y sensibilidad para definir ovario poliquístico deben al menos contar con uno de los siguientes: 12 o más folículos que midan entre 2-9 mm de diámetro o</w:t>
      </w:r>
      <w:r>
        <w:rPr>
          <w:spacing w:val="-5"/>
        </w:rPr>
        <w:t> </w:t>
      </w:r>
      <w:r>
        <w:rPr/>
        <w:t>volumen</w:t>
      </w:r>
      <w:r>
        <w:rPr>
          <w:spacing w:val="-7"/>
        </w:rPr>
        <w:t> </w:t>
      </w:r>
      <w:r>
        <w:rPr/>
        <w:t>ovárico</w:t>
      </w:r>
      <w:r>
        <w:rPr>
          <w:spacing w:val="-5"/>
        </w:rPr>
        <w:t> </w:t>
      </w:r>
      <w:r>
        <w:rPr/>
        <w:t>aumentado</w:t>
      </w:r>
      <w:r>
        <w:rPr>
          <w:spacing w:val="-5"/>
        </w:rPr>
        <w:t> </w:t>
      </w:r>
      <w:r>
        <w:rPr/>
        <w:t>(&gt;10</w:t>
      </w:r>
      <w:r>
        <w:rPr>
          <w:spacing w:val="-5"/>
        </w:rPr>
        <w:t> </w:t>
      </w:r>
      <w:r>
        <w:rPr/>
        <w:t>cm3).</w:t>
      </w:r>
      <w:r>
        <w:rPr>
          <w:spacing w:val="-6"/>
        </w:rPr>
        <w:t> </w:t>
      </w:r>
      <w:r>
        <w:rPr/>
        <w:t>La</w:t>
      </w:r>
      <w:r>
        <w:rPr>
          <w:spacing w:val="-5"/>
        </w:rPr>
        <w:t> </w:t>
      </w:r>
      <w:r>
        <w:rPr/>
        <w:t>presencia</w:t>
      </w:r>
      <w:r>
        <w:rPr>
          <w:spacing w:val="-5"/>
        </w:rPr>
        <w:t> </w:t>
      </w:r>
      <w:r>
        <w:rPr/>
        <w:t>de</w:t>
      </w:r>
      <w:r>
        <w:rPr>
          <w:spacing w:val="-5"/>
        </w:rPr>
        <w:t> </w:t>
      </w:r>
      <w:r>
        <w:rPr/>
        <w:t>uno</w:t>
      </w:r>
      <w:r>
        <w:rPr>
          <w:spacing w:val="-5"/>
        </w:rPr>
        <w:t> </w:t>
      </w:r>
      <w:r>
        <w:rPr/>
        <w:t>de</w:t>
      </w:r>
      <w:r>
        <w:rPr>
          <w:spacing w:val="-1"/>
        </w:rPr>
        <w:t> </w:t>
      </w:r>
      <w:r>
        <w:rPr/>
        <w:t>estos</w:t>
      </w:r>
      <w:r>
        <w:rPr>
          <w:spacing w:val="-5"/>
        </w:rPr>
        <w:t> </w:t>
      </w:r>
      <w:r>
        <w:rPr/>
        <w:t>criterios</w:t>
      </w:r>
      <w:r>
        <w:rPr>
          <w:spacing w:val="-5"/>
        </w:rPr>
        <w:t> </w:t>
      </w:r>
      <w:r>
        <w:rPr/>
        <w:t>es suficiente para proveer el diagnóstico. La distribución de folículos y la descripción del estroma aún no son requisito en el</w:t>
      </w:r>
      <w:r>
        <w:rPr>
          <w:spacing w:val="-10"/>
        </w:rPr>
        <w:t> </w:t>
      </w:r>
      <w:r>
        <w:rPr/>
        <w:t>diagnóstico</w:t>
      </w:r>
      <w:r>
        <w:rPr>
          <w:position w:val="8"/>
          <w:sz w:val="16"/>
        </w:rPr>
        <w:t>15</w:t>
      </w:r>
      <w:r>
        <w:rPr/>
        <w:t>.</w:t>
      </w:r>
    </w:p>
    <w:p>
      <w:pPr>
        <w:pStyle w:val="BodyText"/>
        <w:spacing w:line="364" w:lineRule="auto" w:before="152"/>
        <w:ind w:left="117" w:right="111" w:hanging="10"/>
        <w:jc w:val="both"/>
      </w:pPr>
      <w:r>
        <w:rPr/>
        <w:t>Esta definición no se aplica a mujeres que toman anticonceptivos orales. Sólo un ovario</w:t>
      </w:r>
      <w:r>
        <w:rPr>
          <w:spacing w:val="-13"/>
        </w:rPr>
        <w:t> </w:t>
      </w:r>
      <w:r>
        <w:rPr/>
        <w:t>afectado</w:t>
      </w:r>
      <w:r>
        <w:rPr>
          <w:spacing w:val="-16"/>
        </w:rPr>
        <w:t> </w:t>
      </w:r>
      <w:r>
        <w:rPr/>
        <w:t>es</w:t>
      </w:r>
      <w:r>
        <w:rPr>
          <w:spacing w:val="-14"/>
        </w:rPr>
        <w:t> </w:t>
      </w:r>
      <w:r>
        <w:rPr/>
        <w:t>suficiente</w:t>
      </w:r>
      <w:r>
        <w:rPr>
          <w:spacing w:val="-15"/>
        </w:rPr>
        <w:t> </w:t>
      </w:r>
      <w:r>
        <w:rPr/>
        <w:t>para</w:t>
      </w:r>
      <w:r>
        <w:rPr>
          <w:spacing w:val="-16"/>
        </w:rPr>
        <w:t> </w:t>
      </w:r>
      <w:r>
        <w:rPr/>
        <w:t>definir</w:t>
      </w:r>
      <w:r>
        <w:rPr>
          <w:spacing w:val="-15"/>
        </w:rPr>
        <w:t> </w:t>
      </w:r>
      <w:r>
        <w:rPr/>
        <w:t>el</w:t>
      </w:r>
      <w:r>
        <w:rPr>
          <w:spacing w:val="-14"/>
        </w:rPr>
        <w:t> </w:t>
      </w:r>
      <w:r>
        <w:rPr/>
        <w:t>síndrome.</w:t>
      </w:r>
      <w:r>
        <w:rPr>
          <w:spacing w:val="-16"/>
        </w:rPr>
        <w:t> </w:t>
      </w:r>
      <w:r>
        <w:rPr/>
        <w:t>Si</w:t>
      </w:r>
      <w:r>
        <w:rPr>
          <w:spacing w:val="-14"/>
        </w:rPr>
        <w:t> </w:t>
      </w:r>
      <w:r>
        <w:rPr/>
        <w:t>hay</w:t>
      </w:r>
      <w:r>
        <w:rPr>
          <w:spacing w:val="-16"/>
        </w:rPr>
        <w:t> </w:t>
      </w:r>
      <w:r>
        <w:rPr/>
        <w:t>evidencia</w:t>
      </w:r>
      <w:r>
        <w:rPr>
          <w:spacing w:val="-13"/>
        </w:rPr>
        <w:t> </w:t>
      </w:r>
      <w:r>
        <w:rPr/>
        <w:t>de</w:t>
      </w:r>
      <w:r>
        <w:rPr>
          <w:spacing w:val="-16"/>
        </w:rPr>
        <w:t> </w:t>
      </w:r>
      <w:r>
        <w:rPr/>
        <w:t>un</w:t>
      </w:r>
      <w:r>
        <w:rPr>
          <w:spacing w:val="-16"/>
        </w:rPr>
        <w:t> </w:t>
      </w:r>
      <w:r>
        <w:rPr/>
        <w:t>folículo dominante</w:t>
      </w:r>
      <w:r>
        <w:rPr>
          <w:spacing w:val="-16"/>
        </w:rPr>
        <w:t> </w:t>
      </w:r>
      <w:r>
        <w:rPr/>
        <w:t>(&gt;10</w:t>
      </w:r>
      <w:r>
        <w:rPr>
          <w:spacing w:val="-19"/>
        </w:rPr>
        <w:t> </w:t>
      </w:r>
      <w:r>
        <w:rPr/>
        <w:t>mm)</w:t>
      </w:r>
      <w:r>
        <w:rPr>
          <w:spacing w:val="-18"/>
        </w:rPr>
        <w:t> </w:t>
      </w:r>
      <w:r>
        <w:rPr/>
        <w:t>o</w:t>
      </w:r>
      <w:r>
        <w:rPr>
          <w:spacing w:val="-19"/>
        </w:rPr>
        <w:t> </w:t>
      </w:r>
      <w:r>
        <w:rPr/>
        <w:t>un</w:t>
      </w:r>
      <w:r>
        <w:rPr>
          <w:spacing w:val="-17"/>
        </w:rPr>
        <w:t> </w:t>
      </w:r>
      <w:r>
        <w:rPr/>
        <w:t>cuerpo</w:t>
      </w:r>
      <w:r>
        <w:rPr>
          <w:spacing w:val="-16"/>
        </w:rPr>
        <w:t> </w:t>
      </w:r>
      <w:r>
        <w:rPr/>
        <w:t>lúteo,</w:t>
      </w:r>
      <w:r>
        <w:rPr>
          <w:spacing w:val="-17"/>
        </w:rPr>
        <w:t> </w:t>
      </w:r>
      <w:r>
        <w:rPr/>
        <w:t>el</w:t>
      </w:r>
      <w:r>
        <w:rPr>
          <w:spacing w:val="-20"/>
        </w:rPr>
        <w:t> </w:t>
      </w:r>
      <w:r>
        <w:rPr/>
        <w:t>examen</w:t>
      </w:r>
      <w:r>
        <w:rPr>
          <w:spacing w:val="-19"/>
        </w:rPr>
        <w:t> </w:t>
      </w:r>
      <w:r>
        <w:rPr/>
        <w:t>debe</w:t>
      </w:r>
      <w:r>
        <w:rPr>
          <w:spacing w:val="-17"/>
        </w:rPr>
        <w:t> </w:t>
      </w:r>
      <w:r>
        <w:rPr/>
        <w:t>repetirse</w:t>
      </w:r>
      <w:r>
        <w:rPr>
          <w:spacing w:val="-20"/>
        </w:rPr>
        <w:t> </w:t>
      </w:r>
      <w:r>
        <w:rPr/>
        <w:t>durante</w:t>
      </w:r>
      <w:r>
        <w:rPr>
          <w:spacing w:val="-18"/>
        </w:rPr>
        <w:t> </w:t>
      </w:r>
      <w:r>
        <w:rPr/>
        <w:t>el</w:t>
      </w:r>
      <w:r>
        <w:rPr>
          <w:spacing w:val="-18"/>
        </w:rPr>
        <w:t> </w:t>
      </w:r>
      <w:r>
        <w:rPr/>
        <w:t>próximo ciclo. El estroma ovárico no está considerado en la definición ecográfica actual de SOP.</w:t>
      </w:r>
      <w:r>
        <w:rPr>
          <w:spacing w:val="-13"/>
        </w:rPr>
        <w:t> </w:t>
      </w:r>
      <w:r>
        <w:rPr/>
        <w:t>No</w:t>
      </w:r>
      <w:r>
        <w:rPr>
          <w:spacing w:val="-16"/>
        </w:rPr>
        <w:t> </w:t>
      </w:r>
      <w:r>
        <w:rPr/>
        <w:t>obstante,</w:t>
      </w:r>
      <w:r>
        <w:rPr>
          <w:spacing w:val="-13"/>
        </w:rPr>
        <w:t> </w:t>
      </w:r>
      <w:r>
        <w:rPr/>
        <w:t>cabe</w:t>
      </w:r>
      <w:r>
        <w:rPr>
          <w:spacing w:val="-13"/>
        </w:rPr>
        <w:t> </w:t>
      </w:r>
      <w:r>
        <w:rPr/>
        <w:t>destacar</w:t>
      </w:r>
      <w:r>
        <w:rPr>
          <w:spacing w:val="-15"/>
        </w:rPr>
        <w:t> </w:t>
      </w:r>
      <w:r>
        <w:rPr/>
        <w:t>que</w:t>
      </w:r>
      <w:r>
        <w:rPr>
          <w:spacing w:val="-15"/>
        </w:rPr>
        <w:t> </w:t>
      </w:r>
      <w:r>
        <w:rPr/>
        <w:t>hasta</w:t>
      </w:r>
      <w:r>
        <w:rPr>
          <w:spacing w:val="-15"/>
        </w:rPr>
        <w:t> </w:t>
      </w:r>
      <w:r>
        <w:rPr/>
        <w:t>un</w:t>
      </w:r>
      <w:r>
        <w:rPr>
          <w:spacing w:val="-13"/>
        </w:rPr>
        <w:t> </w:t>
      </w:r>
      <w:r>
        <w:rPr/>
        <w:t>94%</w:t>
      </w:r>
      <w:r>
        <w:rPr>
          <w:spacing w:val="-16"/>
        </w:rPr>
        <w:t> </w:t>
      </w:r>
      <w:r>
        <w:rPr/>
        <w:t>de</w:t>
      </w:r>
      <w:r>
        <w:rPr>
          <w:spacing w:val="-15"/>
        </w:rPr>
        <w:t> </w:t>
      </w:r>
      <w:r>
        <w:rPr/>
        <w:t>los</w:t>
      </w:r>
      <w:r>
        <w:rPr>
          <w:spacing w:val="-13"/>
        </w:rPr>
        <w:t> </w:t>
      </w:r>
      <w:r>
        <w:rPr/>
        <w:t>casos</w:t>
      </w:r>
      <w:r>
        <w:rPr>
          <w:spacing w:val="-14"/>
        </w:rPr>
        <w:t> </w:t>
      </w:r>
      <w:r>
        <w:rPr/>
        <w:t>de</w:t>
      </w:r>
      <w:r>
        <w:rPr>
          <w:spacing w:val="-16"/>
        </w:rPr>
        <w:t> </w:t>
      </w:r>
      <w:r>
        <w:rPr/>
        <w:t>SOP</w:t>
      </w:r>
      <w:r>
        <w:rPr>
          <w:spacing w:val="-13"/>
        </w:rPr>
        <w:t> </w:t>
      </w:r>
      <w:r>
        <w:rPr/>
        <w:t>presentan aumento de la ecogenicidad ovárica. El SOP suele confundirse con los ovarios multifoliculares, los que se observan como ovarios aumentados de volumen con varios folículos en desarrollo hasta 9 mm sin dominancia y que aparecen dispersos en el estroma ovárico. Se presentan durante el desarrollo puberal y después de la reanudación de la ciclicidad ovárica que sigue a una fase de amenorrea (lactancia, pubertad)</w:t>
      </w:r>
      <w:r>
        <w:rPr>
          <w:position w:val="8"/>
          <w:sz w:val="16"/>
        </w:rPr>
        <w:t>10</w:t>
      </w:r>
      <w:r>
        <w:rPr/>
        <w:t>.</w:t>
      </w:r>
    </w:p>
    <w:p>
      <w:pPr>
        <w:spacing w:after="0" w:line="364" w:lineRule="auto"/>
        <w:jc w:val="both"/>
        <w:sectPr>
          <w:pgSz w:w="12240" w:h="15840"/>
          <w:pgMar w:top="1220" w:bottom="280" w:left="1580" w:right="1580"/>
        </w:sectPr>
      </w:pPr>
    </w:p>
    <w:p>
      <w:pPr>
        <w:pStyle w:val="BodyText"/>
        <w:spacing w:line="429" w:lineRule="auto" w:before="40"/>
        <w:ind w:left="117" w:right="111" w:hanging="10"/>
        <w:jc w:val="both"/>
      </w:pPr>
      <w:r>
        <w:rPr/>
        <w:t>En los últimos años la evaluación ecográfica de ovarios poliquísticos ha recibido un gran</w:t>
      </w:r>
      <w:r>
        <w:rPr>
          <w:spacing w:val="-3"/>
        </w:rPr>
        <w:t> </w:t>
      </w:r>
      <w:r>
        <w:rPr/>
        <w:t>reto</w:t>
      </w:r>
      <w:r>
        <w:rPr>
          <w:spacing w:val="-3"/>
        </w:rPr>
        <w:t> </w:t>
      </w:r>
      <w:r>
        <w:rPr/>
        <w:t>que</w:t>
      </w:r>
      <w:r>
        <w:rPr>
          <w:spacing w:val="-6"/>
        </w:rPr>
        <w:t> </w:t>
      </w:r>
      <w:r>
        <w:rPr/>
        <w:t>obliga</w:t>
      </w:r>
      <w:r>
        <w:rPr>
          <w:spacing w:val="-4"/>
        </w:rPr>
        <w:t> </w:t>
      </w:r>
      <w:r>
        <w:rPr/>
        <w:t>a</w:t>
      </w:r>
      <w:r>
        <w:rPr>
          <w:spacing w:val="-6"/>
        </w:rPr>
        <w:t> </w:t>
      </w:r>
      <w:r>
        <w:rPr/>
        <w:t>enfocarse</w:t>
      </w:r>
      <w:r>
        <w:rPr>
          <w:spacing w:val="-4"/>
        </w:rPr>
        <w:t> </w:t>
      </w:r>
      <w:r>
        <w:rPr/>
        <w:t>y</w:t>
      </w:r>
      <w:r>
        <w:rPr>
          <w:spacing w:val="-7"/>
        </w:rPr>
        <w:t> </w:t>
      </w:r>
      <w:r>
        <w:rPr/>
        <w:t>mejorar</w:t>
      </w:r>
      <w:r>
        <w:rPr>
          <w:spacing w:val="-5"/>
        </w:rPr>
        <w:t> </w:t>
      </w:r>
      <w:r>
        <w:rPr/>
        <w:t>el</w:t>
      </w:r>
      <w:r>
        <w:rPr>
          <w:spacing w:val="-10"/>
        </w:rPr>
        <w:t> </w:t>
      </w:r>
      <w:r>
        <w:rPr/>
        <w:t>diagnóstico</w:t>
      </w:r>
      <w:r>
        <w:rPr>
          <w:spacing w:val="-6"/>
        </w:rPr>
        <w:t> </w:t>
      </w:r>
      <w:r>
        <w:rPr/>
        <w:t>evaluando</w:t>
      </w:r>
      <w:r>
        <w:rPr>
          <w:spacing w:val="-6"/>
        </w:rPr>
        <w:t> </w:t>
      </w:r>
      <w:r>
        <w:rPr/>
        <w:t>los</w:t>
      </w:r>
      <w:r>
        <w:rPr>
          <w:spacing w:val="-4"/>
        </w:rPr>
        <w:t> </w:t>
      </w:r>
      <w:r>
        <w:rPr/>
        <w:t>parámetros tanto objetivos como subjetivos de la hipertrofia del estroma</w:t>
      </w:r>
      <w:r>
        <w:rPr>
          <w:spacing w:val="-22"/>
        </w:rPr>
        <w:t> </w:t>
      </w:r>
      <w:r>
        <w:rPr/>
        <w:t>ovárico</w:t>
      </w:r>
      <w:r>
        <w:rPr>
          <w:position w:val="8"/>
          <w:sz w:val="16"/>
        </w:rPr>
        <w:t>16</w:t>
      </w:r>
      <w:r>
        <w:rPr/>
        <w:t>.</w:t>
      </w:r>
    </w:p>
    <w:p>
      <w:pPr>
        <w:pStyle w:val="BodyText"/>
        <w:spacing w:line="364" w:lineRule="auto" w:before="132"/>
        <w:ind w:left="117" w:right="107" w:hanging="10"/>
        <w:jc w:val="both"/>
      </w:pPr>
      <w:r>
        <w:rPr/>
        <w:t>Se han incluido estos parámetros en algunas investigaciones, enfocadas a caracterizar</w:t>
      </w:r>
      <w:r>
        <w:rPr>
          <w:spacing w:val="-6"/>
        </w:rPr>
        <w:t> </w:t>
      </w:r>
      <w:r>
        <w:rPr/>
        <w:t>y</w:t>
      </w:r>
      <w:r>
        <w:rPr>
          <w:spacing w:val="-8"/>
        </w:rPr>
        <w:t> </w:t>
      </w:r>
      <w:r>
        <w:rPr/>
        <w:t>desarrollar</w:t>
      </w:r>
      <w:r>
        <w:rPr>
          <w:spacing w:val="-6"/>
        </w:rPr>
        <w:t> </w:t>
      </w:r>
      <w:r>
        <w:rPr/>
        <w:t>un</w:t>
      </w:r>
      <w:r>
        <w:rPr>
          <w:spacing w:val="-7"/>
        </w:rPr>
        <w:t> </w:t>
      </w:r>
      <w:r>
        <w:rPr/>
        <w:t>método</w:t>
      </w:r>
      <w:r>
        <w:rPr>
          <w:spacing w:val="-7"/>
        </w:rPr>
        <w:t> </w:t>
      </w:r>
      <w:r>
        <w:rPr/>
        <w:t>de</w:t>
      </w:r>
      <w:r>
        <w:rPr>
          <w:spacing w:val="-5"/>
        </w:rPr>
        <w:t> </w:t>
      </w:r>
      <w:r>
        <w:rPr/>
        <w:t>cuantificación</w:t>
      </w:r>
      <w:r>
        <w:rPr>
          <w:spacing w:val="-5"/>
        </w:rPr>
        <w:t> </w:t>
      </w:r>
      <w:r>
        <w:rPr/>
        <w:t>que</w:t>
      </w:r>
      <w:r>
        <w:rPr>
          <w:spacing w:val="-7"/>
        </w:rPr>
        <w:t> </w:t>
      </w:r>
      <w:r>
        <w:rPr/>
        <w:t>permita</w:t>
      </w:r>
      <w:r>
        <w:rPr>
          <w:spacing w:val="-5"/>
        </w:rPr>
        <w:t> </w:t>
      </w:r>
      <w:r>
        <w:rPr/>
        <w:t>aproximarse</w:t>
      </w:r>
      <w:r>
        <w:rPr>
          <w:spacing w:val="-5"/>
        </w:rPr>
        <w:t> </w:t>
      </w:r>
      <w:r>
        <w:rPr/>
        <w:t>con mayor</w:t>
      </w:r>
      <w:r>
        <w:rPr>
          <w:spacing w:val="-14"/>
        </w:rPr>
        <w:t> </w:t>
      </w:r>
      <w:r>
        <w:rPr/>
        <w:t>certeza</w:t>
      </w:r>
      <w:r>
        <w:rPr>
          <w:spacing w:val="-15"/>
        </w:rPr>
        <w:t> </w:t>
      </w:r>
      <w:r>
        <w:rPr/>
        <w:t>diagnóstica</w:t>
      </w:r>
      <w:r>
        <w:rPr>
          <w:spacing w:val="-13"/>
        </w:rPr>
        <w:t> </w:t>
      </w:r>
      <w:r>
        <w:rPr/>
        <w:t>ecográfica</w:t>
      </w:r>
      <w:r>
        <w:rPr>
          <w:spacing w:val="-15"/>
        </w:rPr>
        <w:t> </w:t>
      </w:r>
      <w:r>
        <w:rPr/>
        <w:t>al</w:t>
      </w:r>
      <w:r>
        <w:rPr>
          <w:spacing w:val="-15"/>
        </w:rPr>
        <w:t> </w:t>
      </w:r>
      <w:r>
        <w:rPr/>
        <w:t>ovario</w:t>
      </w:r>
      <w:r>
        <w:rPr>
          <w:spacing w:val="-13"/>
        </w:rPr>
        <w:t> </w:t>
      </w:r>
      <w:r>
        <w:rPr/>
        <w:t>poliquístico</w:t>
      </w:r>
      <w:r>
        <w:rPr>
          <w:spacing w:val="-13"/>
        </w:rPr>
        <w:t> </w:t>
      </w:r>
      <w:r>
        <w:rPr/>
        <w:t>y</w:t>
      </w:r>
      <w:r>
        <w:rPr>
          <w:spacing w:val="-15"/>
        </w:rPr>
        <w:t> </w:t>
      </w:r>
      <w:r>
        <w:rPr/>
        <w:t>que</w:t>
      </w:r>
      <w:r>
        <w:rPr>
          <w:spacing w:val="-13"/>
        </w:rPr>
        <w:t> </w:t>
      </w:r>
      <w:r>
        <w:rPr/>
        <w:t>tenga</w:t>
      </w:r>
      <w:r>
        <w:rPr>
          <w:spacing w:val="-13"/>
        </w:rPr>
        <w:t> </w:t>
      </w:r>
      <w:r>
        <w:rPr/>
        <w:t>menor</w:t>
      </w:r>
      <w:r>
        <w:rPr>
          <w:spacing w:val="-14"/>
        </w:rPr>
        <w:t> </w:t>
      </w:r>
      <w:r>
        <w:rPr/>
        <w:t>rango de variable interobservador como lo es la cuantificación y medición de folículos siendo así que se ha confirmado que el índice estroma / área total de ovario en un rango mayor a 0.32 se considera como un buen predictor de hiperandrogenemia</w:t>
      </w:r>
      <w:r>
        <w:rPr>
          <w:spacing w:val="-29"/>
        </w:rPr>
        <w:t> </w:t>
      </w:r>
      <w:r>
        <w:rPr/>
        <w:t>e</w:t>
      </w:r>
    </w:p>
    <w:p>
      <w:pPr>
        <w:spacing w:line="158" w:lineRule="exact" w:before="0"/>
        <w:ind w:left="0" w:right="273" w:firstLine="0"/>
        <w:jc w:val="right"/>
        <w:rPr>
          <w:sz w:val="16"/>
        </w:rPr>
      </w:pPr>
      <w:r>
        <w:rPr>
          <w:sz w:val="16"/>
        </w:rPr>
        <w:t>17</w:t>
      </w:r>
    </w:p>
    <w:p>
      <w:pPr>
        <w:pStyle w:val="BodyText"/>
        <w:spacing w:line="264" w:lineRule="exact"/>
        <w:ind w:left="107"/>
        <w:jc w:val="both"/>
      </w:pPr>
      <w:r>
        <w:rPr/>
        <w:t>hirsutismo  y se ha sugerido incluirse como parte de la  práctica clínica de rutina .</w:t>
      </w:r>
    </w:p>
    <w:p>
      <w:pPr>
        <w:pStyle w:val="BodyText"/>
        <w:spacing w:before="10"/>
        <w:rPr>
          <w:sz w:val="31"/>
        </w:rPr>
      </w:pPr>
    </w:p>
    <w:p>
      <w:pPr>
        <w:pStyle w:val="BodyText"/>
        <w:spacing w:line="496" w:lineRule="auto"/>
        <w:ind w:left="117" w:right="117" w:hanging="10"/>
        <w:jc w:val="both"/>
      </w:pPr>
      <w:r>
        <w:rPr/>
        <w:t>Además,</w:t>
      </w:r>
      <w:r>
        <w:rPr>
          <w:spacing w:val="-13"/>
        </w:rPr>
        <w:t> </w:t>
      </w:r>
      <w:r>
        <w:rPr/>
        <w:t>algunos</w:t>
      </w:r>
      <w:r>
        <w:rPr>
          <w:spacing w:val="-14"/>
        </w:rPr>
        <w:t> </w:t>
      </w:r>
      <w:r>
        <w:rPr/>
        <w:t>autores</w:t>
      </w:r>
      <w:r>
        <w:rPr>
          <w:spacing w:val="-11"/>
        </w:rPr>
        <w:t> </w:t>
      </w:r>
      <w:r>
        <w:rPr/>
        <w:t>sugieren</w:t>
      </w:r>
      <w:r>
        <w:rPr>
          <w:spacing w:val="-11"/>
        </w:rPr>
        <w:t> </w:t>
      </w:r>
      <w:r>
        <w:rPr/>
        <w:t>que</w:t>
      </w:r>
      <w:r>
        <w:rPr>
          <w:spacing w:val="-13"/>
        </w:rPr>
        <w:t> </w:t>
      </w:r>
      <w:r>
        <w:rPr/>
        <w:t>un</w:t>
      </w:r>
      <w:r>
        <w:rPr>
          <w:spacing w:val="-11"/>
        </w:rPr>
        <w:t> </w:t>
      </w:r>
      <w:r>
        <w:rPr/>
        <w:t>área</w:t>
      </w:r>
      <w:r>
        <w:rPr>
          <w:spacing w:val="-11"/>
        </w:rPr>
        <w:t> </w:t>
      </w:r>
      <w:r>
        <w:rPr/>
        <w:t>&gt;5.5</w:t>
      </w:r>
      <w:r>
        <w:rPr>
          <w:spacing w:val="-10"/>
        </w:rPr>
        <w:t> </w:t>
      </w:r>
      <w:r>
        <w:rPr/>
        <w:t>cm2</w:t>
      </w:r>
      <w:r>
        <w:rPr>
          <w:spacing w:val="-13"/>
        </w:rPr>
        <w:t> </w:t>
      </w:r>
      <w:r>
        <w:rPr/>
        <w:t>en</w:t>
      </w:r>
      <w:r>
        <w:rPr>
          <w:spacing w:val="-13"/>
        </w:rPr>
        <w:t> </w:t>
      </w:r>
      <w:r>
        <w:rPr/>
        <w:t>plano</w:t>
      </w:r>
      <w:r>
        <w:rPr>
          <w:spacing w:val="-13"/>
        </w:rPr>
        <w:t> </w:t>
      </w:r>
      <w:r>
        <w:rPr/>
        <w:t>longitudinal</w:t>
      </w:r>
      <w:r>
        <w:rPr>
          <w:spacing w:val="-12"/>
        </w:rPr>
        <w:t> </w:t>
      </w:r>
      <w:r>
        <w:rPr/>
        <w:t>tiene el mismo valor diagnóstico que el incremento del área</w:t>
      </w:r>
      <w:r>
        <w:rPr>
          <w:spacing w:val="-18"/>
        </w:rPr>
        <w:t> </w:t>
      </w:r>
      <w:r>
        <w:rPr/>
        <w:t>estromal</w:t>
      </w:r>
      <w:r>
        <w:rPr>
          <w:position w:val="8"/>
          <w:sz w:val="16"/>
        </w:rPr>
        <w:t>18</w:t>
      </w:r>
      <w:r>
        <w:rPr/>
        <w:t>.</w:t>
      </w:r>
    </w:p>
    <w:p>
      <w:pPr>
        <w:pStyle w:val="BodyText"/>
        <w:rPr>
          <w:sz w:val="26"/>
        </w:rPr>
      </w:pPr>
    </w:p>
    <w:p>
      <w:pPr>
        <w:pStyle w:val="BodyText"/>
        <w:rPr>
          <w:sz w:val="26"/>
        </w:rPr>
      </w:pPr>
    </w:p>
    <w:p>
      <w:pPr>
        <w:spacing w:before="174"/>
        <w:ind w:left="107" w:right="0" w:firstLine="0"/>
        <w:jc w:val="both"/>
        <w:rPr>
          <w:rFonts w:ascii="Calibri" w:hAnsi="Calibri"/>
          <w:sz w:val="22"/>
        </w:rPr>
      </w:pPr>
      <w:r>
        <w:rPr>
          <w:rFonts w:ascii="Calibri" w:hAnsi="Calibri"/>
          <w:color w:val="5A5A5A"/>
          <w:sz w:val="22"/>
        </w:rPr>
        <w:t>ASPECTOS TÉCNICOS ECOGRÁFICOS</w:t>
      </w:r>
    </w:p>
    <w:p>
      <w:pPr>
        <w:pStyle w:val="BodyText"/>
        <w:rPr>
          <w:rFonts w:ascii="Calibri"/>
          <w:sz w:val="22"/>
        </w:rPr>
      </w:pPr>
    </w:p>
    <w:p>
      <w:pPr>
        <w:pStyle w:val="BodyText"/>
        <w:spacing w:before="5"/>
        <w:rPr>
          <w:rFonts w:ascii="Calibri"/>
          <w:sz w:val="16"/>
        </w:rPr>
      </w:pPr>
    </w:p>
    <w:p>
      <w:pPr>
        <w:pStyle w:val="BodyText"/>
        <w:spacing w:line="364" w:lineRule="auto" w:before="1"/>
        <w:ind w:left="117" w:right="110" w:hanging="10"/>
        <w:jc w:val="both"/>
      </w:pPr>
      <w:r>
        <w:rPr/>
        <w:t>La</w:t>
      </w:r>
      <w:r>
        <w:rPr>
          <w:spacing w:val="-5"/>
        </w:rPr>
        <w:t> </w:t>
      </w:r>
      <w:r>
        <w:rPr/>
        <w:t>evaluación</w:t>
      </w:r>
      <w:r>
        <w:rPr>
          <w:spacing w:val="-5"/>
        </w:rPr>
        <w:t> </w:t>
      </w:r>
      <w:r>
        <w:rPr/>
        <w:t>ultrasonográfica</w:t>
      </w:r>
      <w:r>
        <w:rPr>
          <w:spacing w:val="-7"/>
        </w:rPr>
        <w:t> </w:t>
      </w:r>
      <w:r>
        <w:rPr/>
        <w:t>mediante</w:t>
      </w:r>
      <w:r>
        <w:rPr>
          <w:spacing w:val="-7"/>
        </w:rPr>
        <w:t> </w:t>
      </w:r>
      <w:r>
        <w:rPr/>
        <w:t>modo</w:t>
      </w:r>
      <w:r>
        <w:rPr>
          <w:spacing w:val="-5"/>
        </w:rPr>
        <w:t> </w:t>
      </w:r>
      <w:r>
        <w:rPr/>
        <w:t>B</w:t>
      </w:r>
      <w:r>
        <w:rPr>
          <w:spacing w:val="-5"/>
        </w:rPr>
        <w:t> </w:t>
      </w:r>
      <w:r>
        <w:rPr/>
        <w:t>de</w:t>
      </w:r>
      <w:r>
        <w:rPr>
          <w:spacing w:val="-5"/>
        </w:rPr>
        <w:t> </w:t>
      </w:r>
      <w:r>
        <w:rPr/>
        <w:t>los</w:t>
      </w:r>
      <w:r>
        <w:rPr>
          <w:spacing w:val="-2"/>
        </w:rPr>
        <w:t> </w:t>
      </w:r>
      <w:r>
        <w:rPr/>
        <w:t>ovarios</w:t>
      </w:r>
      <w:r>
        <w:rPr>
          <w:spacing w:val="-5"/>
        </w:rPr>
        <w:t> </w:t>
      </w:r>
      <w:r>
        <w:rPr/>
        <w:t>consiste</w:t>
      </w:r>
      <w:r>
        <w:rPr>
          <w:spacing w:val="-5"/>
        </w:rPr>
        <w:t> </w:t>
      </w:r>
      <w:r>
        <w:rPr/>
        <w:t>en</w:t>
      </w:r>
      <w:r>
        <w:rPr>
          <w:spacing w:val="-7"/>
        </w:rPr>
        <w:t> </w:t>
      </w:r>
      <w:r>
        <w:rPr/>
        <w:t>evaluar los</w:t>
      </w:r>
      <w:r>
        <w:rPr>
          <w:spacing w:val="-6"/>
        </w:rPr>
        <w:t> </w:t>
      </w:r>
      <w:r>
        <w:rPr/>
        <w:t>diámetros</w:t>
      </w:r>
      <w:r>
        <w:rPr>
          <w:spacing w:val="-7"/>
        </w:rPr>
        <w:t> </w:t>
      </w:r>
      <w:r>
        <w:rPr/>
        <w:t>y</w:t>
      </w:r>
      <w:r>
        <w:rPr>
          <w:spacing w:val="-9"/>
        </w:rPr>
        <w:t> </w:t>
      </w:r>
      <w:r>
        <w:rPr/>
        <w:t>el</w:t>
      </w:r>
      <w:r>
        <w:rPr>
          <w:spacing w:val="-10"/>
        </w:rPr>
        <w:t> </w:t>
      </w:r>
      <w:r>
        <w:rPr/>
        <w:t>volumen,</w:t>
      </w:r>
      <w:r>
        <w:rPr>
          <w:spacing w:val="-9"/>
        </w:rPr>
        <w:t> </w:t>
      </w:r>
      <w:r>
        <w:rPr/>
        <w:t>así</w:t>
      </w:r>
      <w:r>
        <w:rPr>
          <w:spacing w:val="-9"/>
        </w:rPr>
        <w:t> </w:t>
      </w:r>
      <w:r>
        <w:rPr/>
        <w:t>como</w:t>
      </w:r>
      <w:r>
        <w:rPr>
          <w:spacing w:val="-8"/>
        </w:rPr>
        <w:t> </w:t>
      </w:r>
      <w:r>
        <w:rPr/>
        <w:t>el</w:t>
      </w:r>
      <w:r>
        <w:rPr>
          <w:spacing w:val="-7"/>
        </w:rPr>
        <w:t> </w:t>
      </w:r>
      <w:r>
        <w:rPr/>
        <w:t>conteo</w:t>
      </w:r>
      <w:r>
        <w:rPr>
          <w:spacing w:val="-8"/>
        </w:rPr>
        <w:t> </w:t>
      </w:r>
      <w:r>
        <w:rPr/>
        <w:t>de</w:t>
      </w:r>
      <w:r>
        <w:rPr>
          <w:spacing w:val="-8"/>
        </w:rPr>
        <w:t> </w:t>
      </w:r>
      <w:r>
        <w:rPr/>
        <w:t>los</w:t>
      </w:r>
      <w:r>
        <w:rPr>
          <w:spacing w:val="-11"/>
        </w:rPr>
        <w:t> </w:t>
      </w:r>
      <w:r>
        <w:rPr/>
        <w:t>folículos</w:t>
      </w:r>
      <w:r>
        <w:rPr>
          <w:spacing w:val="-9"/>
        </w:rPr>
        <w:t> </w:t>
      </w:r>
      <w:r>
        <w:rPr/>
        <w:t>antrales,</w:t>
      </w:r>
      <w:r>
        <w:rPr>
          <w:spacing w:val="-6"/>
        </w:rPr>
        <w:t> </w:t>
      </w:r>
      <w:r>
        <w:rPr/>
        <w:t>sin</w:t>
      </w:r>
      <w:r>
        <w:rPr>
          <w:spacing w:val="-8"/>
        </w:rPr>
        <w:t> </w:t>
      </w:r>
      <w:r>
        <w:rPr/>
        <w:t>dejar</w:t>
      </w:r>
      <w:r>
        <w:rPr>
          <w:spacing w:val="-9"/>
        </w:rPr>
        <w:t> </w:t>
      </w:r>
      <w:r>
        <w:rPr/>
        <w:t>de lado tanto cuantitativamente y cualitativamente la densidad del</w:t>
      </w:r>
      <w:r>
        <w:rPr>
          <w:spacing w:val="-30"/>
        </w:rPr>
        <w:t> </w:t>
      </w:r>
      <w:r>
        <w:rPr/>
        <w:t>estroma.</w:t>
      </w:r>
    </w:p>
    <w:p>
      <w:pPr>
        <w:pStyle w:val="BodyText"/>
        <w:spacing w:line="362" w:lineRule="auto" w:before="199"/>
        <w:ind w:left="117" w:right="102" w:hanging="10"/>
        <w:jc w:val="both"/>
      </w:pPr>
      <w:r>
        <w:rPr/>
        <w:t>Una vez que los ovarios son localizados se sitúa la imagen en el diámetro mayor longitudinal del ovario y se toma en la pantalla dividida en 2 (</w:t>
      </w:r>
      <w:r>
        <w:rPr>
          <w:i/>
        </w:rPr>
        <w:t>dual screen</w:t>
      </w:r>
      <w:r>
        <w:rPr/>
        <w:t>). Posteriormente el transductor se rota 90 grados para tener un plano transverso verdadero del ovario</w:t>
      </w:r>
      <w:r>
        <w:rPr>
          <w:position w:val="8"/>
          <w:sz w:val="16"/>
        </w:rPr>
        <w:t>19</w:t>
      </w:r>
      <w:r>
        <w:rPr/>
        <w:t>.</w:t>
      </w:r>
    </w:p>
    <w:p>
      <w:pPr>
        <w:pStyle w:val="BodyText"/>
        <w:rPr>
          <w:sz w:val="26"/>
        </w:rPr>
      </w:pPr>
    </w:p>
    <w:p>
      <w:pPr>
        <w:pStyle w:val="BodyText"/>
        <w:rPr>
          <w:sz w:val="26"/>
        </w:rPr>
      </w:pPr>
    </w:p>
    <w:p>
      <w:pPr>
        <w:spacing w:before="226"/>
        <w:ind w:left="544" w:right="28" w:firstLine="0"/>
        <w:jc w:val="left"/>
        <w:rPr>
          <w:sz w:val="22"/>
        </w:rPr>
      </w:pPr>
      <w:r>
        <w:rPr>
          <w:b/>
          <w:i/>
          <w:sz w:val="22"/>
        </w:rPr>
        <w:t>Figura 3. </w:t>
      </w:r>
      <w:r>
        <w:rPr>
          <w:sz w:val="22"/>
        </w:rPr>
        <w:t>Diámetros mayores longitudinal y transverso del ovario en ‘dual screen’.</w:t>
      </w:r>
    </w:p>
    <w:p>
      <w:pPr>
        <w:spacing w:after="0"/>
        <w:jc w:val="left"/>
        <w:rPr>
          <w:sz w:val="22"/>
        </w:rPr>
        <w:sectPr>
          <w:pgSz w:w="12240" w:h="15840"/>
          <w:pgMar w:top="1220" w:bottom="280" w:left="1580" w:right="1580"/>
        </w:sectPr>
      </w:pPr>
    </w:p>
    <w:p>
      <w:pPr>
        <w:pStyle w:val="BodyText"/>
        <w:rPr>
          <w:sz w:val="20"/>
        </w:rPr>
      </w:pPr>
      <w:r>
        <w:rPr/>
        <w:drawing>
          <wp:anchor distT="0" distB="0" distL="0" distR="0" allowOverlap="1" layoutInCell="1" locked="0" behindDoc="0" simplePos="0" relativeHeight="1096">
            <wp:simplePos x="0" y="0"/>
            <wp:positionH relativeFrom="page">
              <wp:posOffset>1626107</wp:posOffset>
            </wp:positionH>
            <wp:positionV relativeFrom="page">
              <wp:posOffset>806195</wp:posOffset>
            </wp:positionV>
            <wp:extent cx="56006" cy="224027"/>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1626107</wp:posOffset>
            </wp:positionH>
            <wp:positionV relativeFrom="page">
              <wp:posOffset>1196339</wp:posOffset>
            </wp:positionV>
            <wp:extent cx="56006" cy="224027"/>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56006" cy="22402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line="357" w:lineRule="auto" w:before="73"/>
        <w:ind w:left="930" w:right="241" w:hanging="672"/>
        <w:jc w:val="left"/>
        <w:rPr>
          <w:sz w:val="22"/>
        </w:rPr>
      </w:pPr>
      <w:r>
        <w:rPr/>
        <w:drawing>
          <wp:anchor distT="0" distB="0" distL="0" distR="0" allowOverlap="1" layoutInCell="1" locked="0" behindDoc="0" simplePos="0" relativeHeight="1144">
            <wp:simplePos x="0" y="0"/>
            <wp:positionH relativeFrom="page">
              <wp:posOffset>1626107</wp:posOffset>
            </wp:positionH>
            <wp:positionV relativeFrom="paragraph">
              <wp:posOffset>-1138074</wp:posOffset>
            </wp:positionV>
            <wp:extent cx="56790" cy="22869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56790" cy="228695"/>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1626107</wp:posOffset>
            </wp:positionH>
            <wp:positionV relativeFrom="paragraph">
              <wp:posOffset>-746406</wp:posOffset>
            </wp:positionV>
            <wp:extent cx="56006" cy="224027"/>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1626107</wp:posOffset>
            </wp:positionH>
            <wp:positionV relativeFrom="paragraph">
              <wp:posOffset>-357786</wp:posOffset>
            </wp:positionV>
            <wp:extent cx="56006" cy="224027"/>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56006" cy="224027"/>
                    </a:xfrm>
                    <a:prstGeom prst="rect">
                      <a:avLst/>
                    </a:prstGeom>
                  </pic:spPr>
                </pic:pic>
              </a:graphicData>
            </a:graphic>
          </wp:anchor>
        </w:drawing>
      </w:r>
      <w:r>
        <w:rPr/>
        <w:pict>
          <v:group style="position:absolute;margin-left:178.919998pt;margin-top:-151.172195pt;width:246.4pt;height:148.2pt;mso-position-horizontal-relative:page;mso-position-vertical-relative:paragraph;z-index:1216" coordorigin="3578,-3023" coordsize="4928,2964">
            <v:shape style="position:absolute;left:3578;top:-3023;width:4927;height:2964" type="#_x0000_t75" stroked="false">
              <v:imagedata r:id="rId11" o:title=""/>
            </v:shape>
            <v:rect style="position:absolute;left:3661;top:-2979;width:4769;height:2803" filled="false" stroked="true" strokeweight="2.04pt" strokecolor="#000000"/>
            <v:shape style="position:absolute;left:3886;top:-2735;width:4351;height:2390" type="#_x0000_t75" stroked="false">
              <v:imagedata r:id="rId12" o:title=""/>
            </v:shape>
            <w10:wrap type="none"/>
          </v:group>
        </w:pict>
      </w:r>
      <w:r>
        <w:rPr>
          <w:sz w:val="22"/>
        </w:rPr>
        <w:t>Fuente: Sonal Panchal, CB Nagori, ‘Baseline Scan and Ultrasound Diagnosis of PCOS’, Donald School Journal of Ultrasound in Obstetrics and Gynecology (2012)</w:t>
      </w:r>
    </w:p>
    <w:p>
      <w:pPr>
        <w:pStyle w:val="BodyText"/>
        <w:rPr>
          <w:sz w:val="22"/>
        </w:rPr>
      </w:pPr>
    </w:p>
    <w:p>
      <w:pPr>
        <w:pStyle w:val="BodyText"/>
        <w:rPr>
          <w:sz w:val="22"/>
        </w:rPr>
      </w:pPr>
    </w:p>
    <w:p>
      <w:pPr>
        <w:pStyle w:val="BodyText"/>
        <w:rPr>
          <w:sz w:val="29"/>
        </w:rPr>
      </w:pPr>
    </w:p>
    <w:p>
      <w:pPr>
        <w:pStyle w:val="BodyText"/>
        <w:ind w:left="107"/>
        <w:jc w:val="both"/>
      </w:pPr>
      <w:r>
        <w:rPr/>
        <w:t>MEDICIÓN DE VOLUMEN OVÁRICO</w:t>
      </w:r>
    </w:p>
    <w:p>
      <w:pPr>
        <w:pStyle w:val="BodyText"/>
        <w:rPr>
          <w:sz w:val="29"/>
        </w:rPr>
      </w:pPr>
    </w:p>
    <w:p>
      <w:pPr>
        <w:pStyle w:val="BodyText"/>
        <w:spacing w:line="362" w:lineRule="auto"/>
        <w:ind w:left="117" w:right="110" w:hanging="10"/>
        <w:jc w:val="both"/>
      </w:pPr>
      <w:r>
        <w:rPr/>
        <w:t>Tomando en cuenta que cualquier cálculo de volumen es una estimación, se toma en cuenta la apelación práctica de calcular el volumen ovárico de forma tradicional acorde</w:t>
      </w:r>
      <w:r>
        <w:rPr>
          <w:spacing w:val="-11"/>
        </w:rPr>
        <w:t> </w:t>
      </w:r>
      <w:r>
        <w:rPr/>
        <w:t>a</w:t>
      </w:r>
      <w:r>
        <w:rPr>
          <w:spacing w:val="-12"/>
        </w:rPr>
        <w:t> </w:t>
      </w:r>
      <w:r>
        <w:rPr/>
        <w:t>investigadores</w:t>
      </w:r>
      <w:r>
        <w:rPr>
          <w:spacing w:val="-10"/>
        </w:rPr>
        <w:t> </w:t>
      </w:r>
      <w:r>
        <w:rPr/>
        <w:t>que</w:t>
      </w:r>
      <w:r>
        <w:rPr>
          <w:spacing w:val="-12"/>
        </w:rPr>
        <w:t> </w:t>
      </w:r>
      <w:r>
        <w:rPr/>
        <w:t>han</w:t>
      </w:r>
      <w:r>
        <w:rPr>
          <w:spacing w:val="-12"/>
        </w:rPr>
        <w:t> </w:t>
      </w:r>
      <w:r>
        <w:rPr/>
        <w:t>decidido</w:t>
      </w:r>
      <w:r>
        <w:rPr>
          <w:spacing w:val="-12"/>
        </w:rPr>
        <w:t> </w:t>
      </w:r>
      <w:r>
        <w:rPr/>
        <w:t>que</w:t>
      </w:r>
      <w:r>
        <w:rPr>
          <w:spacing w:val="-12"/>
        </w:rPr>
        <w:t> </w:t>
      </w:r>
      <w:r>
        <w:rPr/>
        <w:t>el</w:t>
      </w:r>
      <w:r>
        <w:rPr>
          <w:spacing w:val="-11"/>
        </w:rPr>
        <w:t> </w:t>
      </w:r>
      <w:r>
        <w:rPr/>
        <w:t>volumen</w:t>
      </w:r>
      <w:r>
        <w:rPr>
          <w:spacing w:val="-11"/>
        </w:rPr>
        <w:t> </w:t>
      </w:r>
      <w:r>
        <w:rPr/>
        <w:t>ovárico</w:t>
      </w:r>
      <w:r>
        <w:rPr>
          <w:spacing w:val="-9"/>
        </w:rPr>
        <w:t> </w:t>
      </w:r>
      <w:r>
        <w:rPr/>
        <w:t>deberá</w:t>
      </w:r>
      <w:r>
        <w:rPr>
          <w:spacing w:val="-10"/>
        </w:rPr>
        <w:t> </w:t>
      </w:r>
      <w:r>
        <w:rPr/>
        <w:t>calcularse con base en la fórmula simplificada para una elipse: (0.5 x longitud x transverso x anteroposterior) </w:t>
      </w:r>
      <w:r>
        <w:rPr>
          <w:b/>
          <w:i/>
          <w:sz w:val="22"/>
        </w:rPr>
        <w:t>Figura 4</w:t>
      </w:r>
      <w:r>
        <w:rPr/>
        <w:t>. Estrictamente hablando el elipsoide con esta forma no es alargado, ya que un elipsoide alargada está definida matemáticamente como la forma creada por rotación de una elipse a lo largo de su eje longitudinal mayor. Debido</w:t>
      </w:r>
      <w:r>
        <w:rPr>
          <w:spacing w:val="-10"/>
        </w:rPr>
        <w:t> </w:t>
      </w:r>
      <w:r>
        <w:rPr/>
        <w:t>a</w:t>
      </w:r>
      <w:r>
        <w:rPr>
          <w:spacing w:val="-8"/>
        </w:rPr>
        <w:t> </w:t>
      </w:r>
      <w:r>
        <w:rPr/>
        <w:t>que</w:t>
      </w:r>
      <w:r>
        <w:rPr>
          <w:spacing w:val="-8"/>
        </w:rPr>
        <w:t> </w:t>
      </w:r>
      <w:r>
        <w:rPr/>
        <w:t>la</w:t>
      </w:r>
      <w:r>
        <w:rPr>
          <w:spacing w:val="-11"/>
        </w:rPr>
        <w:t> </w:t>
      </w:r>
      <w:r>
        <w:rPr/>
        <w:t>definición</w:t>
      </w:r>
      <w:r>
        <w:rPr>
          <w:spacing w:val="-10"/>
        </w:rPr>
        <w:t> </w:t>
      </w:r>
      <w:r>
        <w:rPr/>
        <w:t>matemática</w:t>
      </w:r>
      <w:r>
        <w:rPr>
          <w:spacing w:val="-11"/>
        </w:rPr>
        <w:t> </w:t>
      </w:r>
      <w:r>
        <w:rPr/>
        <w:t>de</w:t>
      </w:r>
      <w:r>
        <w:rPr>
          <w:spacing w:val="-11"/>
        </w:rPr>
        <w:t> </w:t>
      </w:r>
      <w:r>
        <w:rPr/>
        <w:t>un</w:t>
      </w:r>
      <w:r>
        <w:rPr>
          <w:spacing w:val="-11"/>
        </w:rPr>
        <w:t> </w:t>
      </w:r>
      <w:r>
        <w:rPr/>
        <w:t>elipsoide</w:t>
      </w:r>
      <w:r>
        <w:rPr>
          <w:spacing w:val="-10"/>
        </w:rPr>
        <w:t> </w:t>
      </w:r>
      <w:r>
        <w:rPr/>
        <w:t>alargada</w:t>
      </w:r>
      <w:r>
        <w:rPr>
          <w:spacing w:val="-11"/>
        </w:rPr>
        <w:t> </w:t>
      </w:r>
      <w:r>
        <w:rPr/>
        <w:t>requiere</w:t>
      </w:r>
      <w:r>
        <w:rPr>
          <w:spacing w:val="-9"/>
        </w:rPr>
        <w:t> </w:t>
      </w:r>
      <w:r>
        <w:rPr/>
        <w:t>que</w:t>
      </w:r>
      <w:r>
        <w:rPr>
          <w:spacing w:val="-11"/>
        </w:rPr>
        <w:t> </w:t>
      </w:r>
      <w:r>
        <w:rPr/>
        <w:t>dos</w:t>
      </w:r>
      <w:r>
        <w:rPr>
          <w:spacing w:val="-12"/>
        </w:rPr>
        <w:t> </w:t>
      </w:r>
      <w:r>
        <w:rPr/>
        <w:t>de sus tres ejes iguales, es más preciso referirse a esta fórmula como fórmula simplificada de</w:t>
      </w:r>
      <w:r>
        <w:rPr>
          <w:spacing w:val="-6"/>
        </w:rPr>
        <w:t> </w:t>
      </w:r>
      <w:r>
        <w:rPr/>
        <w:t>elipsoide</w:t>
      </w:r>
      <w:r>
        <w:rPr>
          <w:position w:val="8"/>
          <w:sz w:val="16"/>
        </w:rPr>
        <w:t>3</w:t>
      </w:r>
      <w:r>
        <w:rPr/>
        <w:t>.</w:t>
      </w:r>
    </w:p>
    <w:p>
      <w:pPr>
        <w:spacing w:after="0" w:line="362" w:lineRule="auto"/>
        <w:jc w:val="both"/>
        <w:sectPr>
          <w:pgSz w:w="12240" w:h="15840"/>
          <w:pgMar w:top="1260" w:bottom="280" w:left="1580" w:right="1580"/>
        </w:sectPr>
      </w:pPr>
    </w:p>
    <w:p>
      <w:pPr>
        <w:spacing w:line="357" w:lineRule="auto" w:before="62"/>
        <w:ind w:left="332" w:right="317" w:firstLine="2"/>
        <w:jc w:val="both"/>
        <w:rPr>
          <w:sz w:val="22"/>
        </w:rPr>
      </w:pPr>
      <w:r>
        <w:rPr>
          <w:b/>
          <w:i/>
          <w:sz w:val="22"/>
        </w:rPr>
        <w:t>Figura 4. </w:t>
      </w:r>
      <w:r>
        <w:rPr>
          <w:color w:val="202020"/>
          <w:sz w:val="22"/>
        </w:rPr>
        <w:t>El dibujo ilustra cómo se calcula el volumen ovárico de acuerdo a la fórmula del elipsoide. Matemáticamente, el volumen de un elipsoide se calcula usando la fórmula p / 5</w:t>
      </w:r>
    </w:p>
    <w:p>
      <w:pPr>
        <w:spacing w:before="3"/>
        <w:ind w:left="106" w:right="93" w:firstLine="0"/>
        <w:jc w:val="center"/>
        <w:rPr>
          <w:sz w:val="22"/>
        </w:rPr>
      </w:pPr>
      <w:r>
        <w:rPr/>
        <w:drawing>
          <wp:anchor distT="0" distB="0" distL="0" distR="0" allowOverlap="1" layoutInCell="1" locked="0" behindDoc="0" simplePos="0" relativeHeight="1240">
            <wp:simplePos x="0" y="0"/>
            <wp:positionH relativeFrom="page">
              <wp:posOffset>1420367</wp:posOffset>
            </wp:positionH>
            <wp:positionV relativeFrom="paragraph">
              <wp:posOffset>356715</wp:posOffset>
            </wp:positionV>
            <wp:extent cx="56790" cy="228695"/>
            <wp:effectExtent l="0" t="0" r="0" b="0"/>
            <wp:wrapNone/>
            <wp:docPr id="13" name="image6.png" descr=""/>
            <wp:cNvGraphicFramePr>
              <a:graphicFrameLocks noChangeAspect="1"/>
            </wp:cNvGraphicFramePr>
            <a:graphic>
              <a:graphicData uri="http://schemas.openxmlformats.org/drawingml/2006/picture">
                <pic:pic>
                  <pic:nvPicPr>
                    <pic:cNvPr id="14" name="image6.png"/>
                    <pic:cNvPicPr/>
                  </pic:nvPicPr>
                  <pic:blipFill>
                    <a:blip r:embed="rId10" cstate="print"/>
                    <a:stretch>
                      <a:fillRect/>
                    </a:stretch>
                  </pic:blipFill>
                  <pic:spPr>
                    <a:xfrm>
                      <a:off x="0" y="0"/>
                      <a:ext cx="56790" cy="228695"/>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1420367</wp:posOffset>
            </wp:positionH>
            <wp:positionV relativeFrom="paragraph">
              <wp:posOffset>746859</wp:posOffset>
            </wp:positionV>
            <wp:extent cx="56790" cy="228695"/>
            <wp:effectExtent l="0" t="0" r="0" b="0"/>
            <wp:wrapNone/>
            <wp:docPr id="15" name="image6.png" descr=""/>
            <wp:cNvGraphicFramePr>
              <a:graphicFrameLocks noChangeAspect="1"/>
            </wp:cNvGraphicFramePr>
            <a:graphic>
              <a:graphicData uri="http://schemas.openxmlformats.org/drawingml/2006/picture">
                <pic:pic>
                  <pic:nvPicPr>
                    <pic:cNvPr id="16" name="image6.png"/>
                    <pic:cNvPicPr/>
                  </pic:nvPicPr>
                  <pic:blipFill>
                    <a:blip r:embed="rId10" cstate="print"/>
                    <a:stretch>
                      <a:fillRect/>
                    </a:stretch>
                  </pic:blipFill>
                  <pic:spPr>
                    <a:xfrm>
                      <a:off x="0" y="0"/>
                      <a:ext cx="56790" cy="22869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1420367</wp:posOffset>
            </wp:positionH>
            <wp:positionV relativeFrom="paragraph">
              <wp:posOffset>1137003</wp:posOffset>
            </wp:positionV>
            <wp:extent cx="56006" cy="224027"/>
            <wp:effectExtent l="0" t="0" r="0" b="0"/>
            <wp:wrapNone/>
            <wp:docPr id="17" name="image6.png" descr=""/>
            <wp:cNvGraphicFramePr>
              <a:graphicFrameLocks noChangeAspect="1"/>
            </wp:cNvGraphicFramePr>
            <a:graphic>
              <a:graphicData uri="http://schemas.openxmlformats.org/drawingml/2006/picture">
                <pic:pic>
                  <pic:nvPicPr>
                    <pic:cNvPr id="18"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1420367</wp:posOffset>
            </wp:positionH>
            <wp:positionV relativeFrom="paragraph">
              <wp:posOffset>1525623</wp:posOffset>
            </wp:positionV>
            <wp:extent cx="56006" cy="224027"/>
            <wp:effectExtent l="0" t="0" r="0" b="0"/>
            <wp:wrapNone/>
            <wp:docPr id="19" name="image6.png" descr=""/>
            <wp:cNvGraphicFramePr>
              <a:graphicFrameLocks noChangeAspect="1"/>
            </wp:cNvGraphicFramePr>
            <a:graphic>
              <a:graphicData uri="http://schemas.openxmlformats.org/drawingml/2006/picture">
                <pic:pic>
                  <pic:nvPicPr>
                    <pic:cNvPr id="20" name="image6.png"/>
                    <pic:cNvPicPr/>
                  </pic:nvPicPr>
                  <pic:blipFill>
                    <a:blip r:embed="rId10" cstate="print"/>
                    <a:stretch>
                      <a:fillRect/>
                    </a:stretch>
                  </pic:blipFill>
                  <pic:spPr>
                    <a:xfrm>
                      <a:off x="0" y="0"/>
                      <a:ext cx="56006" cy="224027"/>
                    </a:xfrm>
                    <a:prstGeom prst="rect">
                      <a:avLst/>
                    </a:prstGeom>
                  </pic:spPr>
                </pic:pic>
              </a:graphicData>
            </a:graphic>
          </wp:anchor>
        </w:drawing>
      </w:r>
      <w:r>
        <w:rPr/>
        <w:pict>
          <v:group style="position:absolute;margin-left:147.600006pt;margin-top:19.087856pt;width:313.8pt;height:204pt;mso-position-horizontal-relative:page;mso-position-vertical-relative:paragraph;z-index:1408" coordorigin="2952,382" coordsize="6276,4080">
            <v:shape style="position:absolute;left:2952;top:382;width:6276;height:4080" type="#_x0000_t75" stroked="false">
              <v:imagedata r:id="rId13" o:title=""/>
            </v:shape>
            <v:rect style="position:absolute;left:3035;top:426;width:6120;height:3922" filled="false" stroked="true" strokeweight="2.04pt" strokecolor="#000000"/>
            <v:shape style="position:absolute;left:3631;top:1068;width:4889;height:2820" type="#_x0000_t75" stroked="false">
              <v:imagedata r:id="rId14" o:title=""/>
            </v:shape>
            <w10:wrap type="none"/>
          </v:group>
        </w:pict>
      </w:r>
      <w:r>
        <w:rPr>
          <w:color w:val="202020"/>
          <w:sz w:val="22"/>
        </w:rPr>
        <w:t>× longitud × anchura × grosor.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8"/>
        </w:rPr>
      </w:pPr>
    </w:p>
    <w:p>
      <w:pPr>
        <w:spacing w:line="367" w:lineRule="auto" w:before="1"/>
        <w:ind w:left="106" w:right="105" w:firstLine="0"/>
        <w:jc w:val="center"/>
        <w:rPr>
          <w:sz w:val="22"/>
        </w:rPr>
      </w:pPr>
      <w:r>
        <w:rPr/>
        <w:drawing>
          <wp:anchor distT="0" distB="0" distL="0" distR="0" allowOverlap="1" layoutInCell="1" locked="0" behindDoc="0" simplePos="0" relativeHeight="1336">
            <wp:simplePos x="0" y="0"/>
            <wp:positionH relativeFrom="page">
              <wp:posOffset>1420367</wp:posOffset>
            </wp:positionH>
            <wp:positionV relativeFrom="paragraph">
              <wp:posOffset>-1182651</wp:posOffset>
            </wp:positionV>
            <wp:extent cx="56006" cy="224027"/>
            <wp:effectExtent l="0" t="0" r="0" b="0"/>
            <wp:wrapNone/>
            <wp:docPr id="21" name="image6.png" descr=""/>
            <wp:cNvGraphicFramePr>
              <a:graphicFrameLocks noChangeAspect="1"/>
            </wp:cNvGraphicFramePr>
            <a:graphic>
              <a:graphicData uri="http://schemas.openxmlformats.org/drawingml/2006/picture">
                <pic:pic>
                  <pic:nvPicPr>
                    <pic:cNvPr id="22"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1420367</wp:posOffset>
            </wp:positionH>
            <wp:positionV relativeFrom="paragraph">
              <wp:posOffset>-792507</wp:posOffset>
            </wp:positionV>
            <wp:extent cx="56006" cy="224027"/>
            <wp:effectExtent l="0" t="0" r="0" b="0"/>
            <wp:wrapNone/>
            <wp:docPr id="23" name="image6.png" descr=""/>
            <wp:cNvGraphicFramePr>
              <a:graphicFrameLocks noChangeAspect="1"/>
            </wp:cNvGraphicFramePr>
            <a:graphic>
              <a:graphicData uri="http://schemas.openxmlformats.org/drawingml/2006/picture">
                <pic:pic>
                  <pic:nvPicPr>
                    <pic:cNvPr id="24"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1420367</wp:posOffset>
            </wp:positionH>
            <wp:positionV relativeFrom="paragraph">
              <wp:posOffset>-402363</wp:posOffset>
            </wp:positionV>
            <wp:extent cx="56006" cy="224027"/>
            <wp:effectExtent l="0" t="0" r="0" b="0"/>
            <wp:wrapNone/>
            <wp:docPr id="25" name="image6.png" descr=""/>
            <wp:cNvGraphicFramePr>
              <a:graphicFrameLocks noChangeAspect="1"/>
            </wp:cNvGraphicFramePr>
            <a:graphic>
              <a:graphicData uri="http://schemas.openxmlformats.org/drawingml/2006/picture">
                <pic:pic>
                  <pic:nvPicPr>
                    <pic:cNvPr id="26" name="image6.png"/>
                    <pic:cNvPicPr/>
                  </pic:nvPicPr>
                  <pic:blipFill>
                    <a:blip r:embed="rId10" cstate="print"/>
                    <a:stretch>
                      <a:fillRect/>
                    </a:stretch>
                  </pic:blipFill>
                  <pic:spPr>
                    <a:xfrm>
                      <a:off x="0" y="0"/>
                      <a:ext cx="56006" cy="224027"/>
                    </a:xfrm>
                    <a:prstGeom prst="rect">
                      <a:avLst/>
                    </a:prstGeom>
                  </pic:spPr>
                </pic:pic>
              </a:graphicData>
            </a:graphic>
          </wp:anchor>
        </w:drawing>
      </w:r>
      <w:r>
        <w:rPr>
          <w:sz w:val="22"/>
        </w:rPr>
        <w:t>FUENTE: Tony T. Lee, MD • Mary E. Rausch, MD, MSCE, ‘Polycystic Ovarian Syndrome: Role of Imaging in Diagnosis’, Radiographic (2012)</w:t>
      </w:r>
    </w:p>
    <w:p>
      <w:pPr>
        <w:pStyle w:val="BodyText"/>
        <w:rPr>
          <w:sz w:val="22"/>
        </w:rPr>
      </w:pPr>
    </w:p>
    <w:p>
      <w:pPr>
        <w:pStyle w:val="BodyText"/>
        <w:rPr>
          <w:sz w:val="22"/>
        </w:rPr>
      </w:pPr>
    </w:p>
    <w:p>
      <w:pPr>
        <w:pStyle w:val="BodyText"/>
        <w:spacing w:before="8"/>
        <w:rPr>
          <w:sz w:val="27"/>
        </w:rPr>
      </w:pPr>
    </w:p>
    <w:p>
      <w:pPr>
        <w:spacing w:before="0"/>
        <w:ind w:left="267" w:right="0" w:firstLine="0"/>
        <w:jc w:val="both"/>
        <w:rPr>
          <w:i/>
          <w:sz w:val="24"/>
        </w:rPr>
      </w:pPr>
      <w:r>
        <w:rPr>
          <w:i/>
          <w:sz w:val="24"/>
        </w:rPr>
        <w:t>Conteo folicular.</w:t>
      </w:r>
    </w:p>
    <w:p>
      <w:pPr>
        <w:pStyle w:val="BodyText"/>
        <w:spacing w:before="9"/>
        <w:rPr>
          <w:i/>
          <w:sz w:val="29"/>
        </w:rPr>
      </w:pPr>
    </w:p>
    <w:p>
      <w:pPr>
        <w:pStyle w:val="BodyText"/>
        <w:spacing w:line="364" w:lineRule="auto"/>
        <w:ind w:left="277" w:right="325" w:hanging="10"/>
        <w:jc w:val="both"/>
      </w:pPr>
      <w:r>
        <w:rPr/>
        <w:t>Con el advenimiento de la ecografía, el exceso de folículo se ha convertido en el principal</w:t>
      </w:r>
      <w:r>
        <w:rPr>
          <w:spacing w:val="-10"/>
        </w:rPr>
        <w:t> </w:t>
      </w:r>
      <w:r>
        <w:rPr/>
        <w:t>aspecto</w:t>
      </w:r>
      <w:r>
        <w:rPr>
          <w:spacing w:val="-9"/>
        </w:rPr>
        <w:t> </w:t>
      </w:r>
      <w:r>
        <w:rPr/>
        <w:t>de</w:t>
      </w:r>
      <w:r>
        <w:rPr>
          <w:spacing w:val="-9"/>
        </w:rPr>
        <w:t> </w:t>
      </w:r>
      <w:r>
        <w:rPr/>
        <w:t>la</w:t>
      </w:r>
      <w:r>
        <w:rPr>
          <w:spacing w:val="-9"/>
        </w:rPr>
        <w:t> </w:t>
      </w:r>
      <w:r>
        <w:rPr/>
        <w:t>morfología</w:t>
      </w:r>
      <w:r>
        <w:rPr>
          <w:spacing w:val="-9"/>
        </w:rPr>
        <w:t> </w:t>
      </w:r>
      <w:r>
        <w:rPr/>
        <w:t>de</w:t>
      </w:r>
      <w:r>
        <w:rPr>
          <w:spacing w:val="-9"/>
        </w:rPr>
        <w:t> </w:t>
      </w:r>
      <w:r>
        <w:rPr/>
        <w:t>ovario</w:t>
      </w:r>
      <w:r>
        <w:rPr>
          <w:spacing w:val="-9"/>
        </w:rPr>
        <w:t> </w:t>
      </w:r>
      <w:r>
        <w:rPr/>
        <w:t>poliquístico.</w:t>
      </w:r>
      <w:r>
        <w:rPr>
          <w:spacing w:val="-9"/>
        </w:rPr>
        <w:t> </w:t>
      </w:r>
      <w:r>
        <w:rPr/>
        <w:t>Desde</w:t>
      </w:r>
      <w:r>
        <w:rPr>
          <w:spacing w:val="-9"/>
        </w:rPr>
        <w:t> </w:t>
      </w:r>
      <w:r>
        <w:rPr/>
        <w:t>2003,</w:t>
      </w:r>
      <w:r>
        <w:rPr>
          <w:spacing w:val="-9"/>
        </w:rPr>
        <w:t> </w:t>
      </w:r>
      <w:r>
        <w:rPr/>
        <w:t>la</w:t>
      </w:r>
      <w:r>
        <w:rPr>
          <w:spacing w:val="-9"/>
        </w:rPr>
        <w:t> </w:t>
      </w:r>
      <w:r>
        <w:rPr/>
        <w:t>mayoría</w:t>
      </w:r>
      <w:r>
        <w:rPr>
          <w:spacing w:val="-9"/>
        </w:rPr>
        <w:t> </w:t>
      </w:r>
      <w:r>
        <w:rPr/>
        <w:t>de los investigadores han utilizado un umbral de 12 folículos (medición 2 - 9 mm de diámetro) por ovario conjunto, pero que ahora parece</w:t>
      </w:r>
      <w:r>
        <w:rPr>
          <w:spacing w:val="-22"/>
        </w:rPr>
        <w:t> </w:t>
      </w:r>
      <w:r>
        <w:rPr/>
        <w:t>obsoleta.</w:t>
      </w:r>
    </w:p>
    <w:p>
      <w:pPr>
        <w:pStyle w:val="BodyText"/>
        <w:spacing w:line="364" w:lineRule="auto" w:before="201"/>
        <w:ind w:left="277" w:right="325" w:hanging="10"/>
        <w:jc w:val="both"/>
      </w:pPr>
      <w:r>
        <w:rPr/>
        <w:t>La habilidad para valorar folículos en un rastreo multiplanar ayuda a identificar adecuadamente</w:t>
      </w:r>
      <w:r>
        <w:rPr>
          <w:spacing w:val="-8"/>
        </w:rPr>
        <w:t> </w:t>
      </w:r>
      <w:r>
        <w:rPr/>
        <w:t>los</w:t>
      </w:r>
      <w:r>
        <w:rPr>
          <w:spacing w:val="-11"/>
        </w:rPr>
        <w:t> </w:t>
      </w:r>
      <w:r>
        <w:rPr/>
        <w:t>folículos</w:t>
      </w:r>
      <w:r>
        <w:rPr>
          <w:spacing w:val="-9"/>
        </w:rPr>
        <w:t> </w:t>
      </w:r>
      <w:r>
        <w:rPr/>
        <w:t>en</w:t>
      </w:r>
      <w:r>
        <w:rPr>
          <w:spacing w:val="-8"/>
        </w:rPr>
        <w:t> </w:t>
      </w:r>
      <w:r>
        <w:rPr/>
        <w:t>el</w:t>
      </w:r>
      <w:r>
        <w:rPr>
          <w:spacing w:val="-10"/>
        </w:rPr>
        <w:t> </w:t>
      </w:r>
      <w:r>
        <w:rPr/>
        <w:t>estroma</w:t>
      </w:r>
      <w:r>
        <w:rPr>
          <w:spacing w:val="-11"/>
        </w:rPr>
        <w:t> </w:t>
      </w:r>
      <w:r>
        <w:rPr/>
        <w:t>y</w:t>
      </w:r>
      <w:r>
        <w:rPr>
          <w:spacing w:val="-12"/>
        </w:rPr>
        <w:t> </w:t>
      </w:r>
      <w:r>
        <w:rPr/>
        <w:t>es</w:t>
      </w:r>
      <w:r>
        <w:rPr>
          <w:spacing w:val="-9"/>
        </w:rPr>
        <w:t> </w:t>
      </w:r>
      <w:r>
        <w:rPr/>
        <w:t>el</w:t>
      </w:r>
      <w:r>
        <w:rPr>
          <w:spacing w:val="-10"/>
        </w:rPr>
        <w:t> </w:t>
      </w:r>
      <w:r>
        <w:rPr/>
        <w:t>método</w:t>
      </w:r>
      <w:r>
        <w:rPr>
          <w:spacing w:val="-8"/>
        </w:rPr>
        <w:t> </w:t>
      </w:r>
      <w:r>
        <w:rPr/>
        <w:t>que</w:t>
      </w:r>
      <w:r>
        <w:rPr>
          <w:spacing w:val="-11"/>
        </w:rPr>
        <w:t> </w:t>
      </w:r>
      <w:r>
        <w:rPr/>
        <w:t>ha</w:t>
      </w:r>
      <w:r>
        <w:rPr>
          <w:spacing w:val="-8"/>
        </w:rPr>
        <w:t> </w:t>
      </w:r>
      <w:r>
        <w:rPr/>
        <w:t>demostrado</w:t>
      </w:r>
      <w:r>
        <w:rPr>
          <w:spacing w:val="-8"/>
        </w:rPr>
        <w:t> </w:t>
      </w:r>
      <w:r>
        <w:rPr/>
        <w:t>tener mayor</w:t>
      </w:r>
      <w:r>
        <w:rPr>
          <w:spacing w:val="-11"/>
        </w:rPr>
        <w:t> </w:t>
      </w:r>
      <w:r>
        <w:rPr/>
        <w:t>nivel</w:t>
      </w:r>
      <w:r>
        <w:rPr>
          <w:spacing w:val="-11"/>
        </w:rPr>
        <w:t> </w:t>
      </w:r>
      <w:r>
        <w:rPr/>
        <w:t>de</w:t>
      </w:r>
      <w:r>
        <w:rPr>
          <w:spacing w:val="-9"/>
        </w:rPr>
        <w:t> </w:t>
      </w:r>
      <w:r>
        <w:rPr/>
        <w:t>confiabilidad</w:t>
      </w:r>
      <w:r>
        <w:rPr>
          <w:spacing w:val="-9"/>
        </w:rPr>
        <w:t> </w:t>
      </w:r>
      <w:r>
        <w:rPr/>
        <w:t>comparado</w:t>
      </w:r>
      <w:r>
        <w:rPr>
          <w:spacing w:val="-9"/>
        </w:rPr>
        <w:t> </w:t>
      </w:r>
      <w:r>
        <w:rPr/>
        <w:t>con</w:t>
      </w:r>
      <w:r>
        <w:rPr>
          <w:spacing w:val="-9"/>
        </w:rPr>
        <w:t> </w:t>
      </w:r>
      <w:r>
        <w:rPr/>
        <w:t>el</w:t>
      </w:r>
      <w:r>
        <w:rPr>
          <w:spacing w:val="-11"/>
        </w:rPr>
        <w:t> </w:t>
      </w:r>
      <w:r>
        <w:rPr/>
        <w:t>de</w:t>
      </w:r>
      <w:r>
        <w:rPr>
          <w:spacing w:val="-9"/>
        </w:rPr>
        <w:t> </w:t>
      </w:r>
      <w:r>
        <w:rPr/>
        <w:t>dos</w:t>
      </w:r>
      <w:r>
        <w:rPr>
          <w:spacing w:val="-10"/>
        </w:rPr>
        <w:t> </w:t>
      </w:r>
      <w:r>
        <w:rPr/>
        <w:t>dimensiones</w:t>
      </w:r>
      <w:r>
        <w:rPr>
          <w:spacing w:val="-10"/>
        </w:rPr>
        <w:t> </w:t>
      </w:r>
      <w:r>
        <w:rPr/>
        <w:t>(2D),</w:t>
      </w:r>
      <w:r>
        <w:rPr>
          <w:spacing w:val="-10"/>
        </w:rPr>
        <w:t> </w:t>
      </w:r>
      <w:r>
        <w:rPr/>
        <w:t>sobre</w:t>
      </w:r>
      <w:r>
        <w:rPr>
          <w:spacing w:val="-12"/>
        </w:rPr>
        <w:t> </w:t>
      </w:r>
      <w:r>
        <w:rPr/>
        <w:t>todo en aquellos ovarios que no tiene apariencia</w:t>
      </w:r>
      <w:r>
        <w:rPr>
          <w:spacing w:val="-25"/>
        </w:rPr>
        <w:t> </w:t>
      </w:r>
      <w:r>
        <w:rPr/>
        <w:t>poliquística.</w:t>
      </w:r>
    </w:p>
    <w:p>
      <w:pPr>
        <w:pStyle w:val="BodyText"/>
        <w:spacing w:line="364" w:lineRule="auto" w:before="199"/>
        <w:ind w:left="277" w:right="330" w:hanging="10"/>
        <w:jc w:val="both"/>
      </w:pPr>
      <w:r>
        <w:rPr/>
        <w:t>El conteo folicular en un solo plano fue adoptado como criterio en los años 80’s, propuesto por Adams et al. (1985-86) quien arbitrariamente describió la morfología del ovario poliquístico como todo ovario que contenga 10 o más folículos (con diámetros 2-8 mm) en un solo plano utilizando ecografía transabdominal. Desde entonces  se  ha  reemplazado  la  técnica  por  la  ecografía  transvaginal  de  alta</w:t>
      </w:r>
    </w:p>
    <w:p>
      <w:pPr>
        <w:spacing w:after="0" w:line="364" w:lineRule="auto"/>
        <w:jc w:val="both"/>
        <w:sectPr>
          <w:pgSz w:w="12240" w:h="15840"/>
          <w:pgMar w:top="1200" w:bottom="280" w:left="1420" w:right="1360"/>
        </w:sectPr>
      </w:pPr>
    </w:p>
    <w:p>
      <w:pPr>
        <w:pStyle w:val="BodyText"/>
        <w:spacing w:line="362" w:lineRule="auto" w:before="43"/>
        <w:ind w:left="277" w:right="339"/>
        <w:jc w:val="both"/>
      </w:pPr>
      <w:r>
        <w:rPr/>
        <w:t>frecuencia, la cual aporta mayor probabilidad para la detección de ovarios poliquísticos y mejor resolución de imagen para los folículos pequeños.</w:t>
      </w:r>
    </w:p>
    <w:p>
      <w:pPr>
        <w:pStyle w:val="BodyText"/>
        <w:spacing w:line="362" w:lineRule="auto" w:before="201"/>
        <w:ind w:left="277" w:right="335" w:hanging="10"/>
        <w:jc w:val="both"/>
      </w:pPr>
      <w:r>
        <w:rPr/>
        <w:t>Actualmente se sugiere fijar el umbral de morfología de ovario poliquístico en la cuenta ≥25 folículos para la mayoría de la población, sin embargo, este parámetro se debe ajustar a la tecnología del centro trabajo, ya que el conteo se ve afectado por la resolución del equipo empleado. Para tomar en cuenta este número de folículos se sugiere el empleo de un transductor con frecuencia ≥8 MHz</w:t>
      </w:r>
      <w:r>
        <w:rPr>
          <w:position w:val="8"/>
          <w:sz w:val="16"/>
        </w:rPr>
        <w:t>14</w:t>
      </w:r>
      <w:r>
        <w:rPr/>
        <w:t>.</w:t>
      </w:r>
    </w:p>
    <w:p>
      <w:pPr>
        <w:pStyle w:val="BodyText"/>
        <w:spacing w:line="362" w:lineRule="auto" w:before="198"/>
        <w:ind w:left="277" w:right="327" w:hanging="10"/>
        <w:jc w:val="both"/>
      </w:pPr>
      <w:r>
        <w:rPr/>
        <w:t>El conteo de número de folículos antrales se realiza en el diámetro longitudinal, el cual es muy reproducible cuando en número es aproximadamente entre 10-15, sin embargo, cuando el número es mayor como en ovario poliquístico es mejor con el modo de adquisición de cine</w:t>
      </w:r>
      <w:r>
        <w:rPr>
          <w:position w:val="8"/>
          <w:sz w:val="16"/>
        </w:rPr>
        <w:t>19</w:t>
      </w:r>
      <w:r>
        <w:rPr/>
        <w:t>.</w:t>
      </w:r>
    </w:p>
    <w:p>
      <w:pPr>
        <w:spacing w:before="197"/>
        <w:ind w:left="40" w:right="105" w:firstLine="0"/>
        <w:jc w:val="center"/>
        <w:rPr>
          <w:sz w:val="22"/>
        </w:rPr>
      </w:pPr>
      <w:r>
        <w:rPr/>
        <w:drawing>
          <wp:anchor distT="0" distB="0" distL="0" distR="0" allowOverlap="1" layoutInCell="1" locked="0" behindDoc="0" simplePos="0" relativeHeight="1432">
            <wp:simplePos x="0" y="0"/>
            <wp:positionH relativeFrom="page">
              <wp:posOffset>1682495</wp:posOffset>
            </wp:positionH>
            <wp:positionV relativeFrom="paragraph">
              <wp:posOffset>339317</wp:posOffset>
            </wp:positionV>
            <wp:extent cx="56006" cy="224027"/>
            <wp:effectExtent l="0" t="0" r="0" b="0"/>
            <wp:wrapNone/>
            <wp:docPr id="27" name="image6.png" descr=""/>
            <wp:cNvGraphicFramePr>
              <a:graphicFrameLocks noChangeAspect="1"/>
            </wp:cNvGraphicFramePr>
            <a:graphic>
              <a:graphicData uri="http://schemas.openxmlformats.org/drawingml/2006/picture">
                <pic:pic>
                  <pic:nvPicPr>
                    <pic:cNvPr id="28"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1682495</wp:posOffset>
            </wp:positionH>
            <wp:positionV relativeFrom="paragraph">
              <wp:posOffset>727937</wp:posOffset>
            </wp:positionV>
            <wp:extent cx="56790" cy="228695"/>
            <wp:effectExtent l="0" t="0" r="0" b="0"/>
            <wp:wrapNone/>
            <wp:docPr id="29" name="image6.png" descr=""/>
            <wp:cNvGraphicFramePr>
              <a:graphicFrameLocks noChangeAspect="1"/>
            </wp:cNvGraphicFramePr>
            <a:graphic>
              <a:graphicData uri="http://schemas.openxmlformats.org/drawingml/2006/picture">
                <pic:pic>
                  <pic:nvPicPr>
                    <pic:cNvPr id="30" name="image6.png"/>
                    <pic:cNvPicPr/>
                  </pic:nvPicPr>
                  <pic:blipFill>
                    <a:blip r:embed="rId10" cstate="print"/>
                    <a:stretch>
                      <a:fillRect/>
                    </a:stretch>
                  </pic:blipFill>
                  <pic:spPr>
                    <a:xfrm>
                      <a:off x="0" y="0"/>
                      <a:ext cx="56790" cy="228695"/>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1682495</wp:posOffset>
            </wp:positionH>
            <wp:positionV relativeFrom="paragraph">
              <wp:posOffset>1119605</wp:posOffset>
            </wp:positionV>
            <wp:extent cx="56006" cy="224027"/>
            <wp:effectExtent l="0" t="0" r="0" b="0"/>
            <wp:wrapNone/>
            <wp:docPr id="31" name="image6.png" descr=""/>
            <wp:cNvGraphicFramePr>
              <a:graphicFrameLocks noChangeAspect="1"/>
            </wp:cNvGraphicFramePr>
            <a:graphic>
              <a:graphicData uri="http://schemas.openxmlformats.org/drawingml/2006/picture">
                <pic:pic>
                  <pic:nvPicPr>
                    <pic:cNvPr id="32" name="image6.png"/>
                    <pic:cNvPicPr/>
                  </pic:nvPicPr>
                  <pic:blipFill>
                    <a:blip r:embed="rId10" cstate="print"/>
                    <a:stretch>
                      <a:fillRect/>
                    </a:stretch>
                  </pic:blipFill>
                  <pic:spPr>
                    <a:xfrm>
                      <a:off x="0" y="0"/>
                      <a:ext cx="56006" cy="224027"/>
                    </a:xfrm>
                    <a:prstGeom prst="rect">
                      <a:avLst/>
                    </a:prstGeom>
                  </pic:spPr>
                </pic:pic>
              </a:graphicData>
            </a:graphic>
          </wp:anchor>
        </w:drawing>
      </w:r>
      <w:r>
        <w:rPr/>
        <w:pict>
          <v:group style="position:absolute;margin-left:187.919998pt;margin-top:35.237885pt;width:251.65pt;height:173.65pt;mso-position-horizontal-relative:page;mso-position-vertical-relative:paragraph;z-index:1576" coordorigin="3758,705" coordsize="5033,3473">
            <v:shape style="position:absolute;left:3960;top:897;width:4620;height:3060" type="#_x0000_t75" stroked="false">
              <v:imagedata r:id="rId15" o:title=""/>
            </v:shape>
            <v:shape style="position:absolute;left:3758;top:705;width:5033;height:3473" type="#_x0000_t75" stroked="false">
              <v:imagedata r:id="rId16" o:title=""/>
            </v:shape>
            <v:rect style="position:absolute;left:3841;top:749;width:4874;height:3314" filled="false" stroked="true" strokeweight="2.04pt" strokecolor="#000000"/>
            <w10:wrap type="none"/>
          </v:group>
        </w:pict>
      </w:r>
      <w:r>
        <w:rPr>
          <w:b/>
          <w:i/>
          <w:sz w:val="22"/>
        </w:rPr>
        <w:t>Figura 5.  </w:t>
      </w:r>
      <w:r>
        <w:rPr>
          <w:color w:val="202020"/>
          <w:sz w:val="22"/>
        </w:rPr>
        <w:t>Imagen que muestra conteo folicular en ultrasonido transvaginal.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1"/>
        </w:rPr>
      </w:pPr>
    </w:p>
    <w:p>
      <w:pPr>
        <w:spacing w:line="254" w:lineRule="auto" w:before="1"/>
        <w:ind w:left="105" w:right="105" w:firstLine="0"/>
        <w:jc w:val="center"/>
        <w:rPr>
          <w:sz w:val="22"/>
        </w:rPr>
      </w:pPr>
      <w:r>
        <w:rPr/>
        <w:drawing>
          <wp:anchor distT="0" distB="0" distL="0" distR="0" allowOverlap="1" layoutInCell="1" locked="0" behindDoc="0" simplePos="0" relativeHeight="1504">
            <wp:simplePos x="0" y="0"/>
            <wp:positionH relativeFrom="page">
              <wp:posOffset>1682495</wp:posOffset>
            </wp:positionH>
            <wp:positionV relativeFrom="paragraph">
              <wp:posOffset>-1182904</wp:posOffset>
            </wp:positionV>
            <wp:extent cx="56006" cy="224027"/>
            <wp:effectExtent l="0" t="0" r="0" b="0"/>
            <wp:wrapNone/>
            <wp:docPr id="33" name="image6.png" descr=""/>
            <wp:cNvGraphicFramePr>
              <a:graphicFrameLocks noChangeAspect="1"/>
            </wp:cNvGraphicFramePr>
            <a:graphic>
              <a:graphicData uri="http://schemas.openxmlformats.org/drawingml/2006/picture">
                <pic:pic>
                  <pic:nvPicPr>
                    <pic:cNvPr id="34"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1682495</wp:posOffset>
            </wp:positionH>
            <wp:positionV relativeFrom="paragraph">
              <wp:posOffset>-792760</wp:posOffset>
            </wp:positionV>
            <wp:extent cx="56006" cy="224027"/>
            <wp:effectExtent l="0" t="0" r="0" b="0"/>
            <wp:wrapNone/>
            <wp:docPr id="35" name="image6.png" descr=""/>
            <wp:cNvGraphicFramePr>
              <a:graphicFrameLocks noChangeAspect="1"/>
            </wp:cNvGraphicFramePr>
            <a:graphic>
              <a:graphicData uri="http://schemas.openxmlformats.org/drawingml/2006/picture">
                <pic:pic>
                  <pic:nvPicPr>
                    <pic:cNvPr id="36" name="image6.png"/>
                    <pic:cNvPicPr/>
                  </pic:nvPicPr>
                  <pic:blipFill>
                    <a:blip r:embed="rId10" cstate="print"/>
                    <a:stretch>
                      <a:fillRect/>
                    </a:stretch>
                  </pic:blipFill>
                  <pic:spPr>
                    <a:xfrm>
                      <a:off x="0" y="0"/>
                      <a:ext cx="56006" cy="224027"/>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1682495</wp:posOffset>
            </wp:positionH>
            <wp:positionV relativeFrom="paragraph">
              <wp:posOffset>-402616</wp:posOffset>
            </wp:positionV>
            <wp:extent cx="56006" cy="224027"/>
            <wp:effectExtent l="0" t="0" r="0" b="0"/>
            <wp:wrapNone/>
            <wp:docPr id="37" name="image6.png" descr=""/>
            <wp:cNvGraphicFramePr>
              <a:graphicFrameLocks noChangeAspect="1"/>
            </wp:cNvGraphicFramePr>
            <a:graphic>
              <a:graphicData uri="http://schemas.openxmlformats.org/drawingml/2006/picture">
                <pic:pic>
                  <pic:nvPicPr>
                    <pic:cNvPr id="38" name="image6.png"/>
                    <pic:cNvPicPr/>
                  </pic:nvPicPr>
                  <pic:blipFill>
                    <a:blip r:embed="rId10" cstate="print"/>
                    <a:stretch>
                      <a:fillRect/>
                    </a:stretch>
                  </pic:blipFill>
                  <pic:spPr>
                    <a:xfrm>
                      <a:off x="0" y="0"/>
                      <a:ext cx="56006" cy="224027"/>
                    </a:xfrm>
                    <a:prstGeom prst="rect">
                      <a:avLst/>
                    </a:prstGeom>
                  </pic:spPr>
                </pic:pic>
              </a:graphicData>
            </a:graphic>
          </wp:anchor>
        </w:drawing>
      </w:r>
      <w:r>
        <w:rPr>
          <w:sz w:val="22"/>
        </w:rPr>
        <w:t>FUENTE: Tony T. Lee, MD • Mary E. Rausch, MD, MSCE, ‘Polycystic Ovarian Syndrome: Role of Imaging in Diagnosis’, Radiographic (2012)</w:t>
      </w:r>
    </w:p>
    <w:p>
      <w:pPr>
        <w:pStyle w:val="BodyText"/>
        <w:rPr>
          <w:sz w:val="22"/>
        </w:rPr>
      </w:pPr>
    </w:p>
    <w:p>
      <w:pPr>
        <w:pStyle w:val="BodyText"/>
        <w:spacing w:before="1"/>
        <w:rPr>
          <w:sz w:val="31"/>
        </w:rPr>
      </w:pPr>
    </w:p>
    <w:p>
      <w:pPr>
        <w:pStyle w:val="BodyText"/>
        <w:spacing w:line="362" w:lineRule="auto"/>
        <w:ind w:left="277" w:right="333" w:hanging="10"/>
        <w:jc w:val="both"/>
      </w:pPr>
      <w:r>
        <w:rPr/>
        <w:t>Según un estudio realizado en la India, en el 2014 se comparó la evaluación ecográfica de la morfología ovárica en mujeres con síndrome de ovario poliquístico vs mujeres sanas, obteniendo los siguientes resultados sobre la sensibilidad y especificidad del uso de los criterios ecográficos para el diagnóstico de ovario poliquístico</w:t>
      </w:r>
      <w:r>
        <w:rPr>
          <w:position w:val="8"/>
          <w:sz w:val="16"/>
        </w:rPr>
        <w:t>20</w:t>
      </w:r>
      <w:r>
        <w:rPr/>
        <w:t>:</w:t>
      </w:r>
    </w:p>
    <w:p>
      <w:pPr>
        <w:spacing w:line="247" w:lineRule="auto" w:before="197"/>
        <w:ind w:left="277" w:right="319" w:hanging="10"/>
        <w:jc w:val="both"/>
        <w:rPr>
          <w:sz w:val="22"/>
        </w:rPr>
      </w:pPr>
      <w:r>
        <w:rPr>
          <w:b/>
          <w:i/>
          <w:sz w:val="22"/>
        </w:rPr>
        <w:t>Tabla 1. </w:t>
      </w:r>
      <w:r>
        <w:rPr>
          <w:sz w:val="22"/>
        </w:rPr>
        <w:t>Porcentaje de sensibilidad y especificidad de parámetros ecográficos para diagnóstico de ovario poliquístico.</w:t>
      </w:r>
    </w:p>
    <w:p>
      <w:pPr>
        <w:spacing w:after="0" w:line="247" w:lineRule="auto"/>
        <w:jc w:val="both"/>
        <w:rPr>
          <w:sz w:val="22"/>
        </w:rPr>
        <w:sectPr>
          <w:pgSz w:w="12240" w:h="15840"/>
          <w:pgMar w:top="1220" w:bottom="280" w:left="1420" w:right="1360"/>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5"/>
        <w:gridCol w:w="1401"/>
        <w:gridCol w:w="1593"/>
        <w:gridCol w:w="1162"/>
        <w:gridCol w:w="1318"/>
        <w:gridCol w:w="2232"/>
      </w:tblGrid>
      <w:tr>
        <w:trPr>
          <w:trHeight w:val="1083" w:hRule="exact"/>
        </w:trPr>
        <w:tc>
          <w:tcPr>
            <w:tcW w:w="2115" w:type="dxa"/>
            <w:shd w:val="clear" w:color="auto" w:fill="4471C4"/>
          </w:tcPr>
          <w:p>
            <w:pPr>
              <w:pStyle w:val="TableParagraph"/>
              <w:spacing w:before="47"/>
              <w:ind w:left="538" w:right="546"/>
              <w:jc w:val="center"/>
              <w:rPr>
                <w:b/>
                <w:sz w:val="20"/>
              </w:rPr>
            </w:pPr>
            <w:r>
              <w:rPr>
                <w:b/>
                <w:sz w:val="20"/>
              </w:rPr>
              <w:t>Parámetro</w:t>
            </w:r>
          </w:p>
        </w:tc>
        <w:tc>
          <w:tcPr>
            <w:tcW w:w="1401" w:type="dxa"/>
            <w:shd w:val="clear" w:color="auto" w:fill="4471C4"/>
          </w:tcPr>
          <w:p>
            <w:pPr>
              <w:pStyle w:val="TableParagraph"/>
              <w:spacing w:line="360" w:lineRule="auto" w:before="47"/>
              <w:ind w:left="527" w:hanging="432"/>
              <w:rPr>
                <w:b/>
                <w:sz w:val="20"/>
              </w:rPr>
            </w:pPr>
            <w:r>
              <w:rPr>
                <w:b/>
                <w:w w:val="95"/>
                <w:sz w:val="20"/>
              </w:rPr>
              <w:t>Sensibilidad </w:t>
            </w:r>
            <w:r>
              <w:rPr>
                <w:b/>
                <w:sz w:val="20"/>
              </w:rPr>
              <w:t>(%)</w:t>
            </w:r>
          </w:p>
        </w:tc>
        <w:tc>
          <w:tcPr>
            <w:tcW w:w="1593" w:type="dxa"/>
            <w:shd w:val="clear" w:color="auto" w:fill="4471C4"/>
          </w:tcPr>
          <w:p>
            <w:pPr>
              <w:pStyle w:val="TableParagraph"/>
              <w:spacing w:line="360" w:lineRule="auto" w:before="47"/>
              <w:ind w:left="617" w:hanging="488"/>
              <w:rPr>
                <w:b/>
                <w:sz w:val="20"/>
              </w:rPr>
            </w:pPr>
            <w:r>
              <w:rPr>
                <w:b/>
                <w:w w:val="95"/>
                <w:sz w:val="20"/>
              </w:rPr>
              <w:t>Especificidad </w:t>
            </w:r>
            <w:r>
              <w:rPr>
                <w:b/>
                <w:sz w:val="20"/>
              </w:rPr>
              <w:t>(%)</w:t>
            </w:r>
          </w:p>
        </w:tc>
        <w:tc>
          <w:tcPr>
            <w:tcW w:w="1162" w:type="dxa"/>
            <w:shd w:val="clear" w:color="auto" w:fill="4471C4"/>
          </w:tcPr>
          <w:p>
            <w:pPr>
              <w:pStyle w:val="TableParagraph"/>
              <w:spacing w:before="47"/>
              <w:ind w:left="157" w:right="198"/>
              <w:jc w:val="center"/>
              <w:rPr>
                <w:b/>
                <w:sz w:val="20"/>
              </w:rPr>
            </w:pPr>
            <w:r>
              <w:rPr>
                <w:b/>
                <w:sz w:val="20"/>
              </w:rPr>
              <w:t>VPP (%)</w:t>
            </w:r>
          </w:p>
        </w:tc>
        <w:tc>
          <w:tcPr>
            <w:tcW w:w="1318" w:type="dxa"/>
            <w:shd w:val="clear" w:color="auto" w:fill="4471C4"/>
          </w:tcPr>
          <w:p>
            <w:pPr>
              <w:pStyle w:val="TableParagraph"/>
              <w:spacing w:before="47"/>
              <w:ind w:left="199" w:right="300"/>
              <w:jc w:val="center"/>
              <w:rPr>
                <w:b/>
                <w:sz w:val="20"/>
              </w:rPr>
            </w:pPr>
            <w:r>
              <w:rPr>
                <w:b/>
                <w:sz w:val="20"/>
              </w:rPr>
              <w:t>VPN (%)</w:t>
            </w:r>
          </w:p>
        </w:tc>
        <w:tc>
          <w:tcPr>
            <w:tcW w:w="2232" w:type="dxa"/>
            <w:shd w:val="clear" w:color="auto" w:fill="4471C4"/>
          </w:tcPr>
          <w:p>
            <w:pPr>
              <w:pStyle w:val="TableParagraph"/>
              <w:spacing w:line="259" w:lineRule="auto" w:before="47"/>
              <w:ind w:left="323" w:right="400" w:firstLine="211"/>
              <w:rPr>
                <w:b/>
                <w:sz w:val="20"/>
              </w:rPr>
            </w:pPr>
            <w:r>
              <w:rPr>
                <w:b/>
                <w:sz w:val="20"/>
              </w:rPr>
              <w:t>Cercanía al diagnóstico (%)</w:t>
            </w:r>
          </w:p>
        </w:tc>
      </w:tr>
      <w:tr>
        <w:trPr>
          <w:trHeight w:val="991" w:hRule="exact"/>
        </w:trPr>
        <w:tc>
          <w:tcPr>
            <w:tcW w:w="2115" w:type="dxa"/>
            <w:tcBorders>
              <w:left w:val="single" w:sz="8" w:space="0" w:color="4471C4"/>
              <w:bottom w:val="single" w:sz="8" w:space="0" w:color="4471C4"/>
            </w:tcBorders>
          </w:tcPr>
          <w:p>
            <w:pPr>
              <w:pStyle w:val="TableParagraph"/>
              <w:spacing w:line="362" w:lineRule="auto" w:before="28"/>
              <w:ind w:left="425" w:right="421" w:firstLine="100"/>
              <w:rPr>
                <w:b/>
                <w:sz w:val="20"/>
              </w:rPr>
            </w:pPr>
            <w:r>
              <w:rPr>
                <w:b/>
                <w:sz w:val="20"/>
              </w:rPr>
              <w:t>Número de folículos (+9)</w:t>
            </w:r>
          </w:p>
        </w:tc>
        <w:tc>
          <w:tcPr>
            <w:tcW w:w="1401" w:type="dxa"/>
            <w:tcBorders>
              <w:bottom w:val="single" w:sz="8" w:space="0" w:color="4471C4"/>
            </w:tcBorders>
          </w:tcPr>
          <w:p>
            <w:pPr>
              <w:pStyle w:val="TableParagraph"/>
              <w:spacing w:before="31"/>
              <w:ind w:left="431"/>
              <w:rPr>
                <w:sz w:val="20"/>
              </w:rPr>
            </w:pPr>
            <w:r>
              <w:rPr>
                <w:sz w:val="20"/>
              </w:rPr>
              <w:t>82.35</w:t>
            </w:r>
          </w:p>
        </w:tc>
        <w:tc>
          <w:tcPr>
            <w:tcW w:w="1593" w:type="dxa"/>
            <w:tcBorders>
              <w:bottom w:val="single" w:sz="8" w:space="0" w:color="4471C4"/>
            </w:tcBorders>
          </w:tcPr>
          <w:p>
            <w:pPr>
              <w:pStyle w:val="TableParagraph"/>
              <w:spacing w:before="31"/>
              <w:ind w:left="579"/>
              <w:rPr>
                <w:sz w:val="20"/>
              </w:rPr>
            </w:pPr>
            <w:r>
              <w:rPr>
                <w:sz w:val="20"/>
              </w:rPr>
              <w:t>92.0</w:t>
            </w:r>
          </w:p>
        </w:tc>
        <w:tc>
          <w:tcPr>
            <w:tcW w:w="1162" w:type="dxa"/>
            <w:tcBorders>
              <w:bottom w:val="single" w:sz="8" w:space="0" w:color="4471C4"/>
            </w:tcBorders>
          </w:tcPr>
          <w:p>
            <w:pPr>
              <w:pStyle w:val="TableParagraph"/>
              <w:spacing w:before="31"/>
              <w:ind w:left="157" w:right="195"/>
              <w:jc w:val="center"/>
              <w:rPr>
                <w:sz w:val="20"/>
              </w:rPr>
            </w:pPr>
            <w:r>
              <w:rPr>
                <w:sz w:val="20"/>
              </w:rPr>
              <w:t>88.01</w:t>
            </w:r>
          </w:p>
        </w:tc>
        <w:tc>
          <w:tcPr>
            <w:tcW w:w="1318" w:type="dxa"/>
            <w:tcBorders>
              <w:bottom w:val="single" w:sz="8" w:space="0" w:color="4471C4"/>
            </w:tcBorders>
          </w:tcPr>
          <w:p>
            <w:pPr>
              <w:pStyle w:val="TableParagraph"/>
              <w:spacing w:before="31"/>
              <w:ind w:left="198" w:right="300"/>
              <w:jc w:val="center"/>
              <w:rPr>
                <w:sz w:val="20"/>
              </w:rPr>
            </w:pPr>
            <w:r>
              <w:rPr>
                <w:sz w:val="20"/>
              </w:rPr>
              <w:t>80.21</w:t>
            </w:r>
          </w:p>
        </w:tc>
        <w:tc>
          <w:tcPr>
            <w:tcW w:w="2232" w:type="dxa"/>
            <w:tcBorders>
              <w:bottom w:val="single" w:sz="8" w:space="0" w:color="4471C4"/>
              <w:right w:val="single" w:sz="8" w:space="0" w:color="4471C4"/>
            </w:tcBorders>
          </w:tcPr>
          <w:p>
            <w:pPr>
              <w:pStyle w:val="TableParagraph"/>
              <w:spacing w:before="31"/>
              <w:ind w:left="815"/>
              <w:rPr>
                <w:sz w:val="20"/>
              </w:rPr>
            </w:pPr>
            <w:r>
              <w:rPr>
                <w:sz w:val="20"/>
              </w:rPr>
              <w:t>81.05</w:t>
            </w:r>
          </w:p>
        </w:tc>
      </w:tr>
      <w:tr>
        <w:trPr>
          <w:trHeight w:val="1582" w:hRule="exact"/>
        </w:trPr>
        <w:tc>
          <w:tcPr>
            <w:tcW w:w="2115" w:type="dxa"/>
            <w:tcBorders>
              <w:top w:val="single" w:sz="8" w:space="0" w:color="4471C4"/>
              <w:left w:val="single" w:sz="8" w:space="0" w:color="4471C4"/>
              <w:bottom w:val="single" w:sz="8" w:space="0" w:color="4471C4"/>
            </w:tcBorders>
          </w:tcPr>
          <w:p>
            <w:pPr>
              <w:pStyle w:val="TableParagraph"/>
              <w:spacing w:line="360" w:lineRule="auto" w:before="28"/>
              <w:ind w:left="365" w:right="237" w:hanging="128"/>
              <w:rPr>
                <w:b/>
                <w:sz w:val="20"/>
              </w:rPr>
            </w:pPr>
            <w:r>
              <w:rPr>
                <w:b/>
                <w:sz w:val="20"/>
              </w:rPr>
              <w:t>Volumen ovárico (mayor a 8 ml)</w:t>
            </w:r>
          </w:p>
        </w:tc>
        <w:tc>
          <w:tcPr>
            <w:tcW w:w="1401" w:type="dxa"/>
            <w:tcBorders>
              <w:top w:val="single" w:sz="8" w:space="0" w:color="4471C4"/>
              <w:bottom w:val="single" w:sz="8" w:space="0" w:color="4471C4"/>
            </w:tcBorders>
          </w:tcPr>
          <w:p>
            <w:pPr>
              <w:pStyle w:val="TableParagraph"/>
              <w:spacing w:before="31"/>
              <w:ind w:left="431"/>
              <w:rPr>
                <w:sz w:val="20"/>
              </w:rPr>
            </w:pPr>
            <w:r>
              <w:rPr>
                <w:sz w:val="20"/>
              </w:rPr>
              <w:t>79.49</w:t>
            </w:r>
          </w:p>
        </w:tc>
        <w:tc>
          <w:tcPr>
            <w:tcW w:w="1593" w:type="dxa"/>
            <w:tcBorders>
              <w:top w:val="single" w:sz="8" w:space="0" w:color="4471C4"/>
              <w:bottom w:val="single" w:sz="8" w:space="0" w:color="4471C4"/>
            </w:tcBorders>
          </w:tcPr>
          <w:p>
            <w:pPr>
              <w:pStyle w:val="TableParagraph"/>
              <w:spacing w:before="31"/>
              <w:ind w:left="521"/>
              <w:rPr>
                <w:sz w:val="20"/>
              </w:rPr>
            </w:pPr>
            <w:r>
              <w:rPr>
                <w:sz w:val="20"/>
              </w:rPr>
              <w:t>90.67</w:t>
            </w:r>
          </w:p>
        </w:tc>
        <w:tc>
          <w:tcPr>
            <w:tcW w:w="1162" w:type="dxa"/>
            <w:tcBorders>
              <w:top w:val="single" w:sz="8" w:space="0" w:color="4471C4"/>
              <w:bottom w:val="single" w:sz="8" w:space="0" w:color="4471C4"/>
            </w:tcBorders>
          </w:tcPr>
          <w:p>
            <w:pPr>
              <w:pStyle w:val="TableParagraph"/>
              <w:spacing w:before="31"/>
              <w:ind w:left="157" w:right="195"/>
              <w:jc w:val="center"/>
              <w:rPr>
                <w:sz w:val="20"/>
              </w:rPr>
            </w:pPr>
            <w:r>
              <w:rPr>
                <w:sz w:val="20"/>
              </w:rPr>
              <w:t>83.52</w:t>
            </w:r>
          </w:p>
        </w:tc>
        <w:tc>
          <w:tcPr>
            <w:tcW w:w="1318" w:type="dxa"/>
            <w:tcBorders>
              <w:top w:val="single" w:sz="8" w:space="0" w:color="4471C4"/>
              <w:bottom w:val="single" w:sz="8" w:space="0" w:color="4471C4"/>
            </w:tcBorders>
          </w:tcPr>
          <w:p>
            <w:pPr>
              <w:pStyle w:val="TableParagraph"/>
              <w:spacing w:before="31"/>
              <w:ind w:left="198" w:right="300"/>
              <w:jc w:val="center"/>
              <w:rPr>
                <w:sz w:val="20"/>
              </w:rPr>
            </w:pPr>
            <w:r>
              <w:rPr>
                <w:sz w:val="20"/>
              </w:rPr>
              <w:t>79.76</w:t>
            </w:r>
          </w:p>
        </w:tc>
        <w:tc>
          <w:tcPr>
            <w:tcW w:w="2232" w:type="dxa"/>
            <w:tcBorders>
              <w:top w:val="single" w:sz="8" w:space="0" w:color="4471C4"/>
              <w:bottom w:val="single" w:sz="8" w:space="0" w:color="4471C4"/>
              <w:right w:val="single" w:sz="8" w:space="0" w:color="4471C4"/>
            </w:tcBorders>
          </w:tcPr>
          <w:p>
            <w:pPr>
              <w:pStyle w:val="TableParagraph"/>
              <w:spacing w:before="31"/>
              <w:ind w:left="815"/>
              <w:rPr>
                <w:sz w:val="20"/>
              </w:rPr>
            </w:pPr>
            <w:r>
              <w:rPr>
                <w:sz w:val="20"/>
              </w:rPr>
              <w:t>80.80</w:t>
            </w:r>
          </w:p>
        </w:tc>
      </w:tr>
      <w:tr>
        <w:trPr>
          <w:trHeight w:val="908" w:hRule="exact"/>
        </w:trPr>
        <w:tc>
          <w:tcPr>
            <w:tcW w:w="2115" w:type="dxa"/>
            <w:tcBorders>
              <w:top w:val="single" w:sz="8" w:space="0" w:color="4471C4"/>
              <w:left w:val="single" w:sz="8" w:space="0" w:color="4471C4"/>
              <w:bottom w:val="single" w:sz="8" w:space="0" w:color="4471C4"/>
            </w:tcBorders>
          </w:tcPr>
          <w:p>
            <w:pPr>
              <w:pStyle w:val="TableParagraph"/>
              <w:spacing w:before="28"/>
              <w:ind w:left="88" w:right="102"/>
              <w:jc w:val="center"/>
              <w:rPr>
                <w:b/>
                <w:sz w:val="20"/>
              </w:rPr>
            </w:pPr>
            <w:r>
              <w:rPr>
                <w:b/>
                <w:sz w:val="20"/>
              </w:rPr>
              <w:t>Tamaño folicular</w:t>
            </w:r>
          </w:p>
        </w:tc>
        <w:tc>
          <w:tcPr>
            <w:tcW w:w="1401" w:type="dxa"/>
            <w:tcBorders>
              <w:top w:val="single" w:sz="8" w:space="0" w:color="4471C4"/>
              <w:bottom w:val="single" w:sz="8" w:space="0" w:color="4471C4"/>
            </w:tcBorders>
          </w:tcPr>
          <w:p>
            <w:pPr>
              <w:pStyle w:val="TableParagraph"/>
              <w:spacing w:before="31"/>
              <w:ind w:left="431"/>
              <w:rPr>
                <w:sz w:val="20"/>
              </w:rPr>
            </w:pPr>
            <w:r>
              <w:rPr>
                <w:sz w:val="20"/>
              </w:rPr>
              <w:t>74.67</w:t>
            </w:r>
          </w:p>
        </w:tc>
        <w:tc>
          <w:tcPr>
            <w:tcW w:w="1593" w:type="dxa"/>
            <w:tcBorders>
              <w:top w:val="single" w:sz="8" w:space="0" w:color="4471C4"/>
              <w:bottom w:val="single" w:sz="8" w:space="0" w:color="4471C4"/>
            </w:tcBorders>
          </w:tcPr>
          <w:p>
            <w:pPr>
              <w:pStyle w:val="TableParagraph"/>
              <w:spacing w:before="31"/>
              <w:ind w:left="521"/>
              <w:rPr>
                <w:sz w:val="20"/>
              </w:rPr>
            </w:pPr>
            <w:r>
              <w:rPr>
                <w:sz w:val="20"/>
              </w:rPr>
              <w:t>78.15</w:t>
            </w:r>
          </w:p>
        </w:tc>
        <w:tc>
          <w:tcPr>
            <w:tcW w:w="1162" w:type="dxa"/>
            <w:tcBorders>
              <w:top w:val="single" w:sz="8" w:space="0" w:color="4471C4"/>
              <w:bottom w:val="single" w:sz="8" w:space="0" w:color="4471C4"/>
            </w:tcBorders>
          </w:tcPr>
          <w:p>
            <w:pPr>
              <w:pStyle w:val="TableParagraph"/>
              <w:spacing w:before="31"/>
              <w:ind w:left="157" w:right="195"/>
              <w:jc w:val="center"/>
              <w:rPr>
                <w:sz w:val="20"/>
              </w:rPr>
            </w:pPr>
            <w:r>
              <w:rPr>
                <w:sz w:val="20"/>
              </w:rPr>
              <w:t>73.04</w:t>
            </w:r>
          </w:p>
        </w:tc>
        <w:tc>
          <w:tcPr>
            <w:tcW w:w="1318" w:type="dxa"/>
            <w:tcBorders>
              <w:top w:val="single" w:sz="8" w:space="0" w:color="4471C4"/>
              <w:bottom w:val="single" w:sz="8" w:space="0" w:color="4471C4"/>
            </w:tcBorders>
          </w:tcPr>
          <w:p>
            <w:pPr>
              <w:pStyle w:val="TableParagraph"/>
              <w:spacing w:before="31"/>
              <w:ind w:left="198" w:right="300"/>
              <w:jc w:val="center"/>
              <w:rPr>
                <w:sz w:val="20"/>
              </w:rPr>
            </w:pPr>
            <w:r>
              <w:rPr>
                <w:sz w:val="20"/>
              </w:rPr>
              <w:t>78.12</w:t>
            </w:r>
          </w:p>
        </w:tc>
        <w:tc>
          <w:tcPr>
            <w:tcW w:w="2232" w:type="dxa"/>
            <w:tcBorders>
              <w:top w:val="single" w:sz="8" w:space="0" w:color="4471C4"/>
              <w:bottom w:val="single" w:sz="8" w:space="0" w:color="4471C4"/>
              <w:right w:val="single" w:sz="8" w:space="0" w:color="4471C4"/>
            </w:tcBorders>
          </w:tcPr>
          <w:p>
            <w:pPr>
              <w:pStyle w:val="TableParagraph"/>
              <w:spacing w:before="31"/>
              <w:ind w:left="815"/>
              <w:rPr>
                <w:sz w:val="20"/>
              </w:rPr>
            </w:pPr>
            <w:r>
              <w:rPr>
                <w:sz w:val="20"/>
              </w:rPr>
              <w:t>76.80</w:t>
            </w:r>
          </w:p>
        </w:tc>
      </w:tr>
      <w:tr>
        <w:trPr>
          <w:trHeight w:val="2378" w:hRule="exact"/>
        </w:trPr>
        <w:tc>
          <w:tcPr>
            <w:tcW w:w="2115" w:type="dxa"/>
            <w:tcBorders>
              <w:top w:val="single" w:sz="8" w:space="0" w:color="4471C4"/>
              <w:left w:val="single" w:sz="8" w:space="0" w:color="4471C4"/>
              <w:bottom w:val="single" w:sz="8" w:space="0" w:color="4471C4"/>
            </w:tcBorders>
          </w:tcPr>
          <w:p>
            <w:pPr>
              <w:pStyle w:val="TableParagraph"/>
              <w:spacing w:before="28"/>
              <w:ind w:left="82" w:right="102"/>
              <w:jc w:val="center"/>
              <w:rPr>
                <w:b/>
                <w:sz w:val="20"/>
              </w:rPr>
            </w:pPr>
            <w:r>
              <w:rPr>
                <w:b/>
                <w:sz w:val="20"/>
              </w:rPr>
              <w:t>Dos criterios</w:t>
            </w:r>
          </w:p>
          <w:p>
            <w:pPr>
              <w:pStyle w:val="TableParagraph"/>
              <w:spacing w:before="4"/>
              <w:rPr>
                <w:sz w:val="27"/>
              </w:rPr>
            </w:pPr>
          </w:p>
          <w:p>
            <w:pPr>
              <w:pStyle w:val="TableParagraph"/>
              <w:spacing w:line="261" w:lineRule="auto"/>
              <w:ind w:left="140" w:right="102"/>
              <w:jc w:val="center"/>
              <w:rPr>
                <w:b/>
                <w:sz w:val="20"/>
              </w:rPr>
            </w:pPr>
            <w:r>
              <w:rPr>
                <w:b/>
                <w:sz w:val="20"/>
              </w:rPr>
              <w:t>(volumen ovárico y número folicular)</w:t>
            </w:r>
          </w:p>
        </w:tc>
        <w:tc>
          <w:tcPr>
            <w:tcW w:w="1401" w:type="dxa"/>
            <w:tcBorders>
              <w:top w:val="single" w:sz="8" w:space="0" w:color="4471C4"/>
              <w:bottom w:val="single" w:sz="8" w:space="0" w:color="4471C4"/>
            </w:tcBorders>
          </w:tcPr>
          <w:p>
            <w:pPr>
              <w:pStyle w:val="TableParagraph"/>
              <w:spacing w:before="31"/>
              <w:ind w:left="431"/>
              <w:rPr>
                <w:sz w:val="20"/>
              </w:rPr>
            </w:pPr>
            <w:r>
              <w:rPr>
                <w:sz w:val="20"/>
              </w:rPr>
              <w:t>87.39</w:t>
            </w:r>
          </w:p>
        </w:tc>
        <w:tc>
          <w:tcPr>
            <w:tcW w:w="1593" w:type="dxa"/>
            <w:tcBorders>
              <w:top w:val="single" w:sz="8" w:space="0" w:color="4471C4"/>
              <w:bottom w:val="single" w:sz="8" w:space="0" w:color="4471C4"/>
            </w:tcBorders>
          </w:tcPr>
          <w:p>
            <w:pPr>
              <w:pStyle w:val="TableParagraph"/>
              <w:spacing w:before="31"/>
              <w:ind w:left="521"/>
              <w:rPr>
                <w:sz w:val="20"/>
              </w:rPr>
            </w:pPr>
            <w:r>
              <w:rPr>
                <w:sz w:val="20"/>
              </w:rPr>
              <w:t>87.84</w:t>
            </w:r>
          </w:p>
        </w:tc>
        <w:tc>
          <w:tcPr>
            <w:tcW w:w="1162" w:type="dxa"/>
            <w:tcBorders>
              <w:top w:val="single" w:sz="8" w:space="0" w:color="4471C4"/>
              <w:bottom w:val="single" w:sz="8" w:space="0" w:color="4471C4"/>
            </w:tcBorders>
          </w:tcPr>
          <w:p>
            <w:pPr>
              <w:pStyle w:val="TableParagraph"/>
              <w:spacing w:before="31"/>
              <w:ind w:left="157" w:right="195"/>
              <w:jc w:val="center"/>
              <w:rPr>
                <w:sz w:val="20"/>
              </w:rPr>
            </w:pPr>
            <w:r>
              <w:rPr>
                <w:sz w:val="20"/>
              </w:rPr>
              <w:t>92.04</w:t>
            </w:r>
          </w:p>
        </w:tc>
        <w:tc>
          <w:tcPr>
            <w:tcW w:w="1318" w:type="dxa"/>
            <w:tcBorders>
              <w:top w:val="single" w:sz="8" w:space="0" w:color="4471C4"/>
              <w:bottom w:val="single" w:sz="8" w:space="0" w:color="4471C4"/>
            </w:tcBorders>
          </w:tcPr>
          <w:p>
            <w:pPr>
              <w:pStyle w:val="TableParagraph"/>
              <w:spacing w:before="31"/>
              <w:ind w:left="198" w:right="300"/>
              <w:jc w:val="center"/>
              <w:rPr>
                <w:sz w:val="20"/>
              </w:rPr>
            </w:pPr>
            <w:r>
              <w:rPr>
                <w:sz w:val="20"/>
              </w:rPr>
              <w:t>81.25</w:t>
            </w:r>
          </w:p>
        </w:tc>
        <w:tc>
          <w:tcPr>
            <w:tcW w:w="2232" w:type="dxa"/>
            <w:tcBorders>
              <w:top w:val="single" w:sz="8" w:space="0" w:color="4471C4"/>
              <w:bottom w:val="single" w:sz="8" w:space="0" w:color="4471C4"/>
              <w:right w:val="single" w:sz="8" w:space="0" w:color="4471C4"/>
            </w:tcBorders>
          </w:tcPr>
          <w:p>
            <w:pPr>
              <w:pStyle w:val="TableParagraph"/>
              <w:spacing w:before="31"/>
              <w:ind w:left="815"/>
              <w:rPr>
                <w:sz w:val="20"/>
              </w:rPr>
            </w:pPr>
            <w:r>
              <w:rPr>
                <w:sz w:val="20"/>
              </w:rPr>
              <w:t>87.56</w:t>
            </w:r>
          </w:p>
        </w:tc>
      </w:tr>
      <w:tr>
        <w:trPr>
          <w:trHeight w:val="898" w:hRule="exact"/>
        </w:trPr>
        <w:tc>
          <w:tcPr>
            <w:tcW w:w="3516" w:type="dxa"/>
            <w:gridSpan w:val="2"/>
            <w:tcBorders>
              <w:top w:val="single" w:sz="8" w:space="0" w:color="4471C4"/>
              <w:left w:val="single" w:sz="8" w:space="0" w:color="4471C4"/>
              <w:bottom w:val="single" w:sz="8" w:space="0" w:color="4471C4"/>
            </w:tcBorders>
          </w:tcPr>
          <w:p>
            <w:pPr>
              <w:pStyle w:val="TableParagraph"/>
              <w:tabs>
                <w:tab w:pos="3048" w:val="right" w:leader="none"/>
              </w:tabs>
              <w:spacing w:before="28"/>
              <w:ind w:left="235"/>
              <w:rPr>
                <w:sz w:val="20"/>
              </w:rPr>
            </w:pPr>
            <w:r>
              <w:rPr>
                <w:b/>
                <w:sz w:val="20"/>
              </w:rPr>
              <w:t>Los</w:t>
            </w:r>
            <w:r>
              <w:rPr>
                <w:b/>
                <w:spacing w:val="-2"/>
                <w:sz w:val="20"/>
              </w:rPr>
              <w:t> </w:t>
            </w:r>
            <w:r>
              <w:rPr>
                <w:b/>
                <w:sz w:val="20"/>
              </w:rPr>
              <w:t>tres criterios</w:t>
            </w:r>
            <w:r>
              <w:rPr>
                <w:sz w:val="20"/>
              </w:rPr>
              <w:tab/>
              <w:t>85.59</w:t>
            </w:r>
          </w:p>
        </w:tc>
        <w:tc>
          <w:tcPr>
            <w:tcW w:w="1593" w:type="dxa"/>
            <w:tcBorders>
              <w:top w:val="single" w:sz="8" w:space="0" w:color="4471C4"/>
              <w:bottom w:val="single" w:sz="8" w:space="0" w:color="4471C4"/>
            </w:tcBorders>
          </w:tcPr>
          <w:p>
            <w:pPr>
              <w:pStyle w:val="TableParagraph"/>
              <w:spacing w:before="31"/>
              <w:ind w:left="521"/>
              <w:rPr>
                <w:sz w:val="20"/>
              </w:rPr>
            </w:pPr>
            <w:r>
              <w:rPr>
                <w:sz w:val="20"/>
              </w:rPr>
              <w:t>90.54</w:t>
            </w:r>
          </w:p>
        </w:tc>
        <w:tc>
          <w:tcPr>
            <w:tcW w:w="1162" w:type="dxa"/>
            <w:tcBorders>
              <w:top w:val="single" w:sz="8" w:space="0" w:color="4471C4"/>
              <w:bottom w:val="single" w:sz="8" w:space="0" w:color="4471C4"/>
            </w:tcBorders>
          </w:tcPr>
          <w:p>
            <w:pPr>
              <w:pStyle w:val="TableParagraph"/>
              <w:spacing w:before="31"/>
              <w:ind w:left="157" w:right="195"/>
              <w:jc w:val="center"/>
              <w:rPr>
                <w:sz w:val="20"/>
              </w:rPr>
            </w:pPr>
            <w:r>
              <w:rPr>
                <w:sz w:val="20"/>
              </w:rPr>
              <w:t>93.52</w:t>
            </w:r>
          </w:p>
        </w:tc>
        <w:tc>
          <w:tcPr>
            <w:tcW w:w="1318" w:type="dxa"/>
            <w:tcBorders>
              <w:top w:val="single" w:sz="8" w:space="0" w:color="4471C4"/>
              <w:bottom w:val="single" w:sz="8" w:space="0" w:color="4471C4"/>
            </w:tcBorders>
          </w:tcPr>
          <w:p>
            <w:pPr>
              <w:pStyle w:val="TableParagraph"/>
              <w:spacing w:before="31"/>
              <w:ind w:left="198" w:right="300"/>
              <w:jc w:val="center"/>
              <w:rPr>
                <w:sz w:val="20"/>
              </w:rPr>
            </w:pPr>
            <w:r>
              <w:rPr>
                <w:sz w:val="20"/>
              </w:rPr>
              <w:t>79.76</w:t>
            </w:r>
          </w:p>
        </w:tc>
        <w:tc>
          <w:tcPr>
            <w:tcW w:w="2232" w:type="dxa"/>
            <w:tcBorders>
              <w:top w:val="single" w:sz="8" w:space="0" w:color="4471C4"/>
              <w:bottom w:val="single" w:sz="8" w:space="0" w:color="4471C4"/>
              <w:right w:val="single" w:sz="8" w:space="0" w:color="4471C4"/>
            </w:tcBorders>
          </w:tcPr>
          <w:p>
            <w:pPr>
              <w:pStyle w:val="TableParagraph"/>
              <w:spacing w:before="31"/>
              <w:ind w:left="815"/>
              <w:rPr>
                <w:sz w:val="20"/>
              </w:rPr>
            </w:pPr>
            <w:r>
              <w:rPr>
                <w:sz w:val="20"/>
              </w:rPr>
              <w:t>87.50</w:t>
            </w:r>
          </w:p>
        </w:tc>
      </w:tr>
    </w:tbl>
    <w:p>
      <w:pPr>
        <w:pStyle w:val="BodyText"/>
        <w:spacing w:before="9"/>
        <w:rPr>
          <w:sz w:val="19"/>
        </w:rPr>
      </w:pPr>
    </w:p>
    <w:p>
      <w:pPr>
        <w:spacing w:line="249" w:lineRule="auto" w:before="72"/>
        <w:ind w:left="597" w:right="616" w:hanging="10"/>
        <w:jc w:val="both"/>
        <w:rPr>
          <w:sz w:val="22"/>
        </w:rPr>
      </w:pPr>
      <w:r>
        <w:rPr>
          <w:sz w:val="22"/>
        </w:rPr>
        <w:t>Fuente: Sanjeed Ahmed, Shivani Pahwa, Chandan Jyoti Das, Farooq A Mir, Sobia Nisar, Majid Jehangir, Shameem Parveen, Aafia Rashid, Mohd Ashraf Ganie. ‘Comparative evaluation of sonographic ovarian morphology of Indian women with polycystic ovary síndrome versus those normal women.’ Indian Journal of Endocrinology and Metabolism (2014)</w:t>
      </w:r>
    </w:p>
    <w:p>
      <w:pPr>
        <w:pStyle w:val="BodyText"/>
        <w:rPr>
          <w:sz w:val="26"/>
        </w:rPr>
      </w:pPr>
    </w:p>
    <w:p>
      <w:pPr>
        <w:spacing w:before="0"/>
        <w:ind w:left="587" w:right="0" w:firstLine="0"/>
        <w:jc w:val="both"/>
        <w:rPr>
          <w:i/>
          <w:sz w:val="24"/>
        </w:rPr>
      </w:pPr>
      <w:r>
        <w:rPr>
          <w:i/>
          <w:sz w:val="24"/>
        </w:rPr>
        <w:t>Medición de área del estroma /área total del ovario.</w:t>
      </w:r>
    </w:p>
    <w:p>
      <w:pPr>
        <w:pStyle w:val="BodyText"/>
        <w:spacing w:before="11"/>
        <w:rPr>
          <w:i/>
          <w:sz w:val="27"/>
        </w:rPr>
      </w:pPr>
    </w:p>
    <w:p>
      <w:pPr>
        <w:pStyle w:val="BodyText"/>
        <w:spacing w:line="362" w:lineRule="auto"/>
        <w:ind w:left="597" w:right="631" w:hanging="10"/>
        <w:jc w:val="both"/>
      </w:pPr>
      <w:r>
        <w:rPr/>
        <w:t>El</w:t>
      </w:r>
      <w:r>
        <w:rPr>
          <w:spacing w:val="-10"/>
        </w:rPr>
        <w:t> </w:t>
      </w:r>
      <w:r>
        <w:rPr/>
        <w:t>área</w:t>
      </w:r>
      <w:r>
        <w:rPr>
          <w:spacing w:val="-8"/>
        </w:rPr>
        <w:t> </w:t>
      </w:r>
      <w:r>
        <w:rPr/>
        <w:t>ovárica</w:t>
      </w:r>
      <w:r>
        <w:rPr>
          <w:spacing w:val="-8"/>
        </w:rPr>
        <w:t> </w:t>
      </w:r>
      <w:r>
        <w:rPr/>
        <w:t>se</w:t>
      </w:r>
      <w:r>
        <w:rPr>
          <w:spacing w:val="-8"/>
        </w:rPr>
        <w:t> </w:t>
      </w:r>
      <w:r>
        <w:rPr/>
        <w:t>evalúa</w:t>
      </w:r>
      <w:r>
        <w:rPr>
          <w:spacing w:val="-8"/>
        </w:rPr>
        <w:t> </w:t>
      </w:r>
      <w:r>
        <w:rPr/>
        <w:t>mediante</w:t>
      </w:r>
      <w:r>
        <w:rPr>
          <w:spacing w:val="-8"/>
        </w:rPr>
        <w:t> </w:t>
      </w:r>
      <w:r>
        <w:rPr/>
        <w:t>el</w:t>
      </w:r>
      <w:r>
        <w:rPr>
          <w:spacing w:val="-10"/>
        </w:rPr>
        <w:t> </w:t>
      </w:r>
      <w:r>
        <w:rPr/>
        <w:t>trazo</w:t>
      </w:r>
      <w:r>
        <w:rPr>
          <w:spacing w:val="-8"/>
        </w:rPr>
        <w:t> </w:t>
      </w:r>
      <w:r>
        <w:rPr/>
        <w:t>de</w:t>
      </w:r>
      <w:r>
        <w:rPr>
          <w:spacing w:val="-8"/>
        </w:rPr>
        <w:t> </w:t>
      </w:r>
      <w:r>
        <w:rPr/>
        <w:t>un</w:t>
      </w:r>
      <w:r>
        <w:rPr>
          <w:spacing w:val="-8"/>
        </w:rPr>
        <w:t> </w:t>
      </w:r>
      <w:r>
        <w:rPr/>
        <w:t>caliper</w:t>
      </w:r>
      <w:r>
        <w:rPr>
          <w:spacing w:val="-10"/>
        </w:rPr>
        <w:t> </w:t>
      </w:r>
      <w:r>
        <w:rPr/>
        <w:t>que</w:t>
      </w:r>
      <w:r>
        <w:rPr>
          <w:spacing w:val="-8"/>
        </w:rPr>
        <w:t> </w:t>
      </w:r>
      <w:r>
        <w:rPr/>
        <w:t>rodea</w:t>
      </w:r>
      <w:r>
        <w:rPr>
          <w:spacing w:val="-11"/>
        </w:rPr>
        <w:t> </w:t>
      </w:r>
      <w:r>
        <w:rPr/>
        <w:t>el</w:t>
      </w:r>
      <w:r>
        <w:rPr>
          <w:spacing w:val="-10"/>
        </w:rPr>
        <w:t> </w:t>
      </w:r>
      <w:r>
        <w:rPr/>
        <w:t>límite</w:t>
      </w:r>
      <w:r>
        <w:rPr>
          <w:spacing w:val="-8"/>
        </w:rPr>
        <w:t> </w:t>
      </w:r>
      <w:r>
        <w:rPr/>
        <w:t>externo del ovario en su plano máximo longitudinal. El estroma ovárico se evalúa mediante el</w:t>
      </w:r>
      <w:r>
        <w:rPr>
          <w:spacing w:val="-14"/>
        </w:rPr>
        <w:t> </w:t>
      </w:r>
      <w:r>
        <w:rPr/>
        <w:t>trazo</w:t>
      </w:r>
      <w:r>
        <w:rPr>
          <w:spacing w:val="-13"/>
        </w:rPr>
        <w:t> </w:t>
      </w:r>
      <w:r>
        <w:rPr/>
        <w:t>de</w:t>
      </w:r>
      <w:r>
        <w:rPr>
          <w:spacing w:val="-13"/>
        </w:rPr>
        <w:t> </w:t>
      </w:r>
      <w:r>
        <w:rPr/>
        <w:t>un</w:t>
      </w:r>
      <w:r>
        <w:rPr>
          <w:spacing w:val="-13"/>
        </w:rPr>
        <w:t> </w:t>
      </w:r>
      <w:r>
        <w:rPr/>
        <w:t>caliper</w:t>
      </w:r>
      <w:r>
        <w:rPr>
          <w:spacing w:val="-15"/>
        </w:rPr>
        <w:t> </w:t>
      </w:r>
      <w:r>
        <w:rPr/>
        <w:t>que</w:t>
      </w:r>
      <w:r>
        <w:rPr>
          <w:spacing w:val="-13"/>
        </w:rPr>
        <w:t> </w:t>
      </w:r>
      <w:r>
        <w:rPr/>
        <w:t>rodea</w:t>
      </w:r>
      <w:r>
        <w:rPr>
          <w:spacing w:val="-13"/>
        </w:rPr>
        <w:t> </w:t>
      </w:r>
      <w:r>
        <w:rPr/>
        <w:t>la</w:t>
      </w:r>
      <w:r>
        <w:rPr>
          <w:spacing w:val="-13"/>
        </w:rPr>
        <w:t> </w:t>
      </w:r>
      <w:r>
        <w:rPr/>
        <w:t>periferia</w:t>
      </w:r>
      <w:r>
        <w:rPr>
          <w:spacing w:val="-13"/>
        </w:rPr>
        <w:t> </w:t>
      </w:r>
      <w:r>
        <w:rPr/>
        <w:t>del</w:t>
      </w:r>
      <w:r>
        <w:rPr>
          <w:spacing w:val="-14"/>
        </w:rPr>
        <w:t> </w:t>
      </w:r>
      <w:r>
        <w:rPr/>
        <w:t>estroma,</w:t>
      </w:r>
      <w:r>
        <w:rPr>
          <w:spacing w:val="-13"/>
        </w:rPr>
        <w:t> </w:t>
      </w:r>
      <w:r>
        <w:rPr/>
        <w:t>identificándola</w:t>
      </w:r>
      <w:r>
        <w:rPr>
          <w:spacing w:val="-13"/>
        </w:rPr>
        <w:t> </w:t>
      </w:r>
      <w:r>
        <w:rPr/>
        <w:t>como</w:t>
      </w:r>
      <w:r>
        <w:rPr>
          <w:spacing w:val="-16"/>
        </w:rPr>
        <w:t> </w:t>
      </w:r>
      <w:r>
        <w:rPr/>
        <w:t>el</w:t>
      </w:r>
      <w:r>
        <w:rPr>
          <w:spacing w:val="-14"/>
        </w:rPr>
        <w:t> </w:t>
      </w:r>
      <w:r>
        <w:rPr/>
        <w:t>área central</w:t>
      </w:r>
      <w:r>
        <w:rPr>
          <w:spacing w:val="-15"/>
        </w:rPr>
        <w:t> </w:t>
      </w:r>
      <w:r>
        <w:rPr/>
        <w:t>(</w:t>
      </w:r>
      <w:r>
        <w:rPr>
          <w:b/>
          <w:i/>
          <w:sz w:val="22"/>
        </w:rPr>
        <w:t>Figura</w:t>
      </w:r>
      <w:r>
        <w:rPr>
          <w:b/>
          <w:i/>
          <w:spacing w:val="-14"/>
          <w:sz w:val="22"/>
        </w:rPr>
        <w:t> </w:t>
      </w:r>
      <w:r>
        <w:rPr>
          <w:b/>
          <w:i/>
          <w:sz w:val="22"/>
        </w:rPr>
        <w:t>6</w:t>
      </w:r>
      <w:r>
        <w:rPr>
          <w:i/>
          <w:sz w:val="22"/>
        </w:rPr>
        <w:t>)</w:t>
      </w:r>
      <w:r>
        <w:rPr/>
        <w:t>.</w:t>
      </w:r>
      <w:r>
        <w:rPr>
          <w:spacing w:val="-17"/>
        </w:rPr>
        <w:t> </w:t>
      </w:r>
      <w:r>
        <w:rPr/>
        <w:t>El</w:t>
      </w:r>
      <w:r>
        <w:rPr>
          <w:spacing w:val="-15"/>
        </w:rPr>
        <w:t> </w:t>
      </w:r>
      <w:r>
        <w:rPr/>
        <w:t>índice</w:t>
      </w:r>
      <w:r>
        <w:rPr>
          <w:spacing w:val="-14"/>
        </w:rPr>
        <w:t> </w:t>
      </w:r>
      <w:r>
        <w:rPr/>
        <w:t>estroma-área</w:t>
      </w:r>
      <w:r>
        <w:rPr>
          <w:spacing w:val="-16"/>
        </w:rPr>
        <w:t> </w:t>
      </w:r>
      <w:r>
        <w:rPr/>
        <w:t>total</w:t>
      </w:r>
      <w:r>
        <w:rPr>
          <w:spacing w:val="-18"/>
        </w:rPr>
        <w:t> </w:t>
      </w:r>
      <w:r>
        <w:rPr/>
        <w:t>es</w:t>
      </w:r>
      <w:r>
        <w:rPr>
          <w:spacing w:val="-15"/>
        </w:rPr>
        <w:t> </w:t>
      </w:r>
      <w:r>
        <w:rPr/>
        <w:t>la</w:t>
      </w:r>
      <w:r>
        <w:rPr>
          <w:spacing w:val="-17"/>
        </w:rPr>
        <w:t> </w:t>
      </w:r>
      <w:r>
        <w:rPr/>
        <w:t>división</w:t>
      </w:r>
      <w:r>
        <w:rPr>
          <w:spacing w:val="-14"/>
        </w:rPr>
        <w:t> </w:t>
      </w:r>
      <w:r>
        <w:rPr/>
        <w:t>que</w:t>
      </w:r>
      <w:r>
        <w:rPr>
          <w:spacing w:val="-14"/>
        </w:rPr>
        <w:t> </w:t>
      </w:r>
      <w:r>
        <w:rPr/>
        <w:t>resulta</w:t>
      </w:r>
      <w:r>
        <w:rPr>
          <w:spacing w:val="-14"/>
        </w:rPr>
        <w:t> </w:t>
      </w:r>
      <w:r>
        <w:rPr/>
        <w:t>de</w:t>
      </w:r>
      <w:r>
        <w:rPr>
          <w:spacing w:val="-14"/>
        </w:rPr>
        <w:t> </w:t>
      </w:r>
      <w:r>
        <w:rPr/>
        <w:t>lo</w:t>
      </w:r>
      <w:r>
        <w:rPr>
          <w:spacing w:val="-17"/>
        </w:rPr>
        <w:t> </w:t>
      </w:r>
      <w:r>
        <w:rPr/>
        <w:t>anterior en el orden</w:t>
      </w:r>
      <w:r>
        <w:rPr>
          <w:spacing w:val="-10"/>
        </w:rPr>
        <w:t> </w:t>
      </w:r>
      <w:r>
        <w:rPr/>
        <w:t>mencionado</w:t>
      </w:r>
      <w:r>
        <w:rPr>
          <w:position w:val="8"/>
          <w:sz w:val="16"/>
        </w:rPr>
        <w:t>16</w:t>
      </w:r>
      <w:r>
        <w:rPr/>
        <w:t>.</w:t>
      </w:r>
    </w:p>
    <w:p>
      <w:pPr>
        <w:spacing w:after="0" w:line="362" w:lineRule="auto"/>
        <w:jc w:val="both"/>
        <w:sectPr>
          <w:pgSz w:w="12240" w:h="15840"/>
          <w:pgMar w:top="1260" w:bottom="280" w:left="1100" w:right="1060"/>
        </w:sectPr>
      </w:pPr>
    </w:p>
    <w:p>
      <w:pPr>
        <w:spacing w:line="357" w:lineRule="auto" w:before="62"/>
        <w:ind w:left="3096" w:right="0" w:hanging="2977"/>
        <w:jc w:val="left"/>
        <w:rPr>
          <w:sz w:val="22"/>
        </w:rPr>
      </w:pPr>
      <w:r>
        <w:rPr/>
        <w:drawing>
          <wp:anchor distT="0" distB="0" distL="0" distR="0" allowOverlap="1" layoutInCell="1" locked="0" behindDoc="0" simplePos="0" relativeHeight="1600">
            <wp:simplePos x="0" y="0"/>
            <wp:positionH relativeFrom="page">
              <wp:posOffset>1531619</wp:posOffset>
            </wp:positionH>
            <wp:positionV relativeFrom="paragraph">
              <wp:posOffset>693138</wp:posOffset>
            </wp:positionV>
            <wp:extent cx="51434" cy="205740"/>
            <wp:effectExtent l="0" t="0" r="0" b="0"/>
            <wp:wrapNone/>
            <wp:docPr id="39" name="image13.png" descr=""/>
            <wp:cNvGraphicFramePr>
              <a:graphicFrameLocks noChangeAspect="1"/>
            </wp:cNvGraphicFramePr>
            <a:graphic>
              <a:graphicData uri="http://schemas.openxmlformats.org/drawingml/2006/picture">
                <pic:pic>
                  <pic:nvPicPr>
                    <pic:cNvPr id="40" name="image13.png"/>
                    <pic:cNvPicPr/>
                  </pic:nvPicPr>
                  <pic:blipFill>
                    <a:blip r:embed="rId17" cstate="print"/>
                    <a:stretch>
                      <a:fillRect/>
                    </a:stretch>
                  </pic:blipFill>
                  <pic:spPr>
                    <a:xfrm>
                      <a:off x="0" y="0"/>
                      <a:ext cx="51434" cy="205740"/>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1531619</wp:posOffset>
            </wp:positionH>
            <wp:positionV relativeFrom="paragraph">
              <wp:posOffset>1058898</wp:posOffset>
            </wp:positionV>
            <wp:extent cx="52123" cy="210026"/>
            <wp:effectExtent l="0" t="0" r="0" b="0"/>
            <wp:wrapNone/>
            <wp:docPr id="41" name="image13.png" descr=""/>
            <wp:cNvGraphicFramePr>
              <a:graphicFrameLocks noChangeAspect="1"/>
            </wp:cNvGraphicFramePr>
            <a:graphic>
              <a:graphicData uri="http://schemas.openxmlformats.org/drawingml/2006/picture">
                <pic:pic>
                  <pic:nvPicPr>
                    <pic:cNvPr id="42" name="image13.png"/>
                    <pic:cNvPicPr/>
                  </pic:nvPicPr>
                  <pic:blipFill>
                    <a:blip r:embed="rId17" cstate="print"/>
                    <a:stretch>
                      <a:fillRect/>
                    </a:stretch>
                  </pic:blipFill>
                  <pic:spPr>
                    <a:xfrm>
                      <a:off x="0" y="0"/>
                      <a:ext cx="52123" cy="210026"/>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1531619</wp:posOffset>
            </wp:positionH>
            <wp:positionV relativeFrom="paragraph">
              <wp:posOffset>1429230</wp:posOffset>
            </wp:positionV>
            <wp:extent cx="51434" cy="205740"/>
            <wp:effectExtent l="0" t="0" r="0" b="0"/>
            <wp:wrapNone/>
            <wp:docPr id="43" name="image13.png" descr=""/>
            <wp:cNvGraphicFramePr>
              <a:graphicFrameLocks noChangeAspect="1"/>
            </wp:cNvGraphicFramePr>
            <a:graphic>
              <a:graphicData uri="http://schemas.openxmlformats.org/drawingml/2006/picture">
                <pic:pic>
                  <pic:nvPicPr>
                    <pic:cNvPr id="44" name="image13.png"/>
                    <pic:cNvPicPr/>
                  </pic:nvPicPr>
                  <pic:blipFill>
                    <a:blip r:embed="rId17" cstate="print"/>
                    <a:stretch>
                      <a:fillRect/>
                    </a:stretch>
                  </pic:blipFill>
                  <pic:spPr>
                    <a:xfrm>
                      <a:off x="0" y="0"/>
                      <a:ext cx="51434" cy="205740"/>
                    </a:xfrm>
                    <a:prstGeom prst="rect">
                      <a:avLst/>
                    </a:prstGeom>
                  </pic:spPr>
                </pic:pic>
              </a:graphicData>
            </a:graphic>
          </wp:anchor>
        </w:drawing>
      </w:r>
      <w:r>
        <w:rPr/>
        <w:pict>
          <v:group style="position:absolute;margin-left:164.880005pt;margin-top:40.897869pt;width:290.05pt;height:177.5pt;mso-position-horizontal-relative:page;mso-position-vertical-relative:paragraph;z-index:1744" coordorigin="3298,818" coordsize="5801,3550">
            <v:shape style="position:absolute;left:3298;top:818;width:5801;height:3550" type="#_x0000_t75" stroked="false">
              <v:imagedata r:id="rId18" o:title=""/>
            </v:shape>
            <v:rect style="position:absolute;left:3380;top:862;width:5642;height:3391" filled="false" stroked="true" strokeweight="2.04pt" strokecolor="#000000"/>
            <v:shape style="position:absolute;left:3672;top:1118;width:5112;height:2870" type="#_x0000_t75" stroked="false">
              <v:imagedata r:id="rId19" o:title=""/>
            </v:shape>
            <w10:wrap type="none"/>
          </v:group>
        </w:pict>
      </w:r>
      <w:r>
        <w:rPr>
          <w:b/>
          <w:i/>
          <w:sz w:val="22"/>
        </w:rPr>
        <w:t>Figura 6. </w:t>
      </w:r>
      <w:r>
        <w:rPr>
          <w:color w:val="202020"/>
          <w:sz w:val="22"/>
        </w:rPr>
        <w:t>Trazado con trazo continuo de ovario, 1 corresponde al área total del ovario, 2 al área total del estroma ovárico.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0"/>
        </w:rPr>
      </w:pPr>
    </w:p>
    <w:p>
      <w:pPr>
        <w:spacing w:before="0"/>
        <w:ind w:left="1939" w:right="2001" w:firstLine="0"/>
        <w:jc w:val="center"/>
        <w:rPr>
          <w:sz w:val="22"/>
        </w:rPr>
      </w:pPr>
      <w:r>
        <w:rPr/>
        <w:drawing>
          <wp:anchor distT="0" distB="0" distL="0" distR="0" allowOverlap="1" layoutInCell="1" locked="0" behindDoc="0" simplePos="0" relativeHeight="1672">
            <wp:simplePos x="0" y="0"/>
            <wp:positionH relativeFrom="page">
              <wp:posOffset>1531619</wp:posOffset>
            </wp:positionH>
            <wp:positionV relativeFrom="paragraph">
              <wp:posOffset>-1117754</wp:posOffset>
            </wp:positionV>
            <wp:extent cx="52123" cy="210026"/>
            <wp:effectExtent l="0" t="0" r="0" b="0"/>
            <wp:wrapNone/>
            <wp:docPr id="45" name="image13.png" descr=""/>
            <wp:cNvGraphicFramePr>
              <a:graphicFrameLocks noChangeAspect="1"/>
            </wp:cNvGraphicFramePr>
            <a:graphic>
              <a:graphicData uri="http://schemas.openxmlformats.org/drawingml/2006/picture">
                <pic:pic>
                  <pic:nvPicPr>
                    <pic:cNvPr id="46" name="image13.png"/>
                    <pic:cNvPicPr/>
                  </pic:nvPicPr>
                  <pic:blipFill>
                    <a:blip r:embed="rId17" cstate="print"/>
                    <a:stretch>
                      <a:fillRect/>
                    </a:stretch>
                  </pic:blipFill>
                  <pic:spPr>
                    <a:xfrm>
                      <a:off x="0" y="0"/>
                      <a:ext cx="52123" cy="210026"/>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1531619</wp:posOffset>
            </wp:positionH>
            <wp:positionV relativeFrom="paragraph">
              <wp:posOffset>-748946</wp:posOffset>
            </wp:positionV>
            <wp:extent cx="52123" cy="210026"/>
            <wp:effectExtent l="0" t="0" r="0" b="0"/>
            <wp:wrapNone/>
            <wp:docPr id="47" name="image13.png" descr=""/>
            <wp:cNvGraphicFramePr>
              <a:graphicFrameLocks noChangeAspect="1"/>
            </wp:cNvGraphicFramePr>
            <a:graphic>
              <a:graphicData uri="http://schemas.openxmlformats.org/drawingml/2006/picture">
                <pic:pic>
                  <pic:nvPicPr>
                    <pic:cNvPr id="48" name="image13.png"/>
                    <pic:cNvPicPr/>
                  </pic:nvPicPr>
                  <pic:blipFill>
                    <a:blip r:embed="rId17" cstate="print"/>
                    <a:stretch>
                      <a:fillRect/>
                    </a:stretch>
                  </pic:blipFill>
                  <pic:spPr>
                    <a:xfrm>
                      <a:off x="0" y="0"/>
                      <a:ext cx="52123" cy="210026"/>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1531619</wp:posOffset>
            </wp:positionH>
            <wp:positionV relativeFrom="paragraph">
              <wp:posOffset>-381662</wp:posOffset>
            </wp:positionV>
            <wp:extent cx="52123" cy="210026"/>
            <wp:effectExtent l="0" t="0" r="0" b="0"/>
            <wp:wrapNone/>
            <wp:docPr id="49" name="image13.png" descr=""/>
            <wp:cNvGraphicFramePr>
              <a:graphicFrameLocks noChangeAspect="1"/>
            </wp:cNvGraphicFramePr>
            <a:graphic>
              <a:graphicData uri="http://schemas.openxmlformats.org/drawingml/2006/picture">
                <pic:pic>
                  <pic:nvPicPr>
                    <pic:cNvPr id="50" name="image13.png"/>
                    <pic:cNvPicPr/>
                  </pic:nvPicPr>
                  <pic:blipFill>
                    <a:blip r:embed="rId17" cstate="print"/>
                    <a:stretch>
                      <a:fillRect/>
                    </a:stretch>
                  </pic:blipFill>
                  <pic:spPr>
                    <a:xfrm>
                      <a:off x="0" y="0"/>
                      <a:ext cx="52123" cy="210026"/>
                    </a:xfrm>
                    <a:prstGeom prst="rect">
                      <a:avLst/>
                    </a:prstGeom>
                  </pic:spPr>
                </pic:pic>
              </a:graphicData>
            </a:graphic>
          </wp:anchor>
        </w:drawing>
      </w:r>
      <w:r>
        <w:rPr>
          <w:color w:val="202020"/>
          <w:sz w:val="22"/>
        </w:rPr>
        <w:t>FUENTE: Expediente electrónico, archivo ISSEMyM.</w:t>
      </w:r>
    </w:p>
    <w:p>
      <w:pPr>
        <w:pStyle w:val="BodyText"/>
        <w:rPr>
          <w:sz w:val="22"/>
        </w:rPr>
      </w:pPr>
    </w:p>
    <w:p>
      <w:pPr>
        <w:pStyle w:val="BodyText"/>
        <w:rPr>
          <w:sz w:val="22"/>
        </w:rPr>
      </w:pPr>
    </w:p>
    <w:p>
      <w:pPr>
        <w:pStyle w:val="BodyText"/>
        <w:rPr>
          <w:sz w:val="22"/>
        </w:rPr>
      </w:pPr>
    </w:p>
    <w:p>
      <w:pPr>
        <w:pStyle w:val="BodyText"/>
        <w:spacing w:line="362" w:lineRule="auto" w:before="186"/>
        <w:ind w:left="117" w:right="167" w:hanging="10"/>
        <w:jc w:val="both"/>
      </w:pPr>
      <w:r>
        <w:rPr/>
        <w:t>La evaluación del índice volumen total ovárico-estroma puede diferenciar entre síndrome</w:t>
      </w:r>
      <w:r>
        <w:rPr>
          <w:spacing w:val="-7"/>
        </w:rPr>
        <w:t> </w:t>
      </w:r>
      <w:r>
        <w:rPr/>
        <w:t>de</w:t>
      </w:r>
      <w:r>
        <w:rPr>
          <w:spacing w:val="-7"/>
        </w:rPr>
        <w:t> </w:t>
      </w:r>
      <w:r>
        <w:rPr/>
        <w:t>ovario</w:t>
      </w:r>
      <w:r>
        <w:rPr>
          <w:spacing w:val="-5"/>
        </w:rPr>
        <w:t> </w:t>
      </w:r>
      <w:r>
        <w:rPr/>
        <w:t>poliquístico</w:t>
      </w:r>
      <w:r>
        <w:rPr>
          <w:spacing w:val="-5"/>
        </w:rPr>
        <w:t> </w:t>
      </w:r>
      <w:r>
        <w:rPr/>
        <w:t>y</w:t>
      </w:r>
      <w:r>
        <w:rPr>
          <w:spacing w:val="-8"/>
        </w:rPr>
        <w:t> </w:t>
      </w:r>
      <w:r>
        <w:rPr/>
        <w:t>ovario</w:t>
      </w:r>
      <w:r>
        <w:rPr>
          <w:spacing w:val="-5"/>
        </w:rPr>
        <w:t> </w:t>
      </w:r>
      <w:r>
        <w:rPr/>
        <w:t>multifolicular</w:t>
      </w:r>
      <w:r>
        <w:rPr>
          <w:spacing w:val="-6"/>
        </w:rPr>
        <w:t> </w:t>
      </w:r>
      <w:r>
        <w:rPr/>
        <w:t>con</w:t>
      </w:r>
      <w:r>
        <w:rPr>
          <w:spacing w:val="-7"/>
        </w:rPr>
        <w:t> </w:t>
      </w:r>
      <w:r>
        <w:rPr/>
        <w:t>una</w:t>
      </w:r>
      <w:r>
        <w:rPr>
          <w:spacing w:val="-7"/>
        </w:rPr>
        <w:t> </w:t>
      </w:r>
      <w:r>
        <w:rPr/>
        <w:t>sensibilidad</w:t>
      </w:r>
      <w:r>
        <w:rPr>
          <w:spacing w:val="-5"/>
        </w:rPr>
        <w:t> </w:t>
      </w:r>
      <w:r>
        <w:rPr/>
        <w:t>de</w:t>
      </w:r>
      <w:r>
        <w:rPr>
          <w:spacing w:val="-7"/>
        </w:rPr>
        <w:t> </w:t>
      </w:r>
      <w:r>
        <w:rPr/>
        <w:t>100% y</w:t>
      </w:r>
      <w:r>
        <w:rPr>
          <w:spacing w:val="-13"/>
        </w:rPr>
        <w:t> </w:t>
      </w:r>
      <w:r>
        <w:rPr/>
        <w:t>especificidad</w:t>
      </w:r>
      <w:r>
        <w:rPr>
          <w:spacing w:val="-12"/>
        </w:rPr>
        <w:t> </w:t>
      </w:r>
      <w:r>
        <w:rPr/>
        <w:t>del</w:t>
      </w:r>
      <w:r>
        <w:rPr>
          <w:spacing w:val="-13"/>
        </w:rPr>
        <w:t> </w:t>
      </w:r>
      <w:r>
        <w:rPr/>
        <w:t>100%.</w:t>
      </w:r>
      <w:r>
        <w:rPr>
          <w:spacing w:val="-9"/>
        </w:rPr>
        <w:t> </w:t>
      </w:r>
      <w:r>
        <w:rPr/>
        <w:t>Este</w:t>
      </w:r>
      <w:r>
        <w:rPr>
          <w:spacing w:val="-12"/>
        </w:rPr>
        <w:t> </w:t>
      </w:r>
      <w:r>
        <w:rPr/>
        <w:t>parámetro</w:t>
      </w:r>
      <w:r>
        <w:rPr>
          <w:spacing w:val="-12"/>
        </w:rPr>
        <w:t> </w:t>
      </w:r>
      <w:r>
        <w:rPr/>
        <w:t>ecográfico</w:t>
      </w:r>
      <w:r>
        <w:rPr>
          <w:spacing w:val="-12"/>
        </w:rPr>
        <w:t> </w:t>
      </w:r>
      <w:r>
        <w:rPr/>
        <w:t>está</w:t>
      </w:r>
      <w:r>
        <w:rPr>
          <w:spacing w:val="-11"/>
        </w:rPr>
        <w:t> </w:t>
      </w:r>
      <w:r>
        <w:rPr/>
        <w:t>estrictamente</w:t>
      </w:r>
      <w:r>
        <w:rPr>
          <w:spacing w:val="-11"/>
        </w:rPr>
        <w:t> </w:t>
      </w:r>
      <w:r>
        <w:rPr/>
        <w:t>relacionado con estado hormonal y características</w:t>
      </w:r>
      <w:r>
        <w:rPr>
          <w:spacing w:val="-13"/>
        </w:rPr>
        <w:t> </w:t>
      </w:r>
      <w:r>
        <w:rPr/>
        <w:t>antropométricas</w:t>
      </w:r>
      <w:r>
        <w:rPr>
          <w:position w:val="8"/>
          <w:sz w:val="16"/>
        </w:rPr>
        <w:t>16</w:t>
      </w:r>
      <w:r>
        <w:rPr/>
        <w:t>.</w:t>
      </w:r>
    </w:p>
    <w:p>
      <w:pPr>
        <w:spacing w:before="193"/>
        <w:ind w:left="107" w:right="0" w:firstLine="0"/>
        <w:jc w:val="both"/>
        <w:rPr>
          <w:i/>
          <w:sz w:val="24"/>
        </w:rPr>
      </w:pPr>
      <w:r>
        <w:rPr>
          <w:i/>
          <w:sz w:val="24"/>
        </w:rPr>
        <w:t>Valoración de la ecogenicidad del estroma.</w:t>
      </w:r>
    </w:p>
    <w:p>
      <w:pPr>
        <w:pStyle w:val="BodyText"/>
        <w:spacing w:before="9"/>
        <w:rPr>
          <w:i/>
          <w:sz w:val="29"/>
        </w:rPr>
      </w:pPr>
    </w:p>
    <w:p>
      <w:pPr>
        <w:pStyle w:val="BodyText"/>
        <w:spacing w:line="429" w:lineRule="auto"/>
        <w:ind w:left="117" w:right="176" w:hanging="10"/>
        <w:jc w:val="both"/>
      </w:pPr>
      <w:r>
        <w:rPr/>
        <w:t>La ecogenicidad del estroma es evaluada en comparación con el miometrio, especialmente si el ovario y el útero tienen la misma profundidad y plano; normalmente el estroma ovárico es más hipoecoico e isoecoico al miometrio</w:t>
      </w:r>
      <w:r>
        <w:rPr>
          <w:position w:val="8"/>
          <w:sz w:val="16"/>
        </w:rPr>
        <w:t>19</w:t>
      </w:r>
      <w:r>
        <w:rPr/>
        <w:t>.</w:t>
      </w:r>
    </w:p>
    <w:p>
      <w:pPr>
        <w:pStyle w:val="BodyText"/>
        <w:spacing w:line="364" w:lineRule="auto" w:before="130"/>
        <w:ind w:left="117" w:right="169" w:hanging="10"/>
        <w:jc w:val="both"/>
      </w:pPr>
      <w:r>
        <w:rPr/>
        <w:t>El aumento de la ecogenicidad del estroma corresponde a un hallazgo histológico de</w:t>
      </w:r>
      <w:r>
        <w:rPr>
          <w:spacing w:val="-7"/>
        </w:rPr>
        <w:t> </w:t>
      </w:r>
      <w:r>
        <w:rPr/>
        <w:t>hiperplasia</w:t>
      </w:r>
      <w:r>
        <w:rPr>
          <w:spacing w:val="-10"/>
        </w:rPr>
        <w:t> </w:t>
      </w:r>
      <w:r>
        <w:rPr/>
        <w:t>de</w:t>
      </w:r>
      <w:r>
        <w:rPr>
          <w:spacing w:val="-9"/>
        </w:rPr>
        <w:t> </w:t>
      </w:r>
      <w:r>
        <w:rPr/>
        <w:t>las</w:t>
      </w:r>
      <w:r>
        <w:rPr>
          <w:spacing w:val="-7"/>
        </w:rPr>
        <w:t> </w:t>
      </w:r>
      <w:r>
        <w:rPr/>
        <w:t>células</w:t>
      </w:r>
      <w:r>
        <w:rPr>
          <w:spacing w:val="-8"/>
        </w:rPr>
        <w:t> </w:t>
      </w:r>
      <w:r>
        <w:rPr/>
        <w:t>de</w:t>
      </w:r>
      <w:r>
        <w:rPr>
          <w:spacing w:val="-7"/>
        </w:rPr>
        <w:t> </w:t>
      </w:r>
      <w:r>
        <w:rPr/>
        <w:t>la</w:t>
      </w:r>
      <w:r>
        <w:rPr>
          <w:spacing w:val="-10"/>
        </w:rPr>
        <w:t> </w:t>
      </w:r>
      <w:r>
        <w:rPr/>
        <w:t>teca</w:t>
      </w:r>
      <w:r>
        <w:rPr>
          <w:spacing w:val="-7"/>
        </w:rPr>
        <w:t> </w:t>
      </w:r>
      <w:r>
        <w:rPr/>
        <w:t>ovárica.</w:t>
      </w:r>
      <w:r>
        <w:rPr>
          <w:spacing w:val="-7"/>
        </w:rPr>
        <w:t> </w:t>
      </w:r>
      <w:r>
        <w:rPr/>
        <w:t>Proporcionalmente</w:t>
      </w:r>
      <w:r>
        <w:rPr>
          <w:spacing w:val="-11"/>
        </w:rPr>
        <w:t> </w:t>
      </w:r>
      <w:r>
        <w:rPr/>
        <w:t>entre</w:t>
      </w:r>
      <w:r>
        <w:rPr>
          <w:spacing w:val="-10"/>
        </w:rPr>
        <w:t> </w:t>
      </w:r>
      <w:r>
        <w:rPr/>
        <w:t>el</w:t>
      </w:r>
      <w:r>
        <w:rPr>
          <w:spacing w:val="-8"/>
        </w:rPr>
        <w:t> </w:t>
      </w:r>
      <w:r>
        <w:rPr/>
        <w:t>estroma y</w:t>
      </w:r>
      <w:r>
        <w:rPr>
          <w:spacing w:val="-13"/>
        </w:rPr>
        <w:t> </w:t>
      </w:r>
      <w:r>
        <w:rPr/>
        <w:t>la</w:t>
      </w:r>
      <w:r>
        <w:rPr>
          <w:spacing w:val="-10"/>
        </w:rPr>
        <w:t> </w:t>
      </w:r>
      <w:r>
        <w:rPr/>
        <w:t>superficie</w:t>
      </w:r>
      <w:r>
        <w:rPr>
          <w:spacing w:val="-12"/>
        </w:rPr>
        <w:t> </w:t>
      </w:r>
      <w:r>
        <w:rPr/>
        <w:t>ovárica</w:t>
      </w:r>
      <w:r>
        <w:rPr>
          <w:spacing w:val="-9"/>
        </w:rPr>
        <w:t> </w:t>
      </w:r>
      <w:r>
        <w:rPr/>
        <w:t>en</w:t>
      </w:r>
      <w:r>
        <w:rPr>
          <w:spacing w:val="-9"/>
        </w:rPr>
        <w:t> </w:t>
      </w:r>
      <w:r>
        <w:rPr/>
        <w:t>la</w:t>
      </w:r>
      <w:r>
        <w:rPr>
          <w:spacing w:val="-12"/>
        </w:rPr>
        <w:t> </w:t>
      </w:r>
      <w:r>
        <w:rPr/>
        <w:t>superficie</w:t>
      </w:r>
      <w:r>
        <w:rPr>
          <w:spacing w:val="-12"/>
        </w:rPr>
        <w:t> </w:t>
      </w:r>
      <w:r>
        <w:rPr/>
        <w:t>media</w:t>
      </w:r>
      <w:r>
        <w:rPr>
          <w:spacing w:val="-12"/>
        </w:rPr>
        <w:t> </w:t>
      </w:r>
      <w:r>
        <w:rPr/>
        <w:t>ha</w:t>
      </w:r>
      <w:r>
        <w:rPr>
          <w:spacing w:val="-9"/>
        </w:rPr>
        <w:t> </w:t>
      </w:r>
      <w:r>
        <w:rPr/>
        <w:t>indicado</w:t>
      </w:r>
      <w:r>
        <w:rPr>
          <w:spacing w:val="-4"/>
        </w:rPr>
        <w:t> </w:t>
      </w:r>
      <w:r>
        <w:rPr/>
        <w:t>un</w:t>
      </w:r>
      <w:r>
        <w:rPr>
          <w:spacing w:val="-12"/>
        </w:rPr>
        <w:t> </w:t>
      </w:r>
      <w:r>
        <w:rPr/>
        <w:t>marcador</w:t>
      </w:r>
      <w:r>
        <w:rPr>
          <w:spacing w:val="-11"/>
        </w:rPr>
        <w:t> </w:t>
      </w:r>
      <w:r>
        <w:rPr/>
        <w:t>importante</w:t>
      </w:r>
      <w:r>
        <w:rPr>
          <w:spacing w:val="-11"/>
        </w:rPr>
        <w:t> </w:t>
      </w:r>
      <w:r>
        <w:rPr/>
        <w:t>de hiperadrogenismo y se correlaciona con la disfunción ovárica</w:t>
      </w:r>
      <w:r>
        <w:rPr>
          <w:spacing w:val="-22"/>
        </w:rPr>
        <w:t> </w:t>
      </w:r>
      <w:r>
        <w:rPr/>
        <w:t>androgénica.</w:t>
      </w:r>
    </w:p>
    <w:p>
      <w:pPr>
        <w:pStyle w:val="BodyText"/>
        <w:spacing w:line="364" w:lineRule="auto" w:before="199"/>
        <w:ind w:left="117" w:right="167" w:hanging="10"/>
        <w:jc w:val="both"/>
      </w:pPr>
      <w:r>
        <w:rPr/>
        <w:t>Existe suficiente evidencia que apoya la correlación positiva entre los hallazgos ecográficos</w:t>
      </w:r>
      <w:r>
        <w:rPr>
          <w:spacing w:val="-16"/>
        </w:rPr>
        <w:t> </w:t>
      </w:r>
      <w:r>
        <w:rPr/>
        <w:t>y</w:t>
      </w:r>
      <w:r>
        <w:rPr>
          <w:spacing w:val="-19"/>
        </w:rPr>
        <w:t> </w:t>
      </w:r>
      <w:r>
        <w:rPr/>
        <w:t>los</w:t>
      </w:r>
      <w:r>
        <w:rPr>
          <w:spacing w:val="-16"/>
        </w:rPr>
        <w:t> </w:t>
      </w:r>
      <w:r>
        <w:rPr/>
        <w:t>índices</w:t>
      </w:r>
      <w:r>
        <w:rPr>
          <w:spacing w:val="-16"/>
        </w:rPr>
        <w:t> </w:t>
      </w:r>
      <w:r>
        <w:rPr/>
        <w:t>bioquímicos</w:t>
      </w:r>
      <w:r>
        <w:rPr>
          <w:spacing w:val="-16"/>
        </w:rPr>
        <w:t> </w:t>
      </w:r>
      <w:r>
        <w:rPr/>
        <w:t>de</w:t>
      </w:r>
      <w:r>
        <w:rPr>
          <w:spacing w:val="-18"/>
        </w:rPr>
        <w:t> </w:t>
      </w:r>
      <w:r>
        <w:rPr/>
        <w:t>SOP</w:t>
      </w:r>
      <w:r>
        <w:rPr>
          <w:spacing w:val="-18"/>
        </w:rPr>
        <w:t> </w:t>
      </w:r>
      <w:r>
        <w:rPr/>
        <w:t>que</w:t>
      </w:r>
      <w:r>
        <w:rPr>
          <w:spacing w:val="-16"/>
        </w:rPr>
        <w:t> </w:t>
      </w:r>
      <w:r>
        <w:rPr/>
        <w:t>sugieren</w:t>
      </w:r>
      <w:r>
        <w:rPr>
          <w:spacing w:val="-16"/>
        </w:rPr>
        <w:t> </w:t>
      </w:r>
      <w:r>
        <w:rPr/>
        <w:t>que</w:t>
      </w:r>
      <w:r>
        <w:rPr>
          <w:spacing w:val="-16"/>
        </w:rPr>
        <w:t> </w:t>
      </w:r>
      <w:r>
        <w:rPr/>
        <w:t>el</w:t>
      </w:r>
      <w:r>
        <w:rPr>
          <w:spacing w:val="-17"/>
        </w:rPr>
        <w:t> </w:t>
      </w:r>
      <w:r>
        <w:rPr/>
        <w:t>ultrasonido</w:t>
      </w:r>
      <w:r>
        <w:rPr>
          <w:spacing w:val="-16"/>
        </w:rPr>
        <w:t> </w:t>
      </w:r>
      <w:r>
        <w:rPr/>
        <w:t>puede jugar un papel predictivo el pronóstico y</w:t>
      </w:r>
      <w:r>
        <w:rPr>
          <w:spacing w:val="-20"/>
        </w:rPr>
        <w:t> </w:t>
      </w:r>
      <w:r>
        <w:rPr/>
        <w:t>severidad.</w:t>
      </w:r>
    </w:p>
    <w:p>
      <w:pPr>
        <w:spacing w:after="0" w:line="364" w:lineRule="auto"/>
        <w:jc w:val="both"/>
        <w:sectPr>
          <w:pgSz w:w="12240" w:h="15840"/>
          <w:pgMar w:top="1200" w:bottom="280" w:left="1580" w:right="1520"/>
        </w:sectPr>
      </w:pPr>
    </w:p>
    <w:p>
      <w:pPr>
        <w:pStyle w:val="BodyText"/>
        <w:spacing w:line="362" w:lineRule="auto" w:before="43"/>
        <w:ind w:left="117" w:right="337" w:hanging="10"/>
        <w:jc w:val="both"/>
      </w:pPr>
      <w:r>
        <w:rPr/>
        <w:t>Se propone la clasificación de la ecogenicidad del estroma de la siguiente forma (</w:t>
      </w:r>
      <w:r>
        <w:rPr>
          <w:b/>
          <w:i/>
          <w:sz w:val="22"/>
        </w:rPr>
        <w:t>Figura 7)</w:t>
      </w:r>
      <w:r>
        <w:rPr/>
        <w:t>:</w:t>
      </w:r>
    </w:p>
    <w:p>
      <w:pPr>
        <w:pStyle w:val="ListParagraph"/>
        <w:numPr>
          <w:ilvl w:val="1"/>
          <w:numId w:val="3"/>
        </w:numPr>
        <w:tabs>
          <w:tab w:pos="842" w:val="left" w:leader="none"/>
        </w:tabs>
        <w:spacing w:line="240" w:lineRule="auto" w:before="201" w:after="0"/>
        <w:ind w:left="842" w:right="0" w:hanging="360"/>
        <w:jc w:val="left"/>
        <w:rPr>
          <w:sz w:val="24"/>
        </w:rPr>
      </w:pPr>
      <w:r>
        <w:rPr>
          <w:sz w:val="24"/>
        </w:rPr>
        <w:t>Normal</w:t>
      </w:r>
    </w:p>
    <w:p>
      <w:pPr>
        <w:pStyle w:val="BodyText"/>
        <w:spacing w:before="2"/>
        <w:rPr>
          <w:sz w:val="29"/>
        </w:rPr>
      </w:pPr>
    </w:p>
    <w:p>
      <w:pPr>
        <w:pStyle w:val="ListParagraph"/>
        <w:numPr>
          <w:ilvl w:val="1"/>
          <w:numId w:val="3"/>
        </w:numPr>
        <w:tabs>
          <w:tab w:pos="842" w:val="left" w:leader="none"/>
        </w:tabs>
        <w:spacing w:line="240" w:lineRule="auto" w:before="0" w:after="0"/>
        <w:ind w:left="842" w:right="0" w:hanging="360"/>
        <w:jc w:val="left"/>
        <w:rPr>
          <w:sz w:val="24"/>
        </w:rPr>
      </w:pPr>
      <w:r>
        <w:rPr>
          <w:sz w:val="24"/>
        </w:rPr>
        <w:t>Moderadamente</w:t>
      </w:r>
      <w:r>
        <w:rPr>
          <w:spacing w:val="-12"/>
          <w:sz w:val="24"/>
        </w:rPr>
        <w:t> </w:t>
      </w:r>
      <w:r>
        <w:rPr>
          <w:sz w:val="24"/>
        </w:rPr>
        <w:t>incrementada</w:t>
      </w:r>
    </w:p>
    <w:p>
      <w:pPr>
        <w:pStyle w:val="BodyText"/>
        <w:spacing w:before="4"/>
        <w:rPr>
          <w:sz w:val="29"/>
        </w:rPr>
      </w:pPr>
    </w:p>
    <w:p>
      <w:pPr>
        <w:pStyle w:val="ListParagraph"/>
        <w:numPr>
          <w:ilvl w:val="1"/>
          <w:numId w:val="3"/>
        </w:numPr>
        <w:tabs>
          <w:tab w:pos="842" w:val="left" w:leader="none"/>
        </w:tabs>
        <w:spacing w:line="240" w:lineRule="auto" w:before="1" w:after="0"/>
        <w:ind w:left="842" w:right="0" w:hanging="360"/>
        <w:jc w:val="left"/>
        <w:rPr>
          <w:sz w:val="24"/>
        </w:rPr>
      </w:pPr>
      <w:r>
        <w:rPr>
          <w:sz w:val="24"/>
        </w:rPr>
        <w:t>Francamente incrementada con respecto a</w:t>
      </w:r>
      <w:r>
        <w:rPr>
          <w:spacing w:val="-16"/>
          <w:sz w:val="24"/>
        </w:rPr>
        <w:t> </w:t>
      </w:r>
      <w:r>
        <w:rPr>
          <w:sz w:val="24"/>
        </w:rPr>
        <w:t>miometrio</w:t>
      </w:r>
    </w:p>
    <w:p>
      <w:pPr>
        <w:pStyle w:val="BodyText"/>
        <w:spacing w:before="4"/>
        <w:rPr>
          <w:sz w:val="29"/>
        </w:rPr>
      </w:pPr>
    </w:p>
    <w:p>
      <w:pPr>
        <w:pStyle w:val="BodyText"/>
        <w:spacing w:line="475" w:lineRule="auto" w:before="1"/>
        <w:ind w:left="117" w:right="334" w:hanging="10"/>
        <w:jc w:val="both"/>
      </w:pPr>
      <w:r>
        <w:rPr/>
        <w:t>Aquellos que han tenido larga evolución de SOP y anovulación tienen mayor densidad estromal</w:t>
      </w:r>
      <w:r>
        <w:rPr>
          <w:position w:val="8"/>
          <w:sz w:val="16"/>
        </w:rPr>
        <w:t>8</w:t>
      </w:r>
      <w:r>
        <w:rPr/>
        <w:t>.</w:t>
      </w:r>
    </w:p>
    <w:p>
      <w:pPr>
        <w:spacing w:line="343" w:lineRule="auto" w:before="82"/>
        <w:ind w:left="122" w:right="0" w:firstLine="0"/>
        <w:jc w:val="left"/>
        <w:rPr>
          <w:sz w:val="22"/>
        </w:rPr>
      </w:pPr>
      <w:r>
        <w:rPr/>
        <w:drawing>
          <wp:anchor distT="0" distB="0" distL="0" distR="0" allowOverlap="1" layoutInCell="1" locked="0" behindDoc="0" simplePos="0" relativeHeight="1768">
            <wp:simplePos x="0" y="0"/>
            <wp:positionH relativeFrom="page">
              <wp:posOffset>1080516</wp:posOffset>
            </wp:positionH>
            <wp:positionV relativeFrom="paragraph">
              <wp:posOffset>513180</wp:posOffset>
            </wp:positionV>
            <wp:extent cx="51434" cy="205739"/>
            <wp:effectExtent l="0" t="0" r="0" b="0"/>
            <wp:wrapNone/>
            <wp:docPr id="51" name="image13.png" descr=""/>
            <wp:cNvGraphicFramePr>
              <a:graphicFrameLocks noChangeAspect="1"/>
            </wp:cNvGraphicFramePr>
            <a:graphic>
              <a:graphicData uri="http://schemas.openxmlformats.org/drawingml/2006/picture">
                <pic:pic>
                  <pic:nvPicPr>
                    <pic:cNvPr id="52" name="image13.png"/>
                    <pic:cNvPicPr/>
                  </pic:nvPicPr>
                  <pic:blipFill>
                    <a:blip r:embed="rId17" cstate="print"/>
                    <a:stretch>
                      <a:fillRect/>
                    </a:stretch>
                  </pic:blipFill>
                  <pic:spPr>
                    <a:xfrm>
                      <a:off x="0" y="0"/>
                      <a:ext cx="51434" cy="205739"/>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1080516</wp:posOffset>
            </wp:positionH>
            <wp:positionV relativeFrom="paragraph">
              <wp:posOffset>880464</wp:posOffset>
            </wp:positionV>
            <wp:extent cx="51434" cy="205739"/>
            <wp:effectExtent l="0" t="0" r="0" b="0"/>
            <wp:wrapNone/>
            <wp:docPr id="53" name="image13.png" descr=""/>
            <wp:cNvGraphicFramePr>
              <a:graphicFrameLocks noChangeAspect="1"/>
            </wp:cNvGraphicFramePr>
            <a:graphic>
              <a:graphicData uri="http://schemas.openxmlformats.org/drawingml/2006/picture">
                <pic:pic>
                  <pic:nvPicPr>
                    <pic:cNvPr id="54" name="image13.png"/>
                    <pic:cNvPicPr/>
                  </pic:nvPicPr>
                  <pic:blipFill>
                    <a:blip r:embed="rId17" cstate="print"/>
                    <a:stretch>
                      <a:fillRect/>
                    </a:stretch>
                  </pic:blipFill>
                  <pic:spPr>
                    <a:xfrm>
                      <a:off x="0" y="0"/>
                      <a:ext cx="51434" cy="205739"/>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1080516</wp:posOffset>
            </wp:positionH>
            <wp:positionV relativeFrom="paragraph">
              <wp:posOffset>1249272</wp:posOffset>
            </wp:positionV>
            <wp:extent cx="52123" cy="210026"/>
            <wp:effectExtent l="0" t="0" r="0" b="0"/>
            <wp:wrapNone/>
            <wp:docPr id="55" name="image13.png" descr=""/>
            <wp:cNvGraphicFramePr>
              <a:graphicFrameLocks noChangeAspect="1"/>
            </wp:cNvGraphicFramePr>
            <a:graphic>
              <a:graphicData uri="http://schemas.openxmlformats.org/drawingml/2006/picture">
                <pic:pic>
                  <pic:nvPicPr>
                    <pic:cNvPr id="56" name="image13.png"/>
                    <pic:cNvPicPr/>
                  </pic:nvPicPr>
                  <pic:blipFill>
                    <a:blip r:embed="rId17" cstate="print"/>
                    <a:stretch>
                      <a:fillRect/>
                    </a:stretch>
                  </pic:blipFill>
                  <pic:spPr>
                    <a:xfrm>
                      <a:off x="0" y="0"/>
                      <a:ext cx="52123" cy="210026"/>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1437132</wp:posOffset>
            </wp:positionH>
            <wp:positionV relativeFrom="paragraph">
              <wp:posOffset>1616556</wp:posOffset>
            </wp:positionV>
            <wp:extent cx="51434" cy="205739"/>
            <wp:effectExtent l="0" t="0" r="0" b="0"/>
            <wp:wrapNone/>
            <wp:docPr id="57" name="image13.png" descr=""/>
            <wp:cNvGraphicFramePr>
              <a:graphicFrameLocks noChangeAspect="1"/>
            </wp:cNvGraphicFramePr>
            <a:graphic>
              <a:graphicData uri="http://schemas.openxmlformats.org/drawingml/2006/picture">
                <pic:pic>
                  <pic:nvPicPr>
                    <pic:cNvPr id="58" name="image13.png"/>
                    <pic:cNvPicPr/>
                  </pic:nvPicPr>
                  <pic:blipFill>
                    <a:blip r:embed="rId17" cstate="print"/>
                    <a:stretch>
                      <a:fillRect/>
                    </a:stretch>
                  </pic:blipFill>
                  <pic:spPr>
                    <a:xfrm>
                      <a:off x="0" y="0"/>
                      <a:ext cx="51434" cy="205739"/>
                    </a:xfrm>
                    <a:prstGeom prst="rect">
                      <a:avLst/>
                    </a:prstGeom>
                  </pic:spPr>
                </pic:pic>
              </a:graphicData>
            </a:graphic>
          </wp:anchor>
        </w:drawing>
      </w:r>
      <w:r>
        <w:rPr/>
        <w:pict>
          <v:group style="position:absolute;margin-left:149.039993pt;margin-top:40.527889pt;width:356.2pt;height:190.35pt;mso-position-horizontal-relative:page;mso-position-vertical-relative:paragraph;z-index:1936" coordorigin="2981,811" coordsize="7124,3807">
            <v:shape style="position:absolute;left:2981;top:811;width:7123;height:3806" type="#_x0000_t75" stroked="false">
              <v:imagedata r:id="rId20" o:title=""/>
            </v:shape>
            <v:rect style="position:absolute;left:3066;top:853;width:6962;height:3650" filled="false" stroked="true" strokeweight="2.04pt" strokecolor="#000000"/>
            <v:shape style="position:absolute;left:3149;top:991;width:6713;height:3418" type="#_x0000_t75" stroked="false">
              <v:imagedata r:id="rId21" o:title=""/>
            </v:shape>
            <v:shape style="position:absolute;left:3185;top:981;width:2923;height:1111" type="#_x0000_t75" stroked="false">
              <v:imagedata r:id="rId22" o:title=""/>
            </v:shape>
            <w10:wrap type="none"/>
          </v:group>
        </w:pict>
      </w:r>
      <w:r>
        <w:rPr>
          <w:b/>
          <w:i/>
          <w:sz w:val="22"/>
        </w:rPr>
        <w:t>Figura 7. </w:t>
      </w:r>
      <w:r>
        <w:rPr>
          <w:color w:val="202020"/>
          <w:sz w:val="22"/>
        </w:rPr>
        <w:t>Imagen que compara la ecogenicidad del estroma ovárico con la del miometrio del útero.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pPr>
    </w:p>
    <w:p>
      <w:pPr>
        <w:spacing w:before="0"/>
        <w:ind w:left="1960" w:right="0" w:firstLine="0"/>
        <w:jc w:val="left"/>
        <w:rPr>
          <w:sz w:val="22"/>
        </w:rPr>
      </w:pPr>
      <w:r>
        <w:rPr/>
        <w:drawing>
          <wp:anchor distT="0" distB="0" distL="0" distR="0" allowOverlap="1" layoutInCell="1" locked="0" behindDoc="0" simplePos="0" relativeHeight="1864">
            <wp:simplePos x="0" y="0"/>
            <wp:positionH relativeFrom="page">
              <wp:posOffset>1437132</wp:posOffset>
            </wp:positionH>
            <wp:positionV relativeFrom="paragraph">
              <wp:posOffset>-1116483</wp:posOffset>
            </wp:positionV>
            <wp:extent cx="51434" cy="205739"/>
            <wp:effectExtent l="0" t="0" r="0" b="0"/>
            <wp:wrapNone/>
            <wp:docPr id="59" name="image13.png" descr=""/>
            <wp:cNvGraphicFramePr>
              <a:graphicFrameLocks noChangeAspect="1"/>
            </wp:cNvGraphicFramePr>
            <a:graphic>
              <a:graphicData uri="http://schemas.openxmlformats.org/drawingml/2006/picture">
                <pic:pic>
                  <pic:nvPicPr>
                    <pic:cNvPr id="60" name="image13.png"/>
                    <pic:cNvPicPr/>
                  </pic:nvPicPr>
                  <pic:blipFill>
                    <a:blip r:embed="rId17" cstate="print"/>
                    <a:stretch>
                      <a:fillRect/>
                    </a:stretch>
                  </pic:blipFill>
                  <pic:spPr>
                    <a:xfrm>
                      <a:off x="0" y="0"/>
                      <a:ext cx="51434" cy="205739"/>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1437132</wp:posOffset>
            </wp:positionH>
            <wp:positionV relativeFrom="paragraph">
              <wp:posOffset>-749200</wp:posOffset>
            </wp:positionV>
            <wp:extent cx="51434" cy="205739"/>
            <wp:effectExtent l="0" t="0" r="0" b="0"/>
            <wp:wrapNone/>
            <wp:docPr id="61" name="image13.png" descr=""/>
            <wp:cNvGraphicFramePr>
              <a:graphicFrameLocks noChangeAspect="1"/>
            </wp:cNvGraphicFramePr>
            <a:graphic>
              <a:graphicData uri="http://schemas.openxmlformats.org/drawingml/2006/picture">
                <pic:pic>
                  <pic:nvPicPr>
                    <pic:cNvPr id="62" name="image13.png"/>
                    <pic:cNvPicPr/>
                  </pic:nvPicPr>
                  <pic:blipFill>
                    <a:blip r:embed="rId17" cstate="print"/>
                    <a:stretch>
                      <a:fillRect/>
                    </a:stretch>
                  </pic:blipFill>
                  <pic:spPr>
                    <a:xfrm>
                      <a:off x="0" y="0"/>
                      <a:ext cx="51434" cy="205739"/>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1437132</wp:posOffset>
            </wp:positionH>
            <wp:positionV relativeFrom="paragraph">
              <wp:posOffset>-380391</wp:posOffset>
            </wp:positionV>
            <wp:extent cx="52123" cy="210026"/>
            <wp:effectExtent l="0" t="0" r="0" b="0"/>
            <wp:wrapNone/>
            <wp:docPr id="63" name="image13.png" descr=""/>
            <wp:cNvGraphicFramePr>
              <a:graphicFrameLocks noChangeAspect="1"/>
            </wp:cNvGraphicFramePr>
            <a:graphic>
              <a:graphicData uri="http://schemas.openxmlformats.org/drawingml/2006/picture">
                <pic:pic>
                  <pic:nvPicPr>
                    <pic:cNvPr id="64" name="image13.png"/>
                    <pic:cNvPicPr/>
                  </pic:nvPicPr>
                  <pic:blipFill>
                    <a:blip r:embed="rId17" cstate="print"/>
                    <a:stretch>
                      <a:fillRect/>
                    </a:stretch>
                  </pic:blipFill>
                  <pic:spPr>
                    <a:xfrm>
                      <a:off x="0" y="0"/>
                      <a:ext cx="52123" cy="210026"/>
                    </a:xfrm>
                    <a:prstGeom prst="rect">
                      <a:avLst/>
                    </a:prstGeom>
                  </pic:spPr>
                </pic:pic>
              </a:graphicData>
            </a:graphic>
          </wp:anchor>
        </w:drawing>
      </w:r>
      <w:r>
        <w:rPr>
          <w:color w:val="202020"/>
          <w:sz w:val="22"/>
        </w:rPr>
        <w:t>FUENTE: Expediente electrónico, archivo ISSEMyM.</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3"/>
        </w:rPr>
      </w:pPr>
    </w:p>
    <w:p>
      <w:pPr>
        <w:spacing w:before="1"/>
        <w:ind w:left="107" w:right="0" w:firstLine="0"/>
        <w:jc w:val="both"/>
        <w:rPr>
          <w:sz w:val="22"/>
        </w:rPr>
      </w:pPr>
      <w:bookmarkStart w:name="_bookmark4" w:id="5"/>
      <w:bookmarkEnd w:id="5"/>
      <w:r>
        <w:rPr/>
      </w:r>
      <w:r>
        <w:rPr>
          <w:color w:val="5A5A5A"/>
          <w:sz w:val="22"/>
        </w:rPr>
        <w:t>PLANTEAMIENTO DEL PROBLEMA</w:t>
      </w:r>
    </w:p>
    <w:p>
      <w:pPr>
        <w:pStyle w:val="BodyText"/>
        <w:rPr>
          <w:sz w:val="22"/>
        </w:rPr>
      </w:pPr>
    </w:p>
    <w:p>
      <w:pPr>
        <w:pStyle w:val="BodyText"/>
        <w:spacing w:before="6"/>
        <w:rPr>
          <w:sz w:val="19"/>
        </w:rPr>
      </w:pPr>
    </w:p>
    <w:p>
      <w:pPr>
        <w:pStyle w:val="BodyText"/>
        <w:spacing w:line="364" w:lineRule="auto"/>
        <w:ind w:left="117" w:right="332" w:hanging="10"/>
        <w:jc w:val="both"/>
      </w:pPr>
      <w:r>
        <w:rPr/>
        <w:t>A</w:t>
      </w:r>
      <w:r>
        <w:rPr>
          <w:spacing w:val="-17"/>
        </w:rPr>
        <w:t> </w:t>
      </w:r>
      <w:r>
        <w:rPr/>
        <w:t>través</w:t>
      </w:r>
      <w:r>
        <w:rPr>
          <w:spacing w:val="-17"/>
        </w:rPr>
        <w:t> </w:t>
      </w:r>
      <w:r>
        <w:rPr/>
        <w:t>de</w:t>
      </w:r>
      <w:r>
        <w:rPr>
          <w:spacing w:val="-17"/>
        </w:rPr>
        <w:t> </w:t>
      </w:r>
      <w:r>
        <w:rPr/>
        <w:t>los</w:t>
      </w:r>
      <w:r>
        <w:rPr>
          <w:spacing w:val="-19"/>
        </w:rPr>
        <w:t> </w:t>
      </w:r>
      <w:r>
        <w:rPr/>
        <w:t>años</w:t>
      </w:r>
      <w:r>
        <w:rPr>
          <w:spacing w:val="-19"/>
        </w:rPr>
        <w:t> </w:t>
      </w:r>
      <w:r>
        <w:rPr/>
        <w:t>el</w:t>
      </w:r>
      <w:r>
        <w:rPr>
          <w:spacing w:val="-19"/>
        </w:rPr>
        <w:t> </w:t>
      </w:r>
      <w:r>
        <w:rPr/>
        <w:t>concepto</w:t>
      </w:r>
      <w:r>
        <w:rPr>
          <w:spacing w:val="-18"/>
        </w:rPr>
        <w:t> </w:t>
      </w:r>
      <w:r>
        <w:rPr/>
        <w:t>de</w:t>
      </w:r>
      <w:r>
        <w:rPr>
          <w:spacing w:val="-19"/>
        </w:rPr>
        <w:t> </w:t>
      </w:r>
      <w:r>
        <w:rPr/>
        <w:t>síndrome</w:t>
      </w:r>
      <w:r>
        <w:rPr>
          <w:spacing w:val="-19"/>
        </w:rPr>
        <w:t> </w:t>
      </w:r>
      <w:r>
        <w:rPr/>
        <w:t>de</w:t>
      </w:r>
      <w:r>
        <w:rPr>
          <w:spacing w:val="-19"/>
        </w:rPr>
        <w:t> </w:t>
      </w:r>
      <w:r>
        <w:rPr/>
        <w:t>ovario</w:t>
      </w:r>
      <w:r>
        <w:rPr>
          <w:spacing w:val="-17"/>
        </w:rPr>
        <w:t> </w:t>
      </w:r>
      <w:r>
        <w:rPr/>
        <w:t>poliquístico</w:t>
      </w:r>
      <w:r>
        <w:rPr>
          <w:spacing w:val="-17"/>
        </w:rPr>
        <w:t> </w:t>
      </w:r>
      <w:r>
        <w:rPr/>
        <w:t>se</w:t>
      </w:r>
      <w:r>
        <w:rPr>
          <w:spacing w:val="-17"/>
        </w:rPr>
        <w:t> </w:t>
      </w:r>
      <w:r>
        <w:rPr/>
        <w:t>ha</w:t>
      </w:r>
      <w:r>
        <w:rPr>
          <w:spacing w:val="-19"/>
        </w:rPr>
        <w:t> </w:t>
      </w:r>
      <w:r>
        <w:rPr/>
        <w:t>modificado gracias a las investigaciones que han dado origen a definiciones más precisas y concisas de los criterios que lo integran. Con el advenimiento de la ecografía y su integración a los criterios ha mejorado el diagnóstico oportuno. La ecografía se ha convertido</w:t>
      </w:r>
      <w:r>
        <w:rPr>
          <w:spacing w:val="-5"/>
        </w:rPr>
        <w:t> </w:t>
      </w:r>
      <w:r>
        <w:rPr/>
        <w:t>en</w:t>
      </w:r>
      <w:r>
        <w:rPr>
          <w:spacing w:val="-7"/>
        </w:rPr>
        <w:t> </w:t>
      </w:r>
      <w:r>
        <w:rPr/>
        <w:t>herramienta</w:t>
      </w:r>
      <w:r>
        <w:rPr>
          <w:spacing w:val="-4"/>
        </w:rPr>
        <w:t> </w:t>
      </w:r>
      <w:r>
        <w:rPr/>
        <w:t>imprescindible,</w:t>
      </w:r>
      <w:r>
        <w:rPr>
          <w:spacing w:val="-5"/>
        </w:rPr>
        <w:t> </w:t>
      </w:r>
      <w:r>
        <w:rPr/>
        <w:t>sin</w:t>
      </w:r>
      <w:r>
        <w:rPr>
          <w:spacing w:val="-7"/>
        </w:rPr>
        <w:t> </w:t>
      </w:r>
      <w:r>
        <w:rPr/>
        <w:t>embargo,</w:t>
      </w:r>
      <w:r>
        <w:rPr>
          <w:spacing w:val="-5"/>
        </w:rPr>
        <w:t> </w:t>
      </w:r>
      <w:r>
        <w:rPr/>
        <w:t>se</w:t>
      </w:r>
      <w:r>
        <w:rPr>
          <w:spacing w:val="-5"/>
        </w:rPr>
        <w:t> </w:t>
      </w:r>
      <w:r>
        <w:rPr/>
        <w:t>ha</w:t>
      </w:r>
      <w:r>
        <w:rPr>
          <w:spacing w:val="-5"/>
        </w:rPr>
        <w:t> </w:t>
      </w:r>
      <w:r>
        <w:rPr/>
        <w:t>visto</w:t>
      </w:r>
      <w:r>
        <w:rPr>
          <w:spacing w:val="-5"/>
        </w:rPr>
        <w:t> </w:t>
      </w:r>
      <w:r>
        <w:rPr/>
        <w:t>que</w:t>
      </w:r>
      <w:r>
        <w:rPr>
          <w:spacing w:val="-5"/>
        </w:rPr>
        <w:t> </w:t>
      </w:r>
      <w:r>
        <w:rPr/>
        <w:t>los</w:t>
      </w:r>
      <w:r>
        <w:rPr>
          <w:spacing w:val="-5"/>
        </w:rPr>
        <w:t> </w:t>
      </w:r>
      <w:r>
        <w:rPr/>
        <w:t>criterios</w:t>
      </w:r>
    </w:p>
    <w:p>
      <w:pPr>
        <w:spacing w:after="0" w:line="364" w:lineRule="auto"/>
        <w:jc w:val="both"/>
        <w:sectPr>
          <w:pgSz w:w="12240" w:h="15840"/>
          <w:pgMar w:top="1220" w:bottom="280" w:left="1580" w:right="1360"/>
        </w:sectPr>
      </w:pPr>
    </w:p>
    <w:p>
      <w:pPr>
        <w:pStyle w:val="BodyText"/>
        <w:spacing w:line="364" w:lineRule="auto" w:before="43"/>
        <w:ind w:left="117" w:right="106"/>
        <w:jc w:val="both"/>
      </w:pPr>
      <w:r>
        <w:rPr/>
        <w:t>ecográficos de Adams han generado sobre diagnóstico y que tienen mayor variabilidad interobservador ya que dependen del cálculo de volumen ovárico en 2 planos y el conteo folicular. Aunado a esto no se ha logrado estandarizar entre radiólogos sí el conteo folicular debería valorarse en un solo plano bidimensional o en rastreo en tiempo real. La integración de reconstrucciones en tercera dimensión a los equipos de ultrasonido permite que los criterios antes mencionados tengan mayor peso, ya que no dependen del observador sino del </w:t>
      </w:r>
      <w:r>
        <w:rPr>
          <w:i/>
        </w:rPr>
        <w:t>software </w:t>
      </w:r>
      <w:r>
        <w:rPr/>
        <w:t>y la reconstrucción pertinente de cada uno de los ovarios. Desafortunadamente esta herramienta no está disponible en todos los centros de salud ya que su coste es elevado.</w:t>
      </w:r>
    </w:p>
    <w:p>
      <w:pPr>
        <w:pStyle w:val="BodyText"/>
        <w:spacing w:line="364" w:lineRule="auto" w:before="199"/>
        <w:ind w:left="117" w:right="110" w:hanging="10"/>
        <w:jc w:val="both"/>
      </w:pPr>
      <w:r>
        <w:rPr/>
        <w:t>A partir de los años 2000 se han llevado a cabo más investigaciones con análisis meticulosos sobre estos criterios y sus variables interobservador, así como el valor diagnóstico</w:t>
      </w:r>
      <w:r>
        <w:rPr>
          <w:spacing w:val="-12"/>
        </w:rPr>
        <w:t> </w:t>
      </w:r>
      <w:r>
        <w:rPr/>
        <w:t>que</w:t>
      </w:r>
      <w:r>
        <w:rPr>
          <w:spacing w:val="-14"/>
        </w:rPr>
        <w:t> </w:t>
      </w:r>
      <w:r>
        <w:rPr/>
        <w:t>ofrecen</w:t>
      </w:r>
      <w:r>
        <w:rPr>
          <w:spacing w:val="-12"/>
        </w:rPr>
        <w:t> </w:t>
      </w:r>
      <w:r>
        <w:rPr/>
        <w:t>las</w:t>
      </w:r>
      <w:r>
        <w:rPr>
          <w:spacing w:val="-12"/>
        </w:rPr>
        <w:t> </w:t>
      </w:r>
      <w:r>
        <w:rPr/>
        <w:t>herramientas</w:t>
      </w:r>
      <w:r>
        <w:rPr>
          <w:spacing w:val="-13"/>
        </w:rPr>
        <w:t> </w:t>
      </w:r>
      <w:r>
        <w:rPr/>
        <w:t>de</w:t>
      </w:r>
      <w:r>
        <w:rPr>
          <w:spacing w:val="-12"/>
        </w:rPr>
        <w:t> </w:t>
      </w:r>
      <w:r>
        <w:rPr/>
        <w:t>reciente</w:t>
      </w:r>
      <w:r>
        <w:rPr>
          <w:spacing w:val="-12"/>
        </w:rPr>
        <w:t> </w:t>
      </w:r>
      <w:r>
        <w:rPr/>
        <w:t>uso</w:t>
      </w:r>
      <w:r>
        <w:rPr>
          <w:spacing w:val="-14"/>
        </w:rPr>
        <w:t> </w:t>
      </w:r>
      <w:r>
        <w:rPr/>
        <w:t>en</w:t>
      </w:r>
      <w:r>
        <w:rPr>
          <w:spacing w:val="-12"/>
        </w:rPr>
        <w:t> </w:t>
      </w:r>
      <w:r>
        <w:rPr/>
        <w:t>la</w:t>
      </w:r>
      <w:r>
        <w:rPr>
          <w:spacing w:val="-12"/>
        </w:rPr>
        <w:t> </w:t>
      </w:r>
      <w:r>
        <w:rPr/>
        <w:t>Radiología</w:t>
      </w:r>
      <w:r>
        <w:rPr>
          <w:spacing w:val="-12"/>
        </w:rPr>
        <w:t> </w:t>
      </w:r>
      <w:r>
        <w:rPr/>
        <w:t>(Doppler, 3D y elastografía), sin embargo, en México no están todas estas</w:t>
      </w:r>
      <w:r>
        <w:rPr>
          <w:spacing w:val="-25"/>
        </w:rPr>
        <w:t> </w:t>
      </w:r>
      <w:r>
        <w:rPr/>
        <w:t>disponibles.</w:t>
      </w:r>
    </w:p>
    <w:p>
      <w:pPr>
        <w:pStyle w:val="BodyText"/>
        <w:spacing w:line="364" w:lineRule="auto" w:before="199"/>
        <w:ind w:left="117" w:right="107" w:hanging="10"/>
        <w:jc w:val="both"/>
      </w:pPr>
      <w:r>
        <w:rPr/>
        <w:t>Considerando que el distintivo del síndrome de ovario poliquístico es el hiperandrogenismo, se ha propuesto la medición del índice de volumen total estroma-ovario como el criterio ecográfico que tiene mayor sensibilidad y especificidad para detección de ovario poliquístico además de menor variabilidad interobservador y que se encuentra al alcance de todos los equipos de ultrasonido ya</w:t>
      </w:r>
      <w:r>
        <w:rPr>
          <w:spacing w:val="-16"/>
        </w:rPr>
        <w:t> </w:t>
      </w:r>
      <w:r>
        <w:rPr/>
        <w:t>que</w:t>
      </w:r>
      <w:r>
        <w:rPr>
          <w:spacing w:val="-16"/>
        </w:rPr>
        <w:t> </w:t>
      </w:r>
      <w:r>
        <w:rPr/>
        <w:t>solo</w:t>
      </w:r>
      <w:r>
        <w:rPr>
          <w:spacing w:val="-16"/>
        </w:rPr>
        <w:t> </w:t>
      </w:r>
      <w:r>
        <w:rPr/>
        <w:t>requiere</w:t>
      </w:r>
      <w:r>
        <w:rPr>
          <w:spacing w:val="-16"/>
        </w:rPr>
        <w:t> </w:t>
      </w:r>
      <w:r>
        <w:rPr/>
        <w:t>de</w:t>
      </w:r>
      <w:r>
        <w:rPr>
          <w:spacing w:val="-18"/>
        </w:rPr>
        <w:t> </w:t>
      </w:r>
      <w:r>
        <w:rPr/>
        <w:t>medición</w:t>
      </w:r>
      <w:r>
        <w:rPr>
          <w:spacing w:val="-16"/>
        </w:rPr>
        <w:t> </w:t>
      </w:r>
      <w:r>
        <w:rPr/>
        <w:t>de</w:t>
      </w:r>
      <w:r>
        <w:rPr>
          <w:spacing w:val="-16"/>
        </w:rPr>
        <w:t> </w:t>
      </w:r>
      <w:r>
        <w:rPr/>
        <w:t>área</w:t>
      </w:r>
      <w:r>
        <w:rPr>
          <w:spacing w:val="-15"/>
        </w:rPr>
        <w:t> </w:t>
      </w:r>
      <w:r>
        <w:rPr/>
        <w:t>que</w:t>
      </w:r>
      <w:r>
        <w:rPr>
          <w:spacing w:val="-18"/>
        </w:rPr>
        <w:t> </w:t>
      </w:r>
      <w:r>
        <w:rPr/>
        <w:t>se</w:t>
      </w:r>
      <w:r>
        <w:rPr>
          <w:spacing w:val="-16"/>
        </w:rPr>
        <w:t> </w:t>
      </w:r>
      <w:r>
        <w:rPr/>
        <w:t>encuentra</w:t>
      </w:r>
      <w:r>
        <w:rPr>
          <w:spacing w:val="-16"/>
        </w:rPr>
        <w:t> </w:t>
      </w:r>
      <w:r>
        <w:rPr/>
        <w:t>disponible</w:t>
      </w:r>
      <w:r>
        <w:rPr>
          <w:spacing w:val="-16"/>
        </w:rPr>
        <w:t> </w:t>
      </w:r>
      <w:r>
        <w:rPr/>
        <w:t>en</w:t>
      </w:r>
      <w:r>
        <w:rPr>
          <w:spacing w:val="-18"/>
        </w:rPr>
        <w:t> </w:t>
      </w:r>
      <w:r>
        <w:rPr/>
        <w:t>el</w:t>
      </w:r>
      <w:r>
        <w:rPr>
          <w:spacing w:val="-10"/>
        </w:rPr>
        <w:t> </w:t>
      </w:r>
      <w:r>
        <w:rPr>
          <w:i/>
        </w:rPr>
        <w:t>software </w:t>
      </w:r>
      <w:r>
        <w:rPr/>
        <w:t>básico de los equipos de</w:t>
      </w:r>
      <w:r>
        <w:rPr>
          <w:spacing w:val="-9"/>
        </w:rPr>
        <w:t> </w:t>
      </w:r>
      <w:r>
        <w:rPr/>
        <w:t>ecografía.</w:t>
      </w:r>
    </w:p>
    <w:p>
      <w:pPr>
        <w:pStyle w:val="BodyText"/>
        <w:spacing w:before="196"/>
        <w:ind w:left="107"/>
        <w:jc w:val="both"/>
      </w:pPr>
      <w:r>
        <w:rPr/>
        <w:t>Lo cual nos lleva a la siguiente pregunta de investigación:</w:t>
      </w:r>
    </w:p>
    <w:p>
      <w:pPr>
        <w:pStyle w:val="BodyText"/>
        <w:spacing w:before="2"/>
        <w:rPr>
          <w:sz w:val="19"/>
        </w:rPr>
      </w:pPr>
    </w:p>
    <w:p>
      <w:pPr>
        <w:pStyle w:val="BodyText"/>
        <w:spacing w:line="364" w:lineRule="auto"/>
        <w:ind w:left="117" w:right="110" w:hanging="10"/>
        <w:jc w:val="both"/>
      </w:pPr>
      <w:r>
        <w:rPr/>
        <w:t>¿Cuál</w:t>
      </w:r>
      <w:r>
        <w:rPr>
          <w:spacing w:val="-14"/>
        </w:rPr>
        <w:t> </w:t>
      </w:r>
      <w:r>
        <w:rPr/>
        <w:t>es</w:t>
      </w:r>
      <w:r>
        <w:rPr>
          <w:spacing w:val="-14"/>
        </w:rPr>
        <w:t> </w:t>
      </w:r>
      <w:r>
        <w:rPr/>
        <w:t>la</w:t>
      </w:r>
      <w:r>
        <w:rPr>
          <w:spacing w:val="-13"/>
        </w:rPr>
        <w:t> </w:t>
      </w:r>
      <w:r>
        <w:rPr/>
        <w:t>correlación</w:t>
      </w:r>
      <w:r>
        <w:rPr>
          <w:spacing w:val="-15"/>
        </w:rPr>
        <w:t> </w:t>
      </w:r>
      <w:r>
        <w:rPr/>
        <w:t>entre</w:t>
      </w:r>
      <w:r>
        <w:rPr>
          <w:spacing w:val="-13"/>
        </w:rPr>
        <w:t> </w:t>
      </w:r>
      <w:r>
        <w:rPr/>
        <w:t>el</w:t>
      </w:r>
      <w:r>
        <w:rPr>
          <w:spacing w:val="-14"/>
        </w:rPr>
        <w:t> </w:t>
      </w:r>
      <w:r>
        <w:rPr/>
        <w:t>índice</w:t>
      </w:r>
      <w:r>
        <w:rPr>
          <w:spacing w:val="-13"/>
        </w:rPr>
        <w:t> </w:t>
      </w:r>
      <w:r>
        <w:rPr/>
        <w:t>volumen</w:t>
      </w:r>
      <w:r>
        <w:rPr>
          <w:spacing w:val="-13"/>
        </w:rPr>
        <w:t> </w:t>
      </w:r>
      <w:r>
        <w:rPr/>
        <w:t>total</w:t>
      </w:r>
      <w:r>
        <w:rPr>
          <w:spacing w:val="-9"/>
        </w:rPr>
        <w:t> </w:t>
      </w:r>
      <w:r>
        <w:rPr/>
        <w:t>-</w:t>
      </w:r>
      <w:r>
        <w:rPr>
          <w:spacing w:val="-15"/>
        </w:rPr>
        <w:t> </w:t>
      </w:r>
      <w:r>
        <w:rPr/>
        <w:t>estroma</w:t>
      </w:r>
      <w:r>
        <w:rPr>
          <w:spacing w:val="-13"/>
        </w:rPr>
        <w:t> </w:t>
      </w:r>
      <w:r>
        <w:rPr/>
        <w:t>y</w:t>
      </w:r>
      <w:r>
        <w:rPr>
          <w:spacing w:val="-16"/>
        </w:rPr>
        <w:t> </w:t>
      </w:r>
      <w:r>
        <w:rPr/>
        <w:t>el</w:t>
      </w:r>
      <w:r>
        <w:rPr>
          <w:spacing w:val="-14"/>
        </w:rPr>
        <w:t> </w:t>
      </w:r>
      <w:r>
        <w:rPr/>
        <w:t>perfil</w:t>
      </w:r>
      <w:r>
        <w:rPr>
          <w:spacing w:val="-15"/>
        </w:rPr>
        <w:t> </w:t>
      </w:r>
      <w:r>
        <w:rPr/>
        <w:t>androgénico en</w:t>
      </w:r>
      <w:r>
        <w:rPr>
          <w:spacing w:val="-5"/>
        </w:rPr>
        <w:t> </w:t>
      </w:r>
      <w:r>
        <w:rPr/>
        <w:t>pacientes</w:t>
      </w:r>
      <w:r>
        <w:rPr>
          <w:spacing w:val="-5"/>
        </w:rPr>
        <w:t> </w:t>
      </w:r>
      <w:r>
        <w:rPr/>
        <w:t>con</w:t>
      </w:r>
      <w:r>
        <w:rPr>
          <w:spacing w:val="-5"/>
        </w:rPr>
        <w:t> </w:t>
      </w:r>
      <w:r>
        <w:rPr/>
        <w:t>diagnóstico</w:t>
      </w:r>
      <w:r>
        <w:rPr>
          <w:spacing w:val="-5"/>
        </w:rPr>
        <w:t> </w:t>
      </w:r>
      <w:r>
        <w:rPr/>
        <w:t>de</w:t>
      </w:r>
      <w:r>
        <w:rPr>
          <w:spacing w:val="-5"/>
        </w:rPr>
        <w:t> </w:t>
      </w:r>
      <w:r>
        <w:rPr/>
        <w:t>síndrome</w:t>
      </w:r>
      <w:r>
        <w:rPr>
          <w:spacing w:val="-5"/>
        </w:rPr>
        <w:t> </w:t>
      </w:r>
      <w:r>
        <w:rPr/>
        <w:t>de</w:t>
      </w:r>
      <w:r>
        <w:rPr>
          <w:spacing w:val="-5"/>
        </w:rPr>
        <w:t> </w:t>
      </w:r>
      <w:r>
        <w:rPr/>
        <w:t>ovario</w:t>
      </w:r>
      <w:r>
        <w:rPr>
          <w:spacing w:val="-5"/>
        </w:rPr>
        <w:t> </w:t>
      </w:r>
      <w:r>
        <w:rPr/>
        <w:t>poliquístico</w:t>
      </w:r>
      <w:r>
        <w:rPr>
          <w:spacing w:val="-5"/>
        </w:rPr>
        <w:t> </w:t>
      </w:r>
      <w:r>
        <w:rPr/>
        <w:t>entre</w:t>
      </w:r>
      <w:r>
        <w:rPr>
          <w:spacing w:val="-5"/>
        </w:rPr>
        <w:t> </w:t>
      </w:r>
      <w:r>
        <w:rPr/>
        <w:t>18</w:t>
      </w:r>
      <w:r>
        <w:rPr>
          <w:spacing w:val="-5"/>
        </w:rPr>
        <w:t> </w:t>
      </w:r>
      <w:r>
        <w:rPr/>
        <w:t>y</w:t>
      </w:r>
      <w:r>
        <w:rPr>
          <w:spacing w:val="-8"/>
        </w:rPr>
        <w:t> </w:t>
      </w:r>
      <w:r>
        <w:rPr/>
        <w:t>41</w:t>
      </w:r>
      <w:r>
        <w:rPr>
          <w:spacing w:val="-5"/>
        </w:rPr>
        <w:t> </w:t>
      </w:r>
      <w:r>
        <w:rPr/>
        <w:t>años de edad en el Hospital Regional</w:t>
      </w:r>
      <w:r>
        <w:rPr>
          <w:spacing w:val="-15"/>
        </w:rPr>
        <w:t> </w:t>
      </w:r>
      <w:r>
        <w:rPr/>
        <w:t>Tlalnepantla?</w:t>
      </w:r>
    </w:p>
    <w:p>
      <w:pPr>
        <w:pStyle w:val="BodyText"/>
      </w:pPr>
    </w:p>
    <w:p>
      <w:pPr>
        <w:pStyle w:val="BodyText"/>
      </w:pPr>
    </w:p>
    <w:p>
      <w:pPr>
        <w:pStyle w:val="BodyText"/>
        <w:spacing w:before="7"/>
        <w:rPr>
          <w:sz w:val="20"/>
        </w:rPr>
      </w:pPr>
    </w:p>
    <w:p>
      <w:pPr>
        <w:spacing w:before="0"/>
        <w:ind w:left="107" w:right="0" w:firstLine="0"/>
        <w:jc w:val="both"/>
        <w:rPr>
          <w:sz w:val="22"/>
        </w:rPr>
      </w:pPr>
      <w:bookmarkStart w:name="_bookmark5" w:id="6"/>
      <w:bookmarkEnd w:id="6"/>
      <w:r>
        <w:rPr/>
      </w:r>
      <w:r>
        <w:rPr>
          <w:color w:val="5A5A5A"/>
          <w:sz w:val="22"/>
        </w:rPr>
        <w:t>JUSTIFICACIÓN</w:t>
      </w:r>
    </w:p>
    <w:p>
      <w:pPr>
        <w:pStyle w:val="BodyText"/>
        <w:spacing w:line="364" w:lineRule="auto" w:before="177"/>
        <w:ind w:left="117" w:right="111" w:hanging="10"/>
        <w:jc w:val="both"/>
      </w:pPr>
      <w:r>
        <w:rPr/>
        <w:t>El síndrome de ovario poliquístico representa un reto diagnóstico clínico, endocrino y ecográfico que afecta a la población de mujeres en edad reproductiva y que en la última</w:t>
      </w:r>
      <w:r>
        <w:rPr>
          <w:spacing w:val="-6"/>
        </w:rPr>
        <w:t> </w:t>
      </w:r>
      <w:r>
        <w:rPr/>
        <w:t>década</w:t>
      </w:r>
      <w:r>
        <w:rPr>
          <w:spacing w:val="-6"/>
        </w:rPr>
        <w:t> </w:t>
      </w:r>
      <w:r>
        <w:rPr/>
        <w:t>ha</w:t>
      </w:r>
      <w:r>
        <w:rPr>
          <w:spacing w:val="-5"/>
        </w:rPr>
        <w:t> </w:t>
      </w:r>
      <w:r>
        <w:rPr/>
        <w:t>observado</w:t>
      </w:r>
      <w:r>
        <w:rPr>
          <w:spacing w:val="-5"/>
        </w:rPr>
        <w:t> </w:t>
      </w:r>
      <w:r>
        <w:rPr/>
        <w:t>un</w:t>
      </w:r>
      <w:r>
        <w:rPr>
          <w:spacing w:val="-5"/>
        </w:rPr>
        <w:t> </w:t>
      </w:r>
      <w:r>
        <w:rPr/>
        <w:t>incremento</w:t>
      </w:r>
      <w:r>
        <w:rPr>
          <w:spacing w:val="-5"/>
        </w:rPr>
        <w:t> </w:t>
      </w:r>
      <w:r>
        <w:rPr/>
        <w:t>en</w:t>
      </w:r>
      <w:r>
        <w:rPr>
          <w:spacing w:val="-5"/>
        </w:rPr>
        <w:t> </w:t>
      </w:r>
      <w:r>
        <w:rPr/>
        <w:t>el</w:t>
      </w:r>
      <w:r>
        <w:rPr>
          <w:spacing w:val="-7"/>
        </w:rPr>
        <w:t> </w:t>
      </w:r>
      <w:r>
        <w:rPr/>
        <w:t>número</w:t>
      </w:r>
      <w:r>
        <w:rPr>
          <w:spacing w:val="-7"/>
        </w:rPr>
        <w:t> </w:t>
      </w:r>
      <w:r>
        <w:rPr/>
        <w:t>de</w:t>
      </w:r>
      <w:r>
        <w:rPr>
          <w:spacing w:val="-6"/>
        </w:rPr>
        <w:t> </w:t>
      </w:r>
      <w:r>
        <w:rPr/>
        <w:t>casos</w:t>
      </w:r>
      <w:r>
        <w:rPr>
          <w:spacing w:val="-9"/>
        </w:rPr>
        <w:t> </w:t>
      </w:r>
      <w:r>
        <w:rPr/>
        <w:t>nuevos</w:t>
      </w:r>
      <w:r>
        <w:rPr>
          <w:spacing w:val="-5"/>
        </w:rPr>
        <w:t> </w:t>
      </w:r>
      <w:r>
        <w:rPr/>
        <w:t>por</w:t>
      </w:r>
      <w:r>
        <w:rPr>
          <w:spacing w:val="-6"/>
        </w:rPr>
        <w:t> </w:t>
      </w:r>
      <w:r>
        <w:rPr/>
        <w:t>año.</w:t>
      </w:r>
    </w:p>
    <w:p>
      <w:pPr>
        <w:spacing w:after="0" w:line="364" w:lineRule="auto"/>
        <w:jc w:val="both"/>
        <w:sectPr>
          <w:pgSz w:w="12240" w:h="15840"/>
          <w:pgMar w:top="1220" w:bottom="280" w:left="1580" w:right="1580"/>
        </w:sectPr>
      </w:pPr>
    </w:p>
    <w:p>
      <w:pPr>
        <w:pStyle w:val="BodyText"/>
        <w:spacing w:line="364" w:lineRule="auto" w:before="43"/>
        <w:ind w:left="117" w:right="109"/>
        <w:jc w:val="both"/>
      </w:pPr>
      <w:r>
        <w:rPr/>
        <w:t>Sus</w:t>
      </w:r>
      <w:r>
        <w:rPr>
          <w:spacing w:val="-10"/>
        </w:rPr>
        <w:t> </w:t>
      </w:r>
      <w:r>
        <w:rPr/>
        <w:t>implicaciones</w:t>
      </w:r>
      <w:r>
        <w:rPr>
          <w:spacing w:val="-10"/>
        </w:rPr>
        <w:t> </w:t>
      </w:r>
      <w:r>
        <w:rPr/>
        <w:t>repercuten</w:t>
      </w:r>
      <w:r>
        <w:rPr>
          <w:spacing w:val="-9"/>
        </w:rPr>
        <w:t> </w:t>
      </w:r>
      <w:r>
        <w:rPr/>
        <w:t>seriamente</w:t>
      </w:r>
      <w:r>
        <w:rPr>
          <w:spacing w:val="-11"/>
        </w:rPr>
        <w:t> </w:t>
      </w:r>
      <w:r>
        <w:rPr/>
        <w:t>en</w:t>
      </w:r>
      <w:r>
        <w:rPr>
          <w:spacing w:val="-12"/>
        </w:rPr>
        <w:t> </w:t>
      </w:r>
      <w:r>
        <w:rPr/>
        <w:t>fertilidad</w:t>
      </w:r>
      <w:r>
        <w:rPr>
          <w:spacing w:val="-9"/>
        </w:rPr>
        <w:t> </w:t>
      </w:r>
      <w:r>
        <w:rPr/>
        <w:t>y</w:t>
      </w:r>
      <w:r>
        <w:rPr>
          <w:spacing w:val="-13"/>
        </w:rPr>
        <w:t> </w:t>
      </w:r>
      <w:r>
        <w:rPr/>
        <w:t>metabolismo</w:t>
      </w:r>
      <w:r>
        <w:rPr>
          <w:spacing w:val="-12"/>
        </w:rPr>
        <w:t> </w:t>
      </w:r>
      <w:r>
        <w:rPr/>
        <w:t>endocrino,</w:t>
      </w:r>
      <w:r>
        <w:rPr>
          <w:spacing w:val="-10"/>
        </w:rPr>
        <w:t> </w:t>
      </w:r>
      <w:r>
        <w:rPr/>
        <w:t>por lo que su diagnóstico oportuno es importante para la prevención de síndrome metabólico, así como la prevención de procedimientos de infertilidad y embarazos de alto</w:t>
      </w:r>
      <w:r>
        <w:rPr>
          <w:spacing w:val="-6"/>
        </w:rPr>
        <w:t> </w:t>
      </w:r>
      <w:r>
        <w:rPr/>
        <w:t>riesgo.</w:t>
      </w:r>
    </w:p>
    <w:p>
      <w:pPr>
        <w:pStyle w:val="BodyText"/>
        <w:spacing w:line="364" w:lineRule="auto" w:before="199"/>
        <w:ind w:left="117" w:right="107" w:hanging="10"/>
        <w:jc w:val="both"/>
      </w:pPr>
      <w:r>
        <w:rPr/>
        <w:t>La</w:t>
      </w:r>
      <w:r>
        <w:rPr>
          <w:spacing w:val="-5"/>
        </w:rPr>
        <w:t> </w:t>
      </w:r>
      <w:r>
        <w:rPr/>
        <w:t>ecografía</w:t>
      </w:r>
      <w:r>
        <w:rPr>
          <w:spacing w:val="-5"/>
        </w:rPr>
        <w:t> </w:t>
      </w:r>
      <w:r>
        <w:rPr/>
        <w:t>representa</w:t>
      </w:r>
      <w:r>
        <w:rPr>
          <w:spacing w:val="-5"/>
        </w:rPr>
        <w:t> </w:t>
      </w:r>
      <w:r>
        <w:rPr/>
        <w:t>una</w:t>
      </w:r>
      <w:r>
        <w:rPr>
          <w:spacing w:val="-5"/>
        </w:rPr>
        <w:t> </w:t>
      </w:r>
      <w:r>
        <w:rPr/>
        <w:t>herramienta</w:t>
      </w:r>
      <w:r>
        <w:rPr>
          <w:spacing w:val="-7"/>
        </w:rPr>
        <w:t> </w:t>
      </w:r>
      <w:r>
        <w:rPr/>
        <w:t>no</w:t>
      </w:r>
      <w:r>
        <w:rPr>
          <w:spacing w:val="-5"/>
        </w:rPr>
        <w:t> </w:t>
      </w:r>
      <w:r>
        <w:rPr/>
        <w:t>invasiva,</w:t>
      </w:r>
      <w:r>
        <w:rPr>
          <w:spacing w:val="-5"/>
        </w:rPr>
        <w:t> </w:t>
      </w:r>
      <w:r>
        <w:rPr/>
        <w:t>de</w:t>
      </w:r>
      <w:r>
        <w:rPr>
          <w:spacing w:val="-5"/>
        </w:rPr>
        <w:t> </w:t>
      </w:r>
      <w:r>
        <w:rPr/>
        <w:t>rutina,</w:t>
      </w:r>
      <w:r>
        <w:rPr>
          <w:spacing w:val="-7"/>
        </w:rPr>
        <w:t> </w:t>
      </w:r>
      <w:r>
        <w:rPr/>
        <w:t>económica,</w:t>
      </w:r>
      <w:r>
        <w:rPr>
          <w:spacing w:val="-5"/>
        </w:rPr>
        <w:t> </w:t>
      </w:r>
      <w:r>
        <w:rPr/>
        <w:t>de</w:t>
      </w:r>
      <w:r>
        <w:rPr>
          <w:spacing w:val="-7"/>
        </w:rPr>
        <w:t> </w:t>
      </w:r>
      <w:r>
        <w:rPr/>
        <w:t>fácil acceso</w:t>
      </w:r>
      <w:r>
        <w:rPr>
          <w:spacing w:val="-17"/>
        </w:rPr>
        <w:t> </w:t>
      </w:r>
      <w:r>
        <w:rPr/>
        <w:t>y</w:t>
      </w:r>
      <w:r>
        <w:rPr>
          <w:spacing w:val="-20"/>
        </w:rPr>
        <w:t> </w:t>
      </w:r>
      <w:r>
        <w:rPr/>
        <w:t>reproducibilidad</w:t>
      </w:r>
      <w:r>
        <w:rPr>
          <w:spacing w:val="-17"/>
        </w:rPr>
        <w:t> </w:t>
      </w:r>
      <w:r>
        <w:rPr/>
        <w:t>y</w:t>
      </w:r>
      <w:r>
        <w:rPr>
          <w:spacing w:val="-20"/>
        </w:rPr>
        <w:t> </w:t>
      </w:r>
      <w:r>
        <w:rPr/>
        <w:t>muy</w:t>
      </w:r>
      <w:r>
        <w:rPr>
          <w:spacing w:val="-20"/>
        </w:rPr>
        <w:t> </w:t>
      </w:r>
      <w:r>
        <w:rPr/>
        <w:t>socorrida</w:t>
      </w:r>
      <w:r>
        <w:rPr>
          <w:spacing w:val="-17"/>
        </w:rPr>
        <w:t> </w:t>
      </w:r>
      <w:r>
        <w:rPr/>
        <w:t>por</w:t>
      </w:r>
      <w:r>
        <w:rPr>
          <w:spacing w:val="-18"/>
        </w:rPr>
        <w:t> </w:t>
      </w:r>
      <w:r>
        <w:rPr/>
        <w:t>médicos</w:t>
      </w:r>
      <w:r>
        <w:rPr>
          <w:spacing w:val="-18"/>
        </w:rPr>
        <w:t> </w:t>
      </w:r>
      <w:r>
        <w:rPr/>
        <w:t>de</w:t>
      </w:r>
      <w:r>
        <w:rPr>
          <w:spacing w:val="-17"/>
        </w:rPr>
        <w:t> </w:t>
      </w:r>
      <w:r>
        <w:rPr/>
        <w:t>todos</w:t>
      </w:r>
      <w:r>
        <w:rPr>
          <w:spacing w:val="-18"/>
        </w:rPr>
        <w:t> </w:t>
      </w:r>
      <w:r>
        <w:rPr/>
        <w:t>los</w:t>
      </w:r>
      <w:r>
        <w:rPr>
          <w:spacing w:val="-20"/>
        </w:rPr>
        <w:t> </w:t>
      </w:r>
      <w:r>
        <w:rPr/>
        <w:t>niveles</w:t>
      </w:r>
      <w:r>
        <w:rPr>
          <w:spacing w:val="-17"/>
        </w:rPr>
        <w:t> </w:t>
      </w:r>
      <w:r>
        <w:rPr/>
        <w:t>de</w:t>
      </w:r>
      <w:r>
        <w:rPr>
          <w:spacing w:val="-17"/>
        </w:rPr>
        <w:t> </w:t>
      </w:r>
      <w:r>
        <w:rPr/>
        <w:t>salud. Sin embargo, a pesar de su uso frecuente, los criterios establecidos para la sospecha de síndrome de ovario poliquístico son operador dependiente ya que el conteo folicular, el cálculo de volumen ovárico son poco precisos para la sospecha de</w:t>
      </w:r>
      <w:r>
        <w:rPr>
          <w:spacing w:val="-14"/>
        </w:rPr>
        <w:t> </w:t>
      </w:r>
      <w:r>
        <w:rPr/>
        <w:t>morfología</w:t>
      </w:r>
      <w:r>
        <w:rPr>
          <w:spacing w:val="-12"/>
        </w:rPr>
        <w:t> </w:t>
      </w:r>
      <w:r>
        <w:rPr/>
        <w:t>de</w:t>
      </w:r>
      <w:r>
        <w:rPr>
          <w:spacing w:val="-14"/>
        </w:rPr>
        <w:t> </w:t>
      </w:r>
      <w:r>
        <w:rPr/>
        <w:t>ovario</w:t>
      </w:r>
      <w:r>
        <w:rPr>
          <w:spacing w:val="-12"/>
        </w:rPr>
        <w:t> </w:t>
      </w:r>
      <w:r>
        <w:rPr/>
        <w:t>poliquístico</w:t>
      </w:r>
      <w:r>
        <w:rPr>
          <w:spacing w:val="-12"/>
        </w:rPr>
        <w:t> </w:t>
      </w:r>
      <w:r>
        <w:rPr/>
        <w:t>y</w:t>
      </w:r>
      <w:r>
        <w:rPr>
          <w:spacing w:val="-15"/>
        </w:rPr>
        <w:t> </w:t>
      </w:r>
      <w:r>
        <w:rPr/>
        <w:t>se</w:t>
      </w:r>
      <w:r>
        <w:rPr>
          <w:spacing w:val="-12"/>
        </w:rPr>
        <w:t> </w:t>
      </w:r>
      <w:r>
        <w:rPr/>
        <w:t>confunde</w:t>
      </w:r>
      <w:r>
        <w:rPr>
          <w:spacing w:val="-14"/>
        </w:rPr>
        <w:t> </w:t>
      </w:r>
      <w:r>
        <w:rPr/>
        <w:t>frecuentemente</w:t>
      </w:r>
      <w:r>
        <w:rPr>
          <w:spacing w:val="-14"/>
        </w:rPr>
        <w:t> </w:t>
      </w:r>
      <w:r>
        <w:rPr/>
        <w:t>con</w:t>
      </w:r>
      <w:r>
        <w:rPr>
          <w:spacing w:val="-12"/>
        </w:rPr>
        <w:t> </w:t>
      </w:r>
      <w:r>
        <w:rPr/>
        <w:t>la</w:t>
      </w:r>
      <w:r>
        <w:rPr>
          <w:spacing w:val="-14"/>
        </w:rPr>
        <w:t> </w:t>
      </w:r>
      <w:r>
        <w:rPr/>
        <w:t>apariencia de ovario multifolicular. Aunado a esto, no hay estudios que fundamenten que los criterios actuales de Adams tengan correlación positiva con el perfil sérico androgénico,</w:t>
      </w:r>
      <w:r>
        <w:rPr>
          <w:spacing w:val="-17"/>
        </w:rPr>
        <w:t> </w:t>
      </w:r>
      <w:r>
        <w:rPr/>
        <w:t>lo</w:t>
      </w:r>
      <w:r>
        <w:rPr>
          <w:spacing w:val="-17"/>
        </w:rPr>
        <w:t> </w:t>
      </w:r>
      <w:r>
        <w:rPr/>
        <w:t>que</w:t>
      </w:r>
      <w:r>
        <w:rPr>
          <w:spacing w:val="-18"/>
        </w:rPr>
        <w:t> </w:t>
      </w:r>
      <w:r>
        <w:rPr/>
        <w:t>hace</w:t>
      </w:r>
      <w:r>
        <w:rPr>
          <w:spacing w:val="-17"/>
        </w:rPr>
        <w:t> </w:t>
      </w:r>
      <w:r>
        <w:rPr/>
        <w:t>que</w:t>
      </w:r>
      <w:r>
        <w:rPr>
          <w:spacing w:val="-17"/>
        </w:rPr>
        <w:t> </w:t>
      </w:r>
      <w:r>
        <w:rPr/>
        <w:t>el</w:t>
      </w:r>
      <w:r>
        <w:rPr>
          <w:spacing w:val="-17"/>
        </w:rPr>
        <w:t> </w:t>
      </w:r>
      <w:r>
        <w:rPr/>
        <w:t>diagnóstico</w:t>
      </w:r>
      <w:r>
        <w:rPr>
          <w:spacing w:val="-17"/>
        </w:rPr>
        <w:t> </w:t>
      </w:r>
      <w:r>
        <w:rPr/>
        <w:t>tenga</w:t>
      </w:r>
      <w:r>
        <w:rPr>
          <w:spacing w:val="-17"/>
        </w:rPr>
        <w:t> </w:t>
      </w:r>
      <w:r>
        <w:rPr/>
        <w:t>un</w:t>
      </w:r>
      <w:r>
        <w:rPr>
          <w:spacing w:val="-17"/>
        </w:rPr>
        <w:t> </w:t>
      </w:r>
      <w:r>
        <w:rPr/>
        <w:t>retraso</w:t>
      </w:r>
      <w:r>
        <w:rPr>
          <w:spacing w:val="-17"/>
        </w:rPr>
        <w:t> </w:t>
      </w:r>
      <w:r>
        <w:rPr/>
        <w:t>significativo</w:t>
      </w:r>
      <w:r>
        <w:rPr>
          <w:spacing w:val="-17"/>
        </w:rPr>
        <w:t> </w:t>
      </w:r>
      <w:r>
        <w:rPr/>
        <w:t>sobre</w:t>
      </w:r>
      <w:r>
        <w:rPr>
          <w:spacing w:val="-17"/>
        </w:rPr>
        <w:t> </w:t>
      </w:r>
      <w:r>
        <w:rPr/>
        <w:t>todo para las pacientes que tienen deseo de paridad y las que tienen repercusiones metabólicas</w:t>
      </w:r>
      <w:r>
        <w:rPr>
          <w:spacing w:val="-10"/>
        </w:rPr>
        <w:t> </w:t>
      </w:r>
      <w:r>
        <w:rPr/>
        <w:t>(insulino-resistencia).</w:t>
      </w:r>
    </w:p>
    <w:p>
      <w:pPr>
        <w:pStyle w:val="BodyText"/>
        <w:spacing w:line="364" w:lineRule="auto" w:before="199"/>
        <w:ind w:left="117" w:right="107" w:hanging="10"/>
        <w:jc w:val="both"/>
      </w:pPr>
      <w:r>
        <w:rPr/>
        <w:t>Al introducir el índice de volumen total de estroma-ovario como criterio diagnóstico se pretende que la sensibilidad y especificidad de la ecografía mejore, teniendo así un diagnóstico oportuno de la enfermedad, sobretodo en pacientes que no tengan sospecha clínica de este padecimiento.</w:t>
      </w:r>
    </w:p>
    <w:p>
      <w:pPr>
        <w:spacing w:before="198"/>
        <w:ind w:left="107" w:right="0" w:firstLine="0"/>
        <w:jc w:val="both"/>
        <w:rPr>
          <w:sz w:val="22"/>
        </w:rPr>
      </w:pPr>
      <w:bookmarkStart w:name="_bookmark6" w:id="7"/>
      <w:bookmarkEnd w:id="7"/>
      <w:r>
        <w:rPr/>
      </w:r>
      <w:r>
        <w:rPr>
          <w:color w:val="5A5A5A"/>
          <w:sz w:val="22"/>
        </w:rPr>
        <w:t>HIPÓTESIS</w:t>
      </w:r>
    </w:p>
    <w:p>
      <w:pPr>
        <w:pStyle w:val="BodyText"/>
        <w:rPr>
          <w:sz w:val="22"/>
        </w:rPr>
      </w:pPr>
    </w:p>
    <w:p>
      <w:pPr>
        <w:pStyle w:val="BodyText"/>
        <w:rPr>
          <w:sz w:val="22"/>
        </w:rPr>
      </w:pPr>
    </w:p>
    <w:p>
      <w:pPr>
        <w:pStyle w:val="BodyText"/>
        <w:spacing w:before="9"/>
      </w:pPr>
    </w:p>
    <w:p>
      <w:pPr>
        <w:pStyle w:val="BodyText"/>
        <w:spacing w:line="362" w:lineRule="auto"/>
        <w:ind w:left="117" w:right="106" w:hanging="10"/>
        <w:jc w:val="both"/>
      </w:pPr>
      <w:r>
        <w:rPr/>
        <w:t>Dado</w:t>
      </w:r>
      <w:r>
        <w:rPr>
          <w:spacing w:val="-6"/>
        </w:rPr>
        <w:t> </w:t>
      </w:r>
      <w:r>
        <w:rPr/>
        <w:t>que</w:t>
      </w:r>
      <w:r>
        <w:rPr>
          <w:spacing w:val="-6"/>
        </w:rPr>
        <w:t> </w:t>
      </w:r>
      <w:r>
        <w:rPr/>
        <w:t>lo</w:t>
      </w:r>
      <w:r>
        <w:rPr>
          <w:spacing w:val="-6"/>
        </w:rPr>
        <w:t> </w:t>
      </w:r>
      <w:r>
        <w:rPr/>
        <w:t>que</w:t>
      </w:r>
      <w:r>
        <w:rPr>
          <w:spacing w:val="-6"/>
        </w:rPr>
        <w:t> </w:t>
      </w:r>
      <w:r>
        <w:rPr/>
        <w:t>se</w:t>
      </w:r>
      <w:r>
        <w:rPr>
          <w:spacing w:val="-6"/>
        </w:rPr>
        <w:t> </w:t>
      </w:r>
      <w:r>
        <w:rPr/>
        <w:t>intenta</w:t>
      </w:r>
      <w:r>
        <w:rPr>
          <w:spacing w:val="-6"/>
        </w:rPr>
        <w:t> </w:t>
      </w:r>
      <w:r>
        <w:rPr/>
        <w:t>demostrar</w:t>
      </w:r>
      <w:r>
        <w:rPr>
          <w:spacing w:val="-7"/>
        </w:rPr>
        <w:t> </w:t>
      </w:r>
      <w:r>
        <w:rPr/>
        <w:t>la</w:t>
      </w:r>
      <w:r>
        <w:rPr>
          <w:spacing w:val="-6"/>
        </w:rPr>
        <w:t> </w:t>
      </w:r>
      <w:r>
        <w:rPr/>
        <w:t>correlación</w:t>
      </w:r>
      <w:r>
        <w:rPr>
          <w:spacing w:val="-6"/>
        </w:rPr>
        <w:t> </w:t>
      </w:r>
      <w:r>
        <w:rPr/>
        <w:t>entre</w:t>
      </w:r>
      <w:r>
        <w:rPr>
          <w:spacing w:val="-6"/>
        </w:rPr>
        <w:t> </w:t>
      </w:r>
      <w:r>
        <w:rPr/>
        <w:t>el</w:t>
      </w:r>
      <w:r>
        <w:rPr>
          <w:spacing w:val="-7"/>
        </w:rPr>
        <w:t> </w:t>
      </w:r>
      <w:r>
        <w:rPr/>
        <w:t>índice</w:t>
      </w:r>
      <w:r>
        <w:rPr>
          <w:spacing w:val="-6"/>
        </w:rPr>
        <w:t> </w:t>
      </w:r>
      <w:r>
        <w:rPr/>
        <w:t>de</w:t>
      </w:r>
      <w:r>
        <w:rPr>
          <w:spacing w:val="1"/>
        </w:rPr>
        <w:t> </w:t>
      </w:r>
      <w:r>
        <w:rPr/>
        <w:t>volumen</w:t>
      </w:r>
      <w:r>
        <w:rPr>
          <w:spacing w:val="-6"/>
        </w:rPr>
        <w:t> </w:t>
      </w:r>
      <w:r>
        <w:rPr/>
        <w:t>total estroma-ovario y el perfil sérico androgénico, se establece la hipótesis nula, misma que se buscará probar y descartar en favor de la hipótesis</w:t>
      </w:r>
      <w:r>
        <w:rPr>
          <w:spacing w:val="-27"/>
        </w:rPr>
        <w:t> </w:t>
      </w:r>
      <w:r>
        <w:rPr/>
        <w:t>alternativa:</w:t>
      </w:r>
    </w:p>
    <w:p>
      <w:pPr>
        <w:pStyle w:val="BodyText"/>
        <w:spacing w:line="364" w:lineRule="auto" w:before="202"/>
        <w:ind w:left="117" w:right="112" w:hanging="10"/>
        <w:jc w:val="both"/>
      </w:pPr>
      <w:r>
        <w:rPr/>
        <w:t>Hipótesis nula: El índice de volumen total estroma-ovario no tiene una relación con la elevación del perfil sérico androgénico.</w:t>
      </w:r>
    </w:p>
    <w:p>
      <w:pPr>
        <w:pStyle w:val="BodyText"/>
        <w:spacing w:line="362" w:lineRule="auto" w:before="199"/>
        <w:ind w:left="117" w:right="107" w:hanging="10"/>
        <w:jc w:val="both"/>
      </w:pPr>
      <w:r>
        <w:rPr/>
        <w:t>Hipótesis alternativa: El índice de volumen total estroma-ovario tiene una relación directamente proporcional con la elevación del perfil sérico androgénico.</w:t>
      </w:r>
    </w:p>
    <w:p>
      <w:pPr>
        <w:spacing w:after="0" w:line="362" w:lineRule="auto"/>
        <w:jc w:val="both"/>
        <w:sectPr>
          <w:pgSz w:w="12240" w:h="15840"/>
          <w:pgMar w:top="1220" w:bottom="280" w:left="1580" w:right="1580"/>
        </w:sectPr>
      </w:pPr>
    </w:p>
    <w:p>
      <w:pPr>
        <w:spacing w:before="62"/>
        <w:ind w:left="107" w:right="0" w:firstLine="0"/>
        <w:jc w:val="both"/>
        <w:rPr>
          <w:sz w:val="22"/>
        </w:rPr>
      </w:pPr>
      <w:bookmarkStart w:name="_bookmark7" w:id="8"/>
      <w:bookmarkEnd w:id="8"/>
      <w:r>
        <w:rPr/>
      </w:r>
      <w:r>
        <w:rPr>
          <w:color w:val="5A5A5A"/>
          <w:sz w:val="22"/>
        </w:rPr>
        <w:t>OBJETIVOS</w:t>
      </w:r>
    </w:p>
    <w:p>
      <w:pPr>
        <w:pStyle w:val="BodyText"/>
        <w:rPr>
          <w:sz w:val="22"/>
        </w:rPr>
      </w:pPr>
    </w:p>
    <w:p>
      <w:pPr>
        <w:pStyle w:val="BodyText"/>
        <w:rPr>
          <w:sz w:val="22"/>
        </w:rPr>
      </w:pPr>
    </w:p>
    <w:p>
      <w:pPr>
        <w:pStyle w:val="BodyText"/>
        <w:spacing w:before="7"/>
      </w:pPr>
    </w:p>
    <w:p>
      <w:pPr>
        <w:pStyle w:val="BodyText"/>
        <w:ind w:left="107"/>
        <w:jc w:val="both"/>
      </w:pPr>
      <w:r>
        <w:rPr/>
        <w:t>General.</w:t>
      </w:r>
    </w:p>
    <w:p>
      <w:pPr>
        <w:pStyle w:val="BodyText"/>
        <w:spacing w:before="4"/>
        <w:rPr>
          <w:sz w:val="29"/>
        </w:rPr>
      </w:pPr>
    </w:p>
    <w:p>
      <w:pPr>
        <w:pStyle w:val="BodyText"/>
        <w:spacing w:line="364" w:lineRule="auto" w:before="1"/>
        <w:ind w:left="117" w:right="110" w:hanging="10"/>
        <w:jc w:val="both"/>
      </w:pPr>
      <w:r>
        <w:rPr/>
        <w:t>Evaluar la correlación entre el índice volumen total estroma-ovario y el perfil sérico androgénico en mujeres entre 18 y 41 años de edad con síndrome de ovario poliquístico</w:t>
      </w:r>
      <w:r>
        <w:rPr>
          <w:spacing w:val="-11"/>
        </w:rPr>
        <w:t> </w:t>
      </w:r>
      <w:r>
        <w:rPr/>
        <w:t>en</w:t>
      </w:r>
      <w:r>
        <w:rPr>
          <w:spacing w:val="-13"/>
        </w:rPr>
        <w:t> </w:t>
      </w:r>
      <w:r>
        <w:rPr/>
        <w:t>el</w:t>
      </w:r>
      <w:r>
        <w:rPr>
          <w:spacing w:val="-12"/>
        </w:rPr>
        <w:t> </w:t>
      </w:r>
      <w:r>
        <w:rPr/>
        <w:t>Hospital</w:t>
      </w:r>
      <w:r>
        <w:rPr>
          <w:spacing w:val="-12"/>
        </w:rPr>
        <w:t> </w:t>
      </w:r>
      <w:r>
        <w:rPr/>
        <w:t>Regional</w:t>
      </w:r>
      <w:r>
        <w:rPr>
          <w:spacing w:val="-14"/>
        </w:rPr>
        <w:t> </w:t>
      </w:r>
      <w:r>
        <w:rPr/>
        <w:t>de</w:t>
      </w:r>
      <w:r>
        <w:rPr>
          <w:spacing w:val="-15"/>
        </w:rPr>
        <w:t> </w:t>
      </w:r>
      <w:r>
        <w:rPr/>
        <w:t>Tlalnepantla</w:t>
      </w:r>
      <w:r>
        <w:rPr>
          <w:spacing w:val="-13"/>
        </w:rPr>
        <w:t> </w:t>
      </w:r>
      <w:r>
        <w:rPr/>
        <w:t>del</w:t>
      </w:r>
      <w:r>
        <w:rPr>
          <w:spacing w:val="-14"/>
        </w:rPr>
        <w:t> </w:t>
      </w:r>
      <w:r>
        <w:rPr/>
        <w:t>1</w:t>
      </w:r>
      <w:r>
        <w:rPr>
          <w:spacing w:val="-13"/>
        </w:rPr>
        <w:t> </w:t>
      </w:r>
      <w:r>
        <w:rPr/>
        <w:t>de</w:t>
      </w:r>
      <w:r>
        <w:rPr>
          <w:spacing w:val="-13"/>
        </w:rPr>
        <w:t> </w:t>
      </w:r>
      <w:r>
        <w:rPr/>
        <w:t>abril</w:t>
      </w:r>
      <w:r>
        <w:rPr>
          <w:spacing w:val="-12"/>
        </w:rPr>
        <w:t> </w:t>
      </w:r>
      <w:r>
        <w:rPr/>
        <w:t>al</w:t>
      </w:r>
      <w:r>
        <w:rPr>
          <w:spacing w:val="-14"/>
        </w:rPr>
        <w:t> </w:t>
      </w:r>
      <w:r>
        <w:rPr/>
        <w:t>16</w:t>
      </w:r>
      <w:r>
        <w:rPr>
          <w:spacing w:val="-11"/>
        </w:rPr>
        <w:t> </w:t>
      </w:r>
      <w:r>
        <w:rPr/>
        <w:t>de</w:t>
      </w:r>
      <w:r>
        <w:rPr>
          <w:spacing w:val="-11"/>
        </w:rPr>
        <w:t> </w:t>
      </w:r>
      <w:r>
        <w:rPr/>
        <w:t>noviembre de</w:t>
      </w:r>
      <w:r>
        <w:rPr>
          <w:spacing w:val="-4"/>
        </w:rPr>
        <w:t> </w:t>
      </w:r>
      <w:r>
        <w:rPr/>
        <w:t>2016.</w:t>
      </w:r>
    </w:p>
    <w:p>
      <w:pPr>
        <w:pStyle w:val="BodyText"/>
        <w:spacing w:before="196"/>
        <w:ind w:left="107"/>
        <w:jc w:val="both"/>
      </w:pPr>
      <w:r>
        <w:rPr/>
        <w:t>Específicos.</w:t>
      </w:r>
    </w:p>
    <w:p>
      <w:pPr>
        <w:pStyle w:val="BodyText"/>
      </w:pPr>
    </w:p>
    <w:p>
      <w:pPr>
        <w:pStyle w:val="ListParagraph"/>
        <w:numPr>
          <w:ilvl w:val="0"/>
          <w:numId w:val="4"/>
        </w:numPr>
        <w:tabs>
          <w:tab w:pos="744" w:val="left" w:leader="none"/>
        </w:tabs>
        <w:spacing w:line="326" w:lineRule="auto" w:before="191" w:after="0"/>
        <w:ind w:left="117" w:right="114" w:hanging="10"/>
        <w:jc w:val="both"/>
        <w:rPr>
          <w:sz w:val="31"/>
        </w:rPr>
      </w:pPr>
      <w:r>
        <w:rPr>
          <w:sz w:val="24"/>
        </w:rPr>
        <w:t>Identificar cuál de las hormonas del perfil sérico androgénico tiene mayor correlación positiva con la elevación del índice volumen total</w:t>
      </w:r>
      <w:r>
        <w:rPr>
          <w:spacing w:val="-24"/>
          <w:sz w:val="24"/>
        </w:rPr>
        <w:t> </w:t>
      </w:r>
      <w:r>
        <w:rPr>
          <w:sz w:val="24"/>
        </w:rPr>
        <w:t>estroma-ovario</w:t>
      </w:r>
    </w:p>
    <w:p>
      <w:pPr>
        <w:pStyle w:val="BodyText"/>
        <w:spacing w:before="9"/>
        <w:rPr>
          <w:sz w:val="31"/>
        </w:rPr>
      </w:pPr>
    </w:p>
    <w:p>
      <w:pPr>
        <w:pStyle w:val="ListParagraph"/>
        <w:numPr>
          <w:ilvl w:val="0"/>
          <w:numId w:val="4"/>
        </w:numPr>
        <w:tabs>
          <w:tab w:pos="744" w:val="left" w:leader="none"/>
        </w:tabs>
        <w:spacing w:line="326" w:lineRule="auto" w:before="0" w:after="0"/>
        <w:ind w:left="117" w:right="112" w:hanging="10"/>
        <w:jc w:val="both"/>
        <w:rPr>
          <w:sz w:val="31"/>
        </w:rPr>
      </w:pPr>
      <w:r>
        <w:rPr>
          <w:sz w:val="24"/>
        </w:rPr>
        <w:t>Determinar</w:t>
      </w:r>
      <w:r>
        <w:rPr>
          <w:spacing w:val="-6"/>
          <w:sz w:val="24"/>
        </w:rPr>
        <w:t> </w:t>
      </w:r>
      <w:r>
        <w:rPr>
          <w:sz w:val="24"/>
        </w:rPr>
        <w:t>la</w:t>
      </w:r>
      <w:r>
        <w:rPr>
          <w:spacing w:val="-7"/>
          <w:sz w:val="24"/>
        </w:rPr>
        <w:t> </w:t>
      </w:r>
      <w:r>
        <w:rPr>
          <w:sz w:val="24"/>
        </w:rPr>
        <w:t>edad</w:t>
      </w:r>
      <w:r>
        <w:rPr>
          <w:spacing w:val="-5"/>
          <w:sz w:val="24"/>
        </w:rPr>
        <w:t> </w:t>
      </w:r>
      <w:r>
        <w:rPr>
          <w:sz w:val="24"/>
        </w:rPr>
        <w:t>promedio</w:t>
      </w:r>
      <w:r>
        <w:rPr>
          <w:spacing w:val="-5"/>
          <w:sz w:val="24"/>
        </w:rPr>
        <w:t> </w:t>
      </w:r>
      <w:r>
        <w:rPr>
          <w:sz w:val="24"/>
        </w:rPr>
        <w:t>de</w:t>
      </w:r>
      <w:r>
        <w:rPr>
          <w:spacing w:val="-5"/>
          <w:sz w:val="24"/>
        </w:rPr>
        <w:t> </w:t>
      </w:r>
      <w:r>
        <w:rPr>
          <w:sz w:val="24"/>
        </w:rPr>
        <w:t>las</w:t>
      </w:r>
      <w:r>
        <w:rPr>
          <w:spacing w:val="-7"/>
          <w:sz w:val="24"/>
        </w:rPr>
        <w:t> </w:t>
      </w:r>
      <w:r>
        <w:rPr>
          <w:sz w:val="24"/>
        </w:rPr>
        <w:t>mujeres</w:t>
      </w:r>
      <w:r>
        <w:rPr>
          <w:spacing w:val="-8"/>
          <w:sz w:val="24"/>
        </w:rPr>
        <w:t> </w:t>
      </w:r>
      <w:r>
        <w:rPr>
          <w:sz w:val="24"/>
        </w:rPr>
        <w:t>que</w:t>
      </w:r>
      <w:r>
        <w:rPr>
          <w:spacing w:val="-5"/>
          <w:sz w:val="24"/>
        </w:rPr>
        <w:t> </w:t>
      </w:r>
      <w:r>
        <w:rPr>
          <w:sz w:val="24"/>
        </w:rPr>
        <w:t>cumplan</w:t>
      </w:r>
      <w:r>
        <w:rPr>
          <w:spacing w:val="-6"/>
          <w:sz w:val="24"/>
        </w:rPr>
        <w:t> </w:t>
      </w:r>
      <w:r>
        <w:rPr>
          <w:sz w:val="24"/>
        </w:rPr>
        <w:t>los</w:t>
      </w:r>
      <w:r>
        <w:rPr>
          <w:spacing w:val="-5"/>
          <w:sz w:val="24"/>
        </w:rPr>
        <w:t> </w:t>
      </w:r>
      <w:r>
        <w:rPr>
          <w:sz w:val="24"/>
        </w:rPr>
        <w:t>criterios</w:t>
      </w:r>
      <w:r>
        <w:rPr>
          <w:spacing w:val="-5"/>
          <w:sz w:val="24"/>
        </w:rPr>
        <w:t> </w:t>
      </w:r>
      <w:r>
        <w:rPr>
          <w:sz w:val="24"/>
        </w:rPr>
        <w:t>para</w:t>
      </w:r>
      <w:r>
        <w:rPr>
          <w:spacing w:val="-5"/>
          <w:sz w:val="24"/>
        </w:rPr>
        <w:t> </w:t>
      </w:r>
      <w:r>
        <w:rPr>
          <w:sz w:val="24"/>
        </w:rPr>
        <w:t>el presente</w:t>
      </w:r>
      <w:r>
        <w:rPr>
          <w:spacing w:val="-7"/>
          <w:sz w:val="24"/>
        </w:rPr>
        <w:t> </w:t>
      </w:r>
      <w:r>
        <w:rPr>
          <w:sz w:val="24"/>
        </w:rPr>
        <w:t>estudio</w:t>
      </w:r>
    </w:p>
    <w:p>
      <w:pPr>
        <w:pStyle w:val="BodyText"/>
      </w:pPr>
    </w:p>
    <w:p>
      <w:pPr>
        <w:pStyle w:val="BodyText"/>
      </w:pPr>
    </w:p>
    <w:p>
      <w:pPr>
        <w:pStyle w:val="BodyText"/>
      </w:pPr>
    </w:p>
    <w:p>
      <w:pPr>
        <w:pStyle w:val="BodyText"/>
      </w:pPr>
    </w:p>
    <w:p>
      <w:pPr>
        <w:pStyle w:val="BodyText"/>
      </w:pPr>
    </w:p>
    <w:p>
      <w:pPr>
        <w:pStyle w:val="BodyText"/>
        <w:spacing w:before="8"/>
        <w:rPr>
          <w:sz w:val="33"/>
        </w:rPr>
      </w:pPr>
    </w:p>
    <w:p>
      <w:pPr>
        <w:spacing w:before="1"/>
        <w:ind w:left="107" w:right="0" w:firstLine="0"/>
        <w:jc w:val="both"/>
        <w:rPr>
          <w:sz w:val="22"/>
        </w:rPr>
      </w:pPr>
      <w:bookmarkStart w:name="_bookmark8" w:id="9"/>
      <w:bookmarkEnd w:id="9"/>
      <w:r>
        <w:rPr/>
      </w:r>
      <w:r>
        <w:rPr>
          <w:color w:val="5A5A5A"/>
          <w:sz w:val="22"/>
        </w:rPr>
        <w:t>DISEÑO METODOLÓGICO Y UNIVERSO DE TRABAJO</w:t>
      </w:r>
    </w:p>
    <w:p>
      <w:pPr>
        <w:pStyle w:val="BodyText"/>
        <w:rPr>
          <w:sz w:val="22"/>
        </w:rPr>
      </w:pPr>
    </w:p>
    <w:p>
      <w:pPr>
        <w:pStyle w:val="BodyText"/>
        <w:rPr>
          <w:sz w:val="19"/>
        </w:rPr>
      </w:pPr>
    </w:p>
    <w:p>
      <w:pPr>
        <w:spacing w:before="1"/>
        <w:ind w:left="107" w:right="0" w:firstLine="0"/>
        <w:jc w:val="both"/>
        <w:rPr>
          <w:i/>
          <w:sz w:val="24"/>
        </w:rPr>
      </w:pPr>
      <w:r>
        <w:rPr>
          <w:i/>
          <w:sz w:val="24"/>
        </w:rPr>
        <w:t>Tipo de estudio</w:t>
      </w:r>
    </w:p>
    <w:p>
      <w:pPr>
        <w:pStyle w:val="BodyText"/>
        <w:spacing w:before="7"/>
        <w:rPr>
          <w:i/>
          <w:sz w:val="29"/>
        </w:rPr>
      </w:pPr>
    </w:p>
    <w:p>
      <w:pPr>
        <w:pStyle w:val="BodyText"/>
        <w:ind w:left="107"/>
        <w:jc w:val="both"/>
      </w:pPr>
      <w:r>
        <w:rPr/>
        <w:t>Observacional, descriptivo, prospectivo, transversal, correlacional.</w:t>
      </w:r>
    </w:p>
    <w:p>
      <w:pPr>
        <w:pStyle w:val="BodyText"/>
        <w:rPr>
          <w:sz w:val="29"/>
        </w:rPr>
      </w:pPr>
    </w:p>
    <w:p>
      <w:pPr>
        <w:spacing w:before="0"/>
        <w:ind w:left="107" w:right="0" w:firstLine="0"/>
        <w:jc w:val="both"/>
        <w:rPr>
          <w:i/>
          <w:sz w:val="24"/>
        </w:rPr>
      </w:pPr>
      <w:r>
        <w:rPr>
          <w:i/>
          <w:sz w:val="24"/>
        </w:rPr>
        <w:t>Diseño del estudio</w:t>
      </w:r>
    </w:p>
    <w:p>
      <w:pPr>
        <w:pStyle w:val="BodyText"/>
        <w:spacing w:before="1"/>
        <w:rPr>
          <w:i/>
          <w:sz w:val="30"/>
        </w:rPr>
      </w:pPr>
    </w:p>
    <w:p>
      <w:pPr>
        <w:pStyle w:val="BodyText"/>
        <w:spacing w:line="364" w:lineRule="auto"/>
        <w:ind w:left="117" w:right="110" w:hanging="10"/>
        <w:jc w:val="both"/>
      </w:pPr>
      <w:r>
        <w:rPr/>
        <w:t>El estudio comprendió una serie de pacientes derechohabientes de ISSEMyM enviados de clínicas periféricas y consulta externa de Ginecología del Hospital Regional</w:t>
      </w:r>
      <w:r>
        <w:rPr>
          <w:spacing w:val="-15"/>
        </w:rPr>
        <w:t> </w:t>
      </w:r>
      <w:r>
        <w:rPr/>
        <w:t>Tlalnepantla,</w:t>
      </w:r>
      <w:r>
        <w:rPr>
          <w:spacing w:val="-14"/>
        </w:rPr>
        <w:t> </w:t>
      </w:r>
      <w:r>
        <w:rPr/>
        <w:t>con</w:t>
      </w:r>
      <w:r>
        <w:rPr>
          <w:spacing w:val="-14"/>
        </w:rPr>
        <w:t> </w:t>
      </w:r>
      <w:r>
        <w:rPr/>
        <w:t>diagnóstico</w:t>
      </w:r>
      <w:r>
        <w:rPr>
          <w:spacing w:val="-14"/>
        </w:rPr>
        <w:t> </w:t>
      </w:r>
      <w:r>
        <w:rPr/>
        <w:t>de</w:t>
      </w:r>
      <w:r>
        <w:rPr>
          <w:spacing w:val="-14"/>
        </w:rPr>
        <w:t> </w:t>
      </w:r>
      <w:r>
        <w:rPr/>
        <w:t>síndrome</w:t>
      </w:r>
      <w:r>
        <w:rPr>
          <w:spacing w:val="-12"/>
        </w:rPr>
        <w:t> </w:t>
      </w:r>
      <w:r>
        <w:rPr/>
        <w:t>de</w:t>
      </w:r>
      <w:r>
        <w:rPr>
          <w:spacing w:val="-14"/>
        </w:rPr>
        <w:t> </w:t>
      </w:r>
      <w:r>
        <w:rPr/>
        <w:t>ovario</w:t>
      </w:r>
      <w:r>
        <w:rPr>
          <w:spacing w:val="-12"/>
        </w:rPr>
        <w:t> </w:t>
      </w:r>
      <w:r>
        <w:rPr/>
        <w:t>poliquístico</w:t>
      </w:r>
      <w:r>
        <w:rPr>
          <w:spacing w:val="-12"/>
        </w:rPr>
        <w:t> </w:t>
      </w:r>
      <w:r>
        <w:rPr/>
        <w:t>a</w:t>
      </w:r>
      <w:r>
        <w:rPr>
          <w:spacing w:val="-12"/>
        </w:rPr>
        <w:t> </w:t>
      </w:r>
      <w:r>
        <w:rPr/>
        <w:t>quienes se les realizará ecografía transvaginal y perfil sérico androgénico para corroborar diagnóstico de</w:t>
      </w:r>
      <w:r>
        <w:rPr>
          <w:spacing w:val="-9"/>
        </w:rPr>
        <w:t> </w:t>
      </w:r>
      <w:r>
        <w:rPr/>
        <w:t>sospecha.</w:t>
      </w:r>
    </w:p>
    <w:p>
      <w:pPr>
        <w:spacing w:after="0" w:line="364" w:lineRule="auto"/>
        <w:jc w:val="both"/>
        <w:sectPr>
          <w:pgSz w:w="12240" w:h="15840"/>
          <w:pgMar w:top="1200" w:bottom="280" w:left="1580" w:right="1580"/>
        </w:sectPr>
      </w:pPr>
    </w:p>
    <w:p>
      <w:pPr>
        <w:pStyle w:val="BodyText"/>
        <w:rPr>
          <w:sz w:val="20"/>
        </w:rPr>
      </w:pPr>
    </w:p>
    <w:p>
      <w:pPr>
        <w:pStyle w:val="BodyText"/>
        <w:rPr>
          <w:sz w:val="20"/>
        </w:rPr>
      </w:pPr>
    </w:p>
    <w:p>
      <w:pPr>
        <w:pStyle w:val="BodyText"/>
        <w:spacing w:before="2"/>
        <w:rPr>
          <w:sz w:val="22"/>
        </w:rPr>
      </w:pPr>
    </w:p>
    <w:p>
      <w:pPr>
        <w:spacing w:before="72"/>
        <w:ind w:left="167" w:right="0" w:firstLine="0"/>
        <w:jc w:val="left"/>
        <w:rPr>
          <w:sz w:val="22"/>
        </w:rPr>
      </w:pPr>
      <w:bookmarkStart w:name="_bookmark9" w:id="10"/>
      <w:bookmarkEnd w:id="10"/>
      <w:r>
        <w:rPr/>
      </w:r>
      <w:r>
        <w:rPr>
          <w:color w:val="5A5A5A"/>
          <w:sz w:val="22"/>
        </w:rPr>
        <w:t>OPERACIONALIZACIÓN DE VARIABLES</w:t>
      </w:r>
    </w:p>
    <w:p>
      <w:pPr>
        <w:pStyle w:val="BodyText"/>
        <w:rPr>
          <w:sz w:val="22"/>
        </w:rPr>
      </w:pPr>
    </w:p>
    <w:p>
      <w:pPr>
        <w:tabs>
          <w:tab w:pos="2640" w:val="left" w:leader="none"/>
          <w:tab w:pos="4749" w:val="left" w:leader="none"/>
          <w:tab w:pos="6326" w:val="left" w:leader="none"/>
          <w:tab w:pos="8066" w:val="left" w:leader="none"/>
        </w:tabs>
        <w:spacing w:before="160"/>
        <w:ind w:left="719" w:right="0" w:firstLine="0"/>
        <w:jc w:val="left"/>
        <w:rPr>
          <w:b/>
          <w:i/>
          <w:sz w:val="16"/>
        </w:rPr>
      </w:pPr>
      <w:r>
        <w:rPr>
          <w:b/>
          <w:i/>
          <w:sz w:val="16"/>
        </w:rPr>
        <w:t>VARIABLE</w:t>
        <w:tab/>
        <w:t>Definición</w:t>
        <w:tab/>
        <w:t>Tipo</w:t>
        <w:tab/>
        <w:t>Clasificación</w:t>
        <w:tab/>
        <w:t>Unidad de</w:t>
      </w:r>
      <w:r>
        <w:rPr>
          <w:b/>
          <w:i/>
          <w:spacing w:val="-5"/>
          <w:sz w:val="16"/>
        </w:rPr>
        <w:t> </w:t>
      </w:r>
      <w:r>
        <w:rPr>
          <w:b/>
          <w:i/>
          <w:sz w:val="16"/>
        </w:rPr>
        <w:t>medición</w:t>
      </w:r>
    </w:p>
    <w:p>
      <w:pPr>
        <w:pStyle w:val="BodyText"/>
        <w:spacing w:before="5"/>
        <w:rPr>
          <w:b/>
          <w:i/>
          <w:sz w:val="7"/>
        </w:rPr>
      </w:pPr>
    </w:p>
    <w:tbl>
      <w:tblPr>
        <w:tblW w:w="0" w:type="auto"/>
        <w:jc w:val="left"/>
        <w:tblInd w:w="1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6"/>
        <w:gridCol w:w="2221"/>
        <w:gridCol w:w="1618"/>
        <w:gridCol w:w="1679"/>
        <w:gridCol w:w="2080"/>
      </w:tblGrid>
      <w:tr>
        <w:trPr>
          <w:trHeight w:val="1546" w:hRule="exact"/>
        </w:trPr>
        <w:tc>
          <w:tcPr>
            <w:tcW w:w="1896" w:type="dxa"/>
            <w:tcBorders>
              <w:right w:val="single" w:sz="4" w:space="0" w:color="4471C4"/>
            </w:tcBorders>
            <w:shd w:val="clear" w:color="auto" w:fill="479BC8"/>
          </w:tcPr>
          <w:p>
            <w:pPr>
              <w:pStyle w:val="TableParagraph"/>
              <w:rPr>
                <w:b/>
                <w:i/>
                <w:sz w:val="16"/>
              </w:rPr>
            </w:pPr>
          </w:p>
          <w:p>
            <w:pPr>
              <w:pStyle w:val="TableParagraph"/>
              <w:rPr>
                <w:b/>
                <w:i/>
                <w:sz w:val="16"/>
              </w:rPr>
            </w:pPr>
          </w:p>
          <w:p>
            <w:pPr>
              <w:pStyle w:val="TableParagraph"/>
              <w:rPr>
                <w:b/>
                <w:i/>
                <w:sz w:val="16"/>
              </w:rPr>
            </w:pPr>
          </w:p>
          <w:p>
            <w:pPr>
              <w:pStyle w:val="TableParagraph"/>
              <w:spacing w:before="8"/>
              <w:rPr>
                <w:b/>
                <w:i/>
                <w:sz w:val="19"/>
              </w:rPr>
            </w:pPr>
          </w:p>
          <w:p>
            <w:pPr>
              <w:pStyle w:val="TableParagraph"/>
              <w:ind w:left="741" w:right="736"/>
              <w:jc w:val="center"/>
              <w:rPr>
                <w:i/>
                <w:sz w:val="16"/>
              </w:rPr>
            </w:pPr>
            <w:r>
              <w:rPr>
                <w:i/>
                <w:color w:val="FDFFFD"/>
                <w:sz w:val="16"/>
              </w:rPr>
              <w:t>Edad</w:t>
            </w:r>
          </w:p>
        </w:tc>
        <w:tc>
          <w:tcPr>
            <w:tcW w:w="2221" w:type="dxa"/>
            <w:tcBorders>
              <w:top w:val="single" w:sz="8" w:space="0" w:color="405F91"/>
              <w:left w:val="single" w:sz="4" w:space="0" w:color="4471C4"/>
            </w:tcBorders>
          </w:tcPr>
          <w:p>
            <w:pPr>
              <w:pStyle w:val="TableParagraph"/>
              <w:rPr>
                <w:b/>
                <w:i/>
                <w:sz w:val="16"/>
              </w:rPr>
            </w:pPr>
          </w:p>
          <w:p>
            <w:pPr>
              <w:pStyle w:val="TableParagraph"/>
              <w:rPr>
                <w:b/>
                <w:i/>
                <w:sz w:val="16"/>
              </w:rPr>
            </w:pPr>
          </w:p>
          <w:p>
            <w:pPr>
              <w:pStyle w:val="TableParagraph"/>
              <w:spacing w:before="108"/>
              <w:ind w:left="144" w:right="174" w:firstLine="45"/>
              <w:rPr>
                <w:i/>
                <w:sz w:val="16"/>
              </w:rPr>
            </w:pPr>
            <w:r>
              <w:rPr>
                <w:i/>
                <w:sz w:val="16"/>
              </w:rPr>
              <w:t>Tiempo que ha vivido una </w:t>
            </w:r>
            <w:r>
              <w:rPr>
                <w:i/>
                <w:sz w:val="16"/>
              </w:rPr>
              <w:t>persona u otro ser</w:t>
            </w:r>
          </w:p>
          <w:p>
            <w:pPr>
              <w:pStyle w:val="TableParagraph"/>
              <w:spacing w:line="259" w:lineRule="auto" w:before="1"/>
              <w:ind w:left="540" w:right="407" w:hanging="433"/>
              <w:rPr>
                <w:i/>
                <w:sz w:val="16"/>
              </w:rPr>
            </w:pPr>
            <w:r>
              <w:rPr>
                <w:i/>
                <w:sz w:val="16"/>
              </w:rPr>
              <w:t>vivo contando desde su </w:t>
            </w:r>
            <w:r>
              <w:rPr>
                <w:i/>
                <w:sz w:val="16"/>
              </w:rPr>
              <w:t>nacimiento.</w:t>
            </w:r>
          </w:p>
        </w:tc>
        <w:tc>
          <w:tcPr>
            <w:tcW w:w="1618" w:type="dxa"/>
            <w:tcBorders>
              <w:top w:val="single" w:sz="8" w:space="0" w:color="405F91"/>
            </w:tcBorders>
          </w:tcPr>
          <w:p>
            <w:pPr>
              <w:pStyle w:val="TableParagraph"/>
              <w:rPr>
                <w:b/>
                <w:i/>
                <w:sz w:val="16"/>
              </w:rPr>
            </w:pPr>
          </w:p>
          <w:p>
            <w:pPr>
              <w:pStyle w:val="TableParagraph"/>
              <w:rPr>
                <w:b/>
                <w:i/>
                <w:sz w:val="16"/>
              </w:rPr>
            </w:pPr>
          </w:p>
          <w:p>
            <w:pPr>
              <w:pStyle w:val="TableParagraph"/>
              <w:rPr>
                <w:b/>
                <w:i/>
                <w:sz w:val="16"/>
              </w:rPr>
            </w:pPr>
          </w:p>
          <w:p>
            <w:pPr>
              <w:pStyle w:val="TableParagraph"/>
              <w:rPr>
                <w:b/>
                <w:i/>
                <w:sz w:val="18"/>
              </w:rPr>
            </w:pPr>
          </w:p>
          <w:p>
            <w:pPr>
              <w:pStyle w:val="TableParagraph"/>
              <w:ind w:left="117"/>
              <w:rPr>
                <w:i/>
                <w:sz w:val="16"/>
              </w:rPr>
            </w:pPr>
            <w:r>
              <w:rPr>
                <w:i/>
                <w:sz w:val="16"/>
              </w:rPr>
              <w:t>Independiente</w:t>
            </w:r>
          </w:p>
        </w:tc>
        <w:tc>
          <w:tcPr>
            <w:tcW w:w="1679" w:type="dxa"/>
            <w:tcBorders>
              <w:top w:val="single" w:sz="8" w:space="0" w:color="405F91"/>
            </w:tcBorders>
          </w:tcPr>
          <w:p>
            <w:pPr>
              <w:pStyle w:val="TableParagraph"/>
              <w:rPr>
                <w:b/>
                <w:i/>
                <w:sz w:val="16"/>
              </w:rPr>
            </w:pPr>
          </w:p>
          <w:p>
            <w:pPr>
              <w:pStyle w:val="TableParagraph"/>
              <w:rPr>
                <w:b/>
                <w:i/>
                <w:sz w:val="16"/>
              </w:rPr>
            </w:pPr>
          </w:p>
          <w:p>
            <w:pPr>
              <w:pStyle w:val="TableParagraph"/>
              <w:rPr>
                <w:b/>
                <w:i/>
                <w:sz w:val="16"/>
              </w:rPr>
            </w:pPr>
          </w:p>
          <w:p>
            <w:pPr>
              <w:pStyle w:val="TableParagraph"/>
              <w:spacing w:line="259" w:lineRule="auto" w:before="106"/>
              <w:ind w:left="614" w:right="329" w:hanging="130"/>
              <w:rPr>
                <w:i/>
                <w:sz w:val="16"/>
              </w:rPr>
            </w:pPr>
            <w:r>
              <w:rPr>
                <w:i/>
                <w:sz w:val="16"/>
              </w:rPr>
              <w:t>Cuantitativa </w:t>
            </w:r>
            <w:r>
              <w:rPr>
                <w:i/>
                <w:sz w:val="16"/>
              </w:rPr>
              <w:t>Discreta</w:t>
            </w:r>
          </w:p>
        </w:tc>
        <w:tc>
          <w:tcPr>
            <w:tcW w:w="2080" w:type="dxa"/>
            <w:tcBorders>
              <w:top w:val="single" w:sz="8" w:space="0" w:color="405F91"/>
            </w:tcBorders>
          </w:tcPr>
          <w:p>
            <w:pPr>
              <w:pStyle w:val="TableParagraph"/>
              <w:rPr>
                <w:b/>
                <w:i/>
                <w:sz w:val="16"/>
              </w:rPr>
            </w:pPr>
          </w:p>
          <w:p>
            <w:pPr>
              <w:pStyle w:val="TableParagraph"/>
              <w:rPr>
                <w:b/>
                <w:i/>
                <w:sz w:val="16"/>
              </w:rPr>
            </w:pPr>
          </w:p>
          <w:p>
            <w:pPr>
              <w:pStyle w:val="TableParagraph"/>
              <w:rPr>
                <w:b/>
                <w:i/>
                <w:sz w:val="16"/>
              </w:rPr>
            </w:pPr>
          </w:p>
          <w:p>
            <w:pPr>
              <w:pStyle w:val="TableParagraph"/>
              <w:rPr>
                <w:b/>
                <w:i/>
                <w:sz w:val="18"/>
              </w:rPr>
            </w:pPr>
          </w:p>
          <w:p>
            <w:pPr>
              <w:pStyle w:val="TableParagraph"/>
              <w:ind w:left="344" w:right="169"/>
              <w:jc w:val="center"/>
              <w:rPr>
                <w:i/>
                <w:sz w:val="16"/>
              </w:rPr>
            </w:pPr>
            <w:r>
              <w:rPr>
                <w:i/>
                <w:sz w:val="16"/>
              </w:rPr>
              <w:t>Años</w:t>
            </w:r>
          </w:p>
        </w:tc>
      </w:tr>
      <w:tr>
        <w:trPr>
          <w:trHeight w:val="1090" w:hRule="exact"/>
        </w:trPr>
        <w:tc>
          <w:tcPr>
            <w:tcW w:w="1896" w:type="dxa"/>
            <w:tcBorders>
              <w:right w:val="single" w:sz="4" w:space="0" w:color="4471C4"/>
            </w:tcBorders>
            <w:shd w:val="clear" w:color="auto" w:fill="479BC8"/>
          </w:tcPr>
          <w:p>
            <w:pPr>
              <w:pStyle w:val="TableParagraph"/>
              <w:rPr>
                <w:b/>
                <w:i/>
                <w:sz w:val="16"/>
              </w:rPr>
            </w:pPr>
          </w:p>
          <w:p>
            <w:pPr>
              <w:pStyle w:val="TableParagraph"/>
              <w:spacing w:before="1"/>
              <w:rPr>
                <w:b/>
                <w:i/>
                <w:sz w:val="22"/>
              </w:rPr>
            </w:pPr>
          </w:p>
          <w:p>
            <w:pPr>
              <w:pStyle w:val="TableParagraph"/>
              <w:spacing w:line="259" w:lineRule="auto"/>
              <w:ind w:left="359" w:right="272" w:hanging="183"/>
              <w:rPr>
                <w:i/>
                <w:sz w:val="16"/>
              </w:rPr>
            </w:pPr>
            <w:r>
              <w:rPr>
                <w:i/>
                <w:color w:val="FDFFFD"/>
                <w:sz w:val="16"/>
              </w:rPr>
              <w:t>Índice volumen total </w:t>
            </w:r>
            <w:r>
              <w:rPr>
                <w:i/>
                <w:color w:val="FDFFFD"/>
                <w:sz w:val="16"/>
              </w:rPr>
              <w:t>estroma/ovario</w:t>
            </w:r>
          </w:p>
        </w:tc>
        <w:tc>
          <w:tcPr>
            <w:tcW w:w="2221" w:type="dxa"/>
            <w:tcBorders>
              <w:left w:val="single" w:sz="4" w:space="0" w:color="4471C4"/>
            </w:tcBorders>
            <w:shd w:val="clear" w:color="auto" w:fill="EDEDED"/>
          </w:tcPr>
          <w:p>
            <w:pPr>
              <w:pStyle w:val="TableParagraph"/>
              <w:spacing w:before="4"/>
              <w:rPr>
                <w:b/>
                <w:i/>
                <w:sz w:val="16"/>
              </w:rPr>
            </w:pPr>
          </w:p>
          <w:p>
            <w:pPr>
              <w:pStyle w:val="TableParagraph"/>
              <w:ind w:left="160" w:right="100" w:hanging="12"/>
              <w:rPr>
                <w:i/>
                <w:sz w:val="16"/>
              </w:rPr>
            </w:pPr>
            <w:r>
              <w:rPr>
                <w:i/>
                <w:sz w:val="16"/>
              </w:rPr>
              <w:t>El índice estroma/área total </w:t>
            </w:r>
            <w:r>
              <w:rPr>
                <w:i/>
                <w:sz w:val="16"/>
              </w:rPr>
              <w:t>es la división que</w:t>
            </w:r>
          </w:p>
          <w:p>
            <w:pPr>
              <w:pStyle w:val="TableParagraph"/>
              <w:spacing w:line="259" w:lineRule="auto" w:before="1"/>
              <w:ind w:left="201" w:right="238" w:hanging="94"/>
              <w:rPr>
                <w:i/>
                <w:sz w:val="16"/>
              </w:rPr>
            </w:pPr>
            <w:r>
              <w:rPr>
                <w:i/>
                <w:sz w:val="16"/>
              </w:rPr>
              <w:t>resulta de lo anterior en el </w:t>
            </w:r>
            <w:r>
              <w:rPr>
                <w:i/>
                <w:sz w:val="16"/>
              </w:rPr>
              <w:t>orden mencionado</w:t>
            </w:r>
          </w:p>
        </w:tc>
        <w:tc>
          <w:tcPr>
            <w:tcW w:w="1618" w:type="dxa"/>
            <w:shd w:val="clear" w:color="auto" w:fill="EDEDED"/>
          </w:tcPr>
          <w:p>
            <w:pPr>
              <w:pStyle w:val="TableParagraph"/>
              <w:rPr>
                <w:b/>
                <w:i/>
                <w:sz w:val="16"/>
              </w:rPr>
            </w:pPr>
          </w:p>
          <w:p>
            <w:pPr>
              <w:pStyle w:val="TableParagraph"/>
              <w:rPr>
                <w:b/>
                <w:i/>
                <w:sz w:val="16"/>
              </w:rPr>
            </w:pPr>
          </w:p>
          <w:p>
            <w:pPr>
              <w:pStyle w:val="TableParagraph"/>
              <w:spacing w:before="10"/>
              <w:rPr>
                <w:b/>
                <w:i/>
                <w:sz w:val="14"/>
              </w:rPr>
            </w:pPr>
          </w:p>
          <w:p>
            <w:pPr>
              <w:pStyle w:val="TableParagraph"/>
              <w:ind w:left="172"/>
              <w:rPr>
                <w:i/>
                <w:sz w:val="16"/>
              </w:rPr>
            </w:pPr>
            <w:r>
              <w:rPr>
                <w:i/>
                <w:sz w:val="16"/>
              </w:rPr>
              <w:t>Dependiente</w:t>
            </w:r>
          </w:p>
        </w:tc>
        <w:tc>
          <w:tcPr>
            <w:tcW w:w="1679" w:type="dxa"/>
            <w:shd w:val="clear" w:color="auto" w:fill="EDEDED"/>
          </w:tcPr>
          <w:p>
            <w:pPr>
              <w:pStyle w:val="TableParagraph"/>
              <w:rPr>
                <w:b/>
                <w:i/>
                <w:sz w:val="16"/>
              </w:rPr>
            </w:pPr>
          </w:p>
          <w:p>
            <w:pPr>
              <w:pStyle w:val="TableParagraph"/>
              <w:spacing w:before="1"/>
              <w:rPr>
                <w:b/>
                <w:i/>
                <w:sz w:val="22"/>
              </w:rPr>
            </w:pPr>
          </w:p>
          <w:p>
            <w:pPr>
              <w:pStyle w:val="TableParagraph"/>
              <w:spacing w:line="259" w:lineRule="auto"/>
              <w:ind w:left="588" w:right="326" w:hanging="101"/>
              <w:rPr>
                <w:i/>
                <w:sz w:val="16"/>
              </w:rPr>
            </w:pPr>
            <w:r>
              <w:rPr>
                <w:i/>
                <w:sz w:val="16"/>
              </w:rPr>
              <w:t>Cuantitativa </w:t>
            </w:r>
            <w:r>
              <w:rPr>
                <w:i/>
                <w:sz w:val="16"/>
              </w:rPr>
              <w:t>Continua</w:t>
            </w:r>
          </w:p>
        </w:tc>
        <w:tc>
          <w:tcPr>
            <w:tcW w:w="2080" w:type="dxa"/>
            <w:shd w:val="clear" w:color="auto" w:fill="EDEDED"/>
          </w:tcPr>
          <w:p>
            <w:pPr>
              <w:pStyle w:val="TableParagraph"/>
              <w:rPr>
                <w:b/>
                <w:i/>
                <w:sz w:val="16"/>
              </w:rPr>
            </w:pPr>
          </w:p>
          <w:p>
            <w:pPr>
              <w:pStyle w:val="TableParagraph"/>
              <w:spacing w:before="10"/>
              <w:rPr>
                <w:b/>
                <w:i/>
                <w:sz w:val="12"/>
              </w:rPr>
            </w:pPr>
          </w:p>
          <w:p>
            <w:pPr>
              <w:pStyle w:val="TableParagraph"/>
              <w:spacing w:before="1"/>
              <w:ind w:left="344" w:right="162"/>
              <w:jc w:val="center"/>
              <w:rPr>
                <w:i/>
                <w:sz w:val="16"/>
              </w:rPr>
            </w:pPr>
            <w:r>
              <w:rPr>
                <w:i/>
                <w:sz w:val="16"/>
              </w:rPr>
              <w:t>Índice</w:t>
            </w:r>
          </w:p>
          <w:p>
            <w:pPr>
              <w:pStyle w:val="TableParagraph"/>
              <w:spacing w:line="278" w:lineRule="auto" w:before="15"/>
              <w:ind w:left="344" w:right="169"/>
              <w:jc w:val="center"/>
              <w:rPr>
                <w:i/>
                <w:sz w:val="16"/>
              </w:rPr>
            </w:pPr>
            <w:r>
              <w:rPr>
                <w:i/>
                <w:sz w:val="16"/>
              </w:rPr>
              <w:t>(valor normal menor a </w:t>
            </w:r>
            <w:r>
              <w:rPr>
                <w:i/>
                <w:sz w:val="16"/>
              </w:rPr>
              <w:t>0.32)</w:t>
            </w:r>
          </w:p>
        </w:tc>
      </w:tr>
      <w:tr>
        <w:trPr>
          <w:trHeight w:val="926" w:hRule="exact"/>
        </w:trPr>
        <w:tc>
          <w:tcPr>
            <w:tcW w:w="1896" w:type="dxa"/>
            <w:tcBorders>
              <w:right w:val="single" w:sz="4" w:space="0" w:color="4471C4"/>
            </w:tcBorders>
            <w:shd w:val="clear" w:color="auto" w:fill="479BC8"/>
          </w:tcPr>
          <w:p>
            <w:pPr/>
          </w:p>
        </w:tc>
        <w:tc>
          <w:tcPr>
            <w:tcW w:w="2221" w:type="dxa"/>
            <w:vMerge w:val="restart"/>
            <w:tcBorders>
              <w:left w:val="single" w:sz="4" w:space="0" w:color="4471C4"/>
            </w:tcBorders>
          </w:tcPr>
          <w:p>
            <w:pPr>
              <w:pStyle w:val="TableParagraph"/>
              <w:rPr>
                <w:b/>
                <w:i/>
                <w:sz w:val="16"/>
              </w:rPr>
            </w:pPr>
          </w:p>
          <w:p>
            <w:pPr>
              <w:pStyle w:val="TableParagraph"/>
              <w:rPr>
                <w:b/>
                <w:i/>
                <w:sz w:val="16"/>
              </w:rPr>
            </w:pPr>
          </w:p>
          <w:p>
            <w:pPr>
              <w:pStyle w:val="TableParagraph"/>
              <w:spacing w:before="6"/>
              <w:rPr>
                <w:b/>
                <w:i/>
                <w:sz w:val="13"/>
              </w:rPr>
            </w:pPr>
          </w:p>
          <w:p>
            <w:pPr>
              <w:pStyle w:val="TableParagraph"/>
              <w:spacing w:line="247" w:lineRule="auto" w:before="1"/>
              <w:ind w:left="96" w:right="409" w:firstLine="5"/>
              <w:jc w:val="center"/>
              <w:rPr>
                <w:i/>
                <w:sz w:val="16"/>
              </w:rPr>
            </w:pPr>
            <w:r>
              <w:rPr>
                <w:i/>
                <w:sz w:val="16"/>
              </w:rPr>
              <w:t>Intensidad de reflexión </w:t>
            </w:r>
            <w:r>
              <w:rPr>
                <w:i/>
                <w:sz w:val="16"/>
              </w:rPr>
              <w:t>de ondas ultrasónicas que traducen intensidad de brillo en el estroma</w:t>
            </w:r>
          </w:p>
          <w:p>
            <w:pPr>
              <w:pStyle w:val="TableParagraph"/>
              <w:spacing w:before="26"/>
              <w:ind w:left="674" w:right="985"/>
              <w:jc w:val="center"/>
              <w:rPr>
                <w:i/>
                <w:sz w:val="16"/>
              </w:rPr>
            </w:pPr>
            <w:r>
              <w:rPr>
                <w:i/>
                <w:sz w:val="16"/>
              </w:rPr>
              <w:t>ovárico</w:t>
            </w:r>
          </w:p>
        </w:tc>
        <w:tc>
          <w:tcPr>
            <w:tcW w:w="1618" w:type="dxa"/>
          </w:tcPr>
          <w:p>
            <w:pPr/>
          </w:p>
        </w:tc>
        <w:tc>
          <w:tcPr>
            <w:tcW w:w="1679" w:type="dxa"/>
          </w:tcPr>
          <w:p>
            <w:pPr/>
          </w:p>
        </w:tc>
        <w:tc>
          <w:tcPr>
            <w:tcW w:w="2080" w:type="dxa"/>
          </w:tcPr>
          <w:p>
            <w:pPr>
              <w:pStyle w:val="TableParagraph"/>
              <w:spacing w:before="4"/>
              <w:rPr>
                <w:b/>
                <w:i/>
                <w:sz w:val="16"/>
              </w:rPr>
            </w:pPr>
          </w:p>
          <w:p>
            <w:pPr>
              <w:pStyle w:val="TableParagraph"/>
              <w:ind w:left="344" w:right="165"/>
              <w:jc w:val="center"/>
              <w:rPr>
                <w:i/>
                <w:sz w:val="16"/>
              </w:rPr>
            </w:pPr>
            <w:r>
              <w:rPr>
                <w:i/>
                <w:sz w:val="16"/>
              </w:rPr>
              <w:t>Isoecogénica, </w:t>
            </w:r>
            <w:r>
              <w:rPr>
                <w:i/>
                <w:sz w:val="16"/>
              </w:rPr>
              <w:t>hipoecogénica e hiperecogénica al miometrio</w:t>
            </w:r>
          </w:p>
        </w:tc>
      </w:tr>
      <w:tr>
        <w:trPr>
          <w:trHeight w:val="239" w:hRule="exact"/>
        </w:trPr>
        <w:tc>
          <w:tcPr>
            <w:tcW w:w="1896" w:type="dxa"/>
            <w:tcBorders>
              <w:right w:val="single" w:sz="4" w:space="0" w:color="4471C4"/>
            </w:tcBorders>
            <w:shd w:val="clear" w:color="auto" w:fill="479BC8"/>
          </w:tcPr>
          <w:p>
            <w:pPr/>
          </w:p>
        </w:tc>
        <w:tc>
          <w:tcPr>
            <w:tcW w:w="2221" w:type="dxa"/>
            <w:vMerge/>
            <w:tcBorders>
              <w:left w:val="single" w:sz="4" w:space="0" w:color="4471C4"/>
            </w:tcBorders>
          </w:tcPr>
          <w:p>
            <w:pPr/>
          </w:p>
        </w:tc>
        <w:tc>
          <w:tcPr>
            <w:tcW w:w="1618" w:type="dxa"/>
          </w:tcPr>
          <w:p>
            <w:pPr>
              <w:pStyle w:val="TableParagraph"/>
              <w:spacing w:line="174" w:lineRule="exact"/>
              <w:ind w:left="172"/>
              <w:rPr>
                <w:i/>
                <w:sz w:val="16"/>
              </w:rPr>
            </w:pPr>
            <w:r>
              <w:rPr>
                <w:i/>
                <w:sz w:val="16"/>
              </w:rPr>
              <w:t>Dependiente</w:t>
            </w:r>
          </w:p>
        </w:tc>
        <w:tc>
          <w:tcPr>
            <w:tcW w:w="1679" w:type="dxa"/>
          </w:tcPr>
          <w:p>
            <w:pPr/>
          </w:p>
        </w:tc>
        <w:tc>
          <w:tcPr>
            <w:tcW w:w="2080" w:type="dxa"/>
          </w:tcPr>
          <w:p>
            <w:pPr/>
          </w:p>
        </w:tc>
      </w:tr>
      <w:tr>
        <w:trPr>
          <w:trHeight w:val="681" w:hRule="exact"/>
        </w:trPr>
        <w:tc>
          <w:tcPr>
            <w:tcW w:w="1896" w:type="dxa"/>
            <w:tcBorders>
              <w:right w:val="single" w:sz="4" w:space="0" w:color="4471C4"/>
            </w:tcBorders>
            <w:shd w:val="clear" w:color="auto" w:fill="479BC8"/>
          </w:tcPr>
          <w:p>
            <w:pPr>
              <w:pStyle w:val="TableParagraph"/>
              <w:spacing w:line="120" w:lineRule="exact"/>
              <w:ind w:left="343" w:right="272" w:hanging="39"/>
              <w:rPr>
                <w:i/>
                <w:sz w:val="16"/>
              </w:rPr>
            </w:pPr>
            <w:r>
              <w:rPr>
                <w:i/>
                <w:color w:val="FDFFFD"/>
                <w:sz w:val="16"/>
              </w:rPr>
              <w:t>Ecogenicidad del</w:t>
            </w:r>
          </w:p>
          <w:p>
            <w:pPr>
              <w:pStyle w:val="TableParagraph"/>
              <w:spacing w:before="15"/>
              <w:ind w:left="343" w:right="272"/>
              <w:rPr>
                <w:i/>
                <w:sz w:val="16"/>
              </w:rPr>
            </w:pPr>
            <w:r>
              <w:rPr>
                <w:i/>
                <w:color w:val="FDFFFD"/>
                <w:sz w:val="16"/>
              </w:rPr>
              <w:t>estroma ovárico</w:t>
            </w:r>
          </w:p>
        </w:tc>
        <w:tc>
          <w:tcPr>
            <w:tcW w:w="2221" w:type="dxa"/>
            <w:vMerge/>
            <w:tcBorders>
              <w:left w:val="single" w:sz="4" w:space="0" w:color="4471C4"/>
            </w:tcBorders>
          </w:tcPr>
          <w:p>
            <w:pPr/>
          </w:p>
        </w:tc>
        <w:tc>
          <w:tcPr>
            <w:tcW w:w="1618" w:type="dxa"/>
          </w:tcPr>
          <w:p>
            <w:pPr/>
          </w:p>
        </w:tc>
        <w:tc>
          <w:tcPr>
            <w:tcW w:w="1679" w:type="dxa"/>
          </w:tcPr>
          <w:p>
            <w:pPr>
              <w:pStyle w:val="TableParagraph"/>
              <w:spacing w:before="48"/>
              <w:ind w:left="535" w:right="329"/>
              <w:rPr>
                <w:i/>
                <w:sz w:val="16"/>
              </w:rPr>
            </w:pPr>
            <w:r>
              <w:rPr>
                <w:i/>
                <w:sz w:val="16"/>
              </w:rPr>
              <w:t>Cualitativa</w:t>
            </w:r>
          </w:p>
        </w:tc>
        <w:tc>
          <w:tcPr>
            <w:tcW w:w="2080" w:type="dxa"/>
          </w:tcPr>
          <w:p>
            <w:pPr/>
          </w:p>
        </w:tc>
      </w:tr>
      <w:tr>
        <w:trPr>
          <w:trHeight w:val="79" w:hRule="exact"/>
        </w:trPr>
        <w:tc>
          <w:tcPr>
            <w:tcW w:w="1896" w:type="dxa"/>
            <w:shd w:val="clear" w:color="auto" w:fill="479BC8"/>
          </w:tcPr>
          <w:p>
            <w:pPr/>
          </w:p>
        </w:tc>
        <w:tc>
          <w:tcPr>
            <w:tcW w:w="7597" w:type="dxa"/>
            <w:gridSpan w:val="4"/>
          </w:tcPr>
          <w:p>
            <w:pPr/>
          </w:p>
        </w:tc>
      </w:tr>
    </w:tbl>
    <w:p>
      <w:pPr>
        <w:pStyle w:val="BodyText"/>
        <w:spacing w:before="2"/>
        <w:rPr>
          <w:b/>
          <w:i/>
          <w:sz w:val="18"/>
        </w:rPr>
      </w:pPr>
    </w:p>
    <w:p>
      <w:pPr>
        <w:tabs>
          <w:tab w:pos="3012" w:val="left" w:leader="none"/>
          <w:tab w:pos="5253" w:val="left" w:leader="none"/>
          <w:tab w:pos="6154" w:val="left" w:leader="none"/>
          <w:tab w:pos="7620" w:val="left" w:leader="none"/>
        </w:tabs>
        <w:spacing w:before="82" w:after="45"/>
        <w:ind w:left="158" w:right="0" w:firstLine="0"/>
        <w:jc w:val="left"/>
        <w:rPr>
          <w:b/>
          <w:i/>
          <w:sz w:val="16"/>
        </w:rPr>
      </w:pPr>
      <w:r>
        <w:rPr>
          <w:b/>
          <w:i/>
          <w:sz w:val="16"/>
        </w:rPr>
        <w:t>BIOQUIMICA</w:t>
      </w:r>
      <w:r>
        <w:rPr>
          <w:b/>
          <w:i/>
          <w:position w:val="9"/>
          <w:sz w:val="16"/>
        </w:rPr>
        <w:t>VARIABLE</w:t>
        <w:tab/>
      </w:r>
      <w:r>
        <w:rPr>
          <w:b/>
          <w:i/>
          <w:sz w:val="16"/>
        </w:rPr>
        <w:t>Definición</w:t>
        <w:tab/>
        <w:t>Tipo</w:t>
        <w:tab/>
        <w:t>Clasificación</w:t>
        <w:tab/>
        <w:t>Unidad de</w:t>
      </w:r>
      <w:r>
        <w:rPr>
          <w:b/>
          <w:i/>
          <w:spacing w:val="-5"/>
          <w:sz w:val="16"/>
        </w:rPr>
        <w:t> </w:t>
      </w:r>
      <w:r>
        <w:rPr>
          <w:b/>
          <w:i/>
          <w:sz w:val="16"/>
        </w:rPr>
        <w:t>medición</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79"/>
        <w:gridCol w:w="2804"/>
        <w:gridCol w:w="1283"/>
        <w:gridCol w:w="1172"/>
        <w:gridCol w:w="2257"/>
      </w:tblGrid>
      <w:tr>
        <w:trPr>
          <w:trHeight w:val="992" w:hRule="exact"/>
        </w:trPr>
        <w:tc>
          <w:tcPr>
            <w:tcW w:w="1879" w:type="dxa"/>
            <w:tcBorders>
              <w:top w:val="single" w:sz="8" w:space="0" w:color="405F91"/>
            </w:tcBorders>
            <w:shd w:val="clear" w:color="auto" w:fill="479BC8"/>
          </w:tcPr>
          <w:p>
            <w:pPr>
              <w:pStyle w:val="TableParagraph"/>
              <w:rPr>
                <w:b/>
                <w:i/>
                <w:sz w:val="16"/>
              </w:rPr>
            </w:pPr>
          </w:p>
          <w:p>
            <w:pPr>
              <w:pStyle w:val="TableParagraph"/>
              <w:spacing w:before="10"/>
              <w:rPr>
                <w:b/>
                <w:i/>
                <w:sz w:val="17"/>
              </w:rPr>
            </w:pPr>
          </w:p>
          <w:p>
            <w:pPr>
              <w:pStyle w:val="TableParagraph"/>
              <w:spacing w:before="1"/>
              <w:ind w:left="114" w:right="114"/>
              <w:jc w:val="center"/>
              <w:rPr>
                <w:i/>
                <w:sz w:val="16"/>
              </w:rPr>
            </w:pPr>
            <w:r>
              <w:rPr>
                <w:i/>
                <w:color w:val="FDFFFD"/>
                <w:sz w:val="16"/>
              </w:rPr>
              <w:t>Estradiol</w:t>
            </w:r>
          </w:p>
        </w:tc>
        <w:tc>
          <w:tcPr>
            <w:tcW w:w="2804" w:type="dxa"/>
            <w:tcBorders>
              <w:top w:val="single" w:sz="8" w:space="0" w:color="405F91"/>
              <w:bottom w:val="single" w:sz="32" w:space="0" w:color="EDEDED"/>
            </w:tcBorders>
          </w:tcPr>
          <w:p>
            <w:pPr>
              <w:pStyle w:val="TableParagraph"/>
              <w:ind w:left="203" w:right="203" w:hanging="3"/>
              <w:jc w:val="center"/>
              <w:rPr>
                <w:i/>
                <w:sz w:val="16"/>
              </w:rPr>
            </w:pPr>
            <w:r>
              <w:rPr>
                <w:i/>
                <w:sz w:val="16"/>
              </w:rPr>
              <w:t>Hormona esteroide femenina, </w:t>
            </w:r>
            <w:r>
              <w:rPr>
                <w:i/>
                <w:sz w:val="16"/>
              </w:rPr>
              <w:t>derivada del colesterol, producida por las células granulosas de los</w:t>
            </w:r>
          </w:p>
          <w:p>
            <w:pPr>
              <w:pStyle w:val="TableParagraph"/>
              <w:spacing w:before="29"/>
              <w:ind w:left="77" w:right="80"/>
              <w:jc w:val="center"/>
              <w:rPr>
                <w:i/>
                <w:sz w:val="16"/>
              </w:rPr>
            </w:pPr>
            <w:r>
              <w:rPr>
                <w:i/>
                <w:sz w:val="16"/>
              </w:rPr>
              <w:t>ovarios</w:t>
            </w:r>
          </w:p>
        </w:tc>
        <w:tc>
          <w:tcPr>
            <w:tcW w:w="1283" w:type="dxa"/>
            <w:tcBorders>
              <w:top w:val="single" w:sz="8" w:space="0" w:color="405F91"/>
              <w:bottom w:val="single" w:sz="32" w:space="0" w:color="EDEDED"/>
            </w:tcBorders>
          </w:tcPr>
          <w:p>
            <w:pPr>
              <w:pStyle w:val="TableParagraph"/>
              <w:rPr>
                <w:b/>
                <w:i/>
                <w:sz w:val="16"/>
              </w:rPr>
            </w:pPr>
          </w:p>
          <w:p>
            <w:pPr>
              <w:pStyle w:val="TableParagraph"/>
              <w:spacing w:before="10"/>
              <w:rPr>
                <w:b/>
                <w:i/>
                <w:sz w:val="17"/>
              </w:rPr>
            </w:pPr>
          </w:p>
          <w:p>
            <w:pPr>
              <w:pStyle w:val="TableParagraph"/>
              <w:spacing w:before="1"/>
              <w:ind w:left="119"/>
              <w:rPr>
                <w:i/>
                <w:sz w:val="16"/>
              </w:rPr>
            </w:pPr>
            <w:r>
              <w:rPr>
                <w:i/>
                <w:sz w:val="16"/>
              </w:rPr>
              <w:t>Independiente</w:t>
            </w:r>
          </w:p>
        </w:tc>
        <w:tc>
          <w:tcPr>
            <w:tcW w:w="1172" w:type="dxa"/>
            <w:tcBorders>
              <w:top w:val="single" w:sz="8" w:space="0" w:color="405F91"/>
              <w:bottom w:val="single" w:sz="32" w:space="0" w:color="EDEDED"/>
            </w:tcBorders>
          </w:tcPr>
          <w:p>
            <w:pPr>
              <w:pStyle w:val="TableParagraph"/>
              <w:rPr>
                <w:b/>
                <w:i/>
                <w:sz w:val="16"/>
              </w:rPr>
            </w:pPr>
          </w:p>
          <w:p>
            <w:pPr>
              <w:pStyle w:val="TableParagraph"/>
              <w:spacing w:line="259" w:lineRule="auto" w:before="105"/>
              <w:ind w:left="274" w:right="161" w:hanging="128"/>
              <w:rPr>
                <w:i/>
                <w:sz w:val="16"/>
              </w:rPr>
            </w:pPr>
            <w:r>
              <w:rPr>
                <w:i/>
                <w:sz w:val="16"/>
              </w:rPr>
              <w:t>Cuantitativa </w:t>
            </w:r>
            <w:r>
              <w:rPr>
                <w:i/>
                <w:sz w:val="16"/>
              </w:rPr>
              <w:t>Discreta</w:t>
            </w:r>
          </w:p>
        </w:tc>
        <w:tc>
          <w:tcPr>
            <w:tcW w:w="2257" w:type="dxa"/>
            <w:tcBorders>
              <w:top w:val="single" w:sz="8" w:space="0" w:color="405F91"/>
              <w:bottom w:val="single" w:sz="32" w:space="0" w:color="EDEDED"/>
            </w:tcBorders>
          </w:tcPr>
          <w:p>
            <w:pPr>
              <w:pStyle w:val="TableParagraph"/>
              <w:spacing w:before="8"/>
              <w:rPr>
                <w:b/>
                <w:i/>
                <w:sz w:val="23"/>
              </w:rPr>
            </w:pPr>
          </w:p>
          <w:p>
            <w:pPr>
              <w:pStyle w:val="TableParagraph"/>
              <w:ind w:left="172" w:right="173"/>
              <w:jc w:val="center"/>
              <w:rPr>
                <w:rFonts w:ascii="Calibri"/>
                <w:sz w:val="16"/>
              </w:rPr>
            </w:pPr>
            <w:r>
              <w:rPr>
                <w:rFonts w:ascii="Calibri"/>
                <w:sz w:val="16"/>
              </w:rPr>
              <w:t>ng/mL</w:t>
            </w:r>
          </w:p>
          <w:p>
            <w:pPr>
              <w:pStyle w:val="TableParagraph"/>
              <w:spacing w:before="32"/>
              <w:ind w:left="174" w:right="173"/>
              <w:jc w:val="center"/>
              <w:rPr>
                <w:rFonts w:ascii="Calibri" w:hAnsi="Calibri"/>
                <w:sz w:val="16"/>
              </w:rPr>
            </w:pPr>
            <w:r>
              <w:rPr>
                <w:i/>
                <w:sz w:val="16"/>
              </w:rPr>
              <w:t>(Fase folicular: 24 – 114</w:t>
            </w:r>
            <w:r>
              <w:rPr>
                <w:rFonts w:ascii="Calibri" w:hAnsi="Calibri"/>
                <w:sz w:val="16"/>
              </w:rPr>
              <w:t>)</w:t>
            </w:r>
          </w:p>
        </w:tc>
      </w:tr>
      <w:tr>
        <w:trPr>
          <w:trHeight w:val="1586" w:hRule="exact"/>
        </w:trPr>
        <w:tc>
          <w:tcPr>
            <w:tcW w:w="1879" w:type="dxa"/>
            <w:shd w:val="clear" w:color="auto" w:fill="479BC8"/>
          </w:tcPr>
          <w:p>
            <w:pPr>
              <w:pStyle w:val="TableParagraph"/>
              <w:rPr>
                <w:b/>
                <w:i/>
                <w:sz w:val="16"/>
              </w:rPr>
            </w:pPr>
          </w:p>
          <w:p>
            <w:pPr>
              <w:pStyle w:val="TableParagraph"/>
              <w:rPr>
                <w:b/>
                <w:i/>
                <w:sz w:val="16"/>
              </w:rPr>
            </w:pPr>
          </w:p>
          <w:p>
            <w:pPr>
              <w:pStyle w:val="TableParagraph"/>
              <w:rPr>
                <w:b/>
                <w:i/>
                <w:sz w:val="16"/>
              </w:rPr>
            </w:pPr>
          </w:p>
          <w:p>
            <w:pPr>
              <w:pStyle w:val="TableParagraph"/>
              <w:spacing w:before="6"/>
              <w:rPr>
                <w:b/>
                <w:i/>
                <w:sz w:val="15"/>
              </w:rPr>
            </w:pPr>
          </w:p>
          <w:p>
            <w:pPr>
              <w:pStyle w:val="TableParagraph"/>
              <w:ind w:left="114" w:right="114"/>
              <w:jc w:val="center"/>
              <w:rPr>
                <w:i/>
                <w:sz w:val="16"/>
              </w:rPr>
            </w:pPr>
            <w:r>
              <w:rPr>
                <w:i/>
                <w:color w:val="FDFFFD"/>
                <w:sz w:val="16"/>
              </w:rPr>
              <w:t>Testosterona</w:t>
            </w:r>
          </w:p>
        </w:tc>
        <w:tc>
          <w:tcPr>
            <w:tcW w:w="2804" w:type="dxa"/>
            <w:shd w:val="clear" w:color="auto" w:fill="EDEDED"/>
          </w:tcPr>
          <w:p>
            <w:pPr>
              <w:pStyle w:val="TableParagraph"/>
              <w:spacing w:line="244" w:lineRule="auto" w:before="78"/>
              <w:ind w:left="77" w:right="80"/>
              <w:jc w:val="center"/>
              <w:rPr>
                <w:i/>
                <w:sz w:val="16"/>
              </w:rPr>
            </w:pPr>
            <w:r>
              <w:rPr>
                <w:i/>
                <w:sz w:val="16"/>
              </w:rPr>
              <w:t>Hormona sexual masculina </w:t>
            </w:r>
            <w:r>
              <w:rPr>
                <w:i/>
                <w:sz w:val="16"/>
              </w:rPr>
              <w:t>segregada especialmente en el testículo, pero también, y en menor cantidad, en el ovario y en la corteza suprarrenal, que tiene efectos morfológicos, metabólicos y</w:t>
            </w:r>
          </w:p>
          <w:p>
            <w:pPr>
              <w:pStyle w:val="TableParagraph"/>
              <w:spacing w:before="26"/>
              <w:ind w:left="77" w:right="77"/>
              <w:jc w:val="center"/>
              <w:rPr>
                <w:i/>
                <w:sz w:val="16"/>
              </w:rPr>
            </w:pPr>
            <w:r>
              <w:rPr>
                <w:i/>
                <w:sz w:val="16"/>
              </w:rPr>
              <w:t>psíquicos</w:t>
            </w:r>
          </w:p>
        </w:tc>
        <w:tc>
          <w:tcPr>
            <w:tcW w:w="1283" w:type="dxa"/>
            <w:shd w:val="clear" w:color="auto" w:fill="EDEDED"/>
          </w:tcPr>
          <w:p>
            <w:pPr>
              <w:pStyle w:val="TableParagraph"/>
              <w:rPr>
                <w:b/>
                <w:i/>
                <w:sz w:val="16"/>
              </w:rPr>
            </w:pPr>
          </w:p>
          <w:p>
            <w:pPr>
              <w:pStyle w:val="TableParagraph"/>
              <w:rPr>
                <w:b/>
                <w:i/>
                <w:sz w:val="16"/>
              </w:rPr>
            </w:pPr>
          </w:p>
          <w:p>
            <w:pPr>
              <w:pStyle w:val="TableParagraph"/>
              <w:rPr>
                <w:b/>
                <w:i/>
                <w:sz w:val="16"/>
              </w:rPr>
            </w:pPr>
          </w:p>
          <w:p>
            <w:pPr>
              <w:pStyle w:val="TableParagraph"/>
              <w:spacing w:before="6"/>
              <w:rPr>
                <w:b/>
                <w:i/>
                <w:sz w:val="15"/>
              </w:rPr>
            </w:pPr>
          </w:p>
          <w:p>
            <w:pPr>
              <w:pStyle w:val="TableParagraph"/>
              <w:ind w:left="119"/>
              <w:rPr>
                <w:i/>
                <w:sz w:val="16"/>
              </w:rPr>
            </w:pPr>
            <w:r>
              <w:rPr>
                <w:i/>
                <w:sz w:val="16"/>
              </w:rPr>
              <w:t>Independiente</w:t>
            </w:r>
          </w:p>
        </w:tc>
        <w:tc>
          <w:tcPr>
            <w:tcW w:w="1172" w:type="dxa"/>
            <w:shd w:val="clear" w:color="auto" w:fill="EDEDED"/>
          </w:tcPr>
          <w:p>
            <w:pPr>
              <w:pStyle w:val="TableParagraph"/>
              <w:rPr>
                <w:b/>
                <w:i/>
                <w:sz w:val="16"/>
              </w:rPr>
            </w:pPr>
          </w:p>
          <w:p>
            <w:pPr>
              <w:pStyle w:val="TableParagraph"/>
              <w:rPr>
                <w:b/>
                <w:i/>
                <w:sz w:val="16"/>
              </w:rPr>
            </w:pPr>
          </w:p>
          <w:p>
            <w:pPr>
              <w:pStyle w:val="TableParagraph"/>
              <w:spacing w:before="11"/>
              <w:rPr>
                <w:b/>
                <w:i/>
                <w:sz w:val="22"/>
              </w:rPr>
            </w:pPr>
          </w:p>
          <w:p>
            <w:pPr>
              <w:pStyle w:val="TableParagraph"/>
              <w:spacing w:line="259" w:lineRule="auto"/>
              <w:ind w:left="274" w:right="161" w:hanging="128"/>
              <w:rPr>
                <w:i/>
                <w:sz w:val="16"/>
              </w:rPr>
            </w:pPr>
            <w:r>
              <w:rPr>
                <w:i/>
                <w:sz w:val="16"/>
              </w:rPr>
              <w:t>Cuantitativa </w:t>
            </w:r>
            <w:r>
              <w:rPr>
                <w:i/>
                <w:sz w:val="16"/>
              </w:rPr>
              <w:t>Discreta</w:t>
            </w:r>
          </w:p>
        </w:tc>
        <w:tc>
          <w:tcPr>
            <w:tcW w:w="2257" w:type="dxa"/>
            <w:shd w:val="clear" w:color="auto" w:fill="EDEDED"/>
          </w:tcPr>
          <w:p>
            <w:pPr>
              <w:pStyle w:val="TableParagraph"/>
              <w:rPr>
                <w:b/>
                <w:i/>
                <w:sz w:val="16"/>
              </w:rPr>
            </w:pPr>
          </w:p>
          <w:p>
            <w:pPr>
              <w:pStyle w:val="TableParagraph"/>
              <w:rPr>
                <w:b/>
                <w:i/>
                <w:sz w:val="16"/>
              </w:rPr>
            </w:pPr>
          </w:p>
          <w:p>
            <w:pPr>
              <w:pStyle w:val="TableParagraph"/>
              <w:spacing w:before="1"/>
              <w:rPr>
                <w:b/>
                <w:i/>
                <w:sz w:val="22"/>
              </w:rPr>
            </w:pPr>
          </w:p>
          <w:p>
            <w:pPr>
              <w:pStyle w:val="TableParagraph"/>
              <w:spacing w:line="259" w:lineRule="auto" w:before="1"/>
              <w:ind w:left="768" w:right="770"/>
              <w:jc w:val="center"/>
              <w:rPr>
                <w:rFonts w:ascii="Calibri"/>
                <w:sz w:val="16"/>
              </w:rPr>
            </w:pPr>
            <w:r>
              <w:rPr>
                <w:rFonts w:ascii="Calibri"/>
                <w:sz w:val="16"/>
              </w:rPr>
              <w:t>ng/mL (0.06-0.82)</w:t>
            </w:r>
          </w:p>
        </w:tc>
      </w:tr>
      <w:tr>
        <w:trPr>
          <w:trHeight w:val="1505" w:hRule="exact"/>
        </w:trPr>
        <w:tc>
          <w:tcPr>
            <w:tcW w:w="1879" w:type="dxa"/>
            <w:shd w:val="clear" w:color="auto" w:fill="479BC8"/>
          </w:tcPr>
          <w:p>
            <w:pPr>
              <w:pStyle w:val="TableParagraph"/>
              <w:rPr>
                <w:b/>
                <w:i/>
                <w:sz w:val="16"/>
              </w:rPr>
            </w:pPr>
          </w:p>
          <w:p>
            <w:pPr>
              <w:pStyle w:val="TableParagraph"/>
              <w:rPr>
                <w:b/>
                <w:i/>
                <w:sz w:val="16"/>
              </w:rPr>
            </w:pPr>
          </w:p>
          <w:p>
            <w:pPr>
              <w:pStyle w:val="TableParagraph"/>
              <w:rPr>
                <w:b/>
                <w:i/>
                <w:sz w:val="16"/>
              </w:rPr>
            </w:pPr>
          </w:p>
          <w:p>
            <w:pPr>
              <w:pStyle w:val="TableParagraph"/>
              <w:spacing w:before="10"/>
              <w:rPr>
                <w:b/>
                <w:i/>
                <w:sz w:val="19"/>
              </w:rPr>
            </w:pPr>
          </w:p>
          <w:p>
            <w:pPr>
              <w:pStyle w:val="TableParagraph"/>
              <w:spacing w:line="261" w:lineRule="auto"/>
              <w:ind w:left="470" w:right="145" w:hanging="375"/>
              <w:rPr>
                <w:i/>
                <w:sz w:val="16"/>
              </w:rPr>
            </w:pPr>
            <w:r>
              <w:rPr>
                <w:i/>
                <w:color w:val="FDFFFD"/>
                <w:sz w:val="16"/>
              </w:rPr>
              <w:t>FSH (Hormona foliculo </w:t>
            </w:r>
            <w:r>
              <w:rPr>
                <w:i/>
                <w:color w:val="FDFFFD"/>
                <w:sz w:val="16"/>
              </w:rPr>
              <w:t>estimulante)</w:t>
            </w:r>
          </w:p>
        </w:tc>
        <w:tc>
          <w:tcPr>
            <w:tcW w:w="2804" w:type="dxa"/>
            <w:tcBorders>
              <w:bottom w:val="single" w:sz="33" w:space="0" w:color="EDEDED"/>
            </w:tcBorders>
          </w:tcPr>
          <w:p>
            <w:pPr>
              <w:pStyle w:val="TableParagraph"/>
              <w:ind w:left="280" w:right="120" w:firstLine="57"/>
              <w:rPr>
                <w:i/>
                <w:sz w:val="16"/>
              </w:rPr>
            </w:pPr>
            <w:r>
              <w:rPr>
                <w:i/>
                <w:sz w:val="16"/>
              </w:rPr>
              <w:t>Hormona liberada por la </w:t>
            </w:r>
            <w:r>
              <w:rPr>
                <w:i/>
                <w:sz w:val="16"/>
              </w:rPr>
              <w:t>antehipófisis, el lóbulo anterior de la</w:t>
            </w:r>
          </w:p>
          <w:p>
            <w:pPr>
              <w:pStyle w:val="TableParagraph"/>
              <w:spacing w:line="259" w:lineRule="auto"/>
              <w:ind w:left="98" w:right="98" w:hanging="3"/>
              <w:jc w:val="center"/>
              <w:rPr>
                <w:i/>
                <w:sz w:val="16"/>
              </w:rPr>
            </w:pPr>
            <w:r>
              <w:rPr>
                <w:i/>
                <w:sz w:val="16"/>
              </w:rPr>
              <w:t>hipófisis. Su secreción ella misma </w:t>
            </w:r>
            <w:r>
              <w:rPr>
                <w:i/>
                <w:sz w:val="16"/>
              </w:rPr>
              <w:t>está estimulada por otra hormona, la GnRH.</w:t>
            </w:r>
          </w:p>
        </w:tc>
        <w:tc>
          <w:tcPr>
            <w:tcW w:w="1283" w:type="dxa"/>
            <w:tcBorders>
              <w:bottom w:val="single" w:sz="33" w:space="0" w:color="EDEDED"/>
            </w:tcBorders>
          </w:tcPr>
          <w:p>
            <w:pPr>
              <w:pStyle w:val="TableParagraph"/>
              <w:rPr>
                <w:b/>
                <w:i/>
                <w:sz w:val="16"/>
              </w:rPr>
            </w:pPr>
          </w:p>
          <w:p>
            <w:pPr>
              <w:pStyle w:val="TableParagraph"/>
              <w:rPr>
                <w:b/>
                <w:i/>
                <w:sz w:val="16"/>
              </w:rPr>
            </w:pPr>
          </w:p>
          <w:p>
            <w:pPr>
              <w:pStyle w:val="TableParagraph"/>
              <w:rPr>
                <w:b/>
                <w:i/>
                <w:sz w:val="16"/>
              </w:rPr>
            </w:pPr>
          </w:p>
          <w:p>
            <w:pPr>
              <w:pStyle w:val="TableParagraph"/>
              <w:spacing w:before="97"/>
              <w:ind w:left="83"/>
              <w:rPr>
                <w:i/>
                <w:sz w:val="16"/>
              </w:rPr>
            </w:pPr>
            <w:r>
              <w:rPr>
                <w:i/>
                <w:sz w:val="16"/>
              </w:rPr>
              <w:t>Independiente</w:t>
            </w:r>
          </w:p>
        </w:tc>
        <w:tc>
          <w:tcPr>
            <w:tcW w:w="1172" w:type="dxa"/>
            <w:tcBorders>
              <w:bottom w:val="single" w:sz="33" w:space="0" w:color="EDEDED"/>
            </w:tcBorders>
          </w:tcPr>
          <w:p>
            <w:pPr>
              <w:pStyle w:val="TableParagraph"/>
              <w:rPr>
                <w:b/>
                <w:i/>
                <w:sz w:val="16"/>
              </w:rPr>
            </w:pPr>
          </w:p>
          <w:p>
            <w:pPr>
              <w:pStyle w:val="TableParagraph"/>
              <w:rPr>
                <w:b/>
                <w:i/>
                <w:sz w:val="16"/>
              </w:rPr>
            </w:pPr>
          </w:p>
          <w:p>
            <w:pPr>
              <w:pStyle w:val="TableParagraph"/>
              <w:spacing w:before="10"/>
              <w:rPr>
                <w:b/>
                <w:i/>
                <w:sz w:val="15"/>
              </w:rPr>
            </w:pPr>
          </w:p>
          <w:p>
            <w:pPr>
              <w:pStyle w:val="TableParagraph"/>
              <w:spacing w:line="259" w:lineRule="auto"/>
              <w:ind w:left="274" w:right="161" w:hanging="128"/>
              <w:rPr>
                <w:i/>
                <w:sz w:val="16"/>
              </w:rPr>
            </w:pPr>
            <w:r>
              <w:rPr>
                <w:i/>
                <w:sz w:val="16"/>
              </w:rPr>
              <w:t>Cuantitativa </w:t>
            </w:r>
            <w:r>
              <w:rPr>
                <w:i/>
                <w:sz w:val="16"/>
              </w:rPr>
              <w:t>Discreta</w:t>
            </w:r>
          </w:p>
        </w:tc>
        <w:tc>
          <w:tcPr>
            <w:tcW w:w="2257" w:type="dxa"/>
            <w:tcBorders>
              <w:bottom w:val="single" w:sz="33" w:space="0" w:color="EDEDED"/>
            </w:tcBorders>
          </w:tcPr>
          <w:p>
            <w:pPr>
              <w:pStyle w:val="TableParagraph"/>
              <w:rPr>
                <w:b/>
                <w:i/>
                <w:sz w:val="16"/>
              </w:rPr>
            </w:pPr>
          </w:p>
          <w:p>
            <w:pPr>
              <w:pStyle w:val="TableParagraph"/>
              <w:rPr>
                <w:b/>
                <w:i/>
                <w:sz w:val="16"/>
              </w:rPr>
            </w:pPr>
          </w:p>
          <w:p>
            <w:pPr>
              <w:pStyle w:val="TableParagraph"/>
              <w:spacing w:before="9"/>
              <w:rPr>
                <w:b/>
                <w:i/>
                <w:sz w:val="14"/>
              </w:rPr>
            </w:pPr>
          </w:p>
          <w:p>
            <w:pPr>
              <w:pStyle w:val="TableParagraph"/>
              <w:spacing w:line="276" w:lineRule="auto" w:before="1"/>
              <w:ind w:left="946" w:right="153" w:hanging="769"/>
              <w:rPr>
                <w:i/>
                <w:sz w:val="16"/>
              </w:rPr>
            </w:pPr>
            <w:r>
              <w:rPr>
                <w:rFonts w:ascii="Calibri"/>
                <w:sz w:val="16"/>
              </w:rPr>
              <w:t>ng/mL (</w:t>
            </w:r>
            <w:r>
              <w:rPr>
                <w:i/>
                <w:sz w:val="16"/>
              </w:rPr>
              <w:t>Fase folicular: 3.85- </w:t>
            </w:r>
            <w:r>
              <w:rPr>
                <w:i/>
                <w:sz w:val="16"/>
              </w:rPr>
              <w:t>8.78)</w:t>
            </w:r>
          </w:p>
        </w:tc>
      </w:tr>
      <w:tr>
        <w:trPr>
          <w:trHeight w:val="1656" w:hRule="exact"/>
        </w:trPr>
        <w:tc>
          <w:tcPr>
            <w:tcW w:w="1879" w:type="dxa"/>
            <w:shd w:val="clear" w:color="auto" w:fill="479BC8"/>
          </w:tcPr>
          <w:p>
            <w:pPr>
              <w:pStyle w:val="TableParagraph"/>
              <w:rPr>
                <w:b/>
                <w:i/>
                <w:sz w:val="16"/>
              </w:rPr>
            </w:pPr>
          </w:p>
          <w:p>
            <w:pPr>
              <w:pStyle w:val="TableParagraph"/>
              <w:rPr>
                <w:b/>
                <w:i/>
                <w:sz w:val="16"/>
              </w:rPr>
            </w:pPr>
          </w:p>
          <w:p>
            <w:pPr>
              <w:pStyle w:val="TableParagraph"/>
              <w:rPr>
                <w:b/>
                <w:i/>
                <w:sz w:val="16"/>
              </w:rPr>
            </w:pPr>
          </w:p>
          <w:p>
            <w:pPr>
              <w:pStyle w:val="TableParagraph"/>
              <w:spacing w:line="259" w:lineRule="auto" w:before="114"/>
              <w:ind w:left="487" w:right="145" w:hanging="48"/>
              <w:rPr>
                <w:i/>
                <w:sz w:val="16"/>
              </w:rPr>
            </w:pPr>
            <w:r>
              <w:rPr>
                <w:i/>
                <w:color w:val="FDFFFD"/>
                <w:sz w:val="16"/>
              </w:rPr>
              <w:t>LH (Hormona </w:t>
            </w:r>
            <w:r>
              <w:rPr>
                <w:i/>
                <w:color w:val="FDFFFD"/>
                <w:sz w:val="16"/>
              </w:rPr>
              <w:t>luteinizante)</w:t>
            </w:r>
          </w:p>
        </w:tc>
        <w:tc>
          <w:tcPr>
            <w:tcW w:w="2804" w:type="dxa"/>
            <w:shd w:val="clear" w:color="auto" w:fill="EDEDED"/>
          </w:tcPr>
          <w:p>
            <w:pPr>
              <w:pStyle w:val="TableParagraph"/>
              <w:spacing w:before="6"/>
              <w:rPr>
                <w:b/>
                <w:i/>
                <w:sz w:val="16"/>
              </w:rPr>
            </w:pPr>
          </w:p>
          <w:p>
            <w:pPr>
              <w:pStyle w:val="TableParagraph"/>
              <w:spacing w:line="242" w:lineRule="auto"/>
              <w:ind w:left="79" w:right="81" w:firstLine="2"/>
              <w:jc w:val="center"/>
              <w:rPr>
                <w:i/>
                <w:sz w:val="16"/>
              </w:rPr>
            </w:pPr>
            <w:r>
              <w:rPr>
                <w:i/>
                <w:sz w:val="16"/>
              </w:rPr>
              <w:t>Hormona es una molécula producida </w:t>
            </w:r>
            <w:r>
              <w:rPr>
                <w:i/>
                <w:sz w:val="16"/>
              </w:rPr>
              <w:t>por una glándula endocrina en respuesta a una estimulación y actúa sobre un órgano sensible. La hormona luteinizante o LH es secretada por las células de la</w:t>
            </w:r>
          </w:p>
          <w:p>
            <w:pPr>
              <w:pStyle w:val="TableParagraph"/>
              <w:spacing w:before="30"/>
              <w:ind w:left="77" w:right="78"/>
              <w:jc w:val="center"/>
              <w:rPr>
                <w:i/>
                <w:sz w:val="16"/>
              </w:rPr>
            </w:pPr>
            <w:r>
              <w:rPr>
                <w:i/>
                <w:sz w:val="16"/>
              </w:rPr>
              <w:t>hipófisis</w:t>
            </w:r>
          </w:p>
        </w:tc>
        <w:tc>
          <w:tcPr>
            <w:tcW w:w="1283" w:type="dxa"/>
            <w:shd w:val="clear" w:color="auto" w:fill="EDEDED"/>
          </w:tcPr>
          <w:p>
            <w:pPr>
              <w:pStyle w:val="TableParagraph"/>
              <w:rPr>
                <w:b/>
                <w:i/>
                <w:sz w:val="16"/>
              </w:rPr>
            </w:pPr>
          </w:p>
          <w:p>
            <w:pPr>
              <w:pStyle w:val="TableParagraph"/>
              <w:rPr>
                <w:b/>
                <w:i/>
                <w:sz w:val="16"/>
              </w:rPr>
            </w:pPr>
          </w:p>
          <w:p>
            <w:pPr>
              <w:pStyle w:val="TableParagraph"/>
              <w:rPr>
                <w:b/>
                <w:i/>
                <w:sz w:val="16"/>
              </w:rPr>
            </w:pPr>
          </w:p>
          <w:p>
            <w:pPr>
              <w:pStyle w:val="TableParagraph"/>
              <w:spacing w:before="5"/>
              <w:rPr>
                <w:b/>
                <w:i/>
                <w:sz w:val="18"/>
              </w:rPr>
            </w:pPr>
          </w:p>
          <w:p>
            <w:pPr>
              <w:pStyle w:val="TableParagraph"/>
              <w:ind w:left="83"/>
              <w:rPr>
                <w:i/>
                <w:sz w:val="16"/>
              </w:rPr>
            </w:pPr>
            <w:r>
              <w:rPr>
                <w:i/>
                <w:sz w:val="16"/>
              </w:rPr>
              <w:t>Independiente</w:t>
            </w:r>
          </w:p>
        </w:tc>
        <w:tc>
          <w:tcPr>
            <w:tcW w:w="1172" w:type="dxa"/>
            <w:shd w:val="clear" w:color="auto" w:fill="EDEDED"/>
          </w:tcPr>
          <w:p>
            <w:pPr>
              <w:pStyle w:val="TableParagraph"/>
              <w:rPr>
                <w:b/>
                <w:i/>
                <w:sz w:val="16"/>
              </w:rPr>
            </w:pPr>
          </w:p>
          <w:p>
            <w:pPr>
              <w:pStyle w:val="TableParagraph"/>
              <w:rPr>
                <w:b/>
                <w:i/>
                <w:sz w:val="16"/>
              </w:rPr>
            </w:pPr>
          </w:p>
          <w:p>
            <w:pPr>
              <w:pStyle w:val="TableParagraph"/>
              <w:rPr>
                <w:b/>
                <w:i/>
                <w:sz w:val="16"/>
              </w:rPr>
            </w:pPr>
          </w:p>
          <w:p>
            <w:pPr>
              <w:pStyle w:val="TableParagraph"/>
              <w:spacing w:line="259" w:lineRule="auto" w:before="114"/>
              <w:ind w:left="274" w:right="161" w:hanging="128"/>
              <w:rPr>
                <w:i/>
                <w:sz w:val="16"/>
              </w:rPr>
            </w:pPr>
            <w:r>
              <w:rPr>
                <w:i/>
                <w:sz w:val="16"/>
              </w:rPr>
              <w:t>Cuantitativa </w:t>
            </w:r>
            <w:r>
              <w:rPr>
                <w:i/>
                <w:sz w:val="16"/>
              </w:rPr>
              <w:t>Discreta</w:t>
            </w:r>
          </w:p>
        </w:tc>
        <w:tc>
          <w:tcPr>
            <w:tcW w:w="2257" w:type="dxa"/>
            <w:shd w:val="clear" w:color="auto" w:fill="EDEDED"/>
          </w:tcPr>
          <w:p>
            <w:pPr>
              <w:pStyle w:val="TableParagraph"/>
              <w:rPr>
                <w:b/>
                <w:i/>
                <w:sz w:val="16"/>
              </w:rPr>
            </w:pPr>
          </w:p>
          <w:p>
            <w:pPr>
              <w:pStyle w:val="TableParagraph"/>
              <w:rPr>
                <w:b/>
                <w:i/>
                <w:sz w:val="16"/>
              </w:rPr>
            </w:pPr>
          </w:p>
          <w:p>
            <w:pPr>
              <w:pStyle w:val="TableParagraph"/>
              <w:rPr>
                <w:b/>
                <w:i/>
                <w:sz w:val="16"/>
              </w:rPr>
            </w:pPr>
          </w:p>
          <w:p>
            <w:pPr>
              <w:pStyle w:val="TableParagraph"/>
              <w:spacing w:before="102"/>
              <w:ind w:left="172" w:right="173"/>
              <w:jc w:val="center"/>
              <w:rPr>
                <w:rFonts w:ascii="Calibri"/>
                <w:sz w:val="16"/>
              </w:rPr>
            </w:pPr>
            <w:r>
              <w:rPr>
                <w:rFonts w:ascii="Calibri"/>
                <w:sz w:val="16"/>
              </w:rPr>
              <w:t>ng/mL</w:t>
            </w:r>
          </w:p>
          <w:p>
            <w:pPr>
              <w:pStyle w:val="TableParagraph"/>
              <w:spacing w:before="27"/>
              <w:ind w:left="176" w:right="173"/>
              <w:jc w:val="center"/>
              <w:rPr>
                <w:i/>
                <w:sz w:val="16"/>
              </w:rPr>
            </w:pPr>
            <w:r>
              <w:rPr>
                <w:i/>
                <w:sz w:val="16"/>
              </w:rPr>
              <w:t>(Fase folicular: 2.12 -10.8)</w:t>
            </w:r>
          </w:p>
        </w:tc>
      </w:tr>
      <w:tr>
        <w:trPr>
          <w:trHeight w:val="498" w:hRule="exact"/>
        </w:trPr>
        <w:tc>
          <w:tcPr>
            <w:tcW w:w="1879" w:type="dxa"/>
            <w:shd w:val="clear" w:color="auto" w:fill="479BC8"/>
          </w:tcPr>
          <w:p>
            <w:pPr/>
          </w:p>
        </w:tc>
        <w:tc>
          <w:tcPr>
            <w:tcW w:w="2804" w:type="dxa"/>
            <w:tcBorders>
              <w:bottom w:val="single" w:sz="32" w:space="0" w:color="EDEDED"/>
            </w:tcBorders>
          </w:tcPr>
          <w:p>
            <w:pPr>
              <w:pStyle w:val="TableParagraph"/>
              <w:spacing w:before="42"/>
              <w:ind w:left="151" w:right="133" w:firstLine="57"/>
              <w:rPr>
                <w:i/>
                <w:sz w:val="16"/>
              </w:rPr>
            </w:pPr>
            <w:r>
              <w:rPr>
                <w:i/>
                <w:sz w:val="16"/>
              </w:rPr>
              <w:t>Hormona esteroide. Es producida </w:t>
            </w:r>
            <w:r>
              <w:rPr>
                <w:i/>
                <w:sz w:val="16"/>
              </w:rPr>
              <w:t>por las glándulas suprarrenales, en</w:t>
            </w:r>
          </w:p>
        </w:tc>
        <w:tc>
          <w:tcPr>
            <w:tcW w:w="1283" w:type="dxa"/>
            <w:tcBorders>
              <w:bottom w:val="single" w:sz="32" w:space="0" w:color="EDEDED"/>
            </w:tcBorders>
          </w:tcPr>
          <w:p>
            <w:pPr>
              <w:pStyle w:val="TableParagraph"/>
              <w:spacing w:before="126"/>
              <w:ind w:left="83"/>
              <w:rPr>
                <w:i/>
                <w:sz w:val="16"/>
              </w:rPr>
            </w:pPr>
            <w:r>
              <w:rPr>
                <w:i/>
                <w:sz w:val="16"/>
              </w:rPr>
              <w:t>Independiente</w:t>
            </w:r>
          </w:p>
        </w:tc>
        <w:tc>
          <w:tcPr>
            <w:tcW w:w="1172" w:type="dxa"/>
            <w:tcBorders>
              <w:bottom w:val="single" w:sz="32" w:space="0" w:color="EDEDED"/>
            </w:tcBorders>
          </w:tcPr>
          <w:p>
            <w:pPr>
              <w:pStyle w:val="TableParagraph"/>
              <w:spacing w:line="259" w:lineRule="auto" w:before="27"/>
              <w:ind w:left="274" w:right="161" w:hanging="128"/>
              <w:rPr>
                <w:i/>
                <w:sz w:val="16"/>
              </w:rPr>
            </w:pPr>
            <w:r>
              <w:rPr>
                <w:i/>
                <w:sz w:val="16"/>
              </w:rPr>
              <w:t>Cuantitativa </w:t>
            </w:r>
            <w:r>
              <w:rPr>
                <w:i/>
                <w:sz w:val="16"/>
              </w:rPr>
              <w:t>Discreta</w:t>
            </w:r>
          </w:p>
        </w:tc>
        <w:tc>
          <w:tcPr>
            <w:tcW w:w="2257" w:type="dxa"/>
            <w:tcBorders>
              <w:bottom w:val="single" w:sz="32" w:space="0" w:color="EDEDED"/>
            </w:tcBorders>
          </w:tcPr>
          <w:p>
            <w:pPr>
              <w:pStyle w:val="TableParagraph"/>
              <w:spacing w:before="123"/>
              <w:ind w:left="554" w:right="153"/>
              <w:rPr>
                <w:i/>
                <w:sz w:val="16"/>
              </w:rPr>
            </w:pPr>
            <w:r>
              <w:rPr>
                <w:rFonts w:ascii="Calibri"/>
                <w:sz w:val="16"/>
              </w:rPr>
              <w:t>ng/mL </w:t>
            </w:r>
            <w:r>
              <w:rPr>
                <w:i/>
                <w:sz w:val="16"/>
              </w:rPr>
              <w:t>(0.1 - 2.9)</w:t>
            </w:r>
          </w:p>
        </w:tc>
      </w:tr>
    </w:tbl>
    <w:p>
      <w:pPr>
        <w:spacing w:after="0"/>
        <w:rPr>
          <w:sz w:val="16"/>
        </w:rPr>
        <w:sectPr>
          <w:pgSz w:w="12240" w:h="15840"/>
          <w:pgMar w:top="1500" w:bottom="280" w:left="1520" w:right="920"/>
        </w:sect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79"/>
        <w:gridCol w:w="2872"/>
        <w:gridCol w:w="1214"/>
        <w:gridCol w:w="1145"/>
        <w:gridCol w:w="2284"/>
      </w:tblGrid>
      <w:tr>
        <w:trPr>
          <w:trHeight w:val="1112" w:hRule="exact"/>
        </w:trPr>
        <w:tc>
          <w:tcPr>
            <w:tcW w:w="1879" w:type="dxa"/>
            <w:shd w:val="clear" w:color="auto" w:fill="479BC8"/>
          </w:tcPr>
          <w:p>
            <w:pPr>
              <w:pStyle w:val="TableParagraph"/>
              <w:spacing w:line="183" w:lineRule="exact"/>
              <w:ind w:left="111" w:right="114"/>
              <w:jc w:val="center"/>
              <w:rPr>
                <w:i/>
                <w:sz w:val="16"/>
              </w:rPr>
            </w:pPr>
            <w:r>
              <w:rPr>
                <w:i/>
                <w:color w:val="FDFFFD"/>
                <w:sz w:val="16"/>
              </w:rPr>
              <w:t>Androstenediona</w:t>
            </w:r>
          </w:p>
        </w:tc>
        <w:tc>
          <w:tcPr>
            <w:tcW w:w="7516" w:type="dxa"/>
            <w:gridSpan w:val="4"/>
            <w:tcBorders>
              <w:bottom w:val="single" w:sz="33" w:space="0" w:color="EDEDED"/>
            </w:tcBorders>
          </w:tcPr>
          <w:p>
            <w:pPr>
              <w:pStyle w:val="TableParagraph"/>
              <w:spacing w:line="259" w:lineRule="auto"/>
              <w:ind w:left="347" w:right="4892" w:hanging="154"/>
              <w:rPr>
                <w:i/>
                <w:sz w:val="16"/>
              </w:rPr>
            </w:pPr>
            <w:r>
              <w:rPr>
                <w:i/>
                <w:sz w:val="16"/>
              </w:rPr>
              <w:t>los testículos en los hombres y en </w:t>
            </w:r>
            <w:r>
              <w:rPr>
                <w:i/>
                <w:sz w:val="16"/>
              </w:rPr>
              <w:t>los ovarios o las glándulas suprarrenales en las mujeres.</w:t>
            </w:r>
          </w:p>
        </w:tc>
      </w:tr>
      <w:tr>
        <w:trPr>
          <w:trHeight w:val="1390" w:hRule="exact"/>
        </w:trPr>
        <w:tc>
          <w:tcPr>
            <w:tcW w:w="1879" w:type="dxa"/>
            <w:shd w:val="clear" w:color="auto" w:fill="479BC8"/>
          </w:tcPr>
          <w:p>
            <w:pPr>
              <w:pStyle w:val="TableParagraph"/>
              <w:rPr>
                <w:b/>
                <w:i/>
                <w:sz w:val="14"/>
              </w:rPr>
            </w:pPr>
          </w:p>
          <w:p>
            <w:pPr>
              <w:pStyle w:val="TableParagraph"/>
              <w:rPr>
                <w:b/>
                <w:i/>
                <w:sz w:val="14"/>
              </w:rPr>
            </w:pPr>
          </w:p>
          <w:p>
            <w:pPr>
              <w:pStyle w:val="TableParagraph"/>
              <w:rPr>
                <w:b/>
                <w:i/>
                <w:sz w:val="14"/>
              </w:rPr>
            </w:pPr>
          </w:p>
          <w:p>
            <w:pPr>
              <w:pStyle w:val="TableParagraph"/>
              <w:spacing w:before="6"/>
              <w:rPr>
                <w:b/>
                <w:i/>
                <w:sz w:val="13"/>
              </w:rPr>
            </w:pPr>
          </w:p>
          <w:p>
            <w:pPr>
              <w:pStyle w:val="TableParagraph"/>
              <w:spacing w:before="1"/>
              <w:ind w:left="114" w:right="114"/>
              <w:jc w:val="center"/>
              <w:rPr>
                <w:i/>
                <w:sz w:val="15"/>
              </w:rPr>
            </w:pPr>
            <w:r>
              <w:rPr>
                <w:i/>
                <w:color w:val="FDFFFD"/>
                <w:sz w:val="15"/>
              </w:rPr>
              <w:t>Dehidroepiandrosterona</w:t>
            </w:r>
          </w:p>
        </w:tc>
        <w:tc>
          <w:tcPr>
            <w:tcW w:w="2872" w:type="dxa"/>
            <w:shd w:val="clear" w:color="auto" w:fill="EDEDED"/>
          </w:tcPr>
          <w:p>
            <w:pPr>
              <w:pStyle w:val="TableParagraph"/>
              <w:spacing w:before="80"/>
              <w:ind w:left="88" w:right="140" w:firstLine="120"/>
              <w:rPr>
                <w:i/>
                <w:sz w:val="16"/>
              </w:rPr>
            </w:pPr>
            <w:r>
              <w:rPr>
                <w:i/>
                <w:sz w:val="16"/>
              </w:rPr>
              <w:t>Prohormona endógena secretada </w:t>
            </w:r>
            <w:r>
              <w:rPr>
                <w:i/>
                <w:sz w:val="16"/>
              </w:rPr>
              <w:t>por las glándulas suprarenales (zona reticularis). Es un precursor de los andrógenos y estrógenos. DHEA es</w:t>
            </w:r>
          </w:p>
          <w:p>
            <w:pPr>
              <w:pStyle w:val="TableParagraph"/>
              <w:spacing w:line="285" w:lineRule="auto"/>
              <w:ind w:left="804" w:right="358" w:hanging="498"/>
              <w:rPr>
                <w:i/>
                <w:sz w:val="16"/>
              </w:rPr>
            </w:pPr>
            <w:r>
              <w:rPr>
                <w:i/>
                <w:sz w:val="16"/>
              </w:rPr>
              <w:t>también un potente ligando del </w:t>
            </w:r>
            <w:r>
              <w:rPr>
                <w:i/>
                <w:sz w:val="16"/>
              </w:rPr>
              <w:t>receptor sigma-1</w:t>
            </w:r>
          </w:p>
        </w:tc>
        <w:tc>
          <w:tcPr>
            <w:tcW w:w="1214" w:type="dxa"/>
            <w:shd w:val="clear" w:color="auto" w:fill="EDEDED"/>
          </w:tcPr>
          <w:p>
            <w:pPr>
              <w:pStyle w:val="TableParagraph"/>
              <w:rPr>
                <w:b/>
                <w:i/>
                <w:sz w:val="16"/>
              </w:rPr>
            </w:pPr>
          </w:p>
          <w:p>
            <w:pPr>
              <w:pStyle w:val="TableParagraph"/>
              <w:rPr>
                <w:b/>
                <w:i/>
                <w:sz w:val="16"/>
              </w:rPr>
            </w:pPr>
          </w:p>
          <w:p>
            <w:pPr>
              <w:pStyle w:val="TableParagraph"/>
              <w:spacing w:before="2"/>
              <w:rPr>
                <w:b/>
                <w:i/>
                <w:sz w:val="23"/>
              </w:rPr>
            </w:pPr>
          </w:p>
          <w:p>
            <w:pPr>
              <w:pStyle w:val="TableParagraph"/>
              <w:ind w:left="51"/>
              <w:rPr>
                <w:i/>
                <w:sz w:val="16"/>
              </w:rPr>
            </w:pPr>
            <w:r>
              <w:rPr>
                <w:i/>
                <w:sz w:val="16"/>
              </w:rPr>
              <w:t>Independiente</w:t>
            </w:r>
          </w:p>
        </w:tc>
        <w:tc>
          <w:tcPr>
            <w:tcW w:w="1145" w:type="dxa"/>
            <w:shd w:val="clear" w:color="auto" w:fill="EDEDED"/>
          </w:tcPr>
          <w:p>
            <w:pPr>
              <w:pStyle w:val="TableParagraph"/>
              <w:rPr>
                <w:b/>
                <w:i/>
                <w:sz w:val="16"/>
              </w:rPr>
            </w:pPr>
          </w:p>
          <w:p>
            <w:pPr>
              <w:pStyle w:val="TableParagraph"/>
              <w:rPr>
                <w:b/>
                <w:i/>
                <w:sz w:val="16"/>
              </w:rPr>
            </w:pPr>
          </w:p>
          <w:p>
            <w:pPr>
              <w:pStyle w:val="TableParagraph"/>
              <w:spacing w:before="4"/>
              <w:rPr>
                <w:b/>
                <w:i/>
                <w:sz w:val="14"/>
              </w:rPr>
            </w:pPr>
          </w:p>
          <w:p>
            <w:pPr>
              <w:pStyle w:val="TableParagraph"/>
              <w:spacing w:line="259" w:lineRule="auto" w:before="1"/>
              <w:ind w:left="274" w:right="133" w:hanging="128"/>
              <w:rPr>
                <w:i/>
                <w:sz w:val="16"/>
              </w:rPr>
            </w:pPr>
            <w:r>
              <w:rPr>
                <w:i/>
                <w:sz w:val="16"/>
              </w:rPr>
              <w:t>Cuantitativa </w:t>
            </w:r>
            <w:r>
              <w:rPr>
                <w:i/>
                <w:sz w:val="16"/>
              </w:rPr>
              <w:t>Discreta</w:t>
            </w:r>
          </w:p>
        </w:tc>
        <w:tc>
          <w:tcPr>
            <w:tcW w:w="2284" w:type="dxa"/>
            <w:shd w:val="clear" w:color="auto" w:fill="EDEDED"/>
          </w:tcPr>
          <w:p>
            <w:pPr>
              <w:pStyle w:val="TableParagraph"/>
              <w:rPr>
                <w:b/>
                <w:i/>
                <w:sz w:val="16"/>
              </w:rPr>
            </w:pPr>
          </w:p>
          <w:p>
            <w:pPr>
              <w:pStyle w:val="TableParagraph"/>
              <w:rPr>
                <w:b/>
                <w:i/>
                <w:sz w:val="16"/>
              </w:rPr>
            </w:pPr>
          </w:p>
          <w:p>
            <w:pPr>
              <w:pStyle w:val="TableParagraph"/>
              <w:spacing w:before="9"/>
              <w:rPr>
                <w:b/>
                <w:i/>
                <w:sz w:val="21"/>
              </w:rPr>
            </w:pPr>
          </w:p>
          <w:p>
            <w:pPr>
              <w:pStyle w:val="TableParagraph"/>
              <w:spacing w:before="1"/>
              <w:ind w:left="620" w:right="96"/>
              <w:rPr>
                <w:i/>
                <w:sz w:val="16"/>
              </w:rPr>
            </w:pPr>
            <w:r>
              <w:rPr>
                <w:rFonts w:ascii="Segoe UI" w:hAnsi="Segoe UI"/>
                <w:sz w:val="16"/>
              </w:rPr>
              <w:t>µg/dL </w:t>
            </w:r>
            <w:r>
              <w:rPr>
                <w:i/>
                <w:sz w:val="16"/>
              </w:rPr>
              <w:t>(35-440)</w:t>
            </w:r>
          </w:p>
        </w:tc>
      </w:tr>
      <w:tr>
        <w:trPr>
          <w:trHeight w:val="987" w:hRule="exact"/>
        </w:trPr>
        <w:tc>
          <w:tcPr>
            <w:tcW w:w="1879" w:type="dxa"/>
            <w:shd w:val="clear" w:color="auto" w:fill="479BC8"/>
          </w:tcPr>
          <w:p>
            <w:pPr>
              <w:pStyle w:val="TableParagraph"/>
              <w:rPr>
                <w:b/>
                <w:i/>
                <w:sz w:val="16"/>
              </w:rPr>
            </w:pPr>
          </w:p>
          <w:p>
            <w:pPr>
              <w:pStyle w:val="TableParagraph"/>
              <w:spacing w:before="11"/>
              <w:rPr>
                <w:b/>
                <w:i/>
                <w:sz w:val="23"/>
              </w:rPr>
            </w:pPr>
          </w:p>
          <w:p>
            <w:pPr>
              <w:pStyle w:val="TableParagraph"/>
              <w:ind w:left="109" w:right="114"/>
              <w:jc w:val="center"/>
              <w:rPr>
                <w:i/>
                <w:sz w:val="16"/>
              </w:rPr>
            </w:pPr>
            <w:r>
              <w:rPr>
                <w:i/>
                <w:color w:val="FDFFFD"/>
                <w:sz w:val="16"/>
              </w:rPr>
              <w:t>17 alfa progesterona</w:t>
            </w:r>
          </w:p>
        </w:tc>
        <w:tc>
          <w:tcPr>
            <w:tcW w:w="2872" w:type="dxa"/>
            <w:vMerge w:val="restart"/>
          </w:tcPr>
          <w:p>
            <w:pPr>
              <w:pStyle w:val="TableParagraph"/>
              <w:spacing w:line="237" w:lineRule="auto"/>
              <w:ind w:left="79" w:right="43"/>
              <w:rPr>
                <w:i/>
                <w:sz w:val="16"/>
              </w:rPr>
            </w:pPr>
            <w:r>
              <w:rPr>
                <w:i/>
                <w:sz w:val="16"/>
              </w:rPr>
              <w:t>Componente básico en la producción </w:t>
            </w:r>
            <w:r>
              <w:rPr>
                <w:i/>
                <w:sz w:val="16"/>
              </w:rPr>
              <w:t>de la hormona cortisol. La hormona cortisol  es  producida, principalmente,</w:t>
            </w:r>
          </w:p>
          <w:p>
            <w:pPr>
              <w:pStyle w:val="TableParagraph"/>
              <w:spacing w:line="244" w:lineRule="auto"/>
              <w:ind w:left="196" w:right="246" w:firstLine="117"/>
              <w:rPr>
                <w:i/>
                <w:sz w:val="16"/>
              </w:rPr>
            </w:pPr>
            <w:r>
              <w:rPr>
                <w:i/>
                <w:sz w:val="16"/>
              </w:rPr>
              <w:t>por la corteza de las glándulas </w:t>
            </w:r>
            <w:r>
              <w:rPr>
                <w:i/>
                <w:sz w:val="16"/>
              </w:rPr>
              <w:t>suprarrenales (la parte exterior de</w:t>
            </w:r>
          </w:p>
          <w:p>
            <w:pPr>
              <w:pStyle w:val="TableParagraph"/>
              <w:spacing w:line="259" w:lineRule="auto" w:before="9"/>
              <w:ind w:left="319" w:right="140" w:hanging="183"/>
              <w:rPr>
                <w:i/>
                <w:sz w:val="16"/>
              </w:rPr>
            </w:pPr>
            <w:r>
              <w:rPr>
                <w:i/>
                <w:sz w:val="16"/>
              </w:rPr>
              <w:t>las glándulas suprarrenales, que se </w:t>
            </w:r>
            <w:r>
              <w:rPr>
                <w:i/>
                <w:sz w:val="16"/>
              </w:rPr>
              <w:t>encuentran sobre los riñones).</w:t>
            </w:r>
          </w:p>
        </w:tc>
        <w:tc>
          <w:tcPr>
            <w:tcW w:w="1214" w:type="dxa"/>
          </w:tcPr>
          <w:p>
            <w:pPr/>
          </w:p>
        </w:tc>
        <w:tc>
          <w:tcPr>
            <w:tcW w:w="1145" w:type="dxa"/>
            <w:vMerge w:val="restart"/>
          </w:tcPr>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spacing w:line="259" w:lineRule="auto" w:before="112"/>
              <w:ind w:left="274" w:right="133" w:hanging="128"/>
              <w:rPr>
                <w:i/>
                <w:sz w:val="16"/>
              </w:rPr>
            </w:pPr>
            <w:r>
              <w:rPr>
                <w:i/>
                <w:sz w:val="16"/>
              </w:rPr>
              <w:t>Cuantitativa </w:t>
            </w:r>
            <w:r>
              <w:rPr>
                <w:i/>
                <w:sz w:val="16"/>
              </w:rPr>
              <w:t>Discreta</w:t>
            </w:r>
          </w:p>
        </w:tc>
        <w:tc>
          <w:tcPr>
            <w:tcW w:w="2284" w:type="dxa"/>
          </w:tcPr>
          <w:p>
            <w:pPr>
              <w:pStyle w:val="TableParagraph"/>
              <w:rPr>
                <w:b/>
                <w:i/>
                <w:sz w:val="16"/>
              </w:rPr>
            </w:pPr>
          </w:p>
          <w:p>
            <w:pPr>
              <w:pStyle w:val="TableParagraph"/>
              <w:rPr>
                <w:b/>
                <w:i/>
                <w:sz w:val="16"/>
              </w:rPr>
            </w:pPr>
          </w:p>
          <w:p>
            <w:pPr>
              <w:pStyle w:val="TableParagraph"/>
              <w:spacing w:before="10"/>
              <w:rPr>
                <w:b/>
                <w:i/>
                <w:sz w:val="19"/>
              </w:rPr>
            </w:pPr>
          </w:p>
          <w:p>
            <w:pPr>
              <w:pStyle w:val="TableParagraph"/>
              <w:spacing w:line="283" w:lineRule="auto"/>
              <w:ind w:left="834" w:right="96" w:hanging="684"/>
              <w:rPr>
                <w:i/>
                <w:sz w:val="16"/>
              </w:rPr>
            </w:pPr>
            <w:r>
              <w:rPr>
                <w:rFonts w:ascii="Calibri"/>
                <w:sz w:val="16"/>
              </w:rPr>
              <w:t>ng/mL </w:t>
            </w:r>
            <w:r>
              <w:rPr>
                <w:i/>
                <w:sz w:val="16"/>
              </w:rPr>
              <w:t>(Mujeres fase folicular </w:t>
            </w:r>
            <w:r>
              <w:rPr>
                <w:i/>
                <w:sz w:val="16"/>
              </w:rPr>
              <w:t>0.2 - 1.3)</w:t>
            </w:r>
          </w:p>
        </w:tc>
      </w:tr>
      <w:tr>
        <w:trPr>
          <w:trHeight w:val="1111" w:hRule="exact"/>
        </w:trPr>
        <w:tc>
          <w:tcPr>
            <w:tcW w:w="1879" w:type="dxa"/>
            <w:shd w:val="clear" w:color="auto" w:fill="479BC8"/>
          </w:tcPr>
          <w:p>
            <w:pPr/>
          </w:p>
        </w:tc>
        <w:tc>
          <w:tcPr>
            <w:tcW w:w="2872" w:type="dxa"/>
            <w:vMerge/>
            <w:tcBorders>
              <w:bottom w:val="single" w:sz="33" w:space="0" w:color="EDEDED"/>
            </w:tcBorders>
          </w:tcPr>
          <w:p>
            <w:pPr/>
          </w:p>
        </w:tc>
        <w:tc>
          <w:tcPr>
            <w:tcW w:w="1214" w:type="dxa"/>
            <w:tcBorders>
              <w:bottom w:val="single" w:sz="33" w:space="0" w:color="EDEDED"/>
            </w:tcBorders>
          </w:tcPr>
          <w:p>
            <w:pPr>
              <w:pStyle w:val="TableParagraph"/>
              <w:spacing w:line="144" w:lineRule="exact"/>
              <w:ind w:left="51"/>
              <w:rPr>
                <w:i/>
                <w:sz w:val="16"/>
              </w:rPr>
            </w:pPr>
            <w:r>
              <w:rPr>
                <w:i/>
                <w:sz w:val="16"/>
              </w:rPr>
              <w:t>Independiente</w:t>
            </w:r>
          </w:p>
        </w:tc>
        <w:tc>
          <w:tcPr>
            <w:tcW w:w="1145" w:type="dxa"/>
            <w:vMerge/>
            <w:tcBorders>
              <w:bottom w:val="single" w:sz="33" w:space="0" w:color="EDEDED"/>
            </w:tcBorders>
          </w:tcPr>
          <w:p>
            <w:pPr/>
          </w:p>
        </w:tc>
        <w:tc>
          <w:tcPr>
            <w:tcW w:w="2284" w:type="dxa"/>
            <w:tcBorders>
              <w:bottom w:val="single" w:sz="33" w:space="0" w:color="EDEDED"/>
            </w:tcBorders>
          </w:tcPr>
          <w:p>
            <w:pPr/>
          </w:p>
        </w:tc>
      </w:tr>
      <w:tr>
        <w:trPr>
          <w:trHeight w:val="1010" w:hRule="exact"/>
        </w:trPr>
        <w:tc>
          <w:tcPr>
            <w:tcW w:w="1879" w:type="dxa"/>
            <w:shd w:val="clear" w:color="auto" w:fill="479BC8"/>
          </w:tcPr>
          <w:p>
            <w:pPr>
              <w:pStyle w:val="TableParagraph"/>
              <w:spacing w:before="78"/>
              <w:ind w:left="112" w:right="114"/>
              <w:jc w:val="center"/>
              <w:rPr>
                <w:i/>
                <w:sz w:val="16"/>
              </w:rPr>
            </w:pPr>
            <w:r>
              <w:rPr>
                <w:i/>
                <w:color w:val="FDFFFD"/>
                <w:sz w:val="16"/>
              </w:rPr>
              <w:t>Prolactina</w:t>
            </w:r>
          </w:p>
        </w:tc>
        <w:tc>
          <w:tcPr>
            <w:tcW w:w="2872" w:type="dxa"/>
            <w:vMerge w:val="restart"/>
            <w:shd w:val="clear" w:color="auto" w:fill="EDEDED"/>
          </w:tcPr>
          <w:p>
            <w:pPr>
              <w:pStyle w:val="TableParagraph"/>
              <w:spacing w:before="6"/>
              <w:rPr>
                <w:b/>
                <w:i/>
                <w:sz w:val="16"/>
              </w:rPr>
            </w:pPr>
          </w:p>
          <w:p>
            <w:pPr>
              <w:pStyle w:val="TableParagraph"/>
              <w:ind w:left="309" w:right="214" w:hanging="99"/>
              <w:rPr>
                <w:i/>
                <w:sz w:val="16"/>
              </w:rPr>
            </w:pPr>
            <w:r>
              <w:rPr>
                <w:i/>
                <w:sz w:val="16"/>
              </w:rPr>
              <w:t>Hormona peptídica segregada por </w:t>
            </w:r>
            <w:r>
              <w:rPr>
                <w:i/>
                <w:sz w:val="16"/>
              </w:rPr>
              <w:t>células lactotropas de la parte anterior de la hipófisis, la adenohipófisis, que estimula la</w:t>
            </w:r>
          </w:p>
          <w:p>
            <w:pPr>
              <w:pStyle w:val="TableParagraph"/>
              <w:spacing w:line="261" w:lineRule="auto" w:before="15"/>
              <w:ind w:left="83" w:right="154"/>
              <w:jc w:val="center"/>
              <w:rPr>
                <w:i/>
                <w:sz w:val="16"/>
              </w:rPr>
            </w:pPr>
            <w:r>
              <w:rPr>
                <w:i/>
                <w:sz w:val="16"/>
              </w:rPr>
              <w:t>producción de leche en las glándulas </w:t>
            </w:r>
            <w:r>
              <w:rPr>
                <w:i/>
                <w:sz w:val="16"/>
              </w:rPr>
              <w:t>mamarias y la síntesis de progesterona en el cuerpo lúteo.</w:t>
            </w:r>
          </w:p>
        </w:tc>
        <w:tc>
          <w:tcPr>
            <w:tcW w:w="1214" w:type="dxa"/>
            <w:shd w:val="clear" w:color="auto" w:fill="EDEDED"/>
          </w:tcPr>
          <w:p>
            <w:pPr>
              <w:pStyle w:val="TableParagraph"/>
              <w:rPr>
                <w:b/>
                <w:i/>
                <w:sz w:val="16"/>
              </w:rPr>
            </w:pPr>
          </w:p>
          <w:p>
            <w:pPr>
              <w:pStyle w:val="TableParagraph"/>
              <w:rPr>
                <w:b/>
                <w:i/>
                <w:sz w:val="16"/>
              </w:rPr>
            </w:pPr>
          </w:p>
          <w:p>
            <w:pPr>
              <w:pStyle w:val="TableParagraph"/>
              <w:rPr>
                <w:b/>
                <w:i/>
                <w:sz w:val="16"/>
              </w:rPr>
            </w:pPr>
          </w:p>
          <w:p>
            <w:pPr>
              <w:pStyle w:val="TableParagraph"/>
              <w:spacing w:before="7"/>
              <w:rPr>
                <w:b/>
                <w:i/>
                <w:sz w:val="18"/>
              </w:rPr>
            </w:pPr>
          </w:p>
          <w:p>
            <w:pPr>
              <w:pStyle w:val="TableParagraph"/>
              <w:ind w:left="51"/>
              <w:rPr>
                <w:i/>
                <w:sz w:val="16"/>
              </w:rPr>
            </w:pPr>
            <w:r>
              <w:rPr>
                <w:i/>
                <w:sz w:val="16"/>
              </w:rPr>
              <w:t>Independiente</w:t>
            </w:r>
          </w:p>
        </w:tc>
        <w:tc>
          <w:tcPr>
            <w:tcW w:w="1145" w:type="dxa"/>
            <w:shd w:val="clear" w:color="auto" w:fill="EDEDED"/>
          </w:tcPr>
          <w:p>
            <w:pPr>
              <w:pStyle w:val="TableParagraph"/>
              <w:rPr>
                <w:b/>
                <w:i/>
                <w:sz w:val="16"/>
              </w:rPr>
            </w:pPr>
          </w:p>
          <w:p>
            <w:pPr>
              <w:pStyle w:val="TableParagraph"/>
              <w:rPr>
                <w:b/>
                <w:i/>
                <w:sz w:val="16"/>
              </w:rPr>
            </w:pPr>
          </w:p>
          <w:p>
            <w:pPr>
              <w:pStyle w:val="TableParagraph"/>
              <w:rPr>
                <w:b/>
                <w:i/>
                <w:sz w:val="16"/>
              </w:rPr>
            </w:pPr>
          </w:p>
          <w:p>
            <w:pPr>
              <w:pStyle w:val="TableParagraph"/>
              <w:spacing w:line="259" w:lineRule="auto" w:before="114"/>
              <w:ind w:left="274" w:right="133" w:hanging="128"/>
              <w:rPr>
                <w:i/>
                <w:sz w:val="16"/>
              </w:rPr>
            </w:pPr>
            <w:r>
              <w:rPr>
                <w:i/>
                <w:sz w:val="16"/>
              </w:rPr>
              <w:t>Cuantitativa </w:t>
            </w:r>
            <w:r>
              <w:rPr>
                <w:i/>
                <w:sz w:val="16"/>
              </w:rPr>
              <w:t>Discreta</w:t>
            </w:r>
          </w:p>
        </w:tc>
        <w:tc>
          <w:tcPr>
            <w:tcW w:w="2284" w:type="dxa"/>
            <w:shd w:val="clear" w:color="auto" w:fill="EDEDED"/>
          </w:tcPr>
          <w:p>
            <w:pPr/>
          </w:p>
        </w:tc>
      </w:tr>
      <w:tr>
        <w:trPr>
          <w:trHeight w:val="646" w:hRule="exact"/>
        </w:trPr>
        <w:tc>
          <w:tcPr>
            <w:tcW w:w="1879" w:type="dxa"/>
            <w:shd w:val="clear" w:color="auto" w:fill="479BC8"/>
          </w:tcPr>
          <w:p>
            <w:pPr/>
          </w:p>
        </w:tc>
        <w:tc>
          <w:tcPr>
            <w:tcW w:w="2872" w:type="dxa"/>
            <w:vMerge/>
            <w:shd w:val="clear" w:color="auto" w:fill="EDEDED"/>
          </w:tcPr>
          <w:p>
            <w:pPr/>
          </w:p>
        </w:tc>
        <w:tc>
          <w:tcPr>
            <w:tcW w:w="1214" w:type="dxa"/>
            <w:shd w:val="clear" w:color="auto" w:fill="EDEDED"/>
          </w:tcPr>
          <w:p>
            <w:pPr/>
          </w:p>
        </w:tc>
        <w:tc>
          <w:tcPr>
            <w:tcW w:w="1145" w:type="dxa"/>
            <w:shd w:val="clear" w:color="auto" w:fill="EDEDED"/>
          </w:tcPr>
          <w:p>
            <w:pPr/>
          </w:p>
        </w:tc>
        <w:tc>
          <w:tcPr>
            <w:tcW w:w="2284" w:type="dxa"/>
            <w:shd w:val="clear" w:color="auto" w:fill="EDEDED"/>
          </w:tcPr>
          <w:p>
            <w:pPr>
              <w:pStyle w:val="TableParagraph"/>
              <w:spacing w:line="161" w:lineRule="exact"/>
              <w:ind w:left="136" w:right="62"/>
              <w:jc w:val="center"/>
              <w:rPr>
                <w:i/>
                <w:sz w:val="16"/>
              </w:rPr>
            </w:pPr>
            <w:r>
              <w:rPr>
                <w:rFonts w:ascii="Calibri" w:hAnsi="Calibri"/>
                <w:sz w:val="16"/>
              </w:rPr>
              <w:t>ng/mL </w:t>
            </w:r>
            <w:r>
              <w:rPr>
                <w:i/>
                <w:sz w:val="16"/>
              </w:rPr>
              <w:t>(Mujeres que no estén</w:t>
            </w:r>
          </w:p>
          <w:p>
            <w:pPr>
              <w:pStyle w:val="TableParagraph"/>
              <w:spacing w:before="13"/>
              <w:ind w:left="87" w:right="62"/>
              <w:jc w:val="center"/>
              <w:rPr>
                <w:i/>
                <w:sz w:val="16"/>
              </w:rPr>
            </w:pPr>
            <w:r>
              <w:rPr>
                <w:i/>
                <w:sz w:val="16"/>
              </w:rPr>
              <w:t>embarazadas: 2-25)</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26"/>
        </w:rPr>
      </w:pPr>
    </w:p>
    <w:p>
      <w:pPr>
        <w:spacing w:before="73"/>
        <w:ind w:left="167" w:right="0" w:firstLine="0"/>
        <w:jc w:val="both"/>
        <w:rPr>
          <w:sz w:val="22"/>
        </w:rPr>
      </w:pPr>
      <w:bookmarkStart w:name="_bookmark10" w:id="11"/>
      <w:bookmarkEnd w:id="11"/>
      <w:r>
        <w:rPr/>
      </w:r>
      <w:r>
        <w:rPr>
          <w:color w:val="5A5A5A"/>
          <w:sz w:val="22"/>
        </w:rPr>
        <w:t>CARACTERÍSTICAS DE LA POBLACIÓN</w:t>
      </w:r>
    </w:p>
    <w:p>
      <w:pPr>
        <w:pStyle w:val="BodyText"/>
        <w:spacing w:line="364" w:lineRule="auto" w:before="179"/>
        <w:ind w:left="177" w:right="595" w:hanging="10"/>
        <w:jc w:val="both"/>
      </w:pPr>
      <w:r>
        <w:rPr/>
        <w:t>Pacientes derechohabientes del ISSEMyM enviados de clínicas periféricas y de consulta externa de Ginecología del Hospital Regional de Tlalnepantla con diagnóstico de sospecha de síndrome de ovario poliquístico con los criterios de inclusión previamente descritos.</w:t>
      </w:r>
    </w:p>
    <w:p>
      <w:pPr>
        <w:pStyle w:val="BodyText"/>
        <w:spacing w:line="364" w:lineRule="auto" w:before="199"/>
        <w:ind w:left="177" w:right="593" w:hanging="10"/>
        <w:jc w:val="both"/>
      </w:pPr>
      <w:r>
        <w:rPr/>
        <w:t>Se</w:t>
      </w:r>
      <w:r>
        <w:rPr>
          <w:spacing w:val="-16"/>
        </w:rPr>
        <w:t> </w:t>
      </w:r>
      <w:r>
        <w:rPr/>
        <w:t>tomó</w:t>
      </w:r>
      <w:r>
        <w:rPr>
          <w:spacing w:val="-18"/>
        </w:rPr>
        <w:t> </w:t>
      </w:r>
      <w:r>
        <w:rPr/>
        <w:t>como</w:t>
      </w:r>
      <w:r>
        <w:rPr>
          <w:spacing w:val="-18"/>
        </w:rPr>
        <w:t> </w:t>
      </w:r>
      <w:r>
        <w:rPr/>
        <w:t>muestra</w:t>
      </w:r>
      <w:r>
        <w:rPr>
          <w:spacing w:val="-18"/>
        </w:rPr>
        <w:t> </w:t>
      </w:r>
      <w:r>
        <w:rPr/>
        <w:t>a</w:t>
      </w:r>
      <w:r>
        <w:rPr>
          <w:spacing w:val="-16"/>
        </w:rPr>
        <w:t> </w:t>
      </w:r>
      <w:r>
        <w:rPr/>
        <w:t>las</w:t>
      </w:r>
      <w:r>
        <w:rPr>
          <w:spacing w:val="-16"/>
        </w:rPr>
        <w:t> </w:t>
      </w:r>
      <w:r>
        <w:rPr/>
        <w:t>pacientes</w:t>
      </w:r>
      <w:r>
        <w:rPr>
          <w:spacing w:val="-16"/>
        </w:rPr>
        <w:t> </w:t>
      </w:r>
      <w:r>
        <w:rPr/>
        <w:t>referidas</w:t>
      </w:r>
      <w:r>
        <w:rPr>
          <w:spacing w:val="-16"/>
        </w:rPr>
        <w:t> </w:t>
      </w:r>
      <w:r>
        <w:rPr/>
        <w:t>de</w:t>
      </w:r>
      <w:r>
        <w:rPr>
          <w:spacing w:val="-16"/>
        </w:rPr>
        <w:t> </w:t>
      </w:r>
      <w:r>
        <w:rPr/>
        <w:t>las</w:t>
      </w:r>
      <w:r>
        <w:rPr>
          <w:spacing w:val="-18"/>
        </w:rPr>
        <w:t> </w:t>
      </w:r>
      <w:r>
        <w:rPr/>
        <w:t>clínicas</w:t>
      </w:r>
      <w:r>
        <w:rPr>
          <w:spacing w:val="-16"/>
        </w:rPr>
        <w:t> </w:t>
      </w:r>
      <w:r>
        <w:rPr/>
        <w:t>periféricas</w:t>
      </w:r>
      <w:r>
        <w:rPr>
          <w:spacing w:val="-16"/>
        </w:rPr>
        <w:t> </w:t>
      </w:r>
      <w:r>
        <w:rPr/>
        <w:t>y</w:t>
      </w:r>
      <w:r>
        <w:rPr>
          <w:spacing w:val="-19"/>
        </w:rPr>
        <w:t> </w:t>
      </w:r>
      <w:r>
        <w:rPr/>
        <w:t>consulta externa de Ginecología del Hospital Regional de Tlalnepantla al servicio de Imagenología del Hospital Regional de</w:t>
      </w:r>
      <w:r>
        <w:rPr>
          <w:spacing w:val="-17"/>
        </w:rPr>
        <w:t> </w:t>
      </w:r>
      <w:r>
        <w:rPr/>
        <w:t>Tlalnepantla.</w:t>
      </w:r>
    </w:p>
    <w:p>
      <w:pPr>
        <w:pStyle w:val="BodyText"/>
      </w:pPr>
    </w:p>
    <w:p>
      <w:pPr>
        <w:pStyle w:val="BodyText"/>
      </w:pPr>
    </w:p>
    <w:p>
      <w:pPr>
        <w:pStyle w:val="BodyText"/>
        <w:spacing w:before="9"/>
        <w:rPr>
          <w:sz w:val="20"/>
        </w:rPr>
      </w:pPr>
    </w:p>
    <w:p>
      <w:pPr>
        <w:spacing w:before="0"/>
        <w:ind w:left="167" w:right="0" w:firstLine="0"/>
        <w:jc w:val="both"/>
        <w:rPr>
          <w:sz w:val="22"/>
        </w:rPr>
      </w:pPr>
      <w:bookmarkStart w:name="_bookmark11" w:id="12"/>
      <w:bookmarkEnd w:id="12"/>
      <w:r>
        <w:rPr/>
      </w:r>
      <w:r>
        <w:rPr>
          <w:color w:val="5A5A5A"/>
          <w:sz w:val="22"/>
        </w:rPr>
        <w:t>TAMAÑO DE LA MUESTRA</w:t>
      </w:r>
    </w:p>
    <w:p>
      <w:pPr>
        <w:pStyle w:val="BodyText"/>
        <w:spacing w:line="364" w:lineRule="auto" w:before="177"/>
        <w:ind w:left="177" w:right="594" w:hanging="10"/>
        <w:jc w:val="both"/>
      </w:pPr>
      <w:r>
        <w:rPr/>
        <w:t>Basados</w:t>
      </w:r>
      <w:r>
        <w:rPr>
          <w:spacing w:val="-8"/>
        </w:rPr>
        <w:t> </w:t>
      </w:r>
      <w:r>
        <w:rPr/>
        <w:t>en</w:t>
      </w:r>
      <w:r>
        <w:rPr>
          <w:spacing w:val="-7"/>
        </w:rPr>
        <w:t> </w:t>
      </w:r>
      <w:r>
        <w:rPr/>
        <w:t>la</w:t>
      </w:r>
      <w:r>
        <w:rPr>
          <w:spacing w:val="-7"/>
        </w:rPr>
        <w:t> </w:t>
      </w:r>
      <w:r>
        <w:rPr/>
        <w:t>incidencia</w:t>
      </w:r>
      <w:r>
        <w:rPr>
          <w:spacing w:val="-7"/>
        </w:rPr>
        <w:t> </w:t>
      </w:r>
      <w:r>
        <w:rPr/>
        <w:t>anual</w:t>
      </w:r>
      <w:r>
        <w:rPr>
          <w:spacing w:val="-8"/>
        </w:rPr>
        <w:t> </w:t>
      </w:r>
      <w:r>
        <w:rPr/>
        <w:t>de</w:t>
      </w:r>
      <w:r>
        <w:rPr>
          <w:spacing w:val="-9"/>
        </w:rPr>
        <w:t> </w:t>
      </w:r>
      <w:r>
        <w:rPr/>
        <w:t>pacientes</w:t>
      </w:r>
      <w:r>
        <w:rPr>
          <w:spacing w:val="-8"/>
        </w:rPr>
        <w:t> </w:t>
      </w:r>
      <w:r>
        <w:rPr/>
        <w:t>(alrededor</w:t>
      </w:r>
      <w:r>
        <w:rPr>
          <w:spacing w:val="-8"/>
        </w:rPr>
        <w:t> </w:t>
      </w:r>
      <w:r>
        <w:rPr/>
        <w:t>de</w:t>
      </w:r>
      <w:r>
        <w:rPr>
          <w:spacing w:val="-9"/>
        </w:rPr>
        <w:t> </w:t>
      </w:r>
      <w:r>
        <w:rPr/>
        <w:t>180),</w:t>
      </w:r>
      <w:r>
        <w:rPr>
          <w:spacing w:val="-8"/>
        </w:rPr>
        <w:t> </w:t>
      </w:r>
      <w:r>
        <w:rPr/>
        <w:t>con</w:t>
      </w:r>
      <w:r>
        <w:rPr>
          <w:spacing w:val="-9"/>
        </w:rPr>
        <w:t> </w:t>
      </w:r>
      <w:r>
        <w:rPr/>
        <w:t>diagnóstico</w:t>
      </w:r>
      <w:r>
        <w:rPr>
          <w:spacing w:val="-7"/>
        </w:rPr>
        <w:t> </w:t>
      </w:r>
      <w:r>
        <w:rPr/>
        <w:t>de ovario poliquístico, se pretende tomar como número muestral el 30% </w:t>
      </w:r>
      <w:r>
        <w:rPr>
          <w:spacing w:val="38"/>
        </w:rPr>
        <w:t> </w:t>
      </w:r>
      <w:r>
        <w:rPr/>
        <w:t>aproximado,</w:t>
      </w:r>
    </w:p>
    <w:p>
      <w:pPr>
        <w:spacing w:after="0" w:line="364" w:lineRule="auto"/>
        <w:jc w:val="both"/>
        <w:sectPr>
          <w:pgSz w:w="12240" w:h="15840"/>
          <w:pgMar w:top="1260" w:bottom="280" w:left="1520" w:right="1100"/>
        </w:sectPr>
      </w:pPr>
    </w:p>
    <w:p>
      <w:pPr>
        <w:pStyle w:val="BodyText"/>
        <w:spacing w:line="362" w:lineRule="auto" w:before="43"/>
        <w:ind w:left="117" w:right="113"/>
        <w:jc w:val="both"/>
      </w:pPr>
      <w:r>
        <w:rPr/>
        <w:t>ya que se calcula que sean las pacientes recurrentes que acepten el estudio y tengan factilidad de seguimiento, además de rebasar el número mínimo requerido para cálculo estadístico.</w:t>
      </w:r>
    </w:p>
    <w:p>
      <w:pPr>
        <w:pStyle w:val="BodyText"/>
      </w:pPr>
    </w:p>
    <w:p>
      <w:pPr>
        <w:pStyle w:val="BodyText"/>
      </w:pPr>
    </w:p>
    <w:p>
      <w:pPr>
        <w:pStyle w:val="BodyText"/>
        <w:rPr>
          <w:sz w:val="21"/>
        </w:rPr>
      </w:pPr>
    </w:p>
    <w:p>
      <w:pPr>
        <w:spacing w:before="0"/>
        <w:ind w:left="107" w:right="0" w:firstLine="0"/>
        <w:jc w:val="both"/>
        <w:rPr>
          <w:sz w:val="22"/>
        </w:rPr>
      </w:pPr>
      <w:bookmarkStart w:name="_bookmark12" w:id="13"/>
      <w:bookmarkEnd w:id="13"/>
      <w:r>
        <w:rPr/>
      </w:r>
      <w:r>
        <w:rPr>
          <w:color w:val="5A5A5A"/>
          <w:sz w:val="22"/>
        </w:rPr>
        <w:t>CRITERIOS DE INCLUSIÓN</w:t>
      </w:r>
    </w:p>
    <w:p>
      <w:pPr>
        <w:pStyle w:val="BodyText"/>
        <w:rPr>
          <w:sz w:val="22"/>
        </w:rPr>
      </w:pPr>
    </w:p>
    <w:p>
      <w:pPr>
        <w:pStyle w:val="BodyText"/>
        <w:spacing w:before="3"/>
        <w:rPr>
          <w:sz w:val="19"/>
        </w:rPr>
      </w:pPr>
    </w:p>
    <w:p>
      <w:pPr>
        <w:pStyle w:val="BodyText"/>
        <w:spacing w:line="364" w:lineRule="auto"/>
        <w:ind w:left="117" w:right="118" w:hanging="10"/>
        <w:jc w:val="both"/>
      </w:pPr>
      <w:r>
        <w:rPr/>
        <w:t>Pacientes</w:t>
      </w:r>
      <w:r>
        <w:rPr>
          <w:spacing w:val="-7"/>
        </w:rPr>
        <w:t> </w:t>
      </w:r>
      <w:r>
        <w:rPr/>
        <w:t>del</w:t>
      </w:r>
      <w:r>
        <w:rPr>
          <w:spacing w:val="-5"/>
        </w:rPr>
        <w:t> </w:t>
      </w:r>
      <w:r>
        <w:rPr/>
        <w:t>sexo</w:t>
      </w:r>
      <w:r>
        <w:rPr>
          <w:spacing w:val="-6"/>
        </w:rPr>
        <w:t> </w:t>
      </w:r>
      <w:r>
        <w:rPr/>
        <w:t>femenino</w:t>
      </w:r>
      <w:r>
        <w:rPr>
          <w:spacing w:val="-6"/>
        </w:rPr>
        <w:t> </w:t>
      </w:r>
      <w:r>
        <w:rPr/>
        <w:t>en</w:t>
      </w:r>
      <w:r>
        <w:rPr>
          <w:spacing w:val="-6"/>
        </w:rPr>
        <w:t> </w:t>
      </w:r>
      <w:r>
        <w:rPr/>
        <w:t>edad</w:t>
      </w:r>
      <w:r>
        <w:rPr>
          <w:spacing w:val="-4"/>
        </w:rPr>
        <w:t> </w:t>
      </w:r>
      <w:r>
        <w:rPr/>
        <w:t>reproductiva</w:t>
      </w:r>
      <w:r>
        <w:rPr>
          <w:spacing w:val="-4"/>
        </w:rPr>
        <w:t> </w:t>
      </w:r>
      <w:r>
        <w:rPr/>
        <w:t>(14</w:t>
      </w:r>
      <w:r>
        <w:rPr>
          <w:spacing w:val="-6"/>
        </w:rPr>
        <w:t> </w:t>
      </w:r>
      <w:r>
        <w:rPr/>
        <w:t>a</w:t>
      </w:r>
      <w:r>
        <w:rPr>
          <w:spacing w:val="-4"/>
        </w:rPr>
        <w:t> </w:t>
      </w:r>
      <w:r>
        <w:rPr/>
        <w:t>42</w:t>
      </w:r>
      <w:r>
        <w:rPr>
          <w:spacing w:val="-6"/>
        </w:rPr>
        <w:t> </w:t>
      </w:r>
      <w:r>
        <w:rPr/>
        <w:t>años</w:t>
      </w:r>
      <w:r>
        <w:rPr>
          <w:spacing w:val="-9"/>
        </w:rPr>
        <w:t> </w:t>
      </w:r>
      <w:r>
        <w:rPr/>
        <w:t>de</w:t>
      </w:r>
      <w:r>
        <w:rPr>
          <w:spacing w:val="-4"/>
        </w:rPr>
        <w:t> </w:t>
      </w:r>
      <w:r>
        <w:rPr/>
        <w:t>edad)</w:t>
      </w:r>
      <w:r>
        <w:rPr>
          <w:spacing w:val="-5"/>
        </w:rPr>
        <w:t> </w:t>
      </w:r>
      <w:r>
        <w:rPr/>
        <w:t>con</w:t>
      </w:r>
      <w:r>
        <w:rPr>
          <w:spacing w:val="-6"/>
        </w:rPr>
        <w:t> </w:t>
      </w:r>
      <w:r>
        <w:rPr/>
        <w:t>vida sexual</w:t>
      </w:r>
      <w:r>
        <w:rPr>
          <w:spacing w:val="-7"/>
        </w:rPr>
        <w:t> </w:t>
      </w:r>
      <w:r>
        <w:rPr/>
        <w:t>activa.</w:t>
      </w:r>
    </w:p>
    <w:p>
      <w:pPr>
        <w:pStyle w:val="BodyText"/>
        <w:spacing w:line="364" w:lineRule="auto" w:before="199"/>
        <w:ind w:left="117" w:right="105" w:hanging="10"/>
        <w:jc w:val="both"/>
      </w:pPr>
      <w:r>
        <w:rPr/>
        <w:t>Pacientes</w:t>
      </w:r>
      <w:r>
        <w:rPr>
          <w:spacing w:val="-13"/>
        </w:rPr>
        <w:t> </w:t>
      </w:r>
      <w:r>
        <w:rPr/>
        <w:t>con</w:t>
      </w:r>
      <w:r>
        <w:rPr>
          <w:spacing w:val="-12"/>
        </w:rPr>
        <w:t> </w:t>
      </w:r>
      <w:r>
        <w:rPr/>
        <w:t>sospecha</w:t>
      </w:r>
      <w:r>
        <w:rPr>
          <w:spacing w:val="-12"/>
        </w:rPr>
        <w:t> </w:t>
      </w:r>
      <w:r>
        <w:rPr/>
        <w:t>clínica</w:t>
      </w:r>
      <w:r>
        <w:rPr>
          <w:spacing w:val="-12"/>
        </w:rPr>
        <w:t> </w:t>
      </w:r>
      <w:r>
        <w:rPr/>
        <w:t>de</w:t>
      </w:r>
      <w:r>
        <w:rPr>
          <w:spacing w:val="-12"/>
        </w:rPr>
        <w:t> </w:t>
      </w:r>
      <w:r>
        <w:rPr/>
        <w:t>síndrome</w:t>
      </w:r>
      <w:r>
        <w:rPr>
          <w:spacing w:val="-14"/>
        </w:rPr>
        <w:t> </w:t>
      </w:r>
      <w:r>
        <w:rPr/>
        <w:t>de</w:t>
      </w:r>
      <w:r>
        <w:rPr>
          <w:spacing w:val="-12"/>
        </w:rPr>
        <w:t> </w:t>
      </w:r>
      <w:r>
        <w:rPr/>
        <w:t>ovario</w:t>
      </w:r>
      <w:r>
        <w:rPr>
          <w:spacing w:val="-12"/>
        </w:rPr>
        <w:t> </w:t>
      </w:r>
      <w:r>
        <w:rPr/>
        <w:t>poliquístico</w:t>
      </w:r>
      <w:r>
        <w:rPr>
          <w:spacing w:val="-12"/>
        </w:rPr>
        <w:t> </w:t>
      </w:r>
      <w:r>
        <w:rPr/>
        <w:t>que</w:t>
      </w:r>
      <w:r>
        <w:rPr>
          <w:spacing w:val="-12"/>
        </w:rPr>
        <w:t> </w:t>
      </w:r>
      <w:r>
        <w:rPr/>
        <w:t>cumplan</w:t>
      </w:r>
      <w:r>
        <w:rPr>
          <w:spacing w:val="-12"/>
        </w:rPr>
        <w:t> </w:t>
      </w:r>
      <w:r>
        <w:rPr/>
        <w:t>con uno de los siguientes criterios: oligo-anovulación, hiperandrogenismo clínico o bioquímico, morfología ecográfica para ovario poliquístico, las cuales para la realización del estudio ecográfico endovaginal deberán cursar con fase folicular temprana (5 primeros días del ciclo menstrual) u oligo-anovulación (periodo de amenorrea mínimo de 60</w:t>
      </w:r>
      <w:r>
        <w:rPr>
          <w:spacing w:val="-13"/>
        </w:rPr>
        <w:t> </w:t>
      </w:r>
      <w:r>
        <w:rPr/>
        <w:t>días).</w:t>
      </w:r>
    </w:p>
    <w:p>
      <w:pPr>
        <w:pStyle w:val="BodyText"/>
      </w:pPr>
    </w:p>
    <w:p>
      <w:pPr>
        <w:pStyle w:val="BodyText"/>
      </w:pPr>
    </w:p>
    <w:p>
      <w:pPr>
        <w:pStyle w:val="BodyText"/>
      </w:pPr>
    </w:p>
    <w:p>
      <w:pPr>
        <w:pStyle w:val="BodyText"/>
      </w:pPr>
    </w:p>
    <w:p>
      <w:pPr>
        <w:pStyle w:val="BodyText"/>
      </w:pPr>
    </w:p>
    <w:p>
      <w:pPr>
        <w:spacing w:before="158"/>
        <w:ind w:left="107" w:right="0" w:firstLine="0"/>
        <w:jc w:val="both"/>
        <w:rPr>
          <w:sz w:val="22"/>
        </w:rPr>
      </w:pPr>
      <w:bookmarkStart w:name="_bookmark13" w:id="14"/>
      <w:bookmarkEnd w:id="14"/>
      <w:r>
        <w:rPr/>
      </w:r>
      <w:r>
        <w:rPr>
          <w:color w:val="5A5A5A"/>
          <w:sz w:val="22"/>
        </w:rPr>
        <w:t>CRITERIOS DE EXCLUSIÓN</w:t>
      </w:r>
    </w:p>
    <w:p>
      <w:pPr>
        <w:pStyle w:val="BodyText"/>
        <w:rPr>
          <w:sz w:val="22"/>
        </w:rPr>
      </w:pPr>
    </w:p>
    <w:p>
      <w:pPr>
        <w:pStyle w:val="BodyText"/>
        <w:rPr>
          <w:sz w:val="19"/>
        </w:rPr>
      </w:pPr>
    </w:p>
    <w:p>
      <w:pPr>
        <w:pStyle w:val="BodyText"/>
        <w:spacing w:line="535" w:lineRule="auto" w:before="1"/>
        <w:ind w:left="107" w:right="4990"/>
      </w:pPr>
      <w:r>
        <w:rPr/>
        <w:t>Pacientes sin vida sexual activa. Pacientes que cursen con embarazo.</w:t>
      </w:r>
    </w:p>
    <w:p>
      <w:pPr>
        <w:pStyle w:val="BodyText"/>
        <w:spacing w:line="362" w:lineRule="auto" w:before="8"/>
        <w:ind w:left="117" w:right="112" w:hanging="10"/>
        <w:jc w:val="both"/>
      </w:pPr>
      <w:r>
        <w:rPr/>
        <w:t>Pacientes que durante el rastreo ecográfico cursen con folículo dominante o quiste simple.</w:t>
      </w:r>
    </w:p>
    <w:p>
      <w:pPr>
        <w:pStyle w:val="BodyText"/>
        <w:spacing w:line="535" w:lineRule="auto" w:before="200"/>
        <w:ind w:left="107" w:right="28"/>
      </w:pPr>
      <w:r>
        <w:rPr/>
        <w:t>Pacientes que tengan otra causa endocrina que explique el hiperandrogenismo. Pacientes que cursen con alteración en perfil tiroideo.</w:t>
      </w:r>
    </w:p>
    <w:p>
      <w:pPr>
        <w:pStyle w:val="BodyText"/>
        <w:spacing w:line="364" w:lineRule="auto" w:before="4"/>
        <w:ind w:left="117" w:right="108" w:hanging="10"/>
        <w:jc w:val="both"/>
      </w:pPr>
      <w:r>
        <w:rPr/>
        <w:t>Pacientes en tratamiento con anticonceptivos orales o lo hayan suspendido en un periodo menor a 3 meses.</w:t>
      </w:r>
    </w:p>
    <w:p>
      <w:pPr>
        <w:spacing w:after="0" w:line="364" w:lineRule="auto"/>
        <w:jc w:val="both"/>
        <w:sectPr>
          <w:pgSz w:w="12240" w:h="15840"/>
          <w:pgMar w:top="1220" w:bottom="280" w:left="1580" w:right="1580"/>
        </w:sectPr>
      </w:pPr>
    </w:p>
    <w:p>
      <w:pPr>
        <w:pStyle w:val="BodyText"/>
        <w:spacing w:line="362" w:lineRule="auto" w:before="43"/>
        <w:ind w:left="117" w:right="117" w:hanging="10"/>
        <w:jc w:val="both"/>
      </w:pPr>
      <w:r>
        <w:rPr/>
        <w:t>Pacientes que cursen con estreñimiento y que el gas intestinal impida la correcta evaluación ovárica.</w:t>
      </w:r>
    </w:p>
    <w:p>
      <w:pPr>
        <w:pStyle w:val="BodyText"/>
      </w:pPr>
    </w:p>
    <w:p>
      <w:pPr>
        <w:pStyle w:val="BodyText"/>
      </w:pPr>
    </w:p>
    <w:p>
      <w:pPr>
        <w:pStyle w:val="BodyText"/>
        <w:rPr>
          <w:sz w:val="21"/>
        </w:rPr>
      </w:pPr>
    </w:p>
    <w:p>
      <w:pPr>
        <w:spacing w:before="0"/>
        <w:ind w:left="107" w:right="0" w:firstLine="0"/>
        <w:jc w:val="both"/>
        <w:rPr>
          <w:sz w:val="22"/>
        </w:rPr>
      </w:pPr>
      <w:bookmarkStart w:name="_bookmark14" w:id="15"/>
      <w:bookmarkEnd w:id="15"/>
      <w:r>
        <w:rPr/>
      </w:r>
      <w:r>
        <w:rPr>
          <w:color w:val="5A5A5A"/>
          <w:sz w:val="22"/>
        </w:rPr>
        <w:t>CRITERIOS DE ELIMINACIÓN</w:t>
      </w:r>
    </w:p>
    <w:p>
      <w:pPr>
        <w:pStyle w:val="BodyText"/>
        <w:rPr>
          <w:sz w:val="22"/>
        </w:rPr>
      </w:pPr>
    </w:p>
    <w:p>
      <w:pPr>
        <w:pStyle w:val="BodyText"/>
        <w:spacing w:before="5"/>
        <w:rPr>
          <w:sz w:val="19"/>
        </w:rPr>
      </w:pPr>
    </w:p>
    <w:p>
      <w:pPr>
        <w:pStyle w:val="BodyText"/>
        <w:spacing w:line="362" w:lineRule="auto"/>
        <w:ind w:left="117" w:right="103" w:hanging="10"/>
        <w:jc w:val="both"/>
      </w:pPr>
      <w:r>
        <w:rPr/>
        <w:t>Pacientes que durante el estudio ecográfico con diagnóstico de alta sospecha </w:t>
      </w:r>
      <w:r>
        <w:rPr>
          <w:spacing w:val="2"/>
        </w:rPr>
        <w:t>para </w:t>
      </w:r>
      <w:r>
        <w:rPr/>
        <w:t>ovario</w:t>
      </w:r>
      <w:r>
        <w:rPr>
          <w:spacing w:val="-12"/>
        </w:rPr>
        <w:t> </w:t>
      </w:r>
      <w:r>
        <w:rPr/>
        <w:t>poliquístico</w:t>
      </w:r>
      <w:r>
        <w:rPr>
          <w:spacing w:val="-12"/>
        </w:rPr>
        <w:t> </w:t>
      </w:r>
      <w:r>
        <w:rPr/>
        <w:t>se</w:t>
      </w:r>
      <w:r>
        <w:rPr>
          <w:spacing w:val="-12"/>
        </w:rPr>
        <w:t> </w:t>
      </w:r>
      <w:r>
        <w:rPr/>
        <w:t>encuentren</w:t>
      </w:r>
      <w:r>
        <w:rPr>
          <w:spacing w:val="-14"/>
        </w:rPr>
        <w:t> </w:t>
      </w:r>
      <w:r>
        <w:rPr/>
        <w:t>dificultades</w:t>
      </w:r>
      <w:r>
        <w:rPr>
          <w:spacing w:val="-15"/>
        </w:rPr>
        <w:t> </w:t>
      </w:r>
      <w:r>
        <w:rPr/>
        <w:t>técnicas</w:t>
      </w:r>
      <w:r>
        <w:rPr>
          <w:spacing w:val="-14"/>
        </w:rPr>
        <w:t> </w:t>
      </w:r>
      <w:r>
        <w:rPr/>
        <w:t>o</w:t>
      </w:r>
      <w:r>
        <w:rPr>
          <w:spacing w:val="-12"/>
        </w:rPr>
        <w:t> </w:t>
      </w:r>
      <w:r>
        <w:rPr/>
        <w:t>refieran</w:t>
      </w:r>
      <w:r>
        <w:rPr>
          <w:spacing w:val="-14"/>
        </w:rPr>
        <w:t> </w:t>
      </w:r>
      <w:r>
        <w:rPr/>
        <w:t>no</w:t>
      </w:r>
      <w:r>
        <w:rPr>
          <w:spacing w:val="-14"/>
        </w:rPr>
        <w:t> </w:t>
      </w:r>
      <w:r>
        <w:rPr/>
        <w:t>querer</w:t>
      </w:r>
      <w:r>
        <w:rPr>
          <w:spacing w:val="-13"/>
        </w:rPr>
        <w:t> </w:t>
      </w:r>
      <w:r>
        <w:rPr/>
        <w:t>continuar con el</w:t>
      </w:r>
      <w:r>
        <w:rPr>
          <w:spacing w:val="-4"/>
        </w:rPr>
        <w:t> </w:t>
      </w:r>
      <w:r>
        <w:rPr/>
        <w:t>estudio.</w:t>
      </w:r>
    </w:p>
    <w:p>
      <w:pPr>
        <w:pStyle w:val="BodyText"/>
      </w:pPr>
    </w:p>
    <w:p>
      <w:pPr>
        <w:pStyle w:val="BodyText"/>
      </w:pPr>
    </w:p>
    <w:p>
      <w:pPr>
        <w:pStyle w:val="BodyText"/>
        <w:spacing w:before="1"/>
        <w:rPr>
          <w:sz w:val="21"/>
        </w:rPr>
      </w:pPr>
    </w:p>
    <w:p>
      <w:pPr>
        <w:spacing w:before="0"/>
        <w:ind w:left="107" w:right="0" w:firstLine="0"/>
        <w:jc w:val="both"/>
        <w:rPr>
          <w:sz w:val="22"/>
        </w:rPr>
      </w:pPr>
      <w:bookmarkStart w:name="_bookmark15" w:id="16"/>
      <w:bookmarkEnd w:id="16"/>
      <w:r>
        <w:rPr/>
      </w:r>
      <w:r>
        <w:rPr>
          <w:color w:val="5A5A5A"/>
          <w:sz w:val="22"/>
        </w:rPr>
        <w:t>PROCEDIMIENTO O DESARROLLO</w:t>
      </w:r>
    </w:p>
    <w:p>
      <w:pPr>
        <w:pStyle w:val="BodyText"/>
        <w:spacing w:line="364" w:lineRule="auto" w:before="179"/>
        <w:ind w:left="117" w:right="111" w:hanging="10"/>
        <w:jc w:val="both"/>
      </w:pPr>
      <w:r>
        <w:rPr/>
        <w:t>Se</w:t>
      </w:r>
      <w:r>
        <w:rPr>
          <w:spacing w:val="-7"/>
        </w:rPr>
        <w:t> </w:t>
      </w:r>
      <w:r>
        <w:rPr/>
        <w:t>realizaron</w:t>
      </w:r>
      <w:r>
        <w:rPr>
          <w:spacing w:val="-7"/>
        </w:rPr>
        <w:t> </w:t>
      </w:r>
      <w:r>
        <w:rPr/>
        <w:t>observaciones</w:t>
      </w:r>
      <w:r>
        <w:rPr>
          <w:spacing w:val="-10"/>
        </w:rPr>
        <w:t> </w:t>
      </w:r>
      <w:r>
        <w:rPr/>
        <w:t>sobre</w:t>
      </w:r>
      <w:r>
        <w:rPr>
          <w:spacing w:val="-10"/>
        </w:rPr>
        <w:t> </w:t>
      </w:r>
      <w:r>
        <w:rPr/>
        <w:t>una</w:t>
      </w:r>
      <w:r>
        <w:rPr>
          <w:spacing w:val="-12"/>
        </w:rPr>
        <w:t> </w:t>
      </w:r>
      <w:r>
        <w:rPr/>
        <w:t>muestra</w:t>
      </w:r>
      <w:r>
        <w:rPr>
          <w:spacing w:val="-8"/>
        </w:rPr>
        <w:t> </w:t>
      </w:r>
      <w:r>
        <w:rPr/>
        <w:t>de</w:t>
      </w:r>
      <w:r>
        <w:rPr>
          <w:spacing w:val="-12"/>
        </w:rPr>
        <w:t> </w:t>
      </w:r>
      <w:r>
        <w:rPr/>
        <w:t>79</w:t>
      </w:r>
      <w:r>
        <w:rPr>
          <w:spacing w:val="-9"/>
        </w:rPr>
        <w:t> </w:t>
      </w:r>
      <w:r>
        <w:rPr/>
        <w:t>pacientes</w:t>
      </w:r>
      <w:r>
        <w:rPr>
          <w:spacing w:val="-10"/>
        </w:rPr>
        <w:t> </w:t>
      </w:r>
      <w:r>
        <w:rPr/>
        <w:t>con</w:t>
      </w:r>
      <w:r>
        <w:rPr>
          <w:spacing w:val="-9"/>
        </w:rPr>
        <w:t> </w:t>
      </w:r>
      <w:r>
        <w:rPr/>
        <w:t>diagnóstico</w:t>
      </w:r>
      <w:r>
        <w:rPr>
          <w:spacing w:val="-9"/>
        </w:rPr>
        <w:t> </w:t>
      </w:r>
      <w:r>
        <w:rPr/>
        <w:t>de síndrome de ovario poliquístico entre 18 y 42 años de edad, derechohabientes del ISSEMyM, a las que se les realizó ecografía transvaginal en fase folicular (1ª al 4º día del periodo menstrual) o bien en periodo de amenorrea mínimo de 60 días, con vida sexual activa, sin toma de anticonceptivos orales o suspensión de estos en un periodo mínimo de 3 meses previos, sin</w:t>
      </w:r>
      <w:r>
        <w:rPr>
          <w:spacing w:val="-20"/>
        </w:rPr>
        <w:t> </w:t>
      </w:r>
      <w:r>
        <w:rPr/>
        <w:t>embarazo.</w:t>
      </w:r>
    </w:p>
    <w:p>
      <w:pPr>
        <w:pStyle w:val="BodyText"/>
        <w:spacing w:line="364" w:lineRule="auto" w:before="199"/>
        <w:ind w:left="117" w:right="109" w:hanging="10"/>
        <w:jc w:val="both"/>
      </w:pPr>
      <w:r>
        <w:rPr/>
        <w:t>Todas las pacientes que cumplieron con los criterios de inclusión se les realizó ecografía transvaginal con previa preparación intestinal con laxante oral Nulytely® (Macrogol 3350 - bicarbonato de sodio - cloruro de sodio - cloruro de potasio) con indicación de administración vía oral 12 horas previas al estudio.</w:t>
      </w:r>
    </w:p>
    <w:p>
      <w:pPr>
        <w:pStyle w:val="BodyText"/>
        <w:spacing w:line="364" w:lineRule="auto" w:before="199"/>
        <w:ind w:left="117" w:right="105" w:hanging="10"/>
        <w:jc w:val="both"/>
      </w:pPr>
      <w:r>
        <w:rPr/>
        <w:t>Previo informe de consentimiento, se procedió a realizar ecografía transvaginal. Se efectuó asepsia de transductor, así como colocación de funda de látex al mismo. Posteriormente se explicó a cada una de las pacientes que el transductor no se introduce por completo, aproximadamente 5 cm y que la sensación de cuerpo extraño es parecida al de un tacto vaginal o a la introducción de espejo para Papanicolaou. Se pidió a la paciente que inspirará profundo mientras se introducía transductor. La ecografía se efectuó en equipo General Electric, Modelo Logiq E9, con transductor endocavitario multifrecuencia (5-9 MHz). Se tomaron cortes y mediciones en plano longitudinal, transversal y anteroposterior de útero, medición de endometrio en plano longitudinal de útero, medición en plano longitudinal del</w:t>
      </w:r>
    </w:p>
    <w:p>
      <w:pPr>
        <w:spacing w:after="0" w:line="364" w:lineRule="auto"/>
        <w:jc w:val="both"/>
        <w:sectPr>
          <w:pgSz w:w="12240" w:h="15840"/>
          <w:pgMar w:top="1220" w:bottom="280" w:left="1580" w:right="1580"/>
        </w:sectPr>
      </w:pPr>
    </w:p>
    <w:p>
      <w:pPr>
        <w:pStyle w:val="BodyText"/>
        <w:spacing w:line="364" w:lineRule="auto" w:before="43"/>
        <w:ind w:left="117" w:right="105"/>
        <w:jc w:val="both"/>
      </w:pPr>
      <w:r>
        <w:rPr/>
        <w:t>cérvix, medición de área total de cada uno de los ovarios, medición del área del estroma ovárico, características de ecogenicidad del estroma de cada uno de los ovarios, se calculó del índice estroma / área total de ovario de forma bilateral: se retiró el transductor dando por terminado el estudio. Tanto las imágenes como la interpretación por escrito se enviaron al sistema RIS-PACS donde se almacenaron las mismas para futura referencia.</w:t>
      </w:r>
    </w:p>
    <w:p>
      <w:pPr>
        <w:pStyle w:val="BodyText"/>
        <w:spacing w:line="364" w:lineRule="auto" w:before="199"/>
        <w:ind w:left="117" w:right="109" w:hanging="10"/>
        <w:jc w:val="both"/>
      </w:pPr>
      <w:r>
        <w:rPr/>
        <w:t>Habiendo obtenido resultados, se procedió a realizar un análisis de correlación del índice volumen total estroma-ovario y los hallazgos del perfil sérico androgénico en el expediente clínico de dichos pacientes, y se ingresaron al análisis en el registro que se llevó acabo en hoja de Excel para su posterior análisis en este programa complementándose en software Eviews.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5"/>
        </w:rPr>
      </w:pPr>
    </w:p>
    <w:p>
      <w:pPr>
        <w:spacing w:before="0"/>
        <w:ind w:left="107" w:right="0" w:firstLine="0"/>
        <w:jc w:val="both"/>
        <w:rPr>
          <w:sz w:val="22"/>
        </w:rPr>
      </w:pPr>
      <w:bookmarkStart w:name="_bookmark16" w:id="17"/>
      <w:bookmarkEnd w:id="17"/>
      <w:r>
        <w:rPr/>
      </w:r>
      <w:r>
        <w:rPr>
          <w:color w:val="5A5A5A"/>
          <w:sz w:val="22"/>
        </w:rPr>
        <w:t>ANÁLISIS ESTÁDISTICO DE RESULTADOS</w:t>
      </w:r>
    </w:p>
    <w:p>
      <w:pPr>
        <w:pStyle w:val="BodyText"/>
        <w:rPr>
          <w:sz w:val="22"/>
        </w:rPr>
      </w:pPr>
    </w:p>
    <w:p>
      <w:pPr>
        <w:pStyle w:val="BodyText"/>
        <w:spacing w:before="3"/>
        <w:rPr>
          <w:sz w:val="19"/>
        </w:rPr>
      </w:pPr>
    </w:p>
    <w:p>
      <w:pPr>
        <w:pStyle w:val="BodyText"/>
        <w:spacing w:line="364" w:lineRule="auto"/>
        <w:ind w:left="117" w:right="106" w:hanging="10"/>
        <w:jc w:val="both"/>
      </w:pPr>
      <w:r>
        <w:rPr/>
        <w:t>El total de pacientes en este estudio fueron 79 mujeres con edad promedio de 28.3 años. Se excluyeron 7 pacientes de las cuales a 2 de ellas no fue posible la evaluación</w:t>
      </w:r>
      <w:r>
        <w:rPr>
          <w:spacing w:val="-10"/>
        </w:rPr>
        <w:t> </w:t>
      </w:r>
      <w:r>
        <w:rPr/>
        <w:t>de</w:t>
      </w:r>
      <w:r>
        <w:rPr>
          <w:spacing w:val="-11"/>
        </w:rPr>
        <w:t> </w:t>
      </w:r>
      <w:r>
        <w:rPr/>
        <w:t>ovarios</w:t>
      </w:r>
      <w:r>
        <w:rPr>
          <w:spacing w:val="-12"/>
        </w:rPr>
        <w:t> </w:t>
      </w:r>
      <w:r>
        <w:rPr/>
        <w:t>por</w:t>
      </w:r>
      <w:r>
        <w:rPr>
          <w:spacing w:val="-12"/>
        </w:rPr>
        <w:t> </w:t>
      </w:r>
      <w:r>
        <w:rPr/>
        <w:t>presencia</w:t>
      </w:r>
      <w:r>
        <w:rPr>
          <w:spacing w:val="-11"/>
        </w:rPr>
        <w:t> </w:t>
      </w:r>
      <w:r>
        <w:rPr/>
        <w:t>de</w:t>
      </w:r>
      <w:r>
        <w:rPr>
          <w:spacing w:val="-11"/>
        </w:rPr>
        <w:t> </w:t>
      </w:r>
      <w:r>
        <w:rPr/>
        <w:t>abundante</w:t>
      </w:r>
      <w:r>
        <w:rPr>
          <w:spacing w:val="-11"/>
        </w:rPr>
        <w:t> </w:t>
      </w:r>
      <w:r>
        <w:rPr/>
        <w:t>gas</w:t>
      </w:r>
      <w:r>
        <w:rPr>
          <w:spacing w:val="-12"/>
        </w:rPr>
        <w:t> </w:t>
      </w:r>
      <w:r>
        <w:rPr/>
        <w:t>intestinal,</w:t>
      </w:r>
      <w:r>
        <w:rPr>
          <w:spacing w:val="-12"/>
        </w:rPr>
        <w:t> </w:t>
      </w:r>
      <w:r>
        <w:rPr/>
        <w:t>1</w:t>
      </w:r>
      <w:r>
        <w:rPr>
          <w:spacing w:val="-11"/>
        </w:rPr>
        <w:t> </w:t>
      </w:r>
      <w:r>
        <w:rPr/>
        <w:t>era</w:t>
      </w:r>
      <w:r>
        <w:rPr>
          <w:spacing w:val="-11"/>
        </w:rPr>
        <w:t> </w:t>
      </w:r>
      <w:r>
        <w:rPr/>
        <w:t>portadora</w:t>
      </w:r>
      <w:r>
        <w:rPr>
          <w:spacing w:val="-11"/>
        </w:rPr>
        <w:t> </w:t>
      </w:r>
      <w:r>
        <w:rPr/>
        <w:t>de implante subdérmico, 1 cursaba con quiste hemorrágico, 1 con probable teratoma, 1</w:t>
      </w:r>
      <w:r>
        <w:rPr>
          <w:spacing w:val="-9"/>
        </w:rPr>
        <w:t> </w:t>
      </w:r>
      <w:r>
        <w:rPr/>
        <w:t>con</w:t>
      </w:r>
      <w:r>
        <w:rPr>
          <w:spacing w:val="-14"/>
        </w:rPr>
        <w:t> </w:t>
      </w:r>
      <w:r>
        <w:rPr/>
        <w:t>folículo</w:t>
      </w:r>
      <w:r>
        <w:rPr>
          <w:spacing w:val="-10"/>
        </w:rPr>
        <w:t> </w:t>
      </w:r>
      <w:r>
        <w:rPr/>
        <w:t>dominante</w:t>
      </w:r>
      <w:r>
        <w:rPr>
          <w:spacing w:val="-9"/>
        </w:rPr>
        <w:t> </w:t>
      </w:r>
      <w:r>
        <w:rPr/>
        <w:t>y</w:t>
      </w:r>
      <w:r>
        <w:rPr>
          <w:spacing w:val="-13"/>
        </w:rPr>
        <w:t> </w:t>
      </w:r>
      <w:r>
        <w:rPr/>
        <w:t>1</w:t>
      </w:r>
      <w:r>
        <w:rPr>
          <w:spacing w:val="-9"/>
        </w:rPr>
        <w:t> </w:t>
      </w:r>
      <w:r>
        <w:rPr/>
        <w:t>con</w:t>
      </w:r>
      <w:r>
        <w:rPr>
          <w:spacing w:val="-12"/>
        </w:rPr>
        <w:t> </w:t>
      </w:r>
      <w:r>
        <w:rPr/>
        <w:t>suspensión</w:t>
      </w:r>
      <w:r>
        <w:rPr>
          <w:spacing w:val="-9"/>
        </w:rPr>
        <w:t> </w:t>
      </w:r>
      <w:r>
        <w:rPr/>
        <w:t>de</w:t>
      </w:r>
      <w:r>
        <w:rPr>
          <w:spacing w:val="-9"/>
        </w:rPr>
        <w:t> </w:t>
      </w:r>
      <w:r>
        <w:rPr/>
        <w:t>anticonceptivo</w:t>
      </w:r>
      <w:r>
        <w:rPr>
          <w:spacing w:val="-9"/>
        </w:rPr>
        <w:t> </w:t>
      </w:r>
      <w:r>
        <w:rPr/>
        <w:t>hormonal</w:t>
      </w:r>
      <w:r>
        <w:rPr>
          <w:spacing w:val="-13"/>
        </w:rPr>
        <w:t> </w:t>
      </w:r>
      <w:r>
        <w:rPr/>
        <w:t>oral</w:t>
      </w:r>
      <w:r>
        <w:rPr>
          <w:spacing w:val="-10"/>
        </w:rPr>
        <w:t> </w:t>
      </w:r>
      <w:r>
        <w:rPr/>
        <w:t>menor a 3 meses al momento del</w:t>
      </w:r>
      <w:r>
        <w:rPr>
          <w:spacing w:val="-12"/>
        </w:rPr>
        <w:t> </w:t>
      </w:r>
      <w:r>
        <w:rPr/>
        <w:t>estudio.</w:t>
      </w:r>
    </w:p>
    <w:p>
      <w:pPr>
        <w:pStyle w:val="BodyText"/>
        <w:spacing w:line="364" w:lineRule="auto" w:before="199"/>
        <w:ind w:left="117" w:right="109" w:hanging="10"/>
        <w:jc w:val="both"/>
      </w:pPr>
      <w:r>
        <w:rPr/>
        <w:t>Los valores promedio de mediciones de área ovárica, estroma ovárico e índice se muestran en la tabla 1, se tomó como valor normal del índice estroma/área 0.32, el cual se obtuvo de la división estroma/ área ovárica.</w:t>
      </w:r>
    </w:p>
    <w:p>
      <w:pPr>
        <w:pStyle w:val="BodyText"/>
        <w:spacing w:line="364" w:lineRule="auto" w:before="199"/>
        <w:ind w:left="117" w:right="114" w:hanging="10"/>
        <w:jc w:val="both"/>
      </w:pPr>
      <w:r>
        <w:rPr/>
        <w:t>Una</w:t>
      </w:r>
      <w:r>
        <w:rPr>
          <w:spacing w:val="-14"/>
        </w:rPr>
        <w:t> </w:t>
      </w:r>
      <w:r>
        <w:rPr/>
        <w:t>vez</w:t>
      </w:r>
      <w:r>
        <w:rPr>
          <w:spacing w:val="-17"/>
        </w:rPr>
        <w:t> </w:t>
      </w:r>
      <w:r>
        <w:rPr/>
        <w:t>obtenidos</w:t>
      </w:r>
      <w:r>
        <w:rPr>
          <w:spacing w:val="-15"/>
        </w:rPr>
        <w:t> </w:t>
      </w:r>
      <w:r>
        <w:rPr/>
        <w:t>los</w:t>
      </w:r>
      <w:r>
        <w:rPr>
          <w:spacing w:val="-17"/>
        </w:rPr>
        <w:t> </w:t>
      </w:r>
      <w:r>
        <w:rPr/>
        <w:t>resultados</w:t>
      </w:r>
      <w:r>
        <w:rPr>
          <w:spacing w:val="-17"/>
        </w:rPr>
        <w:t> </w:t>
      </w:r>
      <w:r>
        <w:rPr/>
        <w:t>correspondientes</w:t>
      </w:r>
      <w:r>
        <w:rPr>
          <w:spacing w:val="-17"/>
        </w:rPr>
        <w:t> </w:t>
      </w:r>
      <w:r>
        <w:rPr/>
        <w:t>a</w:t>
      </w:r>
      <w:r>
        <w:rPr>
          <w:spacing w:val="-16"/>
        </w:rPr>
        <w:t> </w:t>
      </w:r>
      <w:r>
        <w:rPr/>
        <w:t>las</w:t>
      </w:r>
      <w:r>
        <w:rPr>
          <w:spacing w:val="-17"/>
        </w:rPr>
        <w:t> </w:t>
      </w:r>
      <w:r>
        <w:rPr/>
        <w:t>72</w:t>
      </w:r>
      <w:r>
        <w:rPr>
          <w:spacing w:val="-17"/>
        </w:rPr>
        <w:t> </w:t>
      </w:r>
      <w:r>
        <w:rPr/>
        <w:t>pacientes,</w:t>
      </w:r>
      <w:r>
        <w:rPr>
          <w:spacing w:val="-14"/>
        </w:rPr>
        <w:t> </w:t>
      </w:r>
      <w:r>
        <w:rPr/>
        <w:t>se</w:t>
      </w:r>
      <w:r>
        <w:rPr>
          <w:spacing w:val="-16"/>
        </w:rPr>
        <w:t> </w:t>
      </w:r>
      <w:r>
        <w:rPr/>
        <w:t>analizaron los</w:t>
      </w:r>
      <w:r>
        <w:rPr>
          <w:spacing w:val="-17"/>
        </w:rPr>
        <w:t> </w:t>
      </w:r>
      <w:r>
        <w:rPr/>
        <w:t>datos</w:t>
      </w:r>
      <w:r>
        <w:rPr>
          <w:spacing w:val="-19"/>
        </w:rPr>
        <w:t> </w:t>
      </w:r>
      <w:r>
        <w:rPr/>
        <w:t>de</w:t>
      </w:r>
      <w:r>
        <w:rPr>
          <w:spacing w:val="-19"/>
        </w:rPr>
        <w:t> </w:t>
      </w:r>
      <w:r>
        <w:rPr/>
        <w:t>estas</w:t>
      </w:r>
      <w:r>
        <w:rPr>
          <w:spacing w:val="-20"/>
        </w:rPr>
        <w:t> </w:t>
      </w:r>
      <w:r>
        <w:rPr/>
        <w:t>observaciones</w:t>
      </w:r>
      <w:r>
        <w:rPr>
          <w:spacing w:val="-20"/>
        </w:rPr>
        <w:t> </w:t>
      </w:r>
      <w:r>
        <w:rPr/>
        <w:t>mediante</w:t>
      </w:r>
      <w:r>
        <w:rPr>
          <w:spacing w:val="-17"/>
        </w:rPr>
        <w:t> </w:t>
      </w:r>
      <w:r>
        <w:rPr/>
        <w:t>su</w:t>
      </w:r>
      <w:r>
        <w:rPr>
          <w:spacing w:val="-17"/>
        </w:rPr>
        <w:t> </w:t>
      </w:r>
      <w:r>
        <w:rPr/>
        <w:t>introducción</w:t>
      </w:r>
      <w:r>
        <w:rPr>
          <w:spacing w:val="-19"/>
        </w:rPr>
        <w:t> </w:t>
      </w:r>
      <w:r>
        <w:rPr/>
        <w:t>en</w:t>
      </w:r>
      <w:r>
        <w:rPr>
          <w:spacing w:val="-19"/>
        </w:rPr>
        <w:t> </w:t>
      </w:r>
      <w:r>
        <w:rPr/>
        <w:t>un</w:t>
      </w:r>
      <w:r>
        <w:rPr>
          <w:spacing w:val="-21"/>
        </w:rPr>
        <w:t> </w:t>
      </w:r>
      <w:r>
        <w:rPr/>
        <w:t>modelo</w:t>
      </w:r>
      <w:r>
        <w:rPr>
          <w:spacing w:val="-19"/>
        </w:rPr>
        <w:t> </w:t>
      </w:r>
      <w:r>
        <w:rPr/>
        <w:t>estadístico matemático. En este modelo se busca determinar la relación que existe entre</w:t>
      </w:r>
      <w:r>
        <w:rPr>
          <w:spacing w:val="14"/>
        </w:rPr>
        <w:t> </w:t>
      </w:r>
      <w:r>
        <w:rPr/>
        <w:t>cada</w:t>
      </w:r>
    </w:p>
    <w:p>
      <w:pPr>
        <w:spacing w:after="0" w:line="364" w:lineRule="auto"/>
        <w:jc w:val="both"/>
        <w:sectPr>
          <w:pgSz w:w="12240" w:h="15840"/>
          <w:pgMar w:top="1220" w:bottom="280" w:left="1580" w:right="1580"/>
        </w:sectPr>
      </w:pPr>
    </w:p>
    <w:p>
      <w:pPr>
        <w:pStyle w:val="BodyText"/>
        <w:spacing w:line="362" w:lineRule="auto" w:before="43"/>
        <w:ind w:left="117" w:right="131"/>
        <w:jc w:val="both"/>
      </w:pPr>
      <w:r>
        <w:rPr/>
        <w:t>una de las variables y el índice estroma-ovario. Para ello, las mismas se definieron como:</w:t>
      </w:r>
    </w:p>
    <w:p>
      <w:pPr>
        <w:spacing w:line="535" w:lineRule="auto" w:before="197"/>
        <w:ind w:left="117" w:right="5409" w:hanging="10"/>
        <w:jc w:val="left"/>
        <w:rPr>
          <w:sz w:val="24"/>
        </w:rPr>
      </w:pPr>
      <w:r>
        <w:rPr>
          <w:i/>
          <w:sz w:val="24"/>
        </w:rPr>
        <w:t>y = f(x1, x2, x3, x4, x5, x6, x7, x8) </w:t>
      </w:r>
      <w:r>
        <w:rPr>
          <w:i/>
          <w:sz w:val="24"/>
        </w:rPr>
        <w:t>y </w:t>
      </w:r>
      <w:r>
        <w:rPr>
          <w:sz w:val="24"/>
        </w:rPr>
        <w:t>= índice estroma-ovario </w:t>
      </w:r>
      <w:r>
        <w:rPr>
          <w:i/>
          <w:sz w:val="24"/>
        </w:rPr>
        <w:t>x1</w:t>
      </w:r>
      <w:r>
        <w:rPr>
          <w:sz w:val="24"/>
        </w:rPr>
        <w:t>= testosterona </w:t>
      </w:r>
      <w:r>
        <w:rPr>
          <w:i/>
          <w:sz w:val="24"/>
        </w:rPr>
        <w:t>x2</w:t>
      </w:r>
      <w:r>
        <w:rPr>
          <w:sz w:val="24"/>
        </w:rPr>
        <w:t>= androstenediona </w:t>
      </w:r>
      <w:r>
        <w:rPr>
          <w:i/>
          <w:sz w:val="24"/>
        </w:rPr>
        <w:t>x3</w:t>
      </w:r>
      <w:r>
        <w:rPr>
          <w:sz w:val="24"/>
        </w:rPr>
        <w:t>= DHEA </w:t>
      </w:r>
      <w:r>
        <w:rPr>
          <w:i/>
          <w:sz w:val="24"/>
        </w:rPr>
        <w:t>x4</w:t>
      </w:r>
      <w:r>
        <w:rPr>
          <w:sz w:val="24"/>
        </w:rPr>
        <w:t>= 17-A hidroxyprogesterona </w:t>
      </w:r>
      <w:r>
        <w:rPr>
          <w:i/>
          <w:sz w:val="24"/>
        </w:rPr>
        <w:t>x5</w:t>
      </w:r>
      <w:r>
        <w:rPr>
          <w:sz w:val="24"/>
        </w:rPr>
        <w:t>= estradiol </w:t>
      </w:r>
      <w:r>
        <w:rPr>
          <w:i/>
          <w:sz w:val="24"/>
        </w:rPr>
        <w:t>x6</w:t>
      </w:r>
      <w:r>
        <w:rPr>
          <w:sz w:val="24"/>
        </w:rPr>
        <w:t>= FSH </w:t>
      </w:r>
      <w:r>
        <w:rPr>
          <w:i/>
          <w:sz w:val="24"/>
        </w:rPr>
        <w:t>x7</w:t>
      </w:r>
      <w:r>
        <w:rPr>
          <w:sz w:val="24"/>
        </w:rPr>
        <w:t>= LH </w:t>
      </w:r>
      <w:r>
        <w:rPr>
          <w:i/>
          <w:sz w:val="24"/>
        </w:rPr>
        <w:t>x8</w:t>
      </w:r>
      <w:r>
        <w:rPr>
          <w:sz w:val="24"/>
        </w:rPr>
        <w:t>= PRL</w:t>
      </w:r>
    </w:p>
    <w:p>
      <w:pPr>
        <w:pStyle w:val="BodyText"/>
      </w:pPr>
    </w:p>
    <w:p>
      <w:pPr>
        <w:pStyle w:val="BodyText"/>
        <w:spacing w:before="4"/>
        <w:rPr>
          <w:sz w:val="30"/>
        </w:rPr>
      </w:pPr>
    </w:p>
    <w:p>
      <w:pPr>
        <w:pStyle w:val="BodyText"/>
        <w:ind w:left="107"/>
        <w:jc w:val="both"/>
      </w:pPr>
      <w:r>
        <w:rPr/>
        <w:t>Que arregladas como la función a introducir en el modelo:</w:t>
      </w:r>
    </w:p>
    <w:p>
      <w:pPr>
        <w:pStyle w:val="BodyText"/>
        <w:rPr>
          <w:sz w:val="30"/>
        </w:rPr>
      </w:pPr>
    </w:p>
    <w:p>
      <w:pPr>
        <w:spacing w:line="456" w:lineRule="auto" w:before="0"/>
        <w:ind w:left="117" w:right="116" w:hanging="10"/>
        <w:jc w:val="both"/>
        <w:rPr>
          <w:sz w:val="24"/>
        </w:rPr>
      </w:pPr>
      <w:r>
        <w:rPr>
          <w:i/>
          <w:sz w:val="24"/>
        </w:rPr>
        <w:t>Índice</w:t>
      </w:r>
      <w:r>
        <w:rPr>
          <w:sz w:val="24"/>
        </w:rPr>
        <w:t>= β0 + β1</w:t>
      </w:r>
      <w:r>
        <w:rPr>
          <w:i/>
          <w:sz w:val="24"/>
        </w:rPr>
        <w:t>testosterona </w:t>
      </w:r>
      <w:r>
        <w:rPr>
          <w:sz w:val="24"/>
        </w:rPr>
        <w:t>+ β2</w:t>
      </w:r>
      <w:r>
        <w:rPr>
          <w:i/>
          <w:sz w:val="24"/>
        </w:rPr>
        <w:t>androstenediona </w:t>
      </w:r>
      <w:r>
        <w:rPr>
          <w:sz w:val="24"/>
        </w:rPr>
        <w:t>+ β3</w:t>
      </w:r>
      <w:r>
        <w:rPr>
          <w:i/>
          <w:sz w:val="24"/>
        </w:rPr>
        <w:t>DHEA </w:t>
      </w:r>
      <w:r>
        <w:rPr>
          <w:sz w:val="24"/>
        </w:rPr>
        <w:t>+ β4</w:t>
      </w:r>
      <w:r>
        <w:rPr>
          <w:i/>
          <w:sz w:val="24"/>
        </w:rPr>
        <w:t>17-A </w:t>
      </w:r>
      <w:r>
        <w:rPr>
          <w:i/>
          <w:sz w:val="24"/>
        </w:rPr>
        <w:t>Hidroxyprogesterona </w:t>
      </w:r>
      <w:r>
        <w:rPr>
          <w:sz w:val="24"/>
        </w:rPr>
        <w:t>+ β5</w:t>
      </w:r>
      <w:r>
        <w:rPr>
          <w:i/>
          <w:sz w:val="24"/>
        </w:rPr>
        <w:t>estradiol </w:t>
      </w:r>
      <w:r>
        <w:rPr>
          <w:sz w:val="24"/>
        </w:rPr>
        <w:t>+ β6</w:t>
      </w:r>
      <w:r>
        <w:rPr>
          <w:i/>
          <w:sz w:val="24"/>
        </w:rPr>
        <w:t>FSH </w:t>
      </w:r>
      <w:r>
        <w:rPr>
          <w:sz w:val="24"/>
        </w:rPr>
        <w:t>+ β7</w:t>
      </w:r>
      <w:r>
        <w:rPr>
          <w:i/>
          <w:sz w:val="24"/>
        </w:rPr>
        <w:t>LH </w:t>
      </w:r>
      <w:r>
        <w:rPr>
          <w:sz w:val="24"/>
        </w:rPr>
        <w:t>+ β8</w:t>
      </w:r>
      <w:r>
        <w:rPr>
          <w:i/>
          <w:sz w:val="24"/>
        </w:rPr>
        <w:t>PRL </w:t>
      </w:r>
      <w:r>
        <w:rPr>
          <w:sz w:val="24"/>
        </w:rPr>
        <w:t>+ µ</w:t>
      </w:r>
    </w:p>
    <w:p>
      <w:pPr>
        <w:pStyle w:val="BodyText"/>
        <w:spacing w:line="364" w:lineRule="auto" w:before="128"/>
        <w:ind w:left="117" w:right="128" w:hanging="10"/>
        <w:jc w:val="both"/>
      </w:pPr>
      <w:r>
        <w:rPr/>
        <w:t>Donde a su vez </w:t>
      </w:r>
      <w:r>
        <w:rPr>
          <w:i/>
        </w:rPr>
        <w:t>β0, β1, β2</w:t>
      </w:r>
      <w:r>
        <w:rPr/>
        <w:t>… son los parámetros que describen la relación entre el Índice y las variables independientes, mientras que </w:t>
      </w:r>
      <w:r>
        <w:rPr>
          <w:i/>
        </w:rPr>
        <w:t>µ </w:t>
      </w:r>
      <w:r>
        <w:rPr/>
        <w:t>involucra a todos aquellos factores</w:t>
      </w:r>
      <w:r>
        <w:rPr>
          <w:spacing w:val="-14"/>
        </w:rPr>
        <w:t> </w:t>
      </w:r>
      <w:r>
        <w:rPr/>
        <w:t>que</w:t>
      </w:r>
      <w:r>
        <w:rPr>
          <w:spacing w:val="-13"/>
        </w:rPr>
        <w:t> </w:t>
      </w:r>
      <w:r>
        <w:rPr/>
        <w:t>no</w:t>
      </w:r>
      <w:r>
        <w:rPr>
          <w:spacing w:val="-13"/>
        </w:rPr>
        <w:t> </w:t>
      </w:r>
      <w:r>
        <w:rPr/>
        <w:t>son</w:t>
      </w:r>
      <w:r>
        <w:rPr>
          <w:spacing w:val="-13"/>
        </w:rPr>
        <w:t> </w:t>
      </w:r>
      <w:r>
        <w:rPr/>
        <w:t>objeto</w:t>
      </w:r>
      <w:r>
        <w:rPr>
          <w:spacing w:val="-16"/>
        </w:rPr>
        <w:t> </w:t>
      </w:r>
      <w:r>
        <w:rPr/>
        <w:t>de</w:t>
      </w:r>
      <w:r>
        <w:rPr>
          <w:spacing w:val="-16"/>
        </w:rPr>
        <w:t> </w:t>
      </w:r>
      <w:r>
        <w:rPr/>
        <w:t>este</w:t>
      </w:r>
      <w:r>
        <w:rPr>
          <w:spacing w:val="-15"/>
        </w:rPr>
        <w:t> </w:t>
      </w:r>
      <w:r>
        <w:rPr/>
        <w:t>estudio</w:t>
      </w:r>
      <w:r>
        <w:rPr>
          <w:spacing w:val="-13"/>
        </w:rPr>
        <w:t> </w:t>
      </w:r>
      <w:r>
        <w:rPr/>
        <w:t>y</w:t>
      </w:r>
      <w:r>
        <w:rPr>
          <w:spacing w:val="-16"/>
        </w:rPr>
        <w:t> </w:t>
      </w:r>
      <w:r>
        <w:rPr/>
        <w:t>que</w:t>
      </w:r>
      <w:r>
        <w:rPr>
          <w:spacing w:val="-13"/>
        </w:rPr>
        <w:t> </w:t>
      </w:r>
      <w:r>
        <w:rPr/>
        <w:t>pudieran</w:t>
      </w:r>
      <w:r>
        <w:rPr>
          <w:spacing w:val="-13"/>
        </w:rPr>
        <w:t> </w:t>
      </w:r>
      <w:r>
        <w:rPr/>
        <w:t>tener</w:t>
      </w:r>
      <w:r>
        <w:rPr>
          <w:spacing w:val="-17"/>
        </w:rPr>
        <w:t> </w:t>
      </w:r>
      <w:r>
        <w:rPr/>
        <w:t>algún</w:t>
      </w:r>
      <w:r>
        <w:rPr>
          <w:spacing w:val="-13"/>
        </w:rPr>
        <w:t> </w:t>
      </w:r>
      <w:r>
        <w:rPr/>
        <w:t>impacto</w:t>
      </w:r>
      <w:r>
        <w:rPr>
          <w:spacing w:val="-15"/>
        </w:rPr>
        <w:t> </w:t>
      </w:r>
      <w:r>
        <w:rPr/>
        <w:t>sobre la variable</w:t>
      </w:r>
      <w:r>
        <w:rPr>
          <w:spacing w:val="-5"/>
        </w:rPr>
        <w:t> </w:t>
      </w:r>
      <w:r>
        <w:rPr/>
        <w:t>“</w:t>
      </w:r>
      <w:r>
        <w:rPr>
          <w:i/>
        </w:rPr>
        <w:t>Índice</w:t>
      </w:r>
      <w:r>
        <w:rPr/>
        <w:t>”.</w:t>
      </w:r>
    </w:p>
    <w:p>
      <w:pPr>
        <w:pStyle w:val="BodyText"/>
        <w:spacing w:line="364" w:lineRule="auto" w:before="203"/>
        <w:ind w:left="117" w:right="129" w:hanging="10"/>
        <w:jc w:val="both"/>
      </w:pPr>
      <w:r>
        <w:rPr/>
        <w:t>Habiendo establecido la función para análisis en el modelo, se introdujeron los valores observados en la muestra para cada una de las variables en dos </w:t>
      </w:r>
      <w:r>
        <w:rPr>
          <w:i/>
        </w:rPr>
        <w:t>softwares </w:t>
      </w:r>
      <w:r>
        <w:rPr/>
        <w:t>distintos. Mientras que por un lado se utilizó Excel para la obtención de las gráficas y</w:t>
      </w:r>
      <w:r>
        <w:rPr>
          <w:spacing w:val="-7"/>
        </w:rPr>
        <w:t> </w:t>
      </w:r>
      <w:r>
        <w:rPr/>
        <w:t>la</w:t>
      </w:r>
      <w:r>
        <w:rPr>
          <w:spacing w:val="-4"/>
        </w:rPr>
        <w:t> </w:t>
      </w:r>
      <w:r>
        <w:rPr/>
        <w:t>línea</w:t>
      </w:r>
      <w:r>
        <w:rPr>
          <w:spacing w:val="-4"/>
        </w:rPr>
        <w:t> </w:t>
      </w:r>
      <w:r>
        <w:rPr/>
        <w:t>de</w:t>
      </w:r>
      <w:r>
        <w:rPr>
          <w:spacing w:val="-4"/>
        </w:rPr>
        <w:t> </w:t>
      </w:r>
      <w:r>
        <w:rPr/>
        <w:t>tendencia,</w:t>
      </w:r>
      <w:r>
        <w:rPr>
          <w:spacing w:val="-4"/>
        </w:rPr>
        <w:t> </w:t>
      </w:r>
      <w:r>
        <w:rPr/>
        <w:t>los</w:t>
      </w:r>
      <w:r>
        <w:rPr>
          <w:spacing w:val="-4"/>
        </w:rPr>
        <w:t> </w:t>
      </w:r>
      <w:r>
        <w:rPr/>
        <w:t>coeficientes</w:t>
      </w:r>
      <w:r>
        <w:rPr>
          <w:spacing w:val="-4"/>
        </w:rPr>
        <w:t> </w:t>
      </w:r>
      <w:r>
        <w:rPr/>
        <w:t>de</w:t>
      </w:r>
      <w:r>
        <w:rPr>
          <w:spacing w:val="-4"/>
        </w:rPr>
        <w:t> </w:t>
      </w:r>
      <w:r>
        <w:rPr/>
        <w:t>determinación</w:t>
      </w:r>
      <w:r>
        <w:rPr>
          <w:spacing w:val="-3"/>
        </w:rPr>
        <w:t> </w:t>
      </w:r>
      <w:r>
        <w:rPr/>
        <w:t>y</w:t>
      </w:r>
      <w:r>
        <w:rPr>
          <w:spacing w:val="-7"/>
        </w:rPr>
        <w:t> </w:t>
      </w:r>
      <w:r>
        <w:rPr/>
        <w:t>correlación,</w:t>
      </w:r>
      <w:r>
        <w:rPr>
          <w:spacing w:val="-4"/>
        </w:rPr>
        <w:t> </w:t>
      </w:r>
      <w:r>
        <w:rPr/>
        <w:t>así</w:t>
      </w:r>
      <w:r>
        <w:rPr>
          <w:spacing w:val="-6"/>
        </w:rPr>
        <w:t> </w:t>
      </w:r>
      <w:r>
        <w:rPr/>
        <w:t>como</w:t>
      </w:r>
      <w:r>
        <w:rPr>
          <w:spacing w:val="-4"/>
        </w:rPr>
        <w:t> </w:t>
      </w:r>
      <w:r>
        <w:rPr/>
        <w:t>la estimación mediante mínimos cuadrados ordinarios, se realizó en</w:t>
      </w:r>
      <w:r>
        <w:rPr>
          <w:spacing w:val="-29"/>
        </w:rPr>
        <w:t> </w:t>
      </w:r>
      <w:r>
        <w:rPr/>
        <w:t>Eviews.</w:t>
      </w:r>
    </w:p>
    <w:p>
      <w:pPr>
        <w:pStyle w:val="BodyText"/>
        <w:spacing w:line="364" w:lineRule="auto" w:before="199"/>
        <w:ind w:left="117" w:right="126" w:hanging="10"/>
        <w:jc w:val="both"/>
      </w:pPr>
      <w:r>
        <w:rPr/>
        <w:t>Esto</w:t>
      </w:r>
      <w:r>
        <w:rPr>
          <w:spacing w:val="-9"/>
        </w:rPr>
        <w:t> </w:t>
      </w:r>
      <w:r>
        <w:rPr/>
        <w:t>se</w:t>
      </w:r>
      <w:r>
        <w:rPr>
          <w:spacing w:val="-12"/>
        </w:rPr>
        <w:t> </w:t>
      </w:r>
      <w:r>
        <w:rPr/>
        <w:t>debió</w:t>
      </w:r>
      <w:r>
        <w:rPr>
          <w:spacing w:val="-12"/>
        </w:rPr>
        <w:t> </w:t>
      </w:r>
      <w:r>
        <w:rPr/>
        <w:t>a</w:t>
      </w:r>
      <w:r>
        <w:rPr>
          <w:spacing w:val="-9"/>
        </w:rPr>
        <w:t> </w:t>
      </w:r>
      <w:r>
        <w:rPr/>
        <w:t>que</w:t>
      </w:r>
      <w:r>
        <w:rPr>
          <w:spacing w:val="-12"/>
        </w:rPr>
        <w:t> </w:t>
      </w:r>
      <w:r>
        <w:rPr/>
        <w:t>durante</w:t>
      </w:r>
      <w:r>
        <w:rPr>
          <w:spacing w:val="-11"/>
        </w:rPr>
        <w:t> </w:t>
      </w:r>
      <w:r>
        <w:rPr/>
        <w:t>la</w:t>
      </w:r>
      <w:r>
        <w:rPr>
          <w:spacing w:val="-12"/>
        </w:rPr>
        <w:t> </w:t>
      </w:r>
      <w:r>
        <w:rPr/>
        <w:t>estructuración</w:t>
      </w:r>
      <w:r>
        <w:rPr>
          <w:spacing w:val="-14"/>
        </w:rPr>
        <w:t> </w:t>
      </w:r>
      <w:r>
        <w:rPr/>
        <w:t>del</w:t>
      </w:r>
      <w:r>
        <w:rPr>
          <w:spacing w:val="-11"/>
        </w:rPr>
        <w:t> </w:t>
      </w:r>
      <w:r>
        <w:rPr/>
        <w:t>experimento</w:t>
      </w:r>
      <w:r>
        <w:rPr>
          <w:spacing w:val="-9"/>
        </w:rPr>
        <w:t> </w:t>
      </w:r>
      <w:r>
        <w:rPr/>
        <w:t>se</w:t>
      </w:r>
      <w:r>
        <w:rPr>
          <w:spacing w:val="-12"/>
        </w:rPr>
        <w:t> </w:t>
      </w:r>
      <w:r>
        <w:rPr/>
        <w:t>observó</w:t>
      </w:r>
      <w:r>
        <w:rPr>
          <w:spacing w:val="-9"/>
        </w:rPr>
        <w:t> </w:t>
      </w:r>
      <w:r>
        <w:rPr/>
        <w:t>que</w:t>
      </w:r>
      <w:r>
        <w:rPr>
          <w:spacing w:val="-9"/>
        </w:rPr>
        <w:t> </w:t>
      </w:r>
      <w:r>
        <w:rPr/>
        <w:t>Excel utiliza dentro del análisis de regresión el promedio de los valores para obtener el cuadrado de las variaciones, mientras que Eviews utiliza los datos tal y como se le administran, logrando una mayor precisión en el  cálculo  de mínimos  </w:t>
      </w:r>
      <w:r>
        <w:rPr>
          <w:spacing w:val="53"/>
        </w:rPr>
        <w:t> </w:t>
      </w:r>
      <w:r>
        <w:rPr/>
        <w:t>cuadrados.</w:t>
      </w:r>
    </w:p>
    <w:p>
      <w:pPr>
        <w:spacing w:after="0" w:line="364" w:lineRule="auto"/>
        <w:jc w:val="both"/>
        <w:sectPr>
          <w:pgSz w:w="12240" w:h="15840"/>
          <w:pgMar w:top="1220" w:bottom="280" w:left="1580" w:right="1560"/>
        </w:sectPr>
      </w:pPr>
    </w:p>
    <w:p>
      <w:pPr>
        <w:pStyle w:val="BodyText"/>
        <w:spacing w:line="362" w:lineRule="auto" w:before="43"/>
        <w:ind w:left="117" w:right="103"/>
        <w:jc w:val="both"/>
      </w:pPr>
      <w:r>
        <w:rPr/>
        <w:t>Siendo así, se verán a continuación dos tipos de resultados: la gráfica en Excel y una</w:t>
      </w:r>
      <w:r>
        <w:rPr>
          <w:spacing w:val="-15"/>
        </w:rPr>
        <w:t> </w:t>
      </w:r>
      <w:r>
        <w:rPr/>
        <w:t>tabla</w:t>
      </w:r>
      <w:r>
        <w:rPr>
          <w:spacing w:val="-17"/>
        </w:rPr>
        <w:t> </w:t>
      </w:r>
      <w:r>
        <w:rPr/>
        <w:t>utilizando</w:t>
      </w:r>
      <w:r>
        <w:rPr>
          <w:spacing w:val="-15"/>
        </w:rPr>
        <w:t> </w:t>
      </w:r>
      <w:r>
        <w:rPr/>
        <w:t>los</w:t>
      </w:r>
      <w:r>
        <w:rPr>
          <w:spacing w:val="-17"/>
        </w:rPr>
        <w:t> </w:t>
      </w:r>
      <w:r>
        <w:rPr/>
        <w:t>mismos</w:t>
      </w:r>
      <w:r>
        <w:rPr>
          <w:spacing w:val="-15"/>
        </w:rPr>
        <w:t> </w:t>
      </w:r>
      <w:r>
        <w:rPr/>
        <w:t>valores,</w:t>
      </w:r>
      <w:r>
        <w:rPr>
          <w:spacing w:val="-15"/>
        </w:rPr>
        <w:t> </w:t>
      </w:r>
      <w:r>
        <w:rPr/>
        <w:t>en</w:t>
      </w:r>
      <w:r>
        <w:rPr>
          <w:spacing w:val="-17"/>
        </w:rPr>
        <w:t> </w:t>
      </w:r>
      <w:r>
        <w:rPr/>
        <w:t>un</w:t>
      </w:r>
      <w:r>
        <w:rPr>
          <w:spacing w:val="-17"/>
        </w:rPr>
        <w:t> </w:t>
      </w:r>
      <w:r>
        <w:rPr/>
        <w:t>resumen</w:t>
      </w:r>
      <w:r>
        <w:rPr>
          <w:spacing w:val="-15"/>
        </w:rPr>
        <w:t> </w:t>
      </w:r>
      <w:r>
        <w:rPr/>
        <w:t>con</w:t>
      </w:r>
      <w:r>
        <w:rPr>
          <w:spacing w:val="-15"/>
        </w:rPr>
        <w:t> </w:t>
      </w:r>
      <w:r>
        <w:rPr/>
        <w:t>los</w:t>
      </w:r>
      <w:r>
        <w:rPr>
          <w:spacing w:val="-15"/>
        </w:rPr>
        <w:t> </w:t>
      </w:r>
      <w:r>
        <w:rPr/>
        <w:t>resultados</w:t>
      </w:r>
      <w:r>
        <w:rPr>
          <w:spacing w:val="-18"/>
        </w:rPr>
        <w:t> </w:t>
      </w:r>
      <w:r>
        <w:rPr/>
        <w:t>obtenidos para el coeficiente de determinación y los estadísticos en</w:t>
      </w:r>
      <w:r>
        <w:rPr>
          <w:spacing w:val="-25"/>
        </w:rPr>
        <w:t> </w:t>
      </w:r>
      <w:r>
        <w:rPr/>
        <w:t>Eviews.</w:t>
      </w:r>
    </w:p>
    <w:p>
      <w:pPr>
        <w:pStyle w:val="BodyText"/>
        <w:spacing w:line="362" w:lineRule="auto" w:before="204"/>
        <w:ind w:left="117" w:right="114" w:hanging="10"/>
        <w:jc w:val="both"/>
      </w:pPr>
      <w:r>
        <w:rPr/>
        <w:t>El</w:t>
      </w:r>
      <w:r>
        <w:rPr>
          <w:spacing w:val="-12"/>
        </w:rPr>
        <w:t> </w:t>
      </w:r>
      <w:r>
        <w:rPr/>
        <w:t>primer</w:t>
      </w:r>
      <w:r>
        <w:rPr>
          <w:spacing w:val="-12"/>
        </w:rPr>
        <w:t> </w:t>
      </w:r>
      <w:r>
        <w:rPr/>
        <w:t>paso</w:t>
      </w:r>
      <w:r>
        <w:rPr>
          <w:spacing w:val="-13"/>
        </w:rPr>
        <w:t> </w:t>
      </w:r>
      <w:r>
        <w:rPr/>
        <w:t>fue</w:t>
      </w:r>
      <w:r>
        <w:rPr>
          <w:spacing w:val="-13"/>
        </w:rPr>
        <w:t> </w:t>
      </w:r>
      <w:r>
        <w:rPr/>
        <w:t>el</w:t>
      </w:r>
      <w:r>
        <w:rPr>
          <w:spacing w:val="-12"/>
        </w:rPr>
        <w:t> </w:t>
      </w:r>
      <w:r>
        <w:rPr/>
        <w:t>análisis</w:t>
      </w:r>
      <w:r>
        <w:rPr>
          <w:spacing w:val="-12"/>
        </w:rPr>
        <w:t> </w:t>
      </w:r>
      <w:r>
        <w:rPr/>
        <w:t>del</w:t>
      </w:r>
      <w:r>
        <w:rPr>
          <w:spacing w:val="-12"/>
        </w:rPr>
        <w:t> </w:t>
      </w:r>
      <w:r>
        <w:rPr/>
        <w:t>efecto</w:t>
      </w:r>
      <w:r>
        <w:rPr>
          <w:spacing w:val="-13"/>
        </w:rPr>
        <w:t> </w:t>
      </w:r>
      <w:r>
        <w:rPr/>
        <w:t>de</w:t>
      </w:r>
      <w:r>
        <w:rPr>
          <w:spacing w:val="-11"/>
        </w:rPr>
        <w:t> </w:t>
      </w:r>
      <w:r>
        <w:rPr/>
        <w:t>cada</w:t>
      </w:r>
      <w:r>
        <w:rPr>
          <w:spacing w:val="-11"/>
        </w:rPr>
        <w:t> </w:t>
      </w:r>
      <w:r>
        <w:rPr/>
        <w:t>una</w:t>
      </w:r>
      <w:r>
        <w:rPr>
          <w:spacing w:val="-13"/>
        </w:rPr>
        <w:t> </w:t>
      </w:r>
      <w:r>
        <w:rPr/>
        <w:t>de</w:t>
      </w:r>
      <w:r>
        <w:rPr>
          <w:spacing w:val="-11"/>
        </w:rPr>
        <w:t> </w:t>
      </w:r>
      <w:r>
        <w:rPr/>
        <w:t>las</w:t>
      </w:r>
      <w:r>
        <w:rPr>
          <w:spacing w:val="-11"/>
        </w:rPr>
        <w:t> </w:t>
      </w:r>
      <w:r>
        <w:rPr/>
        <w:t>variables</w:t>
      </w:r>
      <w:r>
        <w:rPr>
          <w:spacing w:val="-13"/>
        </w:rPr>
        <w:t> </w:t>
      </w:r>
      <w:r>
        <w:rPr/>
        <w:t>independientes (testosterona, androstenediona, etcétera.) sobre la variable dependiente</w:t>
      </w:r>
      <w:r>
        <w:rPr>
          <w:spacing w:val="-31"/>
        </w:rPr>
        <w:t> </w:t>
      </w:r>
      <w:r>
        <w:rPr/>
        <w:t>(Índice).</w:t>
      </w:r>
    </w:p>
    <w:p>
      <w:pPr>
        <w:pStyle w:val="BodyText"/>
      </w:pPr>
    </w:p>
    <w:p>
      <w:pPr>
        <w:pStyle w:val="BodyText"/>
      </w:pPr>
    </w:p>
    <w:p>
      <w:pPr>
        <w:pStyle w:val="BodyText"/>
        <w:spacing w:before="6"/>
        <w:rPr>
          <w:sz w:val="22"/>
        </w:rPr>
      </w:pPr>
    </w:p>
    <w:p>
      <w:pPr>
        <w:pStyle w:val="BodyText"/>
        <w:spacing w:line="364" w:lineRule="auto"/>
        <w:ind w:left="117" w:right="110" w:hanging="10"/>
        <w:jc w:val="both"/>
      </w:pPr>
      <w:r>
        <w:rPr/>
        <w:t>Obsérvese que la </w:t>
      </w:r>
      <w:r>
        <w:rPr>
          <w:b/>
          <w:i/>
        </w:rPr>
        <w:t>Tabla 2 </w:t>
      </w:r>
      <w:r>
        <w:rPr/>
        <w:t>muestra varios resultados, de los cuales tomaremos a lo largo del análisis y para mayor simplicidad los siguientes:</w:t>
      </w:r>
    </w:p>
    <w:p>
      <w:pPr>
        <w:pStyle w:val="ListParagraph"/>
        <w:numPr>
          <w:ilvl w:val="0"/>
          <w:numId w:val="4"/>
        </w:numPr>
        <w:tabs>
          <w:tab w:pos="744" w:val="left" w:leader="none"/>
        </w:tabs>
        <w:spacing w:line="364" w:lineRule="auto" w:before="197" w:after="0"/>
        <w:ind w:left="117" w:right="109" w:hanging="10"/>
        <w:jc w:val="both"/>
        <w:rPr>
          <w:sz w:val="24"/>
        </w:rPr>
      </w:pPr>
      <w:r>
        <w:rPr>
          <w:i/>
          <w:sz w:val="24"/>
        </w:rPr>
        <w:t>R2 (R-squared)</w:t>
      </w:r>
      <w:r>
        <w:rPr>
          <w:sz w:val="24"/>
        </w:rPr>
        <w:t>: Coeficiente de determinación. Esto es, en un modelo de regresión,</w:t>
      </w:r>
      <w:r>
        <w:rPr>
          <w:spacing w:val="-14"/>
          <w:sz w:val="24"/>
        </w:rPr>
        <w:t> </w:t>
      </w:r>
      <w:r>
        <w:rPr>
          <w:sz w:val="24"/>
        </w:rPr>
        <w:t>la</w:t>
      </w:r>
      <w:r>
        <w:rPr>
          <w:spacing w:val="-14"/>
          <w:sz w:val="24"/>
        </w:rPr>
        <w:t> </w:t>
      </w:r>
      <w:r>
        <w:rPr>
          <w:sz w:val="24"/>
        </w:rPr>
        <w:t>proporción</w:t>
      </w:r>
      <w:r>
        <w:rPr>
          <w:spacing w:val="-14"/>
          <w:sz w:val="24"/>
        </w:rPr>
        <w:t> </w:t>
      </w:r>
      <w:r>
        <w:rPr>
          <w:sz w:val="24"/>
        </w:rPr>
        <w:t>de</w:t>
      </w:r>
      <w:r>
        <w:rPr>
          <w:spacing w:val="-14"/>
          <w:sz w:val="24"/>
        </w:rPr>
        <w:t> </w:t>
      </w:r>
      <w:r>
        <w:rPr>
          <w:sz w:val="24"/>
        </w:rPr>
        <w:t>la</w:t>
      </w:r>
      <w:r>
        <w:rPr>
          <w:spacing w:val="-14"/>
          <w:sz w:val="24"/>
        </w:rPr>
        <w:t> </w:t>
      </w:r>
      <w:r>
        <w:rPr>
          <w:sz w:val="24"/>
        </w:rPr>
        <w:t>variación</w:t>
      </w:r>
      <w:r>
        <w:rPr>
          <w:spacing w:val="-14"/>
          <w:sz w:val="24"/>
        </w:rPr>
        <w:t> </w:t>
      </w:r>
      <w:r>
        <w:rPr>
          <w:sz w:val="24"/>
        </w:rPr>
        <w:t>muestral</w:t>
      </w:r>
      <w:r>
        <w:rPr>
          <w:spacing w:val="-15"/>
          <w:sz w:val="24"/>
        </w:rPr>
        <w:t> </w:t>
      </w:r>
      <w:r>
        <w:rPr>
          <w:sz w:val="24"/>
        </w:rPr>
        <w:t>total</w:t>
      </w:r>
      <w:r>
        <w:rPr>
          <w:spacing w:val="-15"/>
          <w:sz w:val="24"/>
        </w:rPr>
        <w:t> </w:t>
      </w:r>
      <w:r>
        <w:rPr>
          <w:sz w:val="24"/>
        </w:rPr>
        <w:t>de</w:t>
      </w:r>
      <w:r>
        <w:rPr>
          <w:spacing w:val="-14"/>
          <w:sz w:val="24"/>
        </w:rPr>
        <w:t> </w:t>
      </w:r>
      <w:r>
        <w:rPr>
          <w:sz w:val="24"/>
        </w:rPr>
        <w:t>la</w:t>
      </w:r>
      <w:r>
        <w:rPr>
          <w:spacing w:val="-14"/>
          <w:sz w:val="24"/>
        </w:rPr>
        <w:t> </w:t>
      </w:r>
      <w:r>
        <w:rPr>
          <w:sz w:val="24"/>
        </w:rPr>
        <w:t>variable</w:t>
      </w:r>
      <w:r>
        <w:rPr>
          <w:spacing w:val="-17"/>
          <w:sz w:val="24"/>
        </w:rPr>
        <w:t> </w:t>
      </w:r>
      <w:r>
        <w:rPr>
          <w:sz w:val="24"/>
        </w:rPr>
        <w:t>dependiente</w:t>
      </w:r>
      <w:r>
        <w:rPr>
          <w:spacing w:val="-14"/>
          <w:sz w:val="24"/>
        </w:rPr>
        <w:t> </w:t>
      </w:r>
      <w:r>
        <w:rPr>
          <w:sz w:val="24"/>
        </w:rPr>
        <w:t>que es explicada por la variable independiente. Puesto en términos corrientes, equivale a decir cuánto de nuestro Índice Estroma-Ovario se explica, en este caso, por la testosterona si no tomamos en cuenta ninguna otra</w:t>
      </w:r>
      <w:r>
        <w:rPr>
          <w:spacing w:val="-14"/>
          <w:sz w:val="24"/>
        </w:rPr>
        <w:t> </w:t>
      </w:r>
      <w:r>
        <w:rPr>
          <w:sz w:val="24"/>
        </w:rPr>
        <w:t>variable</w:t>
      </w:r>
    </w:p>
    <w:p>
      <w:pPr>
        <w:pStyle w:val="BodyText"/>
      </w:pPr>
    </w:p>
    <w:p>
      <w:pPr>
        <w:pStyle w:val="ListParagraph"/>
        <w:numPr>
          <w:ilvl w:val="0"/>
          <w:numId w:val="4"/>
        </w:numPr>
        <w:tabs>
          <w:tab w:pos="744" w:val="left" w:leader="none"/>
        </w:tabs>
        <w:spacing w:line="364" w:lineRule="auto" w:before="153" w:after="0"/>
        <w:ind w:left="117" w:right="112" w:hanging="10"/>
        <w:jc w:val="both"/>
        <w:rPr>
          <w:sz w:val="24"/>
        </w:rPr>
      </w:pPr>
      <w:r>
        <w:rPr>
          <w:i/>
          <w:sz w:val="24"/>
        </w:rPr>
        <w:t>R2 ajustada (Adjusted R-squared)</w:t>
      </w:r>
      <w:r>
        <w:rPr>
          <w:sz w:val="24"/>
        </w:rPr>
        <w:t>: Sirve como una medida de bondad de ajuste en el análisis de regresión, ya que penaliza a las variables explicativas adicionales</w:t>
      </w:r>
      <w:r>
        <w:rPr>
          <w:spacing w:val="-7"/>
          <w:sz w:val="24"/>
        </w:rPr>
        <w:t> </w:t>
      </w:r>
      <w:r>
        <w:rPr>
          <w:sz w:val="24"/>
        </w:rPr>
        <w:t>mediante</w:t>
      </w:r>
      <w:r>
        <w:rPr>
          <w:spacing w:val="-6"/>
          <w:sz w:val="24"/>
        </w:rPr>
        <w:t> </w:t>
      </w:r>
      <w:r>
        <w:rPr>
          <w:sz w:val="24"/>
        </w:rPr>
        <w:t>el</w:t>
      </w:r>
      <w:r>
        <w:rPr>
          <w:spacing w:val="-7"/>
          <w:sz w:val="24"/>
        </w:rPr>
        <w:t> </w:t>
      </w:r>
      <w:r>
        <w:rPr>
          <w:sz w:val="24"/>
        </w:rPr>
        <w:t>ajuste</w:t>
      </w:r>
      <w:r>
        <w:rPr>
          <w:spacing w:val="-6"/>
          <w:sz w:val="24"/>
        </w:rPr>
        <w:t> </w:t>
      </w:r>
      <w:r>
        <w:rPr>
          <w:sz w:val="24"/>
        </w:rPr>
        <w:t>de</w:t>
      </w:r>
      <w:r>
        <w:rPr>
          <w:spacing w:val="-6"/>
          <w:sz w:val="24"/>
        </w:rPr>
        <w:t> </w:t>
      </w:r>
      <w:r>
        <w:rPr>
          <w:sz w:val="24"/>
        </w:rPr>
        <w:t>grados</w:t>
      </w:r>
      <w:r>
        <w:rPr>
          <w:spacing w:val="-7"/>
          <w:sz w:val="24"/>
        </w:rPr>
        <w:t> </w:t>
      </w:r>
      <w:r>
        <w:rPr>
          <w:sz w:val="24"/>
        </w:rPr>
        <w:t>de</w:t>
      </w:r>
      <w:r>
        <w:rPr>
          <w:spacing w:val="-6"/>
          <w:sz w:val="24"/>
        </w:rPr>
        <w:t> </w:t>
      </w:r>
      <w:r>
        <w:rPr>
          <w:sz w:val="24"/>
        </w:rPr>
        <w:t>libertad</w:t>
      </w:r>
      <w:r>
        <w:rPr>
          <w:spacing w:val="-8"/>
          <w:sz w:val="24"/>
        </w:rPr>
        <w:t> </w:t>
      </w:r>
      <w:r>
        <w:rPr>
          <w:sz w:val="24"/>
        </w:rPr>
        <w:t>en</w:t>
      </w:r>
      <w:r>
        <w:rPr>
          <w:spacing w:val="-6"/>
          <w:sz w:val="24"/>
        </w:rPr>
        <w:t> </w:t>
      </w:r>
      <w:r>
        <w:rPr>
          <w:sz w:val="24"/>
        </w:rPr>
        <w:t>la</w:t>
      </w:r>
      <w:r>
        <w:rPr>
          <w:spacing w:val="-6"/>
          <w:sz w:val="24"/>
        </w:rPr>
        <w:t> </w:t>
      </w:r>
      <w:r>
        <w:rPr>
          <w:sz w:val="24"/>
        </w:rPr>
        <w:t>estimación</w:t>
      </w:r>
      <w:r>
        <w:rPr>
          <w:spacing w:val="-6"/>
          <w:sz w:val="24"/>
        </w:rPr>
        <w:t> </w:t>
      </w:r>
      <w:r>
        <w:rPr>
          <w:sz w:val="24"/>
        </w:rPr>
        <w:t>de</w:t>
      </w:r>
      <w:r>
        <w:rPr>
          <w:spacing w:val="-6"/>
          <w:sz w:val="24"/>
        </w:rPr>
        <w:t> </w:t>
      </w:r>
      <w:r>
        <w:rPr>
          <w:sz w:val="24"/>
        </w:rPr>
        <w:t>la</w:t>
      </w:r>
      <w:r>
        <w:rPr>
          <w:spacing w:val="-6"/>
          <w:sz w:val="24"/>
        </w:rPr>
        <w:t> </w:t>
      </w:r>
      <w:r>
        <w:rPr>
          <w:sz w:val="24"/>
        </w:rPr>
        <w:t>varianza del error. Dicho de otra forma, si ajustáramos la regresión asumiendo que se incluyen otras variables, qué tanto seguiría la testosterona explicando al índice sin importar cuántas variables más se incluyan en la</w:t>
      </w:r>
      <w:r>
        <w:rPr>
          <w:spacing w:val="-19"/>
          <w:sz w:val="24"/>
        </w:rPr>
        <w:t> </w:t>
      </w:r>
      <w:r>
        <w:rPr>
          <w:sz w:val="24"/>
        </w:rPr>
        <w:t>regresión</w:t>
      </w:r>
    </w:p>
    <w:p>
      <w:pPr>
        <w:pStyle w:val="BodyText"/>
      </w:pPr>
    </w:p>
    <w:p>
      <w:pPr>
        <w:pStyle w:val="ListParagraph"/>
        <w:numPr>
          <w:ilvl w:val="0"/>
          <w:numId w:val="4"/>
        </w:numPr>
        <w:tabs>
          <w:tab w:pos="744" w:val="left" w:leader="none"/>
        </w:tabs>
        <w:spacing w:line="364" w:lineRule="auto" w:before="153" w:after="0"/>
        <w:ind w:left="117" w:right="109" w:hanging="10"/>
        <w:jc w:val="both"/>
        <w:rPr>
          <w:sz w:val="24"/>
        </w:rPr>
      </w:pPr>
      <w:r>
        <w:rPr>
          <w:i/>
          <w:sz w:val="24"/>
        </w:rPr>
        <w:t>Estadístico</w:t>
      </w:r>
      <w:r>
        <w:rPr>
          <w:i/>
          <w:spacing w:val="-19"/>
          <w:sz w:val="24"/>
        </w:rPr>
        <w:t> </w:t>
      </w:r>
      <w:r>
        <w:rPr>
          <w:i/>
          <w:sz w:val="24"/>
        </w:rPr>
        <w:t>Durbin-Watson</w:t>
      </w:r>
      <w:r>
        <w:rPr>
          <w:i/>
          <w:spacing w:val="-19"/>
          <w:sz w:val="24"/>
        </w:rPr>
        <w:t> </w:t>
      </w:r>
      <w:r>
        <w:rPr>
          <w:i/>
          <w:sz w:val="24"/>
        </w:rPr>
        <w:t>(Durbin-Watson</w:t>
      </w:r>
      <w:r>
        <w:rPr>
          <w:i/>
          <w:spacing w:val="-21"/>
          <w:sz w:val="24"/>
        </w:rPr>
        <w:t> </w:t>
      </w:r>
      <w:r>
        <w:rPr>
          <w:i/>
          <w:sz w:val="24"/>
        </w:rPr>
        <w:t>Stat)</w:t>
      </w:r>
      <w:r>
        <w:rPr>
          <w:sz w:val="24"/>
        </w:rPr>
        <w:t>:</w:t>
      </w:r>
      <w:r>
        <w:rPr>
          <w:spacing w:val="-19"/>
          <w:sz w:val="24"/>
        </w:rPr>
        <w:t> </w:t>
      </w:r>
      <w:r>
        <w:rPr>
          <w:sz w:val="24"/>
        </w:rPr>
        <w:t>Cuando</w:t>
      </w:r>
      <w:r>
        <w:rPr>
          <w:spacing w:val="-19"/>
          <w:sz w:val="24"/>
        </w:rPr>
        <w:t> </w:t>
      </w:r>
      <w:r>
        <w:rPr>
          <w:sz w:val="24"/>
        </w:rPr>
        <w:t>se</w:t>
      </w:r>
      <w:r>
        <w:rPr>
          <w:spacing w:val="-19"/>
          <w:sz w:val="24"/>
        </w:rPr>
        <w:t> </w:t>
      </w:r>
      <w:r>
        <w:rPr>
          <w:sz w:val="24"/>
        </w:rPr>
        <w:t>realizan</w:t>
      </w:r>
      <w:r>
        <w:rPr>
          <w:spacing w:val="-19"/>
          <w:sz w:val="24"/>
        </w:rPr>
        <w:t> </w:t>
      </w:r>
      <w:r>
        <w:rPr>
          <w:sz w:val="24"/>
        </w:rPr>
        <w:t>modelos de regresión se busca determinar, de forma aproximada, qué tan cerca se comportará</w:t>
      </w:r>
      <w:r>
        <w:rPr>
          <w:spacing w:val="-7"/>
          <w:sz w:val="24"/>
        </w:rPr>
        <w:t> </w:t>
      </w:r>
      <w:r>
        <w:rPr>
          <w:sz w:val="24"/>
        </w:rPr>
        <w:t>una</w:t>
      </w:r>
      <w:r>
        <w:rPr>
          <w:spacing w:val="-6"/>
          <w:sz w:val="24"/>
        </w:rPr>
        <w:t> </w:t>
      </w:r>
      <w:r>
        <w:rPr>
          <w:sz w:val="24"/>
        </w:rPr>
        <w:t>muestra</w:t>
      </w:r>
      <w:r>
        <w:rPr>
          <w:spacing w:val="-4"/>
          <w:sz w:val="24"/>
        </w:rPr>
        <w:t> </w:t>
      </w:r>
      <w:r>
        <w:rPr>
          <w:sz w:val="24"/>
        </w:rPr>
        <w:t>en</w:t>
      </w:r>
      <w:r>
        <w:rPr>
          <w:spacing w:val="-4"/>
          <w:sz w:val="24"/>
        </w:rPr>
        <w:t> </w:t>
      </w:r>
      <w:r>
        <w:rPr>
          <w:sz w:val="24"/>
        </w:rPr>
        <w:t>relación</w:t>
      </w:r>
      <w:r>
        <w:rPr>
          <w:spacing w:val="-6"/>
          <w:sz w:val="24"/>
        </w:rPr>
        <w:t> </w:t>
      </w:r>
      <w:r>
        <w:rPr>
          <w:sz w:val="24"/>
        </w:rPr>
        <w:t>a</w:t>
      </w:r>
      <w:r>
        <w:rPr>
          <w:spacing w:val="-6"/>
          <w:sz w:val="24"/>
        </w:rPr>
        <w:t> </w:t>
      </w:r>
      <w:r>
        <w:rPr>
          <w:sz w:val="24"/>
        </w:rPr>
        <w:t>una</w:t>
      </w:r>
      <w:r>
        <w:rPr>
          <w:spacing w:val="-6"/>
          <w:sz w:val="24"/>
        </w:rPr>
        <w:t> </w:t>
      </w:r>
      <w:r>
        <w:rPr>
          <w:sz w:val="24"/>
        </w:rPr>
        <w:t>población.</w:t>
      </w:r>
      <w:r>
        <w:rPr>
          <w:spacing w:val="-6"/>
          <w:sz w:val="24"/>
        </w:rPr>
        <w:t> </w:t>
      </w:r>
      <w:r>
        <w:rPr>
          <w:sz w:val="24"/>
        </w:rPr>
        <w:t>En</w:t>
      </w:r>
      <w:r>
        <w:rPr>
          <w:spacing w:val="-6"/>
          <w:sz w:val="24"/>
        </w:rPr>
        <w:t> </w:t>
      </w:r>
      <w:r>
        <w:rPr>
          <w:sz w:val="24"/>
        </w:rPr>
        <w:t>este</w:t>
      </w:r>
      <w:r>
        <w:rPr>
          <w:spacing w:val="-4"/>
          <w:sz w:val="24"/>
        </w:rPr>
        <w:t> </w:t>
      </w:r>
      <w:r>
        <w:rPr>
          <w:sz w:val="24"/>
        </w:rPr>
        <w:t>caso</w:t>
      </w:r>
      <w:r>
        <w:rPr>
          <w:spacing w:val="-6"/>
          <w:sz w:val="24"/>
        </w:rPr>
        <w:t> </w:t>
      </w:r>
      <w:r>
        <w:rPr>
          <w:sz w:val="24"/>
        </w:rPr>
        <w:t>equivale</w:t>
      </w:r>
      <w:r>
        <w:rPr>
          <w:spacing w:val="-4"/>
          <w:sz w:val="24"/>
        </w:rPr>
        <w:t> </w:t>
      </w:r>
      <w:r>
        <w:rPr>
          <w:sz w:val="24"/>
        </w:rPr>
        <w:t>a</w:t>
      </w:r>
      <w:r>
        <w:rPr>
          <w:spacing w:val="-4"/>
          <w:sz w:val="24"/>
        </w:rPr>
        <w:t> </w:t>
      </w:r>
      <w:r>
        <w:rPr>
          <w:sz w:val="24"/>
        </w:rPr>
        <w:t>decir qué tan cerca estarán los resultados sobre las 72 pacientes de predecir un comportamiento esperado similar en la población en general. A éste fenómeno se le conoce como “bondad de ajuste” de un modelo estadístico. Por regla general se establece</w:t>
      </w:r>
      <w:r>
        <w:rPr>
          <w:spacing w:val="-18"/>
          <w:sz w:val="24"/>
        </w:rPr>
        <w:t> </w:t>
      </w:r>
      <w:r>
        <w:rPr>
          <w:sz w:val="24"/>
        </w:rPr>
        <w:t>que</w:t>
      </w:r>
      <w:r>
        <w:rPr>
          <w:spacing w:val="-18"/>
          <w:sz w:val="24"/>
        </w:rPr>
        <w:t> </w:t>
      </w:r>
      <w:r>
        <w:rPr>
          <w:sz w:val="24"/>
        </w:rPr>
        <w:t>un</w:t>
      </w:r>
      <w:r>
        <w:rPr>
          <w:spacing w:val="-18"/>
          <w:sz w:val="24"/>
        </w:rPr>
        <w:t> </w:t>
      </w:r>
      <w:r>
        <w:rPr>
          <w:sz w:val="24"/>
        </w:rPr>
        <w:t>valor</w:t>
      </w:r>
      <w:r>
        <w:rPr>
          <w:spacing w:val="-19"/>
          <w:sz w:val="24"/>
        </w:rPr>
        <w:t> </w:t>
      </w:r>
      <w:r>
        <w:rPr>
          <w:sz w:val="24"/>
        </w:rPr>
        <w:t>para</w:t>
      </w:r>
      <w:r>
        <w:rPr>
          <w:spacing w:val="-19"/>
          <w:sz w:val="24"/>
        </w:rPr>
        <w:t> </w:t>
      </w:r>
      <w:r>
        <w:rPr>
          <w:sz w:val="24"/>
        </w:rPr>
        <w:t>el</w:t>
      </w:r>
      <w:r>
        <w:rPr>
          <w:spacing w:val="-19"/>
          <w:sz w:val="24"/>
        </w:rPr>
        <w:t> </w:t>
      </w:r>
      <w:r>
        <w:rPr>
          <w:sz w:val="24"/>
        </w:rPr>
        <w:t>estadístico</w:t>
      </w:r>
      <w:r>
        <w:rPr>
          <w:spacing w:val="-18"/>
          <w:sz w:val="24"/>
        </w:rPr>
        <w:t> </w:t>
      </w:r>
      <w:r>
        <w:rPr>
          <w:spacing w:val="-3"/>
          <w:sz w:val="24"/>
        </w:rPr>
        <w:t>DW</w:t>
      </w:r>
      <w:r>
        <w:rPr>
          <w:spacing w:val="-13"/>
          <w:sz w:val="24"/>
        </w:rPr>
        <w:t> </w:t>
      </w:r>
      <w:r>
        <w:rPr>
          <w:sz w:val="24"/>
        </w:rPr>
        <w:t>mayor</w:t>
      </w:r>
      <w:r>
        <w:rPr>
          <w:spacing w:val="-19"/>
          <w:sz w:val="24"/>
        </w:rPr>
        <w:t> </w:t>
      </w:r>
      <w:r>
        <w:rPr>
          <w:sz w:val="24"/>
        </w:rPr>
        <w:t>a</w:t>
      </w:r>
      <w:r>
        <w:rPr>
          <w:spacing w:val="-18"/>
          <w:sz w:val="24"/>
        </w:rPr>
        <w:t> </w:t>
      </w:r>
      <w:r>
        <w:rPr>
          <w:sz w:val="24"/>
        </w:rPr>
        <w:t>2</w:t>
      </w:r>
      <w:r>
        <w:rPr>
          <w:spacing w:val="-18"/>
          <w:sz w:val="24"/>
        </w:rPr>
        <w:t> </w:t>
      </w:r>
      <w:r>
        <w:rPr>
          <w:sz w:val="24"/>
        </w:rPr>
        <w:t>significa</w:t>
      </w:r>
      <w:r>
        <w:rPr>
          <w:spacing w:val="-18"/>
          <w:sz w:val="24"/>
        </w:rPr>
        <w:t> </w:t>
      </w:r>
      <w:r>
        <w:rPr>
          <w:sz w:val="24"/>
        </w:rPr>
        <w:t>que</w:t>
      </w:r>
      <w:r>
        <w:rPr>
          <w:spacing w:val="-20"/>
          <w:sz w:val="24"/>
        </w:rPr>
        <w:t> </w:t>
      </w:r>
      <w:r>
        <w:rPr>
          <w:sz w:val="24"/>
        </w:rPr>
        <w:t>hay</w:t>
      </w:r>
      <w:r>
        <w:rPr>
          <w:spacing w:val="-21"/>
          <w:sz w:val="24"/>
        </w:rPr>
        <w:t> </w:t>
      </w:r>
      <w:r>
        <w:rPr>
          <w:sz w:val="24"/>
        </w:rPr>
        <w:t>una</w:t>
      </w:r>
      <w:r>
        <w:rPr>
          <w:spacing w:val="-18"/>
          <w:sz w:val="24"/>
        </w:rPr>
        <w:t> </w:t>
      </w:r>
      <w:r>
        <w:rPr>
          <w:sz w:val="24"/>
        </w:rPr>
        <w:t>buena bondad de ajuste porque se cumple con la condición de no correlación serial a </w:t>
      </w:r>
      <w:r>
        <w:rPr>
          <w:spacing w:val="66"/>
          <w:sz w:val="24"/>
        </w:rPr>
        <w:t> </w:t>
      </w:r>
      <w:r>
        <w:rPr>
          <w:sz w:val="24"/>
        </w:rPr>
        <w:t>un</w:t>
      </w:r>
    </w:p>
    <w:p>
      <w:pPr>
        <w:spacing w:after="0" w:line="364" w:lineRule="auto"/>
        <w:jc w:val="both"/>
        <w:rPr>
          <w:sz w:val="24"/>
        </w:rPr>
        <w:sectPr>
          <w:pgSz w:w="12240" w:h="15840"/>
          <w:pgMar w:top="1220" w:bottom="280" w:left="1580" w:right="1580"/>
        </w:sectPr>
      </w:pPr>
    </w:p>
    <w:p>
      <w:pPr>
        <w:pStyle w:val="BodyText"/>
        <w:spacing w:line="362" w:lineRule="auto" w:before="43"/>
        <w:ind w:left="117" w:right="28"/>
      </w:pPr>
      <w:r>
        <w:rPr/>
        <w:t>nivel de confianza del 99%. En el caso de la testosterona el estadístico es de 2.52, por lo que es posible afirmar lo anterior</w:t>
      </w:r>
    </w:p>
    <w:p>
      <w:pPr>
        <w:pStyle w:val="BodyText"/>
      </w:pPr>
    </w:p>
    <w:p>
      <w:pPr>
        <w:pStyle w:val="ListParagraph"/>
        <w:numPr>
          <w:ilvl w:val="0"/>
          <w:numId w:val="4"/>
        </w:numPr>
        <w:tabs>
          <w:tab w:pos="743" w:val="left" w:leader="none"/>
          <w:tab w:pos="744" w:val="left" w:leader="none"/>
        </w:tabs>
        <w:spacing w:line="364" w:lineRule="auto" w:before="158" w:after="0"/>
        <w:ind w:left="107" w:right="106" w:firstLine="0"/>
        <w:jc w:val="left"/>
        <w:rPr>
          <w:sz w:val="24"/>
        </w:rPr>
      </w:pPr>
      <w:r>
        <w:rPr>
          <w:i/>
          <w:sz w:val="24"/>
        </w:rPr>
        <w:t>Valor p (Prob</w:t>
      </w:r>
      <w:r>
        <w:rPr>
          <w:sz w:val="24"/>
        </w:rPr>
        <w:t>): se refiere a la probabilidad con la que se rechaza que el coeficiente para el parámetro (en este caso la testosterona) sea cero, por lo que su efecto sobre la variable Índice sería nulo. Dado que se trata de una prueba de hipótesis,</w:t>
      </w:r>
      <w:r>
        <w:rPr>
          <w:spacing w:val="-10"/>
          <w:sz w:val="24"/>
        </w:rPr>
        <w:t> </w:t>
      </w:r>
      <w:r>
        <w:rPr>
          <w:sz w:val="24"/>
        </w:rPr>
        <w:t>el</w:t>
      </w:r>
      <w:r>
        <w:rPr>
          <w:spacing w:val="-13"/>
          <w:sz w:val="24"/>
        </w:rPr>
        <w:t> </w:t>
      </w:r>
      <w:r>
        <w:rPr>
          <w:sz w:val="24"/>
        </w:rPr>
        <w:t>resultado</w:t>
      </w:r>
      <w:r>
        <w:rPr>
          <w:spacing w:val="-14"/>
          <w:sz w:val="24"/>
        </w:rPr>
        <w:t> </w:t>
      </w:r>
      <w:r>
        <w:rPr>
          <w:sz w:val="24"/>
        </w:rPr>
        <w:t>puede</w:t>
      </w:r>
      <w:r>
        <w:rPr>
          <w:spacing w:val="-9"/>
          <w:sz w:val="24"/>
        </w:rPr>
        <w:t> </w:t>
      </w:r>
      <w:r>
        <w:rPr>
          <w:sz w:val="24"/>
        </w:rPr>
        <w:t>leerse</w:t>
      </w:r>
      <w:r>
        <w:rPr>
          <w:spacing w:val="-10"/>
          <w:sz w:val="24"/>
        </w:rPr>
        <w:t> </w:t>
      </w:r>
      <w:r>
        <w:rPr>
          <w:sz w:val="24"/>
        </w:rPr>
        <w:t>como</w:t>
      </w:r>
      <w:r>
        <w:rPr>
          <w:spacing w:val="-9"/>
          <w:sz w:val="24"/>
        </w:rPr>
        <w:t> </w:t>
      </w:r>
      <w:r>
        <w:rPr>
          <w:sz w:val="24"/>
        </w:rPr>
        <w:t>que</w:t>
      </w:r>
      <w:r>
        <w:rPr>
          <w:spacing w:val="-9"/>
          <w:sz w:val="24"/>
        </w:rPr>
        <w:t> </w:t>
      </w:r>
      <w:r>
        <w:rPr>
          <w:sz w:val="24"/>
        </w:rPr>
        <w:t>cuando</w:t>
      </w:r>
      <w:r>
        <w:rPr>
          <w:spacing w:val="-12"/>
          <w:sz w:val="24"/>
        </w:rPr>
        <w:t> </w:t>
      </w:r>
      <w:r>
        <w:rPr>
          <w:sz w:val="24"/>
        </w:rPr>
        <w:t>el</w:t>
      </w:r>
      <w:r>
        <w:rPr>
          <w:spacing w:val="-11"/>
          <w:sz w:val="24"/>
        </w:rPr>
        <w:t> </w:t>
      </w:r>
      <w:r>
        <w:rPr>
          <w:sz w:val="24"/>
        </w:rPr>
        <w:t>valor</w:t>
      </w:r>
      <w:r>
        <w:rPr>
          <w:spacing w:val="-10"/>
          <w:sz w:val="24"/>
        </w:rPr>
        <w:t> </w:t>
      </w:r>
      <w:r>
        <w:rPr>
          <w:sz w:val="24"/>
        </w:rPr>
        <w:t>de</w:t>
      </w:r>
      <w:r>
        <w:rPr>
          <w:spacing w:val="-6"/>
          <w:sz w:val="24"/>
        </w:rPr>
        <w:t> </w:t>
      </w:r>
      <w:r>
        <w:rPr>
          <w:i/>
          <w:sz w:val="24"/>
        </w:rPr>
        <w:t>Prob</w:t>
      </w:r>
      <w:r>
        <w:rPr>
          <w:i/>
          <w:spacing w:val="-9"/>
          <w:sz w:val="24"/>
        </w:rPr>
        <w:t> </w:t>
      </w:r>
      <w:r>
        <w:rPr>
          <w:sz w:val="24"/>
        </w:rPr>
        <w:t>se</w:t>
      </w:r>
      <w:r>
        <w:rPr>
          <w:spacing w:val="-9"/>
          <w:sz w:val="24"/>
        </w:rPr>
        <w:t> </w:t>
      </w:r>
      <w:r>
        <w:rPr>
          <w:sz w:val="24"/>
        </w:rPr>
        <w:t>encuentra por</w:t>
      </w:r>
      <w:r>
        <w:rPr>
          <w:spacing w:val="-16"/>
          <w:sz w:val="24"/>
        </w:rPr>
        <w:t> </w:t>
      </w:r>
      <w:r>
        <w:rPr>
          <w:sz w:val="24"/>
        </w:rPr>
        <w:t>debajo</w:t>
      </w:r>
      <w:r>
        <w:rPr>
          <w:spacing w:val="-17"/>
          <w:sz w:val="24"/>
        </w:rPr>
        <w:t> </w:t>
      </w:r>
      <w:r>
        <w:rPr>
          <w:sz w:val="24"/>
        </w:rPr>
        <w:t>de</w:t>
      </w:r>
      <w:r>
        <w:rPr>
          <w:spacing w:val="-16"/>
          <w:sz w:val="24"/>
        </w:rPr>
        <w:t> </w:t>
      </w:r>
      <w:r>
        <w:rPr>
          <w:sz w:val="24"/>
        </w:rPr>
        <w:t>0.01</w:t>
      </w:r>
      <w:r>
        <w:rPr>
          <w:spacing w:val="-14"/>
          <w:sz w:val="24"/>
        </w:rPr>
        <w:t> </w:t>
      </w:r>
      <w:r>
        <w:rPr>
          <w:sz w:val="24"/>
        </w:rPr>
        <w:t>se</w:t>
      </w:r>
      <w:r>
        <w:rPr>
          <w:spacing w:val="-17"/>
          <w:sz w:val="24"/>
        </w:rPr>
        <w:t> </w:t>
      </w:r>
      <w:r>
        <w:rPr>
          <w:sz w:val="24"/>
        </w:rPr>
        <w:t>puede</w:t>
      </w:r>
      <w:r>
        <w:rPr>
          <w:spacing w:val="-14"/>
          <w:sz w:val="24"/>
        </w:rPr>
        <w:t> </w:t>
      </w:r>
      <w:r>
        <w:rPr>
          <w:sz w:val="24"/>
        </w:rPr>
        <w:t>rechazar</w:t>
      </w:r>
      <w:r>
        <w:rPr>
          <w:spacing w:val="-16"/>
          <w:sz w:val="24"/>
        </w:rPr>
        <w:t> </w:t>
      </w:r>
      <w:r>
        <w:rPr>
          <w:sz w:val="24"/>
        </w:rPr>
        <w:t>la</w:t>
      </w:r>
      <w:r>
        <w:rPr>
          <w:spacing w:val="-14"/>
          <w:sz w:val="24"/>
        </w:rPr>
        <w:t> </w:t>
      </w:r>
      <w:r>
        <w:rPr>
          <w:sz w:val="24"/>
        </w:rPr>
        <w:t>hipótesis</w:t>
      </w:r>
      <w:r>
        <w:rPr>
          <w:spacing w:val="-15"/>
          <w:sz w:val="24"/>
        </w:rPr>
        <w:t> </w:t>
      </w:r>
      <w:r>
        <w:rPr>
          <w:sz w:val="24"/>
        </w:rPr>
        <w:t>nula</w:t>
      </w:r>
      <w:r>
        <w:rPr>
          <w:spacing w:val="-14"/>
          <w:sz w:val="24"/>
        </w:rPr>
        <w:t> </w:t>
      </w:r>
      <w:r>
        <w:rPr>
          <w:sz w:val="24"/>
        </w:rPr>
        <w:t>de</w:t>
      </w:r>
      <w:r>
        <w:rPr>
          <w:spacing w:val="-14"/>
          <w:sz w:val="24"/>
        </w:rPr>
        <w:t> </w:t>
      </w:r>
      <w:r>
        <w:rPr>
          <w:sz w:val="24"/>
        </w:rPr>
        <w:t>un</w:t>
      </w:r>
      <w:r>
        <w:rPr>
          <w:spacing w:val="-14"/>
          <w:sz w:val="24"/>
        </w:rPr>
        <w:t> </w:t>
      </w:r>
      <w:r>
        <w:rPr>
          <w:sz w:val="24"/>
        </w:rPr>
        <w:t>coeficiente</w:t>
      </w:r>
      <w:r>
        <w:rPr>
          <w:spacing w:val="-16"/>
          <w:sz w:val="24"/>
        </w:rPr>
        <w:t> </w:t>
      </w:r>
      <w:r>
        <w:rPr>
          <w:sz w:val="24"/>
        </w:rPr>
        <w:t>igual</w:t>
      </w:r>
      <w:r>
        <w:rPr>
          <w:spacing w:val="-15"/>
          <w:sz w:val="24"/>
        </w:rPr>
        <w:t> </w:t>
      </w:r>
      <w:r>
        <w:rPr>
          <w:sz w:val="24"/>
        </w:rPr>
        <w:t>a</w:t>
      </w:r>
      <w:r>
        <w:rPr>
          <w:spacing w:val="-14"/>
          <w:sz w:val="24"/>
        </w:rPr>
        <w:t> </w:t>
      </w:r>
      <w:r>
        <w:rPr>
          <w:sz w:val="24"/>
        </w:rPr>
        <w:t>cero a un nivel de significancia del 1%, o lo que es igual, a un nivel de confianza del 99%.</w:t>
      </w:r>
      <w:r>
        <w:rPr>
          <w:spacing w:val="-15"/>
          <w:sz w:val="24"/>
        </w:rPr>
        <w:t> </w:t>
      </w:r>
      <w:r>
        <w:rPr>
          <w:sz w:val="24"/>
        </w:rPr>
        <w:t>Dicho</w:t>
      </w:r>
      <w:r>
        <w:rPr>
          <w:spacing w:val="-17"/>
          <w:sz w:val="24"/>
        </w:rPr>
        <w:t> </w:t>
      </w:r>
      <w:r>
        <w:rPr>
          <w:sz w:val="24"/>
        </w:rPr>
        <w:t>de</w:t>
      </w:r>
      <w:r>
        <w:rPr>
          <w:spacing w:val="-17"/>
          <w:sz w:val="24"/>
        </w:rPr>
        <w:t> </w:t>
      </w:r>
      <w:r>
        <w:rPr>
          <w:sz w:val="24"/>
        </w:rPr>
        <w:t>otra</w:t>
      </w:r>
      <w:r>
        <w:rPr>
          <w:spacing w:val="-17"/>
          <w:sz w:val="24"/>
        </w:rPr>
        <w:t> </w:t>
      </w:r>
      <w:r>
        <w:rPr>
          <w:sz w:val="24"/>
        </w:rPr>
        <w:t>manera,</w:t>
      </w:r>
      <w:r>
        <w:rPr>
          <w:spacing w:val="-15"/>
          <w:sz w:val="24"/>
        </w:rPr>
        <w:t> </w:t>
      </w:r>
      <w:r>
        <w:rPr>
          <w:sz w:val="24"/>
        </w:rPr>
        <w:t>cuando</w:t>
      </w:r>
      <w:r>
        <w:rPr>
          <w:spacing w:val="-15"/>
          <w:sz w:val="24"/>
        </w:rPr>
        <w:t> </w:t>
      </w:r>
      <w:r>
        <w:rPr>
          <w:sz w:val="24"/>
        </w:rPr>
        <w:t>el</w:t>
      </w:r>
      <w:r>
        <w:rPr>
          <w:spacing w:val="-16"/>
          <w:sz w:val="24"/>
        </w:rPr>
        <w:t> </w:t>
      </w:r>
      <w:r>
        <w:rPr>
          <w:sz w:val="24"/>
        </w:rPr>
        <w:t>valor</w:t>
      </w:r>
      <w:r>
        <w:rPr>
          <w:spacing w:val="-16"/>
          <w:sz w:val="24"/>
        </w:rPr>
        <w:t> </w:t>
      </w:r>
      <w:r>
        <w:rPr>
          <w:sz w:val="24"/>
        </w:rPr>
        <w:t>p</w:t>
      </w:r>
      <w:r>
        <w:rPr>
          <w:spacing w:val="-17"/>
          <w:sz w:val="24"/>
        </w:rPr>
        <w:t> </w:t>
      </w:r>
      <w:r>
        <w:rPr>
          <w:sz w:val="24"/>
        </w:rPr>
        <w:t>se</w:t>
      </w:r>
      <w:r>
        <w:rPr>
          <w:spacing w:val="-15"/>
          <w:sz w:val="24"/>
        </w:rPr>
        <w:t> </w:t>
      </w:r>
      <w:r>
        <w:rPr>
          <w:sz w:val="24"/>
        </w:rPr>
        <w:t>muestre</w:t>
      </w:r>
      <w:r>
        <w:rPr>
          <w:spacing w:val="-17"/>
          <w:sz w:val="24"/>
        </w:rPr>
        <w:t> </w:t>
      </w:r>
      <w:r>
        <w:rPr>
          <w:sz w:val="24"/>
        </w:rPr>
        <w:t>por</w:t>
      </w:r>
      <w:r>
        <w:rPr>
          <w:spacing w:val="-16"/>
          <w:sz w:val="24"/>
        </w:rPr>
        <w:t> </w:t>
      </w:r>
      <w:r>
        <w:rPr>
          <w:sz w:val="24"/>
        </w:rPr>
        <w:t>debajo</w:t>
      </w:r>
      <w:r>
        <w:rPr>
          <w:spacing w:val="-17"/>
          <w:sz w:val="24"/>
        </w:rPr>
        <w:t> </w:t>
      </w:r>
      <w:r>
        <w:rPr>
          <w:sz w:val="24"/>
        </w:rPr>
        <w:t>de</w:t>
      </w:r>
      <w:r>
        <w:rPr>
          <w:spacing w:val="-15"/>
          <w:sz w:val="24"/>
        </w:rPr>
        <w:t> </w:t>
      </w:r>
      <w:r>
        <w:rPr>
          <w:sz w:val="24"/>
        </w:rPr>
        <w:t>0.01</w:t>
      </w:r>
      <w:r>
        <w:rPr>
          <w:spacing w:val="-17"/>
          <w:sz w:val="24"/>
        </w:rPr>
        <w:t> </w:t>
      </w:r>
      <w:r>
        <w:rPr>
          <w:sz w:val="24"/>
        </w:rPr>
        <w:t>nuestra variable independiente (la testosterona en este caso) tendrá un efecto significativo sobre la variable dependiente</w:t>
      </w:r>
      <w:r>
        <w:rPr>
          <w:spacing w:val="-12"/>
          <w:sz w:val="24"/>
        </w:rPr>
        <w:t> </w:t>
      </w:r>
      <w:r>
        <w:rPr>
          <w:sz w:val="24"/>
        </w:rPr>
        <w:t>Índice</w:t>
      </w:r>
    </w:p>
    <w:p>
      <w:pPr>
        <w:pStyle w:val="BodyText"/>
      </w:pPr>
    </w:p>
    <w:p>
      <w:pPr>
        <w:pStyle w:val="Heading1"/>
        <w:spacing w:before="139"/>
        <w:ind w:right="28"/>
      </w:pPr>
      <w:r>
        <w:rPr>
          <w:u w:val="thick"/>
        </w:rPr>
        <w:t>Testosterona:</w:t>
      </w:r>
    </w:p>
    <w:p>
      <w:pPr>
        <w:pStyle w:val="BodyText"/>
        <w:spacing w:before="11"/>
        <w:rPr>
          <w:b/>
          <w:sz w:val="20"/>
        </w:rPr>
      </w:pPr>
    </w:p>
    <w:p>
      <w:pPr>
        <w:spacing w:line="254" w:lineRule="auto" w:before="73"/>
        <w:ind w:left="122" w:right="438" w:firstLine="0"/>
        <w:jc w:val="left"/>
        <w:rPr>
          <w:sz w:val="24"/>
        </w:rPr>
      </w:pPr>
      <w:r>
        <w:rPr>
          <w:b/>
          <w:sz w:val="22"/>
        </w:rPr>
        <w:t>Tabla 2. </w:t>
      </w:r>
      <w:r>
        <w:rPr>
          <w:i/>
          <w:sz w:val="22"/>
        </w:rPr>
        <w:t>Muestra el coeficiente de determinación (R-squared) y valor p (Prob) de la </w:t>
      </w:r>
      <w:r>
        <w:rPr>
          <w:i/>
          <w:sz w:val="22"/>
        </w:rPr>
        <w:t>testosterna sobre el índice total estroma-ovario. Donde c es una constante y equivale a </w:t>
      </w:r>
      <w:r>
        <w:rPr>
          <w:sz w:val="22"/>
        </w:rPr>
        <w:t>β0</w:t>
      </w:r>
      <w:r>
        <w:rPr>
          <w:sz w:val="24"/>
        </w:rPr>
        <w:t>.</w:t>
      </w:r>
    </w:p>
    <w:p>
      <w:pPr>
        <w:pStyle w:val="BodyText"/>
        <w:ind w:left="1084"/>
        <w:rPr>
          <w:sz w:val="20"/>
        </w:rPr>
      </w:pPr>
      <w:r>
        <w:rPr>
          <w:sz w:val="20"/>
        </w:rPr>
        <w:drawing>
          <wp:inline distT="0" distB="0" distL="0" distR="0">
            <wp:extent cx="4438047" cy="2211419"/>
            <wp:effectExtent l="0" t="0" r="0" b="0"/>
            <wp:docPr id="65" name="image19.png" descr=""/>
            <wp:cNvGraphicFramePr>
              <a:graphicFrameLocks noChangeAspect="1"/>
            </wp:cNvGraphicFramePr>
            <a:graphic>
              <a:graphicData uri="http://schemas.openxmlformats.org/drawingml/2006/picture">
                <pic:pic>
                  <pic:nvPicPr>
                    <pic:cNvPr id="66" name="image19.png"/>
                    <pic:cNvPicPr/>
                  </pic:nvPicPr>
                  <pic:blipFill>
                    <a:blip r:embed="rId23" cstate="print"/>
                    <a:stretch>
                      <a:fillRect/>
                    </a:stretch>
                  </pic:blipFill>
                  <pic:spPr>
                    <a:xfrm>
                      <a:off x="0" y="0"/>
                      <a:ext cx="4438047" cy="2211419"/>
                    </a:xfrm>
                    <a:prstGeom prst="rect">
                      <a:avLst/>
                    </a:prstGeom>
                  </pic:spPr>
                </pic:pic>
              </a:graphicData>
            </a:graphic>
          </wp:inline>
        </w:drawing>
      </w:r>
      <w:r>
        <w:rPr>
          <w:sz w:val="20"/>
        </w:rPr>
      </w:r>
    </w:p>
    <w:p>
      <w:pPr>
        <w:spacing w:before="192"/>
        <w:ind w:left="0" w:right="0" w:firstLine="0"/>
        <w:jc w:val="center"/>
        <w:rPr>
          <w:sz w:val="22"/>
        </w:rPr>
      </w:pPr>
      <w:r>
        <w:rPr>
          <w:sz w:val="22"/>
        </w:rPr>
        <w:t>Fuente: Elaboración propia con base a los resultados obtenidos</w:t>
      </w:r>
    </w:p>
    <w:p>
      <w:pPr>
        <w:pStyle w:val="BodyText"/>
        <w:spacing w:before="9"/>
        <w:rPr>
          <w:sz w:val="29"/>
        </w:rPr>
      </w:pPr>
    </w:p>
    <w:p>
      <w:pPr>
        <w:spacing w:before="0"/>
        <w:ind w:left="107" w:right="28" w:firstLine="0"/>
        <w:jc w:val="left"/>
        <w:rPr>
          <w:i/>
          <w:sz w:val="24"/>
        </w:rPr>
      </w:pPr>
      <w:r>
        <w:rPr>
          <w:b/>
          <w:sz w:val="24"/>
        </w:rPr>
        <w:t>Gráfica 1 </w:t>
      </w:r>
      <w:r>
        <w:rPr>
          <w:i/>
          <w:sz w:val="24"/>
        </w:rPr>
        <w:t>Muestra función de regresión: testosterona e índice total estroma-ovario.</w:t>
      </w:r>
    </w:p>
    <w:p>
      <w:pPr>
        <w:spacing w:after="0"/>
        <w:jc w:val="left"/>
        <w:rPr>
          <w:sz w:val="24"/>
        </w:rPr>
        <w:sectPr>
          <w:pgSz w:w="12240" w:h="15840"/>
          <w:pgMar w:top="1220" w:bottom="280" w:left="1580" w:right="1580"/>
        </w:sectPr>
      </w:pPr>
    </w:p>
    <w:p>
      <w:pPr>
        <w:pStyle w:val="BodyText"/>
        <w:ind w:left="1247"/>
        <w:rPr>
          <w:sz w:val="20"/>
        </w:rPr>
      </w:pPr>
      <w:r>
        <w:rPr>
          <w:sz w:val="20"/>
        </w:rPr>
        <w:drawing>
          <wp:inline distT="0" distB="0" distL="0" distR="0">
            <wp:extent cx="4232553" cy="2441448"/>
            <wp:effectExtent l="0" t="0" r="0" b="0"/>
            <wp:docPr id="67" name="image20.png" descr=""/>
            <wp:cNvGraphicFramePr>
              <a:graphicFrameLocks noChangeAspect="1"/>
            </wp:cNvGraphicFramePr>
            <a:graphic>
              <a:graphicData uri="http://schemas.openxmlformats.org/drawingml/2006/picture">
                <pic:pic>
                  <pic:nvPicPr>
                    <pic:cNvPr id="68" name="image20.png"/>
                    <pic:cNvPicPr/>
                  </pic:nvPicPr>
                  <pic:blipFill>
                    <a:blip r:embed="rId24" cstate="print"/>
                    <a:stretch>
                      <a:fillRect/>
                    </a:stretch>
                  </pic:blipFill>
                  <pic:spPr>
                    <a:xfrm>
                      <a:off x="0" y="0"/>
                      <a:ext cx="4232553" cy="2441448"/>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spacing w:before="8"/>
        <w:rPr>
          <w:i/>
          <w:sz w:val="18"/>
        </w:rPr>
      </w:pPr>
    </w:p>
    <w:p>
      <w:pPr>
        <w:spacing w:before="0"/>
        <w:ind w:left="1430" w:right="28" w:firstLine="0"/>
        <w:jc w:val="left"/>
        <w:rPr>
          <w:sz w:val="22"/>
        </w:rPr>
      </w:pPr>
      <w:r>
        <w:rPr>
          <w:sz w:val="22"/>
        </w:rPr>
        <w:t>Fuente: Elaboración propia con base a los resultados obtenidos</w:t>
      </w:r>
    </w:p>
    <w:p>
      <w:pPr>
        <w:pStyle w:val="BodyText"/>
        <w:spacing w:before="9"/>
        <w:rPr>
          <w:sz w:val="29"/>
        </w:rPr>
      </w:pPr>
    </w:p>
    <w:p>
      <w:pPr>
        <w:pStyle w:val="BodyText"/>
        <w:spacing w:line="364" w:lineRule="auto"/>
        <w:ind w:left="117" w:right="28" w:hanging="10"/>
      </w:pPr>
      <w:r>
        <w:rPr/>
        <w:t>Continuando con el análisis para el resto de las variables, se obtuvieron los siguientes resultados para cada una de ellas:</w:t>
      </w:r>
    </w:p>
    <w:p>
      <w:pPr>
        <w:pStyle w:val="Heading1"/>
        <w:spacing w:before="196"/>
        <w:ind w:right="28"/>
      </w:pPr>
      <w:r>
        <w:rPr>
          <w:u w:val="thick"/>
        </w:rPr>
        <w:t>Androstenediona:</w:t>
      </w:r>
    </w:p>
    <w:p>
      <w:pPr>
        <w:pStyle w:val="BodyText"/>
        <w:spacing w:before="2"/>
        <w:rPr>
          <w:b/>
          <w:sz w:val="23"/>
        </w:rPr>
      </w:pPr>
    </w:p>
    <w:p>
      <w:pPr>
        <w:pStyle w:val="BodyText"/>
        <w:spacing w:line="256" w:lineRule="auto" w:before="69"/>
        <w:ind w:left="117" w:right="108" w:hanging="10"/>
      </w:pPr>
      <w:r>
        <w:rPr>
          <w:b/>
          <w:i/>
        </w:rPr>
        <w:t>Tabla 3. </w:t>
      </w:r>
      <w:r>
        <w:rPr/>
        <w:t>Muestra el coeficiente de determinación (R-squared) y valor p (Prob) de la androstenediona sobre el índice total estroma-ovario. Donde c es una constante y equivale a β0.</w:t>
      </w:r>
    </w:p>
    <w:p>
      <w:pPr>
        <w:pStyle w:val="BodyText"/>
        <w:spacing w:before="8"/>
        <w:rPr>
          <w:sz w:val="26"/>
        </w:rPr>
      </w:pPr>
    </w:p>
    <w:tbl>
      <w:tblPr>
        <w:tblW w:w="0" w:type="auto"/>
        <w:jc w:val="left"/>
        <w:tblInd w:w="1192" w:type="dxa"/>
        <w:tblBorders>
          <w:top w:val="double" w:sz="9" w:space="0" w:color="000000"/>
          <w:left w:val="double" w:sz="9" w:space="0" w:color="000000"/>
          <w:bottom w:val="double" w:sz="9" w:space="0" w:color="000000"/>
          <w:right w:val="double" w:sz="9" w:space="0" w:color="000000"/>
          <w:insideH w:val="double" w:sz="9" w:space="0" w:color="000000"/>
          <w:insideV w:val="double" w:sz="9" w:space="0" w:color="000000"/>
        </w:tblBorders>
        <w:tblLayout w:type="fixed"/>
        <w:tblCellMar>
          <w:top w:w="0" w:type="dxa"/>
          <w:left w:w="0" w:type="dxa"/>
          <w:bottom w:w="0" w:type="dxa"/>
          <w:right w:w="0" w:type="dxa"/>
        </w:tblCellMar>
        <w:tblLook w:val="01E0"/>
      </w:tblPr>
      <w:tblGrid>
        <w:gridCol w:w="2056"/>
        <w:gridCol w:w="3401"/>
        <w:gridCol w:w="859"/>
      </w:tblGrid>
      <w:tr>
        <w:trPr>
          <w:trHeight w:val="515" w:hRule="exact"/>
        </w:trPr>
        <w:tc>
          <w:tcPr>
            <w:tcW w:w="2056" w:type="dxa"/>
            <w:tcBorders>
              <w:left w:val="nil"/>
              <w:bottom w:val="double" w:sz="6" w:space="0" w:color="000000"/>
              <w:right w:val="nil"/>
            </w:tcBorders>
          </w:tcPr>
          <w:p>
            <w:pPr>
              <w:pStyle w:val="TableParagraph"/>
              <w:spacing w:before="11"/>
              <w:ind w:left="679"/>
              <w:rPr>
                <w:sz w:val="18"/>
              </w:rPr>
            </w:pPr>
            <w:r>
              <w:rPr>
                <w:sz w:val="18"/>
              </w:rPr>
              <w:t>Variable</w:t>
            </w:r>
          </w:p>
        </w:tc>
        <w:tc>
          <w:tcPr>
            <w:tcW w:w="3401" w:type="dxa"/>
            <w:tcBorders>
              <w:left w:val="nil"/>
              <w:bottom w:val="double" w:sz="6" w:space="0" w:color="000000"/>
              <w:right w:val="nil"/>
            </w:tcBorders>
          </w:tcPr>
          <w:p>
            <w:pPr>
              <w:pStyle w:val="TableParagraph"/>
              <w:tabs>
                <w:tab w:pos="1379" w:val="left" w:leader="none"/>
                <w:tab w:pos="2656" w:val="left" w:leader="none"/>
              </w:tabs>
              <w:spacing w:before="11"/>
              <w:ind w:left="119"/>
              <w:rPr>
                <w:sz w:val="18"/>
              </w:rPr>
            </w:pPr>
            <w:r>
              <w:rPr>
                <w:sz w:val="18"/>
              </w:rPr>
              <w:t>Coefficient</w:t>
              <w:tab/>
              <w:t>Std. Error</w:t>
              <w:tab/>
              <w:t>t-Statistic</w:t>
            </w:r>
          </w:p>
        </w:tc>
        <w:tc>
          <w:tcPr>
            <w:tcW w:w="859" w:type="dxa"/>
            <w:tcBorders>
              <w:left w:val="nil"/>
              <w:bottom w:val="double" w:sz="6" w:space="0" w:color="000000"/>
              <w:right w:val="nil"/>
            </w:tcBorders>
          </w:tcPr>
          <w:p>
            <w:pPr>
              <w:pStyle w:val="TableParagraph"/>
              <w:spacing w:before="11"/>
              <w:ind w:left="328"/>
              <w:rPr>
                <w:sz w:val="18"/>
              </w:rPr>
            </w:pPr>
            <w:r>
              <w:rPr>
                <w:sz w:val="18"/>
              </w:rPr>
              <w:t>Prob.</w:t>
            </w:r>
          </w:p>
        </w:tc>
      </w:tr>
      <w:tr>
        <w:trPr>
          <w:trHeight w:val="435" w:hRule="exact"/>
        </w:trPr>
        <w:tc>
          <w:tcPr>
            <w:tcW w:w="2056" w:type="dxa"/>
            <w:tcBorders>
              <w:top w:val="double" w:sz="6" w:space="0" w:color="000000"/>
              <w:left w:val="nil"/>
              <w:bottom w:val="nil"/>
              <w:right w:val="nil"/>
            </w:tcBorders>
          </w:tcPr>
          <w:p>
            <w:pPr>
              <w:pStyle w:val="TableParagraph"/>
              <w:spacing w:before="4"/>
              <w:rPr>
                <w:sz w:val="15"/>
              </w:rPr>
            </w:pPr>
          </w:p>
          <w:p>
            <w:pPr>
              <w:pStyle w:val="TableParagraph"/>
              <w:ind w:right="37"/>
              <w:jc w:val="center"/>
              <w:rPr>
                <w:sz w:val="18"/>
              </w:rPr>
            </w:pPr>
            <w:r>
              <w:rPr>
                <w:w w:val="99"/>
                <w:sz w:val="18"/>
              </w:rPr>
              <w:t>C</w:t>
            </w:r>
          </w:p>
        </w:tc>
        <w:tc>
          <w:tcPr>
            <w:tcW w:w="3401" w:type="dxa"/>
            <w:tcBorders>
              <w:top w:val="double" w:sz="6" w:space="0" w:color="000000"/>
              <w:left w:val="nil"/>
              <w:bottom w:val="nil"/>
              <w:right w:val="nil"/>
            </w:tcBorders>
          </w:tcPr>
          <w:p>
            <w:pPr>
              <w:pStyle w:val="TableParagraph"/>
              <w:spacing w:before="4"/>
              <w:rPr>
                <w:sz w:val="15"/>
              </w:rPr>
            </w:pPr>
          </w:p>
          <w:p>
            <w:pPr>
              <w:pStyle w:val="TableParagraph"/>
              <w:tabs>
                <w:tab w:pos="1376" w:val="left" w:leader="none"/>
                <w:tab w:pos="2644" w:val="left" w:leader="none"/>
              </w:tabs>
              <w:ind w:left="119"/>
              <w:rPr>
                <w:sz w:val="18"/>
              </w:rPr>
            </w:pPr>
            <w:r>
              <w:rPr>
                <w:sz w:val="18"/>
              </w:rPr>
              <w:t>0.198999</w:t>
              <w:tab/>
              <w:t>0.034764</w:t>
              <w:tab/>
              <w:t>5.724284</w:t>
            </w:r>
          </w:p>
        </w:tc>
        <w:tc>
          <w:tcPr>
            <w:tcW w:w="859" w:type="dxa"/>
            <w:tcBorders>
              <w:top w:val="double" w:sz="6" w:space="0" w:color="000000"/>
              <w:left w:val="nil"/>
              <w:bottom w:val="nil"/>
              <w:right w:val="nil"/>
            </w:tcBorders>
          </w:tcPr>
          <w:p>
            <w:pPr>
              <w:pStyle w:val="TableParagraph"/>
              <w:spacing w:before="4"/>
              <w:rPr>
                <w:sz w:val="15"/>
              </w:rPr>
            </w:pPr>
          </w:p>
          <w:p>
            <w:pPr>
              <w:pStyle w:val="TableParagraph"/>
              <w:ind w:right="17"/>
              <w:jc w:val="right"/>
              <w:rPr>
                <w:sz w:val="18"/>
              </w:rPr>
            </w:pPr>
            <w:r>
              <w:rPr>
                <w:sz w:val="18"/>
              </w:rPr>
              <w:t>0.0000</w:t>
            </w:r>
          </w:p>
        </w:tc>
      </w:tr>
      <w:tr>
        <w:trPr>
          <w:trHeight w:val="333" w:hRule="exact"/>
        </w:trPr>
        <w:tc>
          <w:tcPr>
            <w:tcW w:w="2056" w:type="dxa"/>
            <w:tcBorders>
              <w:top w:val="nil"/>
              <w:left w:val="nil"/>
              <w:bottom w:val="double" w:sz="6" w:space="0" w:color="000000"/>
              <w:right w:val="nil"/>
            </w:tcBorders>
          </w:tcPr>
          <w:p>
            <w:pPr>
              <w:pStyle w:val="TableParagraph"/>
              <w:spacing w:before="10"/>
              <w:ind w:left="120"/>
              <w:rPr>
                <w:sz w:val="18"/>
              </w:rPr>
            </w:pPr>
            <w:r>
              <w:rPr>
                <w:sz w:val="18"/>
              </w:rPr>
              <w:t>ANDROSTENEDIONA</w:t>
            </w:r>
          </w:p>
        </w:tc>
        <w:tc>
          <w:tcPr>
            <w:tcW w:w="3401" w:type="dxa"/>
            <w:tcBorders>
              <w:top w:val="nil"/>
              <w:left w:val="nil"/>
              <w:bottom w:val="double" w:sz="6" w:space="0" w:color="000000"/>
              <w:right w:val="nil"/>
            </w:tcBorders>
          </w:tcPr>
          <w:p>
            <w:pPr>
              <w:pStyle w:val="TableParagraph"/>
              <w:tabs>
                <w:tab w:pos="1376" w:val="left" w:leader="none"/>
                <w:tab w:pos="2644" w:val="left" w:leader="none"/>
              </w:tabs>
              <w:spacing w:before="10"/>
              <w:ind w:left="119"/>
              <w:rPr>
                <w:sz w:val="18"/>
              </w:rPr>
            </w:pPr>
            <w:r>
              <w:rPr>
                <w:sz w:val="18"/>
              </w:rPr>
              <w:t>0.064284</w:t>
              <w:tab/>
              <w:t>0.008542</w:t>
              <w:tab/>
              <w:t>7.525671</w:t>
            </w:r>
          </w:p>
        </w:tc>
        <w:tc>
          <w:tcPr>
            <w:tcW w:w="859" w:type="dxa"/>
            <w:tcBorders>
              <w:top w:val="nil"/>
              <w:left w:val="nil"/>
              <w:bottom w:val="double" w:sz="6" w:space="0" w:color="000000"/>
              <w:right w:val="nil"/>
            </w:tcBorders>
          </w:tcPr>
          <w:p>
            <w:pPr>
              <w:pStyle w:val="TableParagraph"/>
              <w:spacing w:before="10"/>
              <w:ind w:right="17"/>
              <w:jc w:val="right"/>
              <w:rPr>
                <w:sz w:val="18"/>
              </w:rPr>
            </w:pPr>
            <w:r>
              <w:rPr>
                <w:sz w:val="18"/>
              </w:rPr>
              <w:t>0.0000</w:t>
            </w:r>
          </w:p>
        </w:tc>
      </w:tr>
      <w:tr>
        <w:trPr>
          <w:trHeight w:val="435" w:hRule="exact"/>
        </w:trPr>
        <w:tc>
          <w:tcPr>
            <w:tcW w:w="2056" w:type="dxa"/>
            <w:tcBorders>
              <w:top w:val="double" w:sz="6" w:space="0" w:color="000000"/>
              <w:left w:val="nil"/>
              <w:bottom w:val="nil"/>
              <w:right w:val="nil"/>
            </w:tcBorders>
          </w:tcPr>
          <w:p>
            <w:pPr>
              <w:pStyle w:val="TableParagraph"/>
              <w:spacing w:before="4"/>
              <w:rPr>
                <w:sz w:val="15"/>
              </w:rPr>
            </w:pPr>
          </w:p>
          <w:p>
            <w:pPr>
              <w:pStyle w:val="TableParagraph"/>
              <w:ind w:left="28"/>
              <w:rPr>
                <w:sz w:val="18"/>
              </w:rPr>
            </w:pPr>
            <w:r>
              <w:rPr>
                <w:sz w:val="18"/>
              </w:rPr>
              <w:t>R-squared</w:t>
            </w:r>
          </w:p>
        </w:tc>
        <w:tc>
          <w:tcPr>
            <w:tcW w:w="3401" w:type="dxa"/>
            <w:tcBorders>
              <w:top w:val="double" w:sz="6" w:space="0" w:color="000000"/>
              <w:left w:val="nil"/>
              <w:bottom w:val="nil"/>
              <w:right w:val="nil"/>
            </w:tcBorders>
          </w:tcPr>
          <w:p>
            <w:pPr>
              <w:pStyle w:val="TableParagraph"/>
              <w:spacing w:before="4"/>
              <w:rPr>
                <w:sz w:val="15"/>
              </w:rPr>
            </w:pPr>
          </w:p>
          <w:p>
            <w:pPr>
              <w:pStyle w:val="TableParagraph"/>
              <w:ind w:left="210"/>
              <w:rPr>
                <w:sz w:val="18"/>
              </w:rPr>
            </w:pPr>
            <w:r>
              <w:rPr>
                <w:sz w:val="18"/>
              </w:rPr>
              <w:t>0.447233    Mean dependent var</w:t>
            </w:r>
          </w:p>
        </w:tc>
        <w:tc>
          <w:tcPr>
            <w:tcW w:w="859" w:type="dxa"/>
            <w:tcBorders>
              <w:top w:val="double" w:sz="6" w:space="0" w:color="000000"/>
              <w:left w:val="nil"/>
              <w:bottom w:val="nil"/>
              <w:right w:val="nil"/>
            </w:tcBorders>
          </w:tcPr>
          <w:p>
            <w:pPr>
              <w:pStyle w:val="TableParagraph"/>
              <w:spacing w:before="4"/>
              <w:rPr>
                <w:sz w:val="15"/>
              </w:rPr>
            </w:pPr>
          </w:p>
          <w:p>
            <w:pPr>
              <w:pStyle w:val="TableParagraph"/>
              <w:ind w:right="40"/>
              <w:jc w:val="right"/>
              <w:rPr>
                <w:sz w:val="18"/>
              </w:rPr>
            </w:pPr>
            <w:r>
              <w:rPr>
                <w:sz w:val="18"/>
              </w:rPr>
              <w:t>0.452198</w:t>
            </w:r>
          </w:p>
        </w:tc>
      </w:tr>
      <w:tr>
        <w:trPr>
          <w:trHeight w:val="248" w:hRule="exact"/>
        </w:trPr>
        <w:tc>
          <w:tcPr>
            <w:tcW w:w="2056" w:type="dxa"/>
            <w:tcBorders>
              <w:top w:val="nil"/>
              <w:left w:val="nil"/>
              <w:bottom w:val="nil"/>
              <w:right w:val="nil"/>
            </w:tcBorders>
          </w:tcPr>
          <w:p>
            <w:pPr>
              <w:pStyle w:val="TableParagraph"/>
              <w:spacing w:before="10"/>
              <w:ind w:left="28"/>
              <w:rPr>
                <w:sz w:val="18"/>
              </w:rPr>
            </w:pPr>
            <w:r>
              <w:rPr>
                <w:sz w:val="18"/>
              </w:rPr>
              <w:t>Adjusted R-squared</w:t>
            </w:r>
          </w:p>
        </w:tc>
        <w:tc>
          <w:tcPr>
            <w:tcW w:w="3401" w:type="dxa"/>
            <w:tcBorders>
              <w:top w:val="nil"/>
              <w:left w:val="nil"/>
              <w:bottom w:val="nil"/>
              <w:right w:val="nil"/>
            </w:tcBorders>
          </w:tcPr>
          <w:p>
            <w:pPr>
              <w:pStyle w:val="TableParagraph"/>
              <w:spacing w:before="10"/>
              <w:ind w:left="210"/>
              <w:rPr>
                <w:sz w:val="18"/>
              </w:rPr>
            </w:pPr>
            <w:r>
              <w:rPr>
                <w:sz w:val="18"/>
              </w:rPr>
              <w:t>0.439337    S.D. dependent var</w:t>
            </w:r>
          </w:p>
        </w:tc>
        <w:tc>
          <w:tcPr>
            <w:tcW w:w="859" w:type="dxa"/>
            <w:tcBorders>
              <w:top w:val="nil"/>
              <w:left w:val="nil"/>
              <w:bottom w:val="nil"/>
              <w:right w:val="nil"/>
            </w:tcBorders>
          </w:tcPr>
          <w:p>
            <w:pPr>
              <w:pStyle w:val="TableParagraph"/>
              <w:spacing w:before="10"/>
              <w:ind w:right="40"/>
              <w:jc w:val="right"/>
              <w:rPr>
                <w:sz w:val="18"/>
              </w:rPr>
            </w:pPr>
            <w:r>
              <w:rPr>
                <w:sz w:val="18"/>
              </w:rPr>
              <w:t>0.099157</w:t>
            </w:r>
          </w:p>
        </w:tc>
      </w:tr>
      <w:tr>
        <w:trPr>
          <w:trHeight w:val="250" w:hRule="exact"/>
        </w:trPr>
        <w:tc>
          <w:tcPr>
            <w:tcW w:w="2056" w:type="dxa"/>
            <w:tcBorders>
              <w:top w:val="nil"/>
              <w:left w:val="nil"/>
              <w:bottom w:val="nil"/>
              <w:right w:val="nil"/>
            </w:tcBorders>
          </w:tcPr>
          <w:p>
            <w:pPr>
              <w:pStyle w:val="TableParagraph"/>
              <w:spacing w:before="12"/>
              <w:ind w:left="28"/>
              <w:rPr>
                <w:sz w:val="18"/>
              </w:rPr>
            </w:pPr>
            <w:r>
              <w:rPr>
                <w:sz w:val="18"/>
              </w:rPr>
              <w:t>S.E. of regression</w:t>
            </w:r>
          </w:p>
        </w:tc>
        <w:tc>
          <w:tcPr>
            <w:tcW w:w="3401" w:type="dxa"/>
            <w:tcBorders>
              <w:top w:val="nil"/>
              <w:left w:val="nil"/>
              <w:bottom w:val="nil"/>
              <w:right w:val="nil"/>
            </w:tcBorders>
          </w:tcPr>
          <w:p>
            <w:pPr>
              <w:pStyle w:val="TableParagraph"/>
              <w:spacing w:before="12"/>
              <w:ind w:left="210"/>
              <w:rPr>
                <w:sz w:val="18"/>
              </w:rPr>
            </w:pPr>
            <w:r>
              <w:rPr>
                <w:sz w:val="18"/>
              </w:rPr>
              <w:t>0.074246    Akaike info criterion</w:t>
            </w:r>
          </w:p>
        </w:tc>
        <w:tc>
          <w:tcPr>
            <w:tcW w:w="859" w:type="dxa"/>
            <w:tcBorders>
              <w:top w:val="nil"/>
              <w:left w:val="nil"/>
              <w:bottom w:val="nil"/>
              <w:right w:val="nil"/>
            </w:tcBorders>
          </w:tcPr>
          <w:p>
            <w:pPr>
              <w:pStyle w:val="TableParagraph"/>
              <w:spacing w:before="12"/>
              <w:ind w:right="40"/>
              <w:jc w:val="right"/>
              <w:rPr>
                <w:sz w:val="18"/>
              </w:rPr>
            </w:pPr>
            <w:r>
              <w:rPr>
                <w:sz w:val="18"/>
              </w:rPr>
              <w:t>-2.335473</w:t>
            </w:r>
          </w:p>
        </w:tc>
      </w:tr>
      <w:tr>
        <w:trPr>
          <w:trHeight w:val="248" w:hRule="exact"/>
        </w:trPr>
        <w:tc>
          <w:tcPr>
            <w:tcW w:w="2056" w:type="dxa"/>
            <w:tcBorders>
              <w:top w:val="nil"/>
              <w:left w:val="nil"/>
              <w:bottom w:val="nil"/>
              <w:right w:val="nil"/>
            </w:tcBorders>
          </w:tcPr>
          <w:p>
            <w:pPr>
              <w:pStyle w:val="TableParagraph"/>
              <w:spacing w:before="12"/>
              <w:ind w:left="28"/>
              <w:rPr>
                <w:sz w:val="18"/>
              </w:rPr>
            </w:pPr>
            <w:r>
              <w:rPr>
                <w:sz w:val="18"/>
              </w:rPr>
              <w:t>Sum squared resid</w:t>
            </w:r>
          </w:p>
        </w:tc>
        <w:tc>
          <w:tcPr>
            <w:tcW w:w="3401" w:type="dxa"/>
            <w:tcBorders>
              <w:top w:val="nil"/>
              <w:left w:val="nil"/>
              <w:bottom w:val="nil"/>
              <w:right w:val="nil"/>
            </w:tcBorders>
          </w:tcPr>
          <w:p>
            <w:pPr>
              <w:pStyle w:val="TableParagraph"/>
              <w:spacing w:before="12"/>
              <w:ind w:left="210"/>
              <w:rPr>
                <w:sz w:val="18"/>
              </w:rPr>
            </w:pPr>
            <w:r>
              <w:rPr>
                <w:sz w:val="18"/>
              </w:rPr>
              <w:t>0.385876    Schwarz criterion</w:t>
            </w:r>
          </w:p>
        </w:tc>
        <w:tc>
          <w:tcPr>
            <w:tcW w:w="859" w:type="dxa"/>
            <w:tcBorders>
              <w:top w:val="nil"/>
              <w:left w:val="nil"/>
              <w:bottom w:val="nil"/>
              <w:right w:val="nil"/>
            </w:tcBorders>
          </w:tcPr>
          <w:p>
            <w:pPr>
              <w:pStyle w:val="TableParagraph"/>
              <w:spacing w:before="12"/>
              <w:ind w:right="40"/>
              <w:jc w:val="right"/>
              <w:rPr>
                <w:sz w:val="18"/>
              </w:rPr>
            </w:pPr>
            <w:r>
              <w:rPr>
                <w:sz w:val="18"/>
              </w:rPr>
              <w:t>-2.272232</w:t>
            </w:r>
          </w:p>
        </w:tc>
      </w:tr>
      <w:tr>
        <w:trPr>
          <w:trHeight w:val="249" w:hRule="exact"/>
        </w:trPr>
        <w:tc>
          <w:tcPr>
            <w:tcW w:w="2056" w:type="dxa"/>
            <w:tcBorders>
              <w:top w:val="nil"/>
              <w:left w:val="nil"/>
              <w:bottom w:val="nil"/>
              <w:right w:val="nil"/>
            </w:tcBorders>
          </w:tcPr>
          <w:p>
            <w:pPr>
              <w:pStyle w:val="TableParagraph"/>
              <w:spacing w:before="10"/>
              <w:ind w:left="28"/>
              <w:rPr>
                <w:sz w:val="18"/>
              </w:rPr>
            </w:pPr>
            <w:r>
              <w:rPr>
                <w:sz w:val="18"/>
              </w:rPr>
              <w:t>Log likelihood</w:t>
            </w:r>
          </w:p>
        </w:tc>
        <w:tc>
          <w:tcPr>
            <w:tcW w:w="3401" w:type="dxa"/>
            <w:tcBorders>
              <w:top w:val="nil"/>
              <w:left w:val="nil"/>
              <w:bottom w:val="nil"/>
              <w:right w:val="nil"/>
            </w:tcBorders>
          </w:tcPr>
          <w:p>
            <w:pPr>
              <w:pStyle w:val="TableParagraph"/>
              <w:spacing w:before="10"/>
              <w:ind w:left="210"/>
              <w:rPr>
                <w:sz w:val="18"/>
              </w:rPr>
            </w:pPr>
            <w:r>
              <w:rPr>
                <w:sz w:val="18"/>
              </w:rPr>
              <w:t>86.07702    Hannan-Quinn criter.</w:t>
            </w:r>
          </w:p>
        </w:tc>
        <w:tc>
          <w:tcPr>
            <w:tcW w:w="859" w:type="dxa"/>
            <w:tcBorders>
              <w:top w:val="nil"/>
              <w:left w:val="nil"/>
              <w:bottom w:val="nil"/>
              <w:right w:val="nil"/>
            </w:tcBorders>
          </w:tcPr>
          <w:p>
            <w:pPr>
              <w:pStyle w:val="TableParagraph"/>
              <w:spacing w:before="10"/>
              <w:ind w:right="40"/>
              <w:jc w:val="right"/>
              <w:rPr>
                <w:sz w:val="18"/>
              </w:rPr>
            </w:pPr>
            <w:r>
              <w:rPr>
                <w:sz w:val="18"/>
              </w:rPr>
              <w:t>-2.310296</w:t>
            </w:r>
          </w:p>
        </w:tc>
      </w:tr>
      <w:tr>
        <w:trPr>
          <w:trHeight w:val="250" w:hRule="exact"/>
        </w:trPr>
        <w:tc>
          <w:tcPr>
            <w:tcW w:w="2056" w:type="dxa"/>
            <w:tcBorders>
              <w:top w:val="nil"/>
              <w:left w:val="nil"/>
              <w:bottom w:val="nil"/>
              <w:right w:val="nil"/>
            </w:tcBorders>
          </w:tcPr>
          <w:p>
            <w:pPr>
              <w:pStyle w:val="TableParagraph"/>
              <w:spacing w:before="12"/>
              <w:ind w:left="28"/>
              <w:rPr>
                <w:sz w:val="18"/>
              </w:rPr>
            </w:pPr>
            <w:r>
              <w:rPr>
                <w:sz w:val="18"/>
              </w:rPr>
              <w:t>F-statistic</w:t>
            </w:r>
          </w:p>
        </w:tc>
        <w:tc>
          <w:tcPr>
            <w:tcW w:w="3401" w:type="dxa"/>
            <w:tcBorders>
              <w:top w:val="nil"/>
              <w:left w:val="nil"/>
              <w:bottom w:val="nil"/>
              <w:right w:val="nil"/>
            </w:tcBorders>
          </w:tcPr>
          <w:p>
            <w:pPr>
              <w:pStyle w:val="TableParagraph"/>
              <w:spacing w:before="12"/>
              <w:ind w:left="210"/>
              <w:rPr>
                <w:sz w:val="18"/>
              </w:rPr>
            </w:pPr>
            <w:r>
              <w:rPr>
                <w:sz w:val="18"/>
              </w:rPr>
              <w:t>56.63573    Durbin-Watson stat</w:t>
            </w:r>
          </w:p>
        </w:tc>
        <w:tc>
          <w:tcPr>
            <w:tcW w:w="859" w:type="dxa"/>
            <w:tcBorders>
              <w:top w:val="nil"/>
              <w:left w:val="nil"/>
              <w:bottom w:val="nil"/>
              <w:right w:val="nil"/>
            </w:tcBorders>
          </w:tcPr>
          <w:p>
            <w:pPr>
              <w:pStyle w:val="TableParagraph"/>
              <w:spacing w:before="12"/>
              <w:ind w:right="40"/>
              <w:jc w:val="right"/>
              <w:rPr>
                <w:sz w:val="18"/>
              </w:rPr>
            </w:pPr>
            <w:r>
              <w:rPr>
                <w:sz w:val="18"/>
              </w:rPr>
              <w:t>2.456281</w:t>
            </w:r>
          </w:p>
        </w:tc>
      </w:tr>
      <w:tr>
        <w:trPr>
          <w:trHeight w:val="505" w:hRule="exact"/>
        </w:trPr>
        <w:tc>
          <w:tcPr>
            <w:tcW w:w="2056" w:type="dxa"/>
            <w:tcBorders>
              <w:top w:val="nil"/>
              <w:left w:val="nil"/>
              <w:bottom w:val="double" w:sz="6" w:space="0" w:color="000000"/>
              <w:right w:val="nil"/>
            </w:tcBorders>
          </w:tcPr>
          <w:p>
            <w:pPr>
              <w:pStyle w:val="TableParagraph"/>
              <w:spacing w:before="12"/>
              <w:ind w:left="28"/>
              <w:rPr>
                <w:sz w:val="18"/>
              </w:rPr>
            </w:pPr>
            <w:r>
              <w:rPr>
                <w:sz w:val="18"/>
              </w:rPr>
              <w:t>Prob(F-statistic)</w:t>
            </w:r>
          </w:p>
        </w:tc>
        <w:tc>
          <w:tcPr>
            <w:tcW w:w="3401" w:type="dxa"/>
            <w:tcBorders>
              <w:top w:val="nil"/>
              <w:left w:val="nil"/>
              <w:bottom w:val="double" w:sz="6" w:space="0" w:color="000000"/>
              <w:right w:val="nil"/>
            </w:tcBorders>
          </w:tcPr>
          <w:p>
            <w:pPr>
              <w:pStyle w:val="TableParagraph"/>
              <w:spacing w:before="12"/>
              <w:ind w:left="210"/>
              <w:rPr>
                <w:sz w:val="18"/>
              </w:rPr>
            </w:pPr>
            <w:r>
              <w:rPr>
                <w:sz w:val="18"/>
              </w:rPr>
              <w:t>0.000000</w:t>
            </w:r>
          </w:p>
        </w:tc>
        <w:tc>
          <w:tcPr>
            <w:tcW w:w="859" w:type="dxa"/>
            <w:tcBorders>
              <w:top w:val="nil"/>
              <w:left w:val="nil"/>
              <w:bottom w:val="double" w:sz="6" w:space="0" w:color="000000"/>
              <w:right w:val="nil"/>
            </w:tcBorders>
          </w:tcPr>
          <w:p>
            <w:pPr/>
          </w:p>
        </w:tc>
      </w:tr>
    </w:tbl>
    <w:p>
      <w:pPr>
        <w:spacing w:line="251" w:lineRule="exact" w:before="0"/>
        <w:ind w:left="1432" w:right="28" w:firstLine="0"/>
        <w:jc w:val="left"/>
        <w:rPr>
          <w:sz w:val="22"/>
        </w:rPr>
      </w:pPr>
      <w:r>
        <w:rPr>
          <w:sz w:val="22"/>
        </w:rPr>
        <w:t>Fuente: Elaboración propia con base a los resultados obtenidos</w:t>
      </w:r>
    </w:p>
    <w:p>
      <w:pPr>
        <w:pStyle w:val="BodyText"/>
        <w:rPr>
          <w:sz w:val="22"/>
        </w:rPr>
      </w:pPr>
    </w:p>
    <w:p>
      <w:pPr>
        <w:pStyle w:val="BodyText"/>
        <w:rPr>
          <w:sz w:val="22"/>
        </w:rPr>
      </w:pPr>
    </w:p>
    <w:p>
      <w:pPr>
        <w:pStyle w:val="BodyText"/>
        <w:rPr>
          <w:sz w:val="22"/>
        </w:rPr>
      </w:pPr>
    </w:p>
    <w:p>
      <w:pPr>
        <w:pStyle w:val="BodyText"/>
        <w:tabs>
          <w:tab w:pos="1141" w:val="left" w:leader="none"/>
          <w:tab w:pos="1547" w:val="left" w:leader="none"/>
          <w:tab w:pos="2615" w:val="left" w:leader="none"/>
          <w:tab w:pos="3595" w:val="left" w:leader="none"/>
          <w:tab w:pos="4068" w:val="left" w:leader="none"/>
          <w:tab w:pos="5337" w:val="left" w:leader="none"/>
          <w:tab w:pos="7327" w:val="left" w:leader="none"/>
          <w:tab w:pos="7665" w:val="left" w:leader="none"/>
          <w:tab w:pos="8509" w:val="left" w:leader="none"/>
        </w:tabs>
        <w:spacing w:before="179"/>
        <w:ind w:left="117" w:right="114" w:hanging="10"/>
      </w:pPr>
      <w:r>
        <w:rPr>
          <w:b/>
          <w:i/>
        </w:rPr>
        <w:t>Gráfica</w:t>
        <w:tab/>
        <w:t>2.</w:t>
        <w:tab/>
      </w:r>
      <w:r>
        <w:rPr/>
        <w:t>Muestra</w:t>
        <w:tab/>
        <w:t>función</w:t>
        <w:tab/>
        <w:t>de</w:t>
        <w:tab/>
        <w:t>regresión:</w:t>
        <w:tab/>
        <w:t>androstenediona</w:t>
        <w:tab/>
        <w:t>e</w:t>
        <w:tab/>
        <w:t>índice</w:t>
        <w:tab/>
        <w:t>total estromaovario.</w:t>
      </w:r>
    </w:p>
    <w:p>
      <w:pPr>
        <w:spacing w:after="0"/>
        <w:sectPr>
          <w:pgSz w:w="12240" w:h="15840"/>
          <w:pgMar w:top="1260" w:bottom="280" w:left="1580" w:right="1580"/>
        </w:sectPr>
      </w:pPr>
    </w:p>
    <w:p>
      <w:pPr>
        <w:pStyle w:val="BodyText"/>
        <w:ind w:left="1237"/>
        <w:rPr>
          <w:sz w:val="20"/>
        </w:rPr>
      </w:pPr>
      <w:r>
        <w:rPr>
          <w:sz w:val="20"/>
        </w:rPr>
        <w:drawing>
          <wp:inline distT="0" distB="0" distL="0" distR="0">
            <wp:extent cx="4233364" cy="2441448"/>
            <wp:effectExtent l="0" t="0" r="0" b="0"/>
            <wp:docPr id="69" name="image21.png" descr=""/>
            <wp:cNvGraphicFramePr>
              <a:graphicFrameLocks noChangeAspect="1"/>
            </wp:cNvGraphicFramePr>
            <a:graphic>
              <a:graphicData uri="http://schemas.openxmlformats.org/drawingml/2006/picture">
                <pic:pic>
                  <pic:nvPicPr>
                    <pic:cNvPr id="70" name="image21.png"/>
                    <pic:cNvPicPr/>
                  </pic:nvPicPr>
                  <pic:blipFill>
                    <a:blip r:embed="rId25" cstate="print"/>
                    <a:stretch>
                      <a:fillRect/>
                    </a:stretch>
                  </pic:blipFill>
                  <pic:spPr>
                    <a:xfrm>
                      <a:off x="0" y="0"/>
                      <a:ext cx="4233364" cy="244144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17"/>
        </w:rPr>
      </w:pPr>
    </w:p>
    <w:p>
      <w:pPr>
        <w:spacing w:before="0"/>
        <w:ind w:left="1432" w:right="28" w:firstLine="0"/>
        <w:jc w:val="left"/>
        <w:rPr>
          <w:sz w:val="22"/>
        </w:rPr>
      </w:pPr>
      <w:r>
        <w:rPr>
          <w:sz w:val="22"/>
        </w:rPr>
        <w:t>Fuente: Elaboración propia con base a los resultados obtenidos</w:t>
      </w:r>
    </w:p>
    <w:p>
      <w:pPr>
        <w:pStyle w:val="BodyText"/>
        <w:rPr>
          <w:sz w:val="30"/>
        </w:rPr>
      </w:pPr>
    </w:p>
    <w:p>
      <w:pPr>
        <w:pStyle w:val="BodyText"/>
        <w:spacing w:line="364" w:lineRule="auto"/>
        <w:ind w:left="117" w:right="114" w:hanging="10"/>
        <w:jc w:val="both"/>
      </w:pPr>
      <w:r>
        <w:rPr/>
        <w:t>Obsérvese</w:t>
      </w:r>
      <w:r>
        <w:rPr>
          <w:spacing w:val="-14"/>
        </w:rPr>
        <w:t> </w:t>
      </w:r>
      <w:r>
        <w:rPr/>
        <w:t>que</w:t>
      </w:r>
      <w:r>
        <w:rPr>
          <w:spacing w:val="-14"/>
        </w:rPr>
        <w:t> </w:t>
      </w:r>
      <w:r>
        <w:rPr/>
        <w:t>se</w:t>
      </w:r>
      <w:r>
        <w:rPr>
          <w:spacing w:val="-17"/>
        </w:rPr>
        <w:t> </w:t>
      </w:r>
      <w:r>
        <w:rPr/>
        <w:t>obtienen</w:t>
      </w:r>
      <w:r>
        <w:rPr>
          <w:spacing w:val="-14"/>
        </w:rPr>
        <w:t> </w:t>
      </w:r>
      <w:r>
        <w:rPr/>
        <w:t>resultados</w:t>
      </w:r>
      <w:r>
        <w:rPr>
          <w:spacing w:val="-15"/>
        </w:rPr>
        <w:t> </w:t>
      </w:r>
      <w:r>
        <w:rPr/>
        <w:t>ligeramente</w:t>
      </w:r>
      <w:r>
        <w:rPr>
          <w:spacing w:val="-16"/>
        </w:rPr>
        <w:t> </w:t>
      </w:r>
      <w:r>
        <w:rPr/>
        <w:t>mejores</w:t>
      </w:r>
      <w:r>
        <w:rPr>
          <w:spacing w:val="-17"/>
        </w:rPr>
        <w:t> </w:t>
      </w:r>
      <w:r>
        <w:rPr/>
        <w:t>que</w:t>
      </w:r>
      <w:r>
        <w:rPr>
          <w:spacing w:val="-14"/>
        </w:rPr>
        <w:t> </w:t>
      </w:r>
      <w:r>
        <w:rPr/>
        <w:t>con</w:t>
      </w:r>
      <w:r>
        <w:rPr>
          <w:spacing w:val="-14"/>
        </w:rPr>
        <w:t> </w:t>
      </w:r>
      <w:r>
        <w:rPr/>
        <w:t>la</w:t>
      </w:r>
      <w:r>
        <w:rPr>
          <w:spacing w:val="-14"/>
        </w:rPr>
        <w:t> </w:t>
      </w:r>
      <w:r>
        <w:rPr/>
        <w:t>testosterona, logrando un R2 de 0.4472 versus uno de 0.4455 para la testosterona, con buenos resultados en valor p y estadístico de</w:t>
      </w:r>
      <w:r>
        <w:rPr>
          <w:spacing w:val="-10"/>
        </w:rPr>
        <w:t> </w:t>
      </w:r>
      <w:r>
        <w:rPr/>
        <w:t>Durbin-Watson.</w:t>
      </w:r>
    </w:p>
    <w:p>
      <w:pPr>
        <w:pStyle w:val="Heading1"/>
        <w:spacing w:before="196"/>
        <w:jc w:val="both"/>
      </w:pPr>
      <w:r>
        <w:rPr>
          <w:u w:val="thick"/>
        </w:rPr>
        <w:t>DHEA:</w:t>
      </w:r>
    </w:p>
    <w:p>
      <w:pPr>
        <w:pStyle w:val="BodyText"/>
        <w:spacing w:before="2"/>
        <w:rPr>
          <w:b/>
          <w:sz w:val="23"/>
        </w:rPr>
      </w:pPr>
    </w:p>
    <w:p>
      <w:pPr>
        <w:pStyle w:val="BodyText"/>
        <w:spacing w:line="256" w:lineRule="auto" w:before="69" w:after="6"/>
        <w:ind w:left="117" w:right="109" w:hanging="10"/>
        <w:jc w:val="both"/>
      </w:pPr>
      <w:r>
        <w:rPr>
          <w:b/>
          <w:i/>
        </w:rPr>
        <w:t>Tabla 4. </w:t>
      </w:r>
      <w:r>
        <w:rPr/>
        <w:t>Muestra el coeficiente de determinación (R-squared) y valor p (Prob) de la dehidroepiandrosterona sobre el índice total estroma-ovario. Donde c es una constante y equivale a β0.</w:t>
      </w:r>
    </w:p>
    <w:p>
      <w:pPr>
        <w:pStyle w:val="BodyText"/>
        <w:ind w:left="1196"/>
        <w:rPr>
          <w:sz w:val="20"/>
        </w:rPr>
      </w:pPr>
      <w:r>
        <w:rPr>
          <w:sz w:val="20"/>
        </w:rPr>
        <w:drawing>
          <wp:inline distT="0" distB="0" distL="0" distR="0">
            <wp:extent cx="3998976" cy="1987295"/>
            <wp:effectExtent l="0" t="0" r="0" b="0"/>
            <wp:docPr id="71" name="image22.png" descr=""/>
            <wp:cNvGraphicFramePr>
              <a:graphicFrameLocks noChangeAspect="1"/>
            </wp:cNvGraphicFramePr>
            <a:graphic>
              <a:graphicData uri="http://schemas.openxmlformats.org/drawingml/2006/picture">
                <pic:pic>
                  <pic:nvPicPr>
                    <pic:cNvPr id="72" name="image22.png"/>
                    <pic:cNvPicPr/>
                  </pic:nvPicPr>
                  <pic:blipFill>
                    <a:blip r:embed="rId26" cstate="print"/>
                    <a:stretch>
                      <a:fillRect/>
                    </a:stretch>
                  </pic:blipFill>
                  <pic:spPr>
                    <a:xfrm>
                      <a:off x="0" y="0"/>
                      <a:ext cx="3998976" cy="1987295"/>
                    </a:xfrm>
                    <a:prstGeom prst="rect">
                      <a:avLst/>
                    </a:prstGeom>
                  </pic:spPr>
                </pic:pic>
              </a:graphicData>
            </a:graphic>
          </wp:inline>
        </w:drawing>
      </w:r>
      <w:r>
        <w:rPr>
          <w:sz w:val="20"/>
        </w:rPr>
      </w:r>
    </w:p>
    <w:p>
      <w:pPr>
        <w:spacing w:before="136"/>
        <w:ind w:left="1432" w:right="28" w:firstLine="0"/>
        <w:jc w:val="left"/>
        <w:rPr>
          <w:sz w:val="22"/>
        </w:rPr>
      </w:pPr>
      <w:r>
        <w:rPr>
          <w:sz w:val="22"/>
        </w:rPr>
        <w:t>Fuente: Elaboración propia con base a los resultados obtenidos</w:t>
      </w:r>
    </w:p>
    <w:p>
      <w:pPr>
        <w:pStyle w:val="BodyText"/>
        <w:rPr>
          <w:sz w:val="22"/>
        </w:rPr>
      </w:pPr>
    </w:p>
    <w:p>
      <w:pPr>
        <w:pStyle w:val="BodyText"/>
        <w:rPr>
          <w:sz w:val="22"/>
        </w:rPr>
      </w:pPr>
    </w:p>
    <w:p>
      <w:pPr>
        <w:spacing w:line="247" w:lineRule="auto" w:before="136"/>
        <w:ind w:left="117" w:right="100" w:hanging="10"/>
        <w:jc w:val="both"/>
        <w:rPr>
          <w:sz w:val="22"/>
        </w:rPr>
      </w:pPr>
      <w:r>
        <w:rPr>
          <w:b/>
          <w:i/>
          <w:sz w:val="22"/>
        </w:rPr>
        <w:t>Gráfica 3. </w:t>
      </w:r>
      <w:r>
        <w:rPr>
          <w:sz w:val="22"/>
        </w:rPr>
        <w:t>Muestra función de regresión: dehidroepiandrosterona e índice total estromaovario.</w:t>
      </w:r>
    </w:p>
    <w:p>
      <w:pPr>
        <w:spacing w:after="0" w:line="247" w:lineRule="auto"/>
        <w:jc w:val="both"/>
        <w:rPr>
          <w:sz w:val="22"/>
        </w:rPr>
        <w:sectPr>
          <w:pgSz w:w="12240" w:h="15840"/>
          <w:pgMar w:top="1260" w:bottom="280" w:left="1580" w:right="1580"/>
        </w:sectPr>
      </w:pPr>
    </w:p>
    <w:p>
      <w:pPr>
        <w:pStyle w:val="BodyText"/>
        <w:ind w:left="1242"/>
        <w:rPr>
          <w:sz w:val="20"/>
        </w:rPr>
      </w:pPr>
      <w:r>
        <w:rPr>
          <w:sz w:val="20"/>
        </w:rPr>
        <w:drawing>
          <wp:inline distT="0" distB="0" distL="0" distR="0">
            <wp:extent cx="4231753" cy="2414016"/>
            <wp:effectExtent l="0" t="0" r="0" b="0"/>
            <wp:docPr id="73" name="image23.png" descr=""/>
            <wp:cNvGraphicFramePr>
              <a:graphicFrameLocks noChangeAspect="1"/>
            </wp:cNvGraphicFramePr>
            <a:graphic>
              <a:graphicData uri="http://schemas.openxmlformats.org/drawingml/2006/picture">
                <pic:pic>
                  <pic:nvPicPr>
                    <pic:cNvPr id="74" name="image23.png"/>
                    <pic:cNvPicPr/>
                  </pic:nvPicPr>
                  <pic:blipFill>
                    <a:blip r:embed="rId27" cstate="print"/>
                    <a:stretch>
                      <a:fillRect/>
                    </a:stretch>
                  </pic:blipFill>
                  <pic:spPr>
                    <a:xfrm>
                      <a:off x="0" y="0"/>
                      <a:ext cx="4231753" cy="241401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1"/>
        </w:rPr>
      </w:pPr>
    </w:p>
    <w:p>
      <w:pPr>
        <w:spacing w:before="0"/>
        <w:ind w:left="1432" w:right="0" w:firstLine="0"/>
        <w:jc w:val="left"/>
        <w:rPr>
          <w:sz w:val="22"/>
        </w:rPr>
      </w:pPr>
      <w:r>
        <w:rPr>
          <w:sz w:val="22"/>
        </w:rPr>
        <w:t>Fuente: Elaboración propia con base a los resultados obtenidos</w:t>
      </w:r>
    </w:p>
    <w:p>
      <w:pPr>
        <w:pStyle w:val="BodyText"/>
        <w:spacing w:before="9"/>
        <w:rPr>
          <w:sz w:val="29"/>
        </w:rPr>
      </w:pPr>
    </w:p>
    <w:p>
      <w:pPr>
        <w:pStyle w:val="BodyText"/>
        <w:spacing w:line="364" w:lineRule="auto"/>
        <w:ind w:left="117" w:right="136" w:hanging="10"/>
        <w:jc w:val="both"/>
      </w:pPr>
      <w:r>
        <w:rPr/>
        <w:t>Obsérvese que nuevamente se obtienen mejores resultados que contra las dos variables anteriores. En este caso la DHEA tiene un coeficiente de determinación de 0.4495, ligeramente superior al del resto de las variables.</w:t>
      </w:r>
    </w:p>
    <w:p>
      <w:pPr>
        <w:pStyle w:val="Heading1"/>
        <w:numPr>
          <w:ilvl w:val="1"/>
          <w:numId w:val="5"/>
        </w:numPr>
        <w:tabs>
          <w:tab w:pos="693" w:val="left" w:leader="none"/>
        </w:tabs>
        <w:spacing w:line="240" w:lineRule="auto" w:before="199" w:after="0"/>
        <w:ind w:left="692" w:right="0" w:hanging="585"/>
        <w:jc w:val="both"/>
      </w:pPr>
      <w:r>
        <w:rPr>
          <w:u w:val="thick"/>
        </w:rPr>
        <w:t>Hidroxyprogesterona:</w:t>
      </w:r>
    </w:p>
    <w:p>
      <w:pPr>
        <w:pStyle w:val="BodyText"/>
        <w:spacing w:before="4"/>
        <w:rPr>
          <w:b/>
          <w:sz w:val="21"/>
        </w:rPr>
      </w:pPr>
    </w:p>
    <w:p>
      <w:pPr>
        <w:spacing w:line="249" w:lineRule="auto" w:before="73" w:after="5"/>
        <w:ind w:left="117" w:right="115" w:hanging="10"/>
        <w:jc w:val="both"/>
        <w:rPr>
          <w:sz w:val="22"/>
        </w:rPr>
      </w:pPr>
      <w:r>
        <w:rPr>
          <w:b/>
          <w:i/>
          <w:sz w:val="22"/>
        </w:rPr>
        <w:t>Tabla 5. </w:t>
      </w:r>
      <w:r>
        <w:rPr>
          <w:sz w:val="22"/>
        </w:rPr>
        <w:t>Muestra el coeficiente de determinación (R-squared) y valor p (Prob) de la17-alfa hidroxyprogesteronasobre el índice total estroma-ovario. Donde c es una constante y equivale a β0.</w:t>
      </w:r>
    </w:p>
    <w:p>
      <w:pPr>
        <w:pStyle w:val="BodyText"/>
        <w:ind w:left="1204"/>
        <w:rPr>
          <w:sz w:val="20"/>
        </w:rPr>
      </w:pPr>
      <w:r>
        <w:rPr>
          <w:sz w:val="20"/>
        </w:rPr>
        <w:drawing>
          <wp:inline distT="0" distB="0" distL="0" distR="0">
            <wp:extent cx="4399462" cy="1987295"/>
            <wp:effectExtent l="0" t="0" r="0" b="0"/>
            <wp:docPr id="75" name="image24.png" descr=""/>
            <wp:cNvGraphicFramePr>
              <a:graphicFrameLocks noChangeAspect="1"/>
            </wp:cNvGraphicFramePr>
            <a:graphic>
              <a:graphicData uri="http://schemas.openxmlformats.org/drawingml/2006/picture">
                <pic:pic>
                  <pic:nvPicPr>
                    <pic:cNvPr id="76" name="image24.png"/>
                    <pic:cNvPicPr/>
                  </pic:nvPicPr>
                  <pic:blipFill>
                    <a:blip r:embed="rId28" cstate="print"/>
                    <a:stretch>
                      <a:fillRect/>
                    </a:stretch>
                  </pic:blipFill>
                  <pic:spPr>
                    <a:xfrm>
                      <a:off x="0" y="0"/>
                      <a:ext cx="4399462" cy="1987295"/>
                    </a:xfrm>
                    <a:prstGeom prst="rect">
                      <a:avLst/>
                    </a:prstGeom>
                  </pic:spPr>
                </pic:pic>
              </a:graphicData>
            </a:graphic>
          </wp:inline>
        </w:drawing>
      </w:r>
      <w:r>
        <w:rPr>
          <w:sz w:val="20"/>
        </w:rPr>
      </w:r>
    </w:p>
    <w:p>
      <w:pPr>
        <w:spacing w:before="126"/>
        <w:ind w:left="1556" w:right="1572" w:firstLine="0"/>
        <w:jc w:val="center"/>
        <w:rPr>
          <w:sz w:val="21"/>
        </w:rPr>
      </w:pPr>
      <w:r>
        <w:rPr>
          <w:sz w:val="21"/>
        </w:rPr>
        <w:t>Fuente: Elaboración propia con base a los resultados obtenidos</w:t>
      </w:r>
    </w:p>
    <w:p>
      <w:pPr>
        <w:pStyle w:val="BodyText"/>
        <w:rPr>
          <w:sz w:val="20"/>
        </w:rPr>
      </w:pPr>
    </w:p>
    <w:p>
      <w:pPr>
        <w:pStyle w:val="BodyText"/>
        <w:rPr>
          <w:sz w:val="20"/>
        </w:rPr>
      </w:pPr>
    </w:p>
    <w:p>
      <w:pPr>
        <w:spacing w:before="165"/>
        <w:ind w:left="107" w:right="0" w:firstLine="0"/>
        <w:jc w:val="both"/>
        <w:rPr>
          <w:sz w:val="22"/>
        </w:rPr>
      </w:pPr>
      <w:r>
        <w:rPr>
          <w:b/>
          <w:i/>
          <w:sz w:val="22"/>
        </w:rPr>
        <w:t>Gráfica 4.  </w:t>
      </w:r>
      <w:r>
        <w:rPr>
          <w:sz w:val="22"/>
        </w:rPr>
        <w:t>Muestra función  de regresión:  17-  alfa hidroxyprogesterona  a  e índice   total</w:t>
      </w:r>
    </w:p>
    <w:p>
      <w:pPr>
        <w:spacing w:before="6"/>
        <w:ind w:left="117" w:right="0" w:firstLine="0"/>
        <w:jc w:val="both"/>
        <w:rPr>
          <w:i/>
          <w:sz w:val="22"/>
        </w:rPr>
      </w:pPr>
      <w:r>
        <w:rPr>
          <w:i/>
          <w:sz w:val="22"/>
        </w:rPr>
        <w:t>estroma-ovario.</w:t>
      </w:r>
    </w:p>
    <w:p>
      <w:pPr>
        <w:spacing w:before="139"/>
        <w:ind w:left="2121" w:right="0" w:firstLine="0"/>
        <w:jc w:val="left"/>
        <w:rPr>
          <w:rFonts w:ascii="Calibri" w:hAnsi="Calibri"/>
          <w:sz w:val="20"/>
        </w:rPr>
      </w:pPr>
      <w:r>
        <w:rPr>
          <w:rFonts w:ascii="Calibri" w:hAnsi="Calibri"/>
          <w:color w:val="585858"/>
          <w:sz w:val="20"/>
        </w:rPr>
        <w:t>Relación Índice estroma-ovario / 17 A-Hidroxyprogesterona</w:t>
      </w:r>
    </w:p>
    <w:p>
      <w:pPr>
        <w:spacing w:after="0"/>
        <w:jc w:val="left"/>
        <w:rPr>
          <w:rFonts w:ascii="Calibri" w:hAnsi="Calibri"/>
          <w:sz w:val="20"/>
        </w:rPr>
        <w:sectPr>
          <w:pgSz w:w="12240" w:h="15840"/>
          <w:pgMar w:top="1260" w:bottom="280" w:left="1580" w:right="1560"/>
        </w:sectPr>
      </w:pPr>
    </w:p>
    <w:p>
      <w:pPr>
        <w:pStyle w:val="BodyText"/>
        <w:ind w:left="937"/>
        <w:rPr>
          <w:rFonts w:ascii="Calibri"/>
          <w:sz w:val="20"/>
        </w:rPr>
      </w:pPr>
      <w:r>
        <w:rPr>
          <w:rFonts w:ascii="Calibri"/>
          <w:sz w:val="20"/>
        </w:rPr>
        <w:drawing>
          <wp:inline distT="0" distB="0" distL="0" distR="0">
            <wp:extent cx="4648079" cy="2235707"/>
            <wp:effectExtent l="0" t="0" r="0" b="0"/>
            <wp:docPr id="77" name="image25.png" descr=""/>
            <wp:cNvGraphicFramePr>
              <a:graphicFrameLocks noChangeAspect="1"/>
            </wp:cNvGraphicFramePr>
            <a:graphic>
              <a:graphicData uri="http://schemas.openxmlformats.org/drawingml/2006/picture">
                <pic:pic>
                  <pic:nvPicPr>
                    <pic:cNvPr id="78" name="image25.png"/>
                    <pic:cNvPicPr/>
                  </pic:nvPicPr>
                  <pic:blipFill>
                    <a:blip r:embed="rId29" cstate="print"/>
                    <a:stretch>
                      <a:fillRect/>
                    </a:stretch>
                  </pic:blipFill>
                  <pic:spPr>
                    <a:xfrm>
                      <a:off x="0" y="0"/>
                      <a:ext cx="4648079" cy="2235707"/>
                    </a:xfrm>
                    <a:prstGeom prst="rect">
                      <a:avLst/>
                    </a:prstGeom>
                  </pic:spPr>
                </pic:pic>
              </a:graphicData>
            </a:graphic>
          </wp:inline>
        </w:drawing>
      </w:r>
      <w:r>
        <w:rPr>
          <w:rFonts w:ascii="Calibri"/>
          <w:sz w:val="20"/>
        </w:rPr>
      </w:r>
    </w:p>
    <w:p>
      <w:pPr>
        <w:pStyle w:val="BodyText"/>
        <w:spacing w:before="9"/>
        <w:rPr>
          <w:rFonts w:ascii="Calibri"/>
          <w:sz w:val="27"/>
        </w:rPr>
      </w:pPr>
    </w:p>
    <w:p>
      <w:pPr>
        <w:spacing w:before="72"/>
        <w:ind w:left="1432" w:right="28" w:firstLine="0"/>
        <w:jc w:val="left"/>
        <w:rPr>
          <w:sz w:val="22"/>
        </w:rPr>
      </w:pPr>
      <w:r>
        <w:rPr>
          <w:sz w:val="22"/>
        </w:rPr>
        <w:t>Fuente: Elaboración propia con base a los resultados obtenidos</w:t>
      </w:r>
    </w:p>
    <w:p>
      <w:pPr>
        <w:pStyle w:val="BodyText"/>
        <w:rPr>
          <w:sz w:val="30"/>
        </w:rPr>
      </w:pPr>
    </w:p>
    <w:p>
      <w:pPr>
        <w:pStyle w:val="BodyText"/>
        <w:spacing w:line="362" w:lineRule="auto"/>
        <w:ind w:left="117" w:right="106" w:hanging="10"/>
        <w:jc w:val="both"/>
      </w:pPr>
      <w:r>
        <w:rPr/>
        <w:t>Mientras que se obtuvieron buenos resultados para el estadístico Durbin-Watson y el valor p, así como de R2, ésta en particular fue inferior a la de las tres variables anteriores.</w:t>
      </w:r>
    </w:p>
    <w:p>
      <w:pPr>
        <w:pStyle w:val="Heading1"/>
        <w:spacing w:before="204"/>
        <w:jc w:val="both"/>
      </w:pPr>
      <w:r>
        <w:rPr>
          <w:u w:val="thick"/>
        </w:rPr>
        <w:t>Estradiol:</w:t>
      </w:r>
    </w:p>
    <w:p>
      <w:pPr>
        <w:pStyle w:val="BodyText"/>
        <w:spacing w:before="2"/>
        <w:rPr>
          <w:b/>
          <w:sz w:val="21"/>
        </w:rPr>
      </w:pPr>
    </w:p>
    <w:p>
      <w:pPr>
        <w:spacing w:line="247" w:lineRule="auto" w:before="73"/>
        <w:ind w:left="117" w:right="28" w:hanging="10"/>
        <w:jc w:val="left"/>
        <w:rPr>
          <w:sz w:val="22"/>
        </w:rPr>
      </w:pPr>
      <w:r>
        <w:rPr>
          <w:b/>
          <w:i/>
          <w:sz w:val="22"/>
        </w:rPr>
        <w:t>Tabla 6</w:t>
      </w:r>
      <w:r>
        <w:rPr>
          <w:i/>
          <w:sz w:val="22"/>
        </w:rPr>
        <w:t>. </w:t>
      </w:r>
      <w:r>
        <w:rPr>
          <w:sz w:val="22"/>
        </w:rPr>
        <w:t>Muestra el coeficiente de determinación (R-squared) y valor p (Prob) del estradiol sobre el índice total estroma-ovario. Donde c es una constante y equivale a β0.</w:t>
      </w:r>
    </w:p>
    <w:p>
      <w:pPr>
        <w:pStyle w:val="BodyText"/>
        <w:spacing w:before="1"/>
        <w:rPr>
          <w:sz w:val="23"/>
        </w:rPr>
      </w:pPr>
      <w:r>
        <w:rPr/>
        <w:drawing>
          <wp:anchor distT="0" distB="0" distL="0" distR="0" allowOverlap="1" layoutInCell="1" locked="0" behindDoc="0" simplePos="0" relativeHeight="1960">
            <wp:simplePos x="0" y="0"/>
            <wp:positionH relativeFrom="page">
              <wp:posOffset>1844039</wp:posOffset>
            </wp:positionH>
            <wp:positionV relativeFrom="paragraph">
              <wp:posOffset>193678</wp:posOffset>
            </wp:positionV>
            <wp:extent cx="3997434" cy="1987295"/>
            <wp:effectExtent l="0" t="0" r="0" b="0"/>
            <wp:wrapTopAndBottom/>
            <wp:docPr id="79" name="image26.png" descr=""/>
            <wp:cNvGraphicFramePr>
              <a:graphicFrameLocks noChangeAspect="1"/>
            </wp:cNvGraphicFramePr>
            <a:graphic>
              <a:graphicData uri="http://schemas.openxmlformats.org/drawingml/2006/picture">
                <pic:pic>
                  <pic:nvPicPr>
                    <pic:cNvPr id="80" name="image26.png"/>
                    <pic:cNvPicPr/>
                  </pic:nvPicPr>
                  <pic:blipFill>
                    <a:blip r:embed="rId30" cstate="print"/>
                    <a:stretch>
                      <a:fillRect/>
                    </a:stretch>
                  </pic:blipFill>
                  <pic:spPr>
                    <a:xfrm>
                      <a:off x="0" y="0"/>
                      <a:ext cx="3997434" cy="1987295"/>
                    </a:xfrm>
                    <a:prstGeom prst="rect">
                      <a:avLst/>
                    </a:prstGeom>
                  </pic:spPr>
                </pic:pic>
              </a:graphicData>
            </a:graphic>
          </wp:anchor>
        </w:drawing>
      </w:r>
    </w:p>
    <w:p>
      <w:pPr>
        <w:spacing w:before="71"/>
        <w:ind w:left="0" w:right="0" w:firstLine="0"/>
        <w:jc w:val="center"/>
        <w:rPr>
          <w:sz w:val="22"/>
        </w:rPr>
      </w:pPr>
      <w:r>
        <w:rPr>
          <w:sz w:val="22"/>
        </w:rPr>
        <w:t>Fuente: Elaboración propia con base a los resultados obtenidos</w:t>
      </w:r>
    </w:p>
    <w:p>
      <w:pPr>
        <w:pStyle w:val="BodyText"/>
        <w:rPr>
          <w:sz w:val="22"/>
        </w:rPr>
      </w:pPr>
    </w:p>
    <w:p>
      <w:pPr>
        <w:pStyle w:val="BodyText"/>
        <w:rPr>
          <w:sz w:val="22"/>
        </w:rPr>
      </w:pPr>
    </w:p>
    <w:p>
      <w:pPr>
        <w:pStyle w:val="BodyText"/>
        <w:spacing w:before="137"/>
        <w:ind w:left="107" w:right="28"/>
      </w:pPr>
      <w:r>
        <w:rPr>
          <w:b/>
          <w:i/>
        </w:rPr>
        <w:t>Gráfica 5. </w:t>
      </w:r>
      <w:r>
        <w:rPr/>
        <w:t>Muestra función de regresión: estradiol a e índice total estroma-ovario.</w:t>
      </w:r>
    </w:p>
    <w:p>
      <w:pPr>
        <w:spacing w:after="0"/>
        <w:sectPr>
          <w:pgSz w:w="12240" w:h="15840"/>
          <w:pgMar w:top="1260" w:bottom="280" w:left="1580" w:right="1580"/>
        </w:sectPr>
      </w:pPr>
    </w:p>
    <w:p>
      <w:pPr>
        <w:pStyle w:val="BodyText"/>
        <w:ind w:left="1237"/>
        <w:rPr>
          <w:sz w:val="20"/>
        </w:rPr>
      </w:pPr>
      <w:r>
        <w:rPr>
          <w:sz w:val="20"/>
        </w:rPr>
        <w:drawing>
          <wp:inline distT="0" distB="0" distL="0" distR="0">
            <wp:extent cx="4233364" cy="2441448"/>
            <wp:effectExtent l="0" t="0" r="0" b="0"/>
            <wp:docPr id="81" name="image27.png" descr=""/>
            <wp:cNvGraphicFramePr>
              <a:graphicFrameLocks noChangeAspect="1"/>
            </wp:cNvGraphicFramePr>
            <a:graphic>
              <a:graphicData uri="http://schemas.openxmlformats.org/drawingml/2006/picture">
                <pic:pic>
                  <pic:nvPicPr>
                    <pic:cNvPr id="82" name="image27.png"/>
                    <pic:cNvPicPr/>
                  </pic:nvPicPr>
                  <pic:blipFill>
                    <a:blip r:embed="rId31" cstate="print"/>
                    <a:stretch>
                      <a:fillRect/>
                    </a:stretch>
                  </pic:blipFill>
                  <pic:spPr>
                    <a:xfrm>
                      <a:off x="0" y="0"/>
                      <a:ext cx="4233364" cy="244144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8"/>
        </w:rPr>
      </w:pPr>
    </w:p>
    <w:p>
      <w:pPr>
        <w:spacing w:before="0"/>
        <w:ind w:left="1432" w:right="28" w:firstLine="0"/>
        <w:jc w:val="left"/>
        <w:rPr>
          <w:sz w:val="22"/>
        </w:rPr>
      </w:pPr>
      <w:r>
        <w:rPr>
          <w:sz w:val="22"/>
        </w:rPr>
        <w:t>Fuente: Elaboración propia con base a los resultados obtenidos</w:t>
      </w:r>
    </w:p>
    <w:p>
      <w:pPr>
        <w:pStyle w:val="BodyText"/>
        <w:rPr>
          <w:sz w:val="30"/>
        </w:rPr>
      </w:pPr>
    </w:p>
    <w:p>
      <w:pPr>
        <w:pStyle w:val="BodyText"/>
        <w:spacing w:line="364" w:lineRule="auto"/>
        <w:ind w:left="117" w:right="113" w:hanging="10"/>
        <w:jc w:val="both"/>
      </w:pPr>
      <w:r>
        <w:rPr/>
        <w:t>En el caso del estradiol se observan varios problemas: el coeficiente de determinación es muy bajo, incluso a pesar de que en estudios con bases de</w:t>
      </w:r>
      <w:r>
        <w:rPr>
          <w:spacing w:val="-36"/>
        </w:rPr>
        <w:t> </w:t>
      </w:r>
      <w:r>
        <w:rPr/>
        <w:t>datos de corte transversal (como la que nos ocupa) el valor de R2 tiende a ser bajo. El estadístico</w:t>
      </w:r>
      <w:r>
        <w:rPr>
          <w:spacing w:val="-17"/>
        </w:rPr>
        <w:t> </w:t>
      </w:r>
      <w:r>
        <w:rPr/>
        <w:t>de</w:t>
      </w:r>
      <w:r>
        <w:rPr>
          <w:spacing w:val="-17"/>
        </w:rPr>
        <w:t> </w:t>
      </w:r>
      <w:r>
        <w:rPr/>
        <w:t>Durbin-Watson</w:t>
      </w:r>
      <w:r>
        <w:rPr>
          <w:spacing w:val="-17"/>
        </w:rPr>
        <w:t> </w:t>
      </w:r>
      <w:r>
        <w:rPr/>
        <w:t>se</w:t>
      </w:r>
      <w:r>
        <w:rPr>
          <w:spacing w:val="-18"/>
        </w:rPr>
        <w:t> </w:t>
      </w:r>
      <w:r>
        <w:rPr/>
        <w:t>encuentra</w:t>
      </w:r>
      <w:r>
        <w:rPr>
          <w:spacing w:val="-17"/>
        </w:rPr>
        <w:t> </w:t>
      </w:r>
      <w:r>
        <w:rPr/>
        <w:t>por</w:t>
      </w:r>
      <w:r>
        <w:rPr>
          <w:spacing w:val="-18"/>
        </w:rPr>
        <w:t> </w:t>
      </w:r>
      <w:r>
        <w:rPr/>
        <w:t>debajo</w:t>
      </w:r>
      <w:r>
        <w:rPr>
          <w:spacing w:val="-17"/>
        </w:rPr>
        <w:t> </w:t>
      </w:r>
      <w:r>
        <w:rPr/>
        <w:t>de</w:t>
      </w:r>
      <w:r>
        <w:rPr>
          <w:spacing w:val="-17"/>
        </w:rPr>
        <w:t> </w:t>
      </w:r>
      <w:r>
        <w:rPr/>
        <w:t>2,</w:t>
      </w:r>
      <w:r>
        <w:rPr>
          <w:spacing w:val="-17"/>
        </w:rPr>
        <w:t> </w:t>
      </w:r>
      <w:r>
        <w:rPr/>
        <w:t>lo</w:t>
      </w:r>
      <w:r>
        <w:rPr>
          <w:spacing w:val="-17"/>
        </w:rPr>
        <w:t> </w:t>
      </w:r>
      <w:r>
        <w:rPr/>
        <w:t>que</w:t>
      </w:r>
      <w:r>
        <w:rPr>
          <w:spacing w:val="34"/>
        </w:rPr>
        <w:t> </w:t>
      </w:r>
      <w:r>
        <w:rPr/>
        <w:t>indica</w:t>
      </w:r>
      <w:r>
        <w:rPr>
          <w:spacing w:val="-17"/>
        </w:rPr>
        <w:t> </w:t>
      </w:r>
      <w:r>
        <w:rPr/>
        <w:t>un</w:t>
      </w:r>
      <w:r>
        <w:rPr>
          <w:spacing w:val="-17"/>
        </w:rPr>
        <w:t> </w:t>
      </w:r>
      <w:r>
        <w:rPr/>
        <w:t>posible caso de autocorrelación. El valor p a su vez no nos permite descartar la hipótesis nula</w:t>
      </w:r>
      <w:r>
        <w:rPr>
          <w:spacing w:val="-16"/>
        </w:rPr>
        <w:t> </w:t>
      </w:r>
      <w:r>
        <w:rPr/>
        <w:t>bajo</w:t>
      </w:r>
      <w:r>
        <w:rPr>
          <w:spacing w:val="-16"/>
        </w:rPr>
        <w:t> </w:t>
      </w:r>
      <w:r>
        <w:rPr/>
        <w:t>la</w:t>
      </w:r>
      <w:r>
        <w:rPr>
          <w:spacing w:val="-16"/>
        </w:rPr>
        <w:t> </w:t>
      </w:r>
      <w:r>
        <w:rPr/>
        <w:t>cual</w:t>
      </w:r>
      <w:r>
        <w:rPr>
          <w:spacing w:val="-17"/>
        </w:rPr>
        <w:t> </w:t>
      </w:r>
      <w:r>
        <w:rPr/>
        <w:t>el</w:t>
      </w:r>
      <w:r>
        <w:rPr>
          <w:spacing w:val="-17"/>
        </w:rPr>
        <w:t> </w:t>
      </w:r>
      <w:r>
        <w:rPr/>
        <w:t>efecto</w:t>
      </w:r>
      <w:r>
        <w:rPr>
          <w:spacing w:val="-15"/>
        </w:rPr>
        <w:t> </w:t>
      </w:r>
      <w:r>
        <w:rPr/>
        <w:t>del</w:t>
      </w:r>
      <w:r>
        <w:rPr>
          <w:spacing w:val="-17"/>
        </w:rPr>
        <w:t> </w:t>
      </w:r>
      <w:r>
        <w:rPr/>
        <w:t>estradiol</w:t>
      </w:r>
      <w:r>
        <w:rPr>
          <w:spacing w:val="-16"/>
        </w:rPr>
        <w:t> </w:t>
      </w:r>
      <w:r>
        <w:rPr/>
        <w:t>en</w:t>
      </w:r>
      <w:r>
        <w:rPr>
          <w:spacing w:val="-16"/>
        </w:rPr>
        <w:t> </w:t>
      </w:r>
      <w:r>
        <w:rPr/>
        <w:t>el</w:t>
      </w:r>
      <w:r>
        <w:rPr>
          <w:spacing w:val="-17"/>
        </w:rPr>
        <w:t> </w:t>
      </w:r>
      <w:r>
        <w:rPr/>
        <w:t>índice</w:t>
      </w:r>
      <w:r>
        <w:rPr>
          <w:spacing w:val="-16"/>
        </w:rPr>
        <w:t> </w:t>
      </w:r>
      <w:r>
        <w:rPr/>
        <w:t>sea</w:t>
      </w:r>
      <w:r>
        <w:rPr>
          <w:spacing w:val="-16"/>
        </w:rPr>
        <w:t> </w:t>
      </w:r>
      <w:r>
        <w:rPr/>
        <w:t>cero.</w:t>
      </w:r>
      <w:r>
        <w:rPr>
          <w:spacing w:val="-16"/>
        </w:rPr>
        <w:t> </w:t>
      </w:r>
      <w:r>
        <w:rPr/>
        <w:t>En</w:t>
      </w:r>
      <w:r>
        <w:rPr>
          <w:spacing w:val="-16"/>
        </w:rPr>
        <w:t> </w:t>
      </w:r>
      <w:r>
        <w:rPr/>
        <w:t>resumen,</w:t>
      </w:r>
      <w:r>
        <w:rPr>
          <w:spacing w:val="-16"/>
        </w:rPr>
        <w:t> </w:t>
      </w:r>
      <w:r>
        <w:rPr/>
        <w:t>el</w:t>
      </w:r>
      <w:r>
        <w:rPr>
          <w:spacing w:val="-17"/>
        </w:rPr>
        <w:t> </w:t>
      </w:r>
      <w:r>
        <w:rPr/>
        <w:t>estradiol no es una variable que esté influyendo significativamente en la determinación del índice</w:t>
      </w:r>
      <w:r>
        <w:rPr>
          <w:spacing w:val="-8"/>
        </w:rPr>
        <w:t> </w:t>
      </w:r>
      <w:r>
        <w:rPr/>
        <w:t>estroma-ovario.</w:t>
      </w:r>
    </w:p>
    <w:p>
      <w:pPr>
        <w:pStyle w:val="Heading1"/>
        <w:spacing w:before="196"/>
        <w:jc w:val="both"/>
      </w:pPr>
      <w:r>
        <w:rPr>
          <w:u w:val="thick"/>
        </w:rPr>
        <w:t>FSH, LH, PRL:</w:t>
      </w:r>
    </w:p>
    <w:p>
      <w:pPr>
        <w:pStyle w:val="BodyText"/>
        <w:spacing w:before="4"/>
        <w:rPr>
          <w:b/>
          <w:sz w:val="23"/>
        </w:rPr>
      </w:pPr>
    </w:p>
    <w:p>
      <w:pPr>
        <w:pStyle w:val="BodyText"/>
        <w:spacing w:before="70"/>
        <w:ind w:left="107"/>
        <w:jc w:val="both"/>
      </w:pPr>
      <w:r>
        <w:rPr/>
        <w:t>En el caso de estas tres variables se encontró lo siguiente:</w:t>
      </w:r>
    </w:p>
    <w:p>
      <w:pPr>
        <w:pStyle w:val="BodyText"/>
        <w:spacing w:before="7"/>
        <w:rPr>
          <w:sz w:val="30"/>
        </w:rPr>
      </w:pPr>
    </w:p>
    <w:p>
      <w:pPr>
        <w:pStyle w:val="ListParagraph"/>
        <w:numPr>
          <w:ilvl w:val="0"/>
          <w:numId w:val="4"/>
        </w:numPr>
        <w:tabs>
          <w:tab w:pos="744" w:val="left" w:leader="none"/>
        </w:tabs>
        <w:spacing w:line="364" w:lineRule="auto" w:before="1" w:after="0"/>
        <w:ind w:left="117" w:right="115" w:hanging="10"/>
        <w:jc w:val="both"/>
        <w:rPr>
          <w:sz w:val="24"/>
        </w:rPr>
      </w:pPr>
      <w:r>
        <w:rPr>
          <w:sz w:val="24"/>
        </w:rPr>
        <w:t>Para FSH y LH se obtuvieron coeficientes de determinación bajos, siendo negativa la R2 ajustada de FSH, algo nada deseable al realizar un análisis de regresión</w:t>
      </w:r>
    </w:p>
    <w:p>
      <w:pPr>
        <w:pStyle w:val="ListParagraph"/>
        <w:numPr>
          <w:ilvl w:val="0"/>
          <w:numId w:val="4"/>
        </w:numPr>
        <w:tabs>
          <w:tab w:pos="744" w:val="left" w:leader="none"/>
        </w:tabs>
        <w:spacing w:line="362" w:lineRule="auto" w:before="16" w:after="0"/>
        <w:ind w:left="117" w:right="112" w:hanging="10"/>
        <w:jc w:val="both"/>
        <w:rPr>
          <w:sz w:val="24"/>
        </w:rPr>
      </w:pPr>
      <w:r>
        <w:rPr>
          <w:sz w:val="24"/>
        </w:rPr>
        <w:t>En</w:t>
      </w:r>
      <w:r>
        <w:rPr>
          <w:spacing w:val="-17"/>
          <w:sz w:val="24"/>
        </w:rPr>
        <w:t> </w:t>
      </w:r>
      <w:r>
        <w:rPr>
          <w:sz w:val="24"/>
        </w:rPr>
        <w:t>ambas</w:t>
      </w:r>
      <w:r>
        <w:rPr>
          <w:spacing w:val="-15"/>
          <w:sz w:val="24"/>
        </w:rPr>
        <w:t> </w:t>
      </w:r>
      <w:r>
        <w:rPr>
          <w:sz w:val="24"/>
        </w:rPr>
        <w:t>variables</w:t>
      </w:r>
      <w:r>
        <w:rPr>
          <w:spacing w:val="-17"/>
          <w:sz w:val="24"/>
        </w:rPr>
        <w:t> </w:t>
      </w:r>
      <w:r>
        <w:rPr>
          <w:sz w:val="24"/>
        </w:rPr>
        <w:t>se</w:t>
      </w:r>
      <w:r>
        <w:rPr>
          <w:spacing w:val="-19"/>
          <w:sz w:val="24"/>
        </w:rPr>
        <w:t> </w:t>
      </w:r>
      <w:r>
        <w:rPr>
          <w:sz w:val="24"/>
        </w:rPr>
        <w:t>observan</w:t>
      </w:r>
      <w:r>
        <w:rPr>
          <w:spacing w:val="-14"/>
          <w:sz w:val="24"/>
        </w:rPr>
        <w:t> </w:t>
      </w:r>
      <w:r>
        <w:rPr>
          <w:sz w:val="24"/>
        </w:rPr>
        <w:t>posibles</w:t>
      </w:r>
      <w:r>
        <w:rPr>
          <w:spacing w:val="-17"/>
          <w:sz w:val="24"/>
        </w:rPr>
        <w:t> </w:t>
      </w:r>
      <w:r>
        <w:rPr>
          <w:sz w:val="24"/>
        </w:rPr>
        <w:t>problemas</w:t>
      </w:r>
      <w:r>
        <w:rPr>
          <w:spacing w:val="-14"/>
          <w:sz w:val="24"/>
        </w:rPr>
        <w:t> </w:t>
      </w:r>
      <w:r>
        <w:rPr>
          <w:sz w:val="24"/>
        </w:rPr>
        <w:t>de</w:t>
      </w:r>
      <w:r>
        <w:rPr>
          <w:spacing w:val="-14"/>
          <w:sz w:val="24"/>
        </w:rPr>
        <w:t> </w:t>
      </w:r>
      <w:r>
        <w:rPr>
          <w:sz w:val="24"/>
        </w:rPr>
        <w:t>correlación</w:t>
      </w:r>
      <w:r>
        <w:rPr>
          <w:spacing w:val="-19"/>
          <w:sz w:val="24"/>
        </w:rPr>
        <w:t> </w:t>
      </w:r>
      <w:r>
        <w:rPr>
          <w:sz w:val="24"/>
        </w:rPr>
        <w:t>serial,</w:t>
      </w:r>
      <w:r>
        <w:rPr>
          <w:spacing w:val="-15"/>
          <w:sz w:val="24"/>
        </w:rPr>
        <w:t> </w:t>
      </w:r>
      <w:r>
        <w:rPr>
          <w:sz w:val="24"/>
        </w:rPr>
        <w:t>con estadísticos </w:t>
      </w:r>
      <w:r>
        <w:rPr>
          <w:spacing w:val="-4"/>
          <w:sz w:val="24"/>
        </w:rPr>
        <w:t>DW </w:t>
      </w:r>
      <w:r>
        <w:rPr>
          <w:sz w:val="24"/>
        </w:rPr>
        <w:t>menores incluso a 1.74 y valores p por debajo de</w:t>
      </w:r>
      <w:r>
        <w:rPr>
          <w:spacing w:val="-46"/>
          <w:sz w:val="24"/>
        </w:rPr>
        <w:t> </w:t>
      </w:r>
      <w:r>
        <w:rPr>
          <w:sz w:val="24"/>
        </w:rPr>
        <w:t>una significancia del</w:t>
      </w:r>
      <w:r>
        <w:rPr>
          <w:spacing w:val="-1"/>
          <w:sz w:val="24"/>
        </w:rPr>
        <w:t> </w:t>
      </w:r>
      <w:r>
        <w:rPr>
          <w:sz w:val="24"/>
        </w:rPr>
        <w:t>5%</w:t>
      </w:r>
    </w:p>
    <w:p>
      <w:pPr>
        <w:pStyle w:val="ListParagraph"/>
        <w:numPr>
          <w:ilvl w:val="0"/>
          <w:numId w:val="4"/>
        </w:numPr>
        <w:tabs>
          <w:tab w:pos="744" w:val="left" w:leader="none"/>
        </w:tabs>
        <w:spacing w:line="362" w:lineRule="auto" w:before="21" w:after="0"/>
        <w:ind w:left="117" w:right="113" w:hanging="10"/>
        <w:jc w:val="both"/>
        <w:rPr>
          <w:sz w:val="24"/>
        </w:rPr>
      </w:pPr>
      <w:r>
        <w:rPr>
          <w:sz w:val="24"/>
        </w:rPr>
        <w:t>Mientras que los estadísticos y R2 de PRL mejoran en comparación con las dos</w:t>
      </w:r>
      <w:r>
        <w:rPr>
          <w:spacing w:val="-20"/>
          <w:sz w:val="24"/>
        </w:rPr>
        <w:t> </w:t>
      </w:r>
      <w:r>
        <w:rPr>
          <w:sz w:val="24"/>
        </w:rPr>
        <w:t>anteriores,</w:t>
      </w:r>
      <w:r>
        <w:rPr>
          <w:spacing w:val="-19"/>
          <w:sz w:val="24"/>
        </w:rPr>
        <w:t> </w:t>
      </w:r>
      <w:r>
        <w:rPr>
          <w:sz w:val="24"/>
        </w:rPr>
        <w:t>de</w:t>
      </w:r>
      <w:r>
        <w:rPr>
          <w:spacing w:val="-19"/>
          <w:sz w:val="24"/>
        </w:rPr>
        <w:t> </w:t>
      </w:r>
      <w:r>
        <w:rPr>
          <w:sz w:val="24"/>
        </w:rPr>
        <w:t>cualquier</w:t>
      </w:r>
      <w:r>
        <w:rPr>
          <w:spacing w:val="-18"/>
          <w:sz w:val="24"/>
        </w:rPr>
        <w:t> </w:t>
      </w:r>
      <w:r>
        <w:rPr>
          <w:sz w:val="24"/>
        </w:rPr>
        <w:t>forma,</w:t>
      </w:r>
      <w:r>
        <w:rPr>
          <w:spacing w:val="-17"/>
          <w:sz w:val="24"/>
        </w:rPr>
        <w:t> </w:t>
      </w:r>
      <w:r>
        <w:rPr>
          <w:sz w:val="24"/>
        </w:rPr>
        <w:t>siguen</w:t>
      </w:r>
      <w:r>
        <w:rPr>
          <w:spacing w:val="-17"/>
          <w:sz w:val="24"/>
        </w:rPr>
        <w:t> </w:t>
      </w:r>
      <w:r>
        <w:rPr>
          <w:sz w:val="24"/>
        </w:rPr>
        <w:t>siendo</w:t>
      </w:r>
      <w:r>
        <w:rPr>
          <w:spacing w:val="-19"/>
          <w:sz w:val="24"/>
        </w:rPr>
        <w:t> </w:t>
      </w:r>
      <w:r>
        <w:rPr>
          <w:sz w:val="24"/>
        </w:rPr>
        <w:t>menos</w:t>
      </w:r>
      <w:r>
        <w:rPr>
          <w:spacing w:val="-20"/>
          <w:sz w:val="24"/>
        </w:rPr>
        <w:t> </w:t>
      </w:r>
      <w:r>
        <w:rPr>
          <w:sz w:val="24"/>
        </w:rPr>
        <w:t>deseables</w:t>
      </w:r>
      <w:r>
        <w:rPr>
          <w:spacing w:val="-21"/>
          <w:sz w:val="24"/>
        </w:rPr>
        <w:t> </w:t>
      </w:r>
      <w:r>
        <w:rPr>
          <w:sz w:val="24"/>
        </w:rPr>
        <w:t>que</w:t>
      </w:r>
      <w:r>
        <w:rPr>
          <w:spacing w:val="-17"/>
          <w:sz w:val="24"/>
        </w:rPr>
        <w:t> </w:t>
      </w:r>
      <w:r>
        <w:rPr>
          <w:sz w:val="24"/>
        </w:rPr>
        <w:t>los</w:t>
      </w:r>
      <w:r>
        <w:rPr>
          <w:spacing w:val="-19"/>
          <w:sz w:val="24"/>
        </w:rPr>
        <w:t> </w:t>
      </w:r>
      <w:r>
        <w:rPr>
          <w:sz w:val="24"/>
        </w:rPr>
        <w:t>del</w:t>
      </w:r>
      <w:r>
        <w:rPr>
          <w:spacing w:val="-18"/>
          <w:sz w:val="24"/>
        </w:rPr>
        <w:t> </w:t>
      </w:r>
      <w:r>
        <w:rPr>
          <w:sz w:val="24"/>
        </w:rPr>
        <w:t>resto de variables en</w:t>
      </w:r>
      <w:r>
        <w:rPr>
          <w:spacing w:val="-9"/>
          <w:sz w:val="24"/>
        </w:rPr>
        <w:t> </w:t>
      </w:r>
      <w:r>
        <w:rPr>
          <w:sz w:val="24"/>
        </w:rPr>
        <w:t>análisis</w:t>
      </w:r>
    </w:p>
    <w:p>
      <w:pPr>
        <w:spacing w:after="0" w:line="362" w:lineRule="auto"/>
        <w:jc w:val="both"/>
        <w:rPr>
          <w:sz w:val="24"/>
        </w:rPr>
        <w:sectPr>
          <w:pgSz w:w="12240" w:h="15840"/>
          <w:pgMar w:top="1260" w:bottom="28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spacing w:line="252" w:lineRule="auto"/>
        <w:ind w:left="117" w:right="108" w:hanging="10"/>
        <w:jc w:val="both"/>
      </w:pPr>
      <w:r>
        <w:rPr>
          <w:b/>
          <w:i/>
        </w:rPr>
        <w:t>Tabla 7. </w:t>
      </w:r>
      <w:r>
        <w:rPr/>
        <w:t>Muestra el coeficiente de determinación (R-squared) y valor p (Prob) de la </w:t>
      </w:r>
      <w:r>
        <w:rPr>
          <w:b/>
        </w:rPr>
        <w:t>A</w:t>
      </w:r>
      <w:r>
        <w:rPr/>
        <w:t>: Hormona Foliculo-estimulante, </w:t>
      </w:r>
      <w:r>
        <w:rPr>
          <w:b/>
        </w:rPr>
        <w:t>B: </w:t>
      </w:r>
      <w:r>
        <w:rPr/>
        <w:t>Hormona Luteinizante, </w:t>
      </w:r>
      <w:r>
        <w:rPr>
          <w:b/>
        </w:rPr>
        <w:t>C</w:t>
      </w:r>
      <w:r>
        <w:rPr/>
        <w:t>: Prolactina sobre el índice total estroma-ovario. Donde c es una constante y equivale a β0.</w:t>
      </w:r>
    </w:p>
    <w:p>
      <w:pPr>
        <w:pStyle w:val="BodyText"/>
        <w:spacing w:before="11"/>
        <w:rPr>
          <w:sz w:val="25"/>
        </w:rPr>
      </w:pPr>
    </w:p>
    <w:p>
      <w:pPr>
        <w:pStyle w:val="Heading1"/>
        <w:jc w:val="both"/>
      </w:pPr>
      <w:r>
        <w:rPr/>
        <w:drawing>
          <wp:anchor distT="0" distB="0" distL="0" distR="0" allowOverlap="1" layoutInCell="1" locked="0" behindDoc="0" simplePos="0" relativeHeight="1984">
            <wp:simplePos x="0" y="0"/>
            <wp:positionH relativeFrom="page">
              <wp:posOffset>1534667</wp:posOffset>
            </wp:positionH>
            <wp:positionV relativeFrom="paragraph">
              <wp:posOffset>55192</wp:posOffset>
            </wp:positionV>
            <wp:extent cx="3285744" cy="1632203"/>
            <wp:effectExtent l="0" t="0" r="0" b="0"/>
            <wp:wrapNone/>
            <wp:docPr id="83" name="image28.png" descr=""/>
            <wp:cNvGraphicFramePr>
              <a:graphicFrameLocks noChangeAspect="1"/>
            </wp:cNvGraphicFramePr>
            <a:graphic>
              <a:graphicData uri="http://schemas.openxmlformats.org/drawingml/2006/picture">
                <pic:pic>
                  <pic:nvPicPr>
                    <pic:cNvPr id="84" name="image28.png"/>
                    <pic:cNvPicPr/>
                  </pic:nvPicPr>
                  <pic:blipFill>
                    <a:blip r:embed="rId32" cstate="print"/>
                    <a:stretch>
                      <a:fillRect/>
                    </a:stretch>
                  </pic:blipFill>
                  <pic:spPr>
                    <a:xfrm>
                      <a:off x="0" y="0"/>
                      <a:ext cx="3285744" cy="1632203"/>
                    </a:xfrm>
                    <a:prstGeom prst="rect">
                      <a:avLst/>
                    </a:prstGeom>
                  </pic:spPr>
                </pic:pic>
              </a:graphicData>
            </a:graphic>
          </wp:anchor>
        </w:drawing>
      </w:r>
      <w:r>
        <w:rPr>
          <w:w w:val="99"/>
        </w:rPr>
        <w:t>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69"/>
        <w:ind w:left="107" w:right="0" w:firstLine="0"/>
        <w:jc w:val="both"/>
        <w:rPr>
          <w:b/>
          <w:sz w:val="24"/>
        </w:rPr>
      </w:pPr>
      <w:r>
        <w:rPr>
          <w:b/>
          <w:w w:val="99"/>
          <w:sz w:val="24"/>
        </w:rPr>
        <w:t>B</w:t>
      </w:r>
    </w:p>
    <w:p>
      <w:pPr>
        <w:spacing w:after="0"/>
        <w:jc w:val="both"/>
        <w:rPr>
          <w:sz w:val="24"/>
        </w:rPr>
        <w:sectPr>
          <w:pgSz w:w="12240" w:h="15840"/>
          <w:pgMar w:top="1500" w:bottom="280" w:left="1580" w:right="1580"/>
        </w:sectPr>
      </w:pPr>
    </w:p>
    <w:p>
      <w:pPr>
        <w:pStyle w:val="BodyText"/>
        <w:ind w:left="716"/>
        <w:rPr>
          <w:sz w:val="20"/>
        </w:rPr>
      </w:pPr>
      <w:r>
        <w:rPr>
          <w:sz w:val="20"/>
        </w:rPr>
        <w:drawing>
          <wp:inline distT="0" distB="0" distL="0" distR="0">
            <wp:extent cx="3313638" cy="1650777"/>
            <wp:effectExtent l="0" t="0" r="0" b="0"/>
            <wp:docPr id="85" name="image29.png" descr=""/>
            <wp:cNvGraphicFramePr>
              <a:graphicFrameLocks noChangeAspect="1"/>
            </wp:cNvGraphicFramePr>
            <a:graphic>
              <a:graphicData uri="http://schemas.openxmlformats.org/drawingml/2006/picture">
                <pic:pic>
                  <pic:nvPicPr>
                    <pic:cNvPr id="86" name="image29.png"/>
                    <pic:cNvPicPr/>
                  </pic:nvPicPr>
                  <pic:blipFill>
                    <a:blip r:embed="rId33" cstate="print"/>
                    <a:stretch>
                      <a:fillRect/>
                    </a:stretch>
                  </pic:blipFill>
                  <pic:spPr>
                    <a:xfrm>
                      <a:off x="0" y="0"/>
                      <a:ext cx="3313638" cy="1650777"/>
                    </a:xfrm>
                    <a:prstGeom prst="rect">
                      <a:avLst/>
                    </a:prstGeom>
                  </pic:spPr>
                </pic:pic>
              </a:graphicData>
            </a:graphic>
          </wp:inline>
        </w:drawing>
      </w:r>
      <w:r>
        <w:rPr>
          <w:sz w:val="20"/>
        </w:rPr>
      </w:r>
    </w:p>
    <w:p>
      <w:pPr>
        <w:pStyle w:val="BodyText"/>
        <w:spacing w:before="10"/>
        <w:rPr>
          <w:b/>
          <w:sz w:val="35"/>
        </w:rPr>
      </w:pPr>
    </w:p>
    <w:p>
      <w:pPr>
        <w:spacing w:before="0"/>
        <w:ind w:left="107" w:right="0" w:firstLine="0"/>
        <w:jc w:val="left"/>
        <w:rPr>
          <w:b/>
          <w:sz w:val="24"/>
        </w:rPr>
      </w:pPr>
      <w:r>
        <w:rPr/>
        <w:drawing>
          <wp:anchor distT="0" distB="0" distL="0" distR="0" allowOverlap="1" layoutInCell="1" locked="0" behindDoc="0" simplePos="0" relativeHeight="2008">
            <wp:simplePos x="0" y="0"/>
            <wp:positionH relativeFrom="page">
              <wp:posOffset>1458467</wp:posOffset>
            </wp:positionH>
            <wp:positionV relativeFrom="paragraph">
              <wp:posOffset>69543</wp:posOffset>
            </wp:positionV>
            <wp:extent cx="3316224" cy="1647443"/>
            <wp:effectExtent l="0" t="0" r="0" b="0"/>
            <wp:wrapNone/>
            <wp:docPr id="87" name="image30.png" descr=""/>
            <wp:cNvGraphicFramePr>
              <a:graphicFrameLocks noChangeAspect="1"/>
            </wp:cNvGraphicFramePr>
            <a:graphic>
              <a:graphicData uri="http://schemas.openxmlformats.org/drawingml/2006/picture">
                <pic:pic>
                  <pic:nvPicPr>
                    <pic:cNvPr id="88" name="image30.png"/>
                    <pic:cNvPicPr/>
                  </pic:nvPicPr>
                  <pic:blipFill>
                    <a:blip r:embed="rId34" cstate="print"/>
                    <a:stretch>
                      <a:fillRect/>
                    </a:stretch>
                  </pic:blipFill>
                  <pic:spPr>
                    <a:xfrm>
                      <a:off x="0" y="0"/>
                      <a:ext cx="3316224" cy="1647443"/>
                    </a:xfrm>
                    <a:prstGeom prst="rect">
                      <a:avLst/>
                    </a:prstGeom>
                  </pic:spPr>
                </pic:pic>
              </a:graphicData>
            </a:graphic>
          </wp:anchor>
        </w:drawing>
      </w:r>
      <w:r>
        <w:rPr>
          <w:b/>
          <w:w w:val="99"/>
          <w:sz w:val="24"/>
        </w:rPr>
        <w:t>C</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spacing w:before="1"/>
        <w:ind w:left="1432" w:right="28" w:firstLine="0"/>
        <w:jc w:val="left"/>
        <w:rPr>
          <w:sz w:val="22"/>
        </w:rPr>
      </w:pPr>
      <w:r>
        <w:rPr>
          <w:sz w:val="22"/>
        </w:rPr>
        <w:t>Fuente: Elaboración propia con base a los resultados obtenidos</w:t>
      </w:r>
    </w:p>
    <w:p>
      <w:pPr>
        <w:pStyle w:val="BodyText"/>
        <w:spacing w:before="11"/>
        <w:rPr>
          <w:sz w:val="23"/>
        </w:rPr>
      </w:pPr>
    </w:p>
    <w:p>
      <w:pPr>
        <w:pStyle w:val="BodyText"/>
        <w:spacing w:line="364" w:lineRule="auto" w:before="69"/>
        <w:ind w:left="117" w:right="109" w:hanging="10"/>
        <w:jc w:val="both"/>
      </w:pPr>
      <w:r>
        <w:rPr/>
        <w:t>Habiendo obtenido estos resultados se concluye que las dos variables con efecto más</w:t>
      </w:r>
      <w:r>
        <w:rPr>
          <w:spacing w:val="-15"/>
        </w:rPr>
        <w:t> </w:t>
      </w:r>
      <w:r>
        <w:rPr/>
        <w:t>significativo</w:t>
      </w:r>
      <w:r>
        <w:rPr>
          <w:spacing w:val="-14"/>
        </w:rPr>
        <w:t> </w:t>
      </w:r>
      <w:r>
        <w:rPr/>
        <w:t>en</w:t>
      </w:r>
      <w:r>
        <w:rPr>
          <w:spacing w:val="-14"/>
        </w:rPr>
        <w:t> </w:t>
      </w:r>
      <w:r>
        <w:rPr/>
        <w:t>el</w:t>
      </w:r>
      <w:r>
        <w:rPr>
          <w:spacing w:val="-15"/>
        </w:rPr>
        <w:t> </w:t>
      </w:r>
      <w:r>
        <w:rPr/>
        <w:t>índice</w:t>
      </w:r>
      <w:r>
        <w:rPr>
          <w:spacing w:val="-14"/>
        </w:rPr>
        <w:t> </w:t>
      </w:r>
      <w:r>
        <w:rPr/>
        <w:t>estroma-ovario</w:t>
      </w:r>
      <w:r>
        <w:rPr>
          <w:spacing w:val="-14"/>
        </w:rPr>
        <w:t> </w:t>
      </w:r>
      <w:r>
        <w:rPr/>
        <w:t>son</w:t>
      </w:r>
      <w:r>
        <w:rPr>
          <w:spacing w:val="-14"/>
        </w:rPr>
        <w:t> </w:t>
      </w:r>
      <w:r>
        <w:rPr/>
        <w:t>DHEA</w:t>
      </w:r>
      <w:r>
        <w:rPr>
          <w:spacing w:val="-14"/>
        </w:rPr>
        <w:t> </w:t>
      </w:r>
      <w:r>
        <w:rPr/>
        <w:t>y</w:t>
      </w:r>
      <w:r>
        <w:rPr>
          <w:spacing w:val="-16"/>
        </w:rPr>
        <w:t> </w:t>
      </w:r>
      <w:r>
        <w:rPr/>
        <w:t>Androstenediona,</w:t>
      </w:r>
      <w:r>
        <w:rPr>
          <w:spacing w:val="-14"/>
        </w:rPr>
        <w:t> </w:t>
      </w:r>
      <w:r>
        <w:rPr/>
        <w:t>al</w:t>
      </w:r>
      <w:r>
        <w:rPr>
          <w:spacing w:val="-15"/>
        </w:rPr>
        <w:t> </w:t>
      </w:r>
      <w:r>
        <w:rPr/>
        <w:t>haber obtenido ambas los valores más elevados para el coeficiente de</w:t>
      </w:r>
      <w:r>
        <w:rPr>
          <w:spacing w:val="-23"/>
        </w:rPr>
        <w:t> </w:t>
      </w:r>
      <w:r>
        <w:rPr/>
        <w:t>determinación.</w:t>
      </w:r>
    </w:p>
    <w:p>
      <w:pPr>
        <w:pStyle w:val="BodyText"/>
      </w:pPr>
    </w:p>
    <w:p>
      <w:pPr>
        <w:pStyle w:val="BodyText"/>
        <w:spacing w:before="1"/>
        <w:rPr>
          <w:sz w:val="19"/>
        </w:rPr>
      </w:pPr>
    </w:p>
    <w:p>
      <w:pPr>
        <w:spacing w:before="0"/>
        <w:ind w:left="107" w:right="0" w:firstLine="0"/>
        <w:jc w:val="both"/>
        <w:rPr>
          <w:sz w:val="22"/>
        </w:rPr>
      </w:pPr>
      <w:bookmarkStart w:name="_bookmark17" w:id="18"/>
      <w:bookmarkEnd w:id="18"/>
      <w:r>
        <w:rPr/>
      </w:r>
      <w:r>
        <w:rPr>
          <w:color w:val="5A5A5A"/>
          <w:sz w:val="22"/>
        </w:rPr>
        <w:t>IMPLICACIONES ÉTICAS</w:t>
      </w:r>
    </w:p>
    <w:p>
      <w:pPr>
        <w:pStyle w:val="BodyText"/>
        <w:rPr>
          <w:sz w:val="22"/>
        </w:rPr>
      </w:pPr>
    </w:p>
    <w:p>
      <w:pPr>
        <w:pStyle w:val="BodyText"/>
        <w:rPr>
          <w:sz w:val="22"/>
        </w:rPr>
      </w:pPr>
    </w:p>
    <w:p>
      <w:pPr>
        <w:pStyle w:val="BodyText"/>
        <w:spacing w:before="7"/>
      </w:pPr>
    </w:p>
    <w:p>
      <w:pPr>
        <w:pStyle w:val="BodyText"/>
        <w:spacing w:line="364" w:lineRule="auto"/>
        <w:ind w:left="117" w:right="113" w:hanging="10"/>
        <w:jc w:val="both"/>
      </w:pPr>
      <w:r>
        <w:rPr/>
        <w:t>El</w:t>
      </w:r>
      <w:r>
        <w:rPr>
          <w:spacing w:val="-11"/>
        </w:rPr>
        <w:t> </w:t>
      </w:r>
      <w:r>
        <w:rPr/>
        <w:t>estudio</w:t>
      </w:r>
      <w:r>
        <w:rPr>
          <w:spacing w:val="-9"/>
        </w:rPr>
        <w:t> </w:t>
      </w:r>
      <w:r>
        <w:rPr/>
        <w:t>se</w:t>
      </w:r>
      <w:r>
        <w:rPr>
          <w:spacing w:val="-9"/>
        </w:rPr>
        <w:t> </w:t>
      </w:r>
      <w:r>
        <w:rPr/>
        <w:t>apega</w:t>
      </w:r>
      <w:r>
        <w:rPr>
          <w:spacing w:val="-9"/>
        </w:rPr>
        <w:t> </w:t>
      </w:r>
      <w:r>
        <w:rPr/>
        <w:t>a</w:t>
      </w:r>
      <w:r>
        <w:rPr>
          <w:spacing w:val="-9"/>
        </w:rPr>
        <w:t> </w:t>
      </w:r>
      <w:r>
        <w:rPr/>
        <w:t>las</w:t>
      </w:r>
      <w:r>
        <w:rPr>
          <w:spacing w:val="-10"/>
        </w:rPr>
        <w:t> </w:t>
      </w:r>
      <w:r>
        <w:rPr/>
        <w:t>normas</w:t>
      </w:r>
      <w:r>
        <w:rPr>
          <w:spacing w:val="-10"/>
        </w:rPr>
        <w:t> </w:t>
      </w:r>
      <w:r>
        <w:rPr/>
        <w:t>éticas</w:t>
      </w:r>
      <w:r>
        <w:rPr>
          <w:spacing w:val="-10"/>
        </w:rPr>
        <w:t> </w:t>
      </w:r>
      <w:r>
        <w:rPr/>
        <w:t>del</w:t>
      </w:r>
      <w:r>
        <w:rPr>
          <w:spacing w:val="-11"/>
        </w:rPr>
        <w:t> </w:t>
      </w:r>
      <w:r>
        <w:rPr/>
        <w:t>Instituto</w:t>
      </w:r>
      <w:r>
        <w:rPr>
          <w:spacing w:val="-9"/>
        </w:rPr>
        <w:t> </w:t>
      </w:r>
      <w:r>
        <w:rPr/>
        <w:t>de</w:t>
      </w:r>
      <w:r>
        <w:rPr>
          <w:spacing w:val="-9"/>
        </w:rPr>
        <w:t> </w:t>
      </w:r>
      <w:r>
        <w:rPr/>
        <w:t>Seguridad</w:t>
      </w:r>
      <w:r>
        <w:rPr>
          <w:spacing w:val="-9"/>
        </w:rPr>
        <w:t> </w:t>
      </w:r>
      <w:r>
        <w:rPr/>
        <w:t>Social</w:t>
      </w:r>
      <w:r>
        <w:rPr>
          <w:spacing w:val="-10"/>
        </w:rPr>
        <w:t> </w:t>
      </w:r>
      <w:r>
        <w:rPr/>
        <w:t>del</w:t>
      </w:r>
      <w:r>
        <w:rPr>
          <w:spacing w:val="-11"/>
        </w:rPr>
        <w:t> </w:t>
      </w:r>
      <w:r>
        <w:rPr/>
        <w:t>Estado de México y Municipios (ISSEMyM), a la Ley General de Salud en materia de investigación en seres humanos y a la Séptima Declaración de Helsinki de la Asociación Médica Mundial, modificada en Seúl, Corea del Sur, que manifiesta</w:t>
      </w:r>
      <w:r>
        <w:rPr>
          <w:spacing w:val="-35"/>
        </w:rPr>
        <w:t> </w:t>
      </w:r>
      <w:r>
        <w:rPr/>
        <w:t>que los trabajos de investigación biomédica con sujetos humanos deben respetar siempre el bienestar de los individuos que intervienen en el estudio sobre el interés de la ciencia y la</w:t>
      </w:r>
      <w:r>
        <w:rPr>
          <w:spacing w:val="-7"/>
        </w:rPr>
        <w:t> </w:t>
      </w:r>
      <w:r>
        <w:rPr/>
        <w:t>sociedad.</w:t>
      </w:r>
    </w:p>
    <w:p>
      <w:pPr>
        <w:pStyle w:val="BodyText"/>
        <w:spacing w:line="362" w:lineRule="auto" w:before="199"/>
        <w:ind w:left="117" w:right="115" w:hanging="10"/>
        <w:jc w:val="both"/>
      </w:pPr>
      <w:r>
        <w:rPr/>
        <w:t>Todas</w:t>
      </w:r>
      <w:r>
        <w:rPr>
          <w:spacing w:val="-17"/>
        </w:rPr>
        <w:t> </w:t>
      </w:r>
      <w:r>
        <w:rPr/>
        <w:t>las</w:t>
      </w:r>
      <w:r>
        <w:rPr>
          <w:spacing w:val="-17"/>
        </w:rPr>
        <w:t> </w:t>
      </w:r>
      <w:r>
        <w:rPr/>
        <w:t>pacientes</w:t>
      </w:r>
      <w:r>
        <w:rPr>
          <w:spacing w:val="-20"/>
        </w:rPr>
        <w:t> </w:t>
      </w:r>
      <w:r>
        <w:rPr/>
        <w:t>fueron</w:t>
      </w:r>
      <w:r>
        <w:rPr>
          <w:spacing w:val="-16"/>
        </w:rPr>
        <w:t> </w:t>
      </w:r>
      <w:r>
        <w:rPr/>
        <w:t>exploradas</w:t>
      </w:r>
      <w:r>
        <w:rPr>
          <w:spacing w:val="-17"/>
        </w:rPr>
        <w:t> </w:t>
      </w:r>
      <w:r>
        <w:rPr/>
        <w:t>por</w:t>
      </w:r>
      <w:r>
        <w:rPr>
          <w:spacing w:val="-16"/>
        </w:rPr>
        <w:t> </w:t>
      </w:r>
      <w:r>
        <w:rPr/>
        <w:t>dos</w:t>
      </w:r>
      <w:r>
        <w:rPr>
          <w:spacing w:val="-15"/>
        </w:rPr>
        <w:t> </w:t>
      </w:r>
      <w:r>
        <w:rPr/>
        <w:t>observadores,</w:t>
      </w:r>
      <w:r>
        <w:rPr>
          <w:spacing w:val="-17"/>
        </w:rPr>
        <w:t> </w:t>
      </w:r>
      <w:r>
        <w:rPr/>
        <w:t>previo</w:t>
      </w:r>
      <w:r>
        <w:rPr>
          <w:spacing w:val="-17"/>
        </w:rPr>
        <w:t> </w:t>
      </w:r>
      <w:r>
        <w:rPr/>
        <w:t>consentimiento informado mediante estudio ecográfico</w:t>
      </w:r>
      <w:r>
        <w:rPr>
          <w:spacing w:val="-20"/>
        </w:rPr>
        <w:t> </w:t>
      </w:r>
      <w:r>
        <w:rPr/>
        <w:t>transvaginal.</w:t>
      </w:r>
    </w:p>
    <w:p>
      <w:pPr>
        <w:spacing w:after="0" w:line="362" w:lineRule="auto"/>
        <w:jc w:val="both"/>
        <w:sectPr>
          <w:pgSz w:w="12240" w:h="15840"/>
          <w:pgMar w:top="1260" w:bottom="280" w:left="1580" w:right="1580"/>
        </w:sectPr>
      </w:pPr>
    </w:p>
    <w:p>
      <w:pPr>
        <w:pStyle w:val="BodyText"/>
        <w:spacing w:line="362" w:lineRule="auto" w:before="43"/>
        <w:ind w:left="117" w:right="28" w:hanging="10"/>
      </w:pPr>
      <w:r>
        <w:rPr/>
        <w:t>Se mantuvo en anonimato la identidad de las pacientes, utilizando como identificación series de números progresivos.</w:t>
      </w:r>
    </w:p>
    <w:p>
      <w:pPr>
        <w:pStyle w:val="BodyText"/>
      </w:pPr>
    </w:p>
    <w:p>
      <w:pPr>
        <w:pStyle w:val="BodyText"/>
      </w:pPr>
    </w:p>
    <w:p>
      <w:pPr>
        <w:pStyle w:val="BodyText"/>
        <w:rPr>
          <w:sz w:val="21"/>
        </w:rPr>
      </w:pPr>
    </w:p>
    <w:p>
      <w:pPr>
        <w:spacing w:before="0"/>
        <w:ind w:left="107" w:right="28" w:firstLine="0"/>
        <w:jc w:val="left"/>
        <w:rPr>
          <w:sz w:val="22"/>
        </w:rPr>
      </w:pPr>
      <w:bookmarkStart w:name="_bookmark18" w:id="19"/>
      <w:bookmarkEnd w:id="19"/>
      <w:r>
        <w:rPr/>
      </w:r>
      <w:r>
        <w:rPr>
          <w:color w:val="5A5A5A"/>
          <w:sz w:val="22"/>
        </w:rPr>
        <w:t>PLANEACIÓN</w:t>
      </w:r>
    </w:p>
    <w:p>
      <w:pPr>
        <w:pStyle w:val="BodyText"/>
        <w:rPr>
          <w:sz w:val="20"/>
        </w:rPr>
      </w:pPr>
    </w:p>
    <w:p>
      <w:pPr>
        <w:pStyle w:val="BodyText"/>
        <w:spacing w:before="7"/>
        <w:rPr>
          <w:sz w:val="21"/>
        </w:rPr>
      </w:pPr>
    </w:p>
    <w:tbl>
      <w:tblPr>
        <w:tblW w:w="0" w:type="auto"/>
        <w:jc w:val="left"/>
        <w:tblInd w:w="1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047"/>
        <w:gridCol w:w="2796"/>
      </w:tblGrid>
      <w:tr>
        <w:trPr>
          <w:trHeight w:val="874" w:hRule="exact"/>
        </w:trPr>
        <w:tc>
          <w:tcPr>
            <w:tcW w:w="4047" w:type="dxa"/>
            <w:tcBorders>
              <w:bottom w:val="single" w:sz="26" w:space="0" w:color="EDEDED"/>
            </w:tcBorders>
          </w:tcPr>
          <w:p>
            <w:pPr>
              <w:pStyle w:val="TableParagraph"/>
              <w:spacing w:before="58"/>
              <w:ind w:left="79"/>
              <w:rPr>
                <w:b/>
                <w:sz w:val="24"/>
              </w:rPr>
            </w:pPr>
            <w:r>
              <w:rPr>
                <w:b/>
                <w:sz w:val="24"/>
              </w:rPr>
              <w:t>Dra. Berenice Godínez Contreras</w:t>
            </w:r>
          </w:p>
        </w:tc>
        <w:tc>
          <w:tcPr>
            <w:tcW w:w="2796" w:type="dxa"/>
            <w:tcBorders>
              <w:bottom w:val="single" w:sz="26" w:space="0" w:color="EDEDED"/>
            </w:tcBorders>
          </w:tcPr>
          <w:p>
            <w:pPr>
              <w:pStyle w:val="TableParagraph"/>
              <w:spacing w:before="58"/>
              <w:ind w:left="214"/>
              <w:rPr>
                <w:b/>
                <w:sz w:val="24"/>
              </w:rPr>
            </w:pPr>
            <w:r>
              <w:rPr>
                <w:b/>
                <w:sz w:val="24"/>
              </w:rPr>
              <w:t>Autor y Editor</w:t>
            </w:r>
          </w:p>
        </w:tc>
      </w:tr>
      <w:tr>
        <w:trPr>
          <w:trHeight w:val="783" w:hRule="exact"/>
        </w:trPr>
        <w:tc>
          <w:tcPr>
            <w:tcW w:w="4047" w:type="dxa"/>
            <w:shd w:val="clear" w:color="auto" w:fill="EDEDED"/>
          </w:tcPr>
          <w:p>
            <w:pPr>
              <w:pStyle w:val="TableParagraph"/>
              <w:spacing w:before="58"/>
              <w:ind w:left="79"/>
              <w:rPr>
                <w:b/>
                <w:sz w:val="24"/>
              </w:rPr>
            </w:pPr>
            <w:r>
              <w:rPr>
                <w:b/>
                <w:sz w:val="24"/>
              </w:rPr>
              <w:t>Dr. Raymundo López Juárez</w:t>
            </w:r>
          </w:p>
        </w:tc>
        <w:tc>
          <w:tcPr>
            <w:tcW w:w="2796" w:type="dxa"/>
            <w:shd w:val="clear" w:color="auto" w:fill="EDEDED"/>
          </w:tcPr>
          <w:p>
            <w:pPr>
              <w:pStyle w:val="TableParagraph"/>
              <w:spacing w:before="58"/>
              <w:ind w:left="76"/>
              <w:rPr>
                <w:b/>
                <w:sz w:val="24"/>
              </w:rPr>
            </w:pPr>
            <w:r>
              <w:rPr>
                <w:b/>
                <w:sz w:val="24"/>
              </w:rPr>
              <w:t>Tutor</w:t>
            </w:r>
          </w:p>
        </w:tc>
      </w:tr>
      <w:tr>
        <w:trPr>
          <w:trHeight w:val="905" w:hRule="exact"/>
        </w:trPr>
        <w:tc>
          <w:tcPr>
            <w:tcW w:w="4047" w:type="dxa"/>
            <w:tcBorders>
              <w:bottom w:val="single" w:sz="24" w:space="0" w:color="EDEDED"/>
            </w:tcBorders>
          </w:tcPr>
          <w:p>
            <w:pPr>
              <w:pStyle w:val="TableParagraph"/>
              <w:spacing w:before="58"/>
              <w:ind w:left="79"/>
              <w:rPr>
                <w:b/>
                <w:sz w:val="24"/>
              </w:rPr>
            </w:pPr>
            <w:r>
              <w:rPr>
                <w:b/>
                <w:sz w:val="24"/>
              </w:rPr>
              <w:t>Dra. Cecilia Villasante Luna</w:t>
            </w:r>
          </w:p>
        </w:tc>
        <w:tc>
          <w:tcPr>
            <w:tcW w:w="2796" w:type="dxa"/>
            <w:tcBorders>
              <w:bottom w:val="single" w:sz="24" w:space="0" w:color="EDEDED"/>
            </w:tcBorders>
          </w:tcPr>
          <w:p>
            <w:pPr>
              <w:pStyle w:val="TableParagraph"/>
              <w:spacing w:before="58"/>
              <w:ind w:left="76"/>
              <w:rPr>
                <w:b/>
                <w:sz w:val="24"/>
              </w:rPr>
            </w:pPr>
            <w:r>
              <w:rPr>
                <w:b/>
                <w:sz w:val="24"/>
              </w:rPr>
              <w:t>Asesor</w:t>
            </w:r>
          </w:p>
        </w:tc>
      </w:tr>
      <w:tr>
        <w:trPr>
          <w:trHeight w:val="782" w:hRule="exact"/>
        </w:trPr>
        <w:tc>
          <w:tcPr>
            <w:tcW w:w="4047" w:type="dxa"/>
            <w:shd w:val="clear" w:color="auto" w:fill="EDEDED"/>
          </w:tcPr>
          <w:p>
            <w:pPr>
              <w:pStyle w:val="TableParagraph"/>
              <w:spacing w:before="60"/>
              <w:ind w:left="79"/>
              <w:rPr>
                <w:b/>
                <w:sz w:val="24"/>
              </w:rPr>
            </w:pPr>
            <w:r>
              <w:rPr>
                <w:b/>
                <w:sz w:val="24"/>
              </w:rPr>
              <w:t>Dr. Víctor Hugo Sanabria</w:t>
            </w:r>
          </w:p>
        </w:tc>
        <w:tc>
          <w:tcPr>
            <w:tcW w:w="2796" w:type="dxa"/>
            <w:shd w:val="clear" w:color="auto" w:fill="EDEDED"/>
          </w:tcPr>
          <w:p>
            <w:pPr>
              <w:pStyle w:val="TableParagraph"/>
              <w:spacing w:before="60"/>
              <w:ind w:left="76"/>
              <w:rPr>
                <w:b/>
                <w:sz w:val="24"/>
              </w:rPr>
            </w:pPr>
            <w:r>
              <w:rPr>
                <w:b/>
                <w:sz w:val="24"/>
              </w:rPr>
              <w:t>Asesor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0"/>
        <w:ind w:left="107" w:right="0" w:firstLine="0"/>
        <w:jc w:val="both"/>
        <w:rPr>
          <w:sz w:val="22"/>
        </w:rPr>
      </w:pPr>
      <w:bookmarkStart w:name="_bookmark19" w:id="20"/>
      <w:bookmarkEnd w:id="20"/>
      <w:r>
        <w:rPr/>
      </w:r>
      <w:r>
        <w:rPr>
          <w:color w:val="5A5A5A"/>
          <w:sz w:val="22"/>
        </w:rPr>
        <w:t>CONCLUSIONES</w:t>
      </w:r>
    </w:p>
    <w:p>
      <w:pPr>
        <w:pStyle w:val="BodyText"/>
        <w:spacing w:line="364" w:lineRule="auto" w:before="177"/>
        <w:ind w:left="117" w:right="108" w:hanging="10"/>
        <w:jc w:val="both"/>
      </w:pPr>
      <w:r>
        <w:rPr/>
        <w:t>El índice volumen total-estroma tiene una correlación positiva significativa con la dehidroepiandrosterona y androstenediona. De las anteriores la dehidroepiandrosterona tuvo coeficiente de determinación de 0.4495 y la androstenediona 0.4472, parámetros que no reflejan una significancia estadística para considerar un adecuado índice de confianza que nos indica el mejor predictor de hiperandrogenismo y síndrome de ovario poliquístico en mujeres en edad fértil. Obtuvimos en el rango de edad de 18-42 años un promedio de 28.3.</w:t>
      </w:r>
    </w:p>
    <w:p>
      <w:pPr>
        <w:pStyle w:val="BodyText"/>
        <w:spacing w:line="364" w:lineRule="auto" w:before="199"/>
        <w:ind w:left="117" w:right="113" w:hanging="10"/>
        <w:jc w:val="both"/>
      </w:pPr>
      <w:r>
        <w:rPr/>
        <w:t>Derivado de estas conclusiones proponemos que se considere el índice total estroma-ovario como un marcador de confianza en el diagnóstico de ovario poliquístico</w:t>
      </w:r>
      <w:r>
        <w:rPr>
          <w:spacing w:val="-17"/>
        </w:rPr>
        <w:t> </w:t>
      </w:r>
      <w:r>
        <w:rPr/>
        <w:t>como</w:t>
      </w:r>
      <w:r>
        <w:rPr>
          <w:spacing w:val="-19"/>
        </w:rPr>
        <w:t> </w:t>
      </w:r>
      <w:r>
        <w:rPr/>
        <w:t>un</w:t>
      </w:r>
      <w:r>
        <w:rPr>
          <w:spacing w:val="-17"/>
        </w:rPr>
        <w:t> </w:t>
      </w:r>
      <w:r>
        <w:rPr/>
        <w:t>predictor</w:t>
      </w:r>
      <w:r>
        <w:rPr>
          <w:spacing w:val="-18"/>
        </w:rPr>
        <w:t> </w:t>
      </w:r>
      <w:r>
        <w:rPr/>
        <w:t>temprano</w:t>
      </w:r>
      <w:r>
        <w:rPr>
          <w:spacing w:val="-19"/>
        </w:rPr>
        <w:t> </w:t>
      </w:r>
      <w:r>
        <w:rPr/>
        <w:t>de</w:t>
      </w:r>
      <w:r>
        <w:rPr>
          <w:spacing w:val="-19"/>
        </w:rPr>
        <w:t> </w:t>
      </w:r>
      <w:r>
        <w:rPr/>
        <w:t>existencia</w:t>
      </w:r>
      <w:r>
        <w:rPr>
          <w:spacing w:val="-17"/>
        </w:rPr>
        <w:t> </w:t>
      </w:r>
      <w:r>
        <w:rPr/>
        <w:t>de</w:t>
      </w:r>
      <w:r>
        <w:rPr>
          <w:spacing w:val="-17"/>
        </w:rPr>
        <w:t> </w:t>
      </w:r>
      <w:r>
        <w:rPr/>
        <w:t>la</w:t>
      </w:r>
      <w:r>
        <w:rPr>
          <w:spacing w:val="-17"/>
        </w:rPr>
        <w:t> </w:t>
      </w:r>
      <w:r>
        <w:rPr/>
        <w:t>enfermedad</w:t>
      </w:r>
      <w:r>
        <w:rPr>
          <w:spacing w:val="-17"/>
        </w:rPr>
        <w:t> </w:t>
      </w:r>
      <w:r>
        <w:rPr/>
        <w:t>que</w:t>
      </w:r>
      <w:r>
        <w:rPr>
          <w:spacing w:val="-17"/>
        </w:rPr>
        <w:t> </w:t>
      </w:r>
      <w:r>
        <w:rPr/>
        <w:t>permita iniciar  tratamientos  oportunos sobre todo en lugares  donde no  se cuente  con </w:t>
      </w:r>
      <w:r>
        <w:rPr>
          <w:spacing w:val="5"/>
        </w:rPr>
        <w:t> </w:t>
      </w:r>
      <w:r>
        <w:rPr/>
        <w:t>el</w:t>
      </w:r>
    </w:p>
    <w:p>
      <w:pPr>
        <w:spacing w:after="0" w:line="364" w:lineRule="auto"/>
        <w:jc w:val="both"/>
        <w:sectPr>
          <w:pgSz w:w="12240" w:h="15840"/>
          <w:pgMar w:top="1220" w:bottom="280" w:left="1580" w:right="1580"/>
        </w:sectPr>
      </w:pPr>
    </w:p>
    <w:p>
      <w:pPr>
        <w:pStyle w:val="BodyText"/>
        <w:spacing w:line="362" w:lineRule="auto" w:before="43"/>
        <w:ind w:left="117" w:right="117"/>
        <w:jc w:val="both"/>
      </w:pPr>
      <w:r>
        <w:rPr/>
        <w:t>acceso inmediato a material reactivo de laboratorio para la medición de las hormonas específicas androgénicas.</w:t>
      </w:r>
    </w:p>
    <w:p>
      <w:pPr>
        <w:pStyle w:val="BodyText"/>
      </w:pPr>
    </w:p>
    <w:p>
      <w:pPr>
        <w:pStyle w:val="BodyText"/>
      </w:pPr>
    </w:p>
    <w:p>
      <w:pPr>
        <w:pStyle w:val="BodyText"/>
        <w:rPr>
          <w:sz w:val="21"/>
        </w:rPr>
      </w:pPr>
    </w:p>
    <w:p>
      <w:pPr>
        <w:spacing w:before="0"/>
        <w:ind w:left="107" w:right="0" w:firstLine="0"/>
        <w:jc w:val="both"/>
        <w:rPr>
          <w:sz w:val="22"/>
        </w:rPr>
      </w:pPr>
      <w:bookmarkStart w:name="_bookmark20" w:id="21"/>
      <w:bookmarkEnd w:id="21"/>
      <w:r>
        <w:rPr/>
      </w:r>
      <w:r>
        <w:rPr>
          <w:color w:val="5A5A5A"/>
          <w:sz w:val="22"/>
        </w:rPr>
        <w:t>DISCUSIÓN</w:t>
      </w:r>
    </w:p>
    <w:p>
      <w:pPr>
        <w:pStyle w:val="BodyText"/>
        <w:spacing w:line="362" w:lineRule="auto" w:before="177"/>
        <w:ind w:left="107" w:right="105"/>
        <w:jc w:val="both"/>
      </w:pPr>
      <w:r>
        <w:rPr/>
        <w:t>En</w:t>
      </w:r>
      <w:r>
        <w:rPr>
          <w:spacing w:val="-16"/>
        </w:rPr>
        <w:t> </w:t>
      </w:r>
      <w:r>
        <w:rPr/>
        <w:t>este</w:t>
      </w:r>
      <w:r>
        <w:rPr>
          <w:spacing w:val="-16"/>
        </w:rPr>
        <w:t> </w:t>
      </w:r>
      <w:r>
        <w:rPr/>
        <w:t>estudio</w:t>
      </w:r>
      <w:r>
        <w:rPr>
          <w:spacing w:val="-18"/>
        </w:rPr>
        <w:t> </w:t>
      </w:r>
      <w:r>
        <w:rPr/>
        <w:t>se</w:t>
      </w:r>
      <w:r>
        <w:rPr>
          <w:spacing w:val="-18"/>
        </w:rPr>
        <w:t> </w:t>
      </w:r>
      <w:r>
        <w:rPr/>
        <w:t>demuestra</w:t>
      </w:r>
      <w:r>
        <w:rPr>
          <w:spacing w:val="-16"/>
        </w:rPr>
        <w:t> </w:t>
      </w:r>
      <w:r>
        <w:rPr/>
        <w:t>que</w:t>
      </w:r>
      <w:r>
        <w:rPr>
          <w:spacing w:val="-18"/>
        </w:rPr>
        <w:t> </w:t>
      </w:r>
      <w:r>
        <w:rPr/>
        <w:t>las</w:t>
      </w:r>
      <w:r>
        <w:rPr>
          <w:spacing w:val="-16"/>
        </w:rPr>
        <w:t> </w:t>
      </w:r>
      <w:r>
        <w:rPr/>
        <w:t>hormonas</w:t>
      </w:r>
      <w:r>
        <w:rPr>
          <w:spacing w:val="-16"/>
        </w:rPr>
        <w:t> </w:t>
      </w:r>
      <w:r>
        <w:rPr/>
        <w:t>que</w:t>
      </w:r>
      <w:r>
        <w:rPr>
          <w:spacing w:val="-16"/>
        </w:rPr>
        <w:t> </w:t>
      </w:r>
      <w:r>
        <w:rPr/>
        <w:t>componen</w:t>
      </w:r>
      <w:r>
        <w:rPr>
          <w:spacing w:val="-16"/>
        </w:rPr>
        <w:t> </w:t>
      </w:r>
      <w:r>
        <w:rPr/>
        <w:t>al</w:t>
      </w:r>
      <w:r>
        <w:rPr>
          <w:spacing w:val="-19"/>
        </w:rPr>
        <w:t> </w:t>
      </w:r>
      <w:r>
        <w:rPr/>
        <w:t>perfil</w:t>
      </w:r>
      <w:r>
        <w:rPr>
          <w:spacing w:val="-17"/>
        </w:rPr>
        <w:t> </w:t>
      </w:r>
      <w:r>
        <w:rPr/>
        <w:t>androgénico (Testosterna, Adrostenediona, 17 alfa-hidroxyprogesterona y dehidroepiandrosterona) muestran una correlación positiva con la elevación del índice de volumen total</w:t>
      </w:r>
      <w:r>
        <w:rPr>
          <w:spacing w:val="-15"/>
        </w:rPr>
        <w:t> </w:t>
      </w:r>
      <w:r>
        <w:rPr/>
        <w:t>estroma-ovario.</w:t>
      </w:r>
    </w:p>
    <w:p>
      <w:pPr>
        <w:pStyle w:val="BodyText"/>
        <w:spacing w:line="364" w:lineRule="auto" w:before="202"/>
        <w:ind w:left="107" w:right="106"/>
        <w:jc w:val="both"/>
      </w:pPr>
      <w:r>
        <w:rPr/>
        <w:t>Los estudios que se citan en el presente estudio hacen referencia a </w:t>
      </w:r>
      <w:r>
        <w:rPr>
          <w:spacing w:val="2"/>
        </w:rPr>
        <w:t>que </w:t>
      </w:r>
      <w:r>
        <w:rPr/>
        <w:t>se ha demostrado que existe relación directamente proporcional entre la elevación del índice de volumen total estroma- ovario y el perfil sérico androgénico, pero no es hasta que en el año 2001 se publica estudio en la revista Fertility &amp; Sterility titulado ‘A new ultrasound criterion for the diagnosis of polycystic ovary syndrome: the ovarian stroma/total area ratio’, donde se hace un análisis retrospectivo en 80 mujeres oligo y amenonorreicas que se correlaciona con los valores séricos hormonales androgénicos y comparan a dos grupos los de ovarios multifoliculares y el grupo control, obteniendo como resultados principales que el índice volumen total estroma-ovario tiene correlación directa con el perfil androgénico, índice de andrógenos</w:t>
      </w:r>
      <w:r>
        <w:rPr>
          <w:spacing w:val="-12"/>
        </w:rPr>
        <w:t> </w:t>
      </w:r>
      <w:r>
        <w:rPr/>
        <w:t>libres,</w:t>
      </w:r>
      <w:r>
        <w:rPr>
          <w:spacing w:val="-12"/>
        </w:rPr>
        <w:t> </w:t>
      </w:r>
      <w:r>
        <w:rPr/>
        <w:t>teniendo</w:t>
      </w:r>
      <w:r>
        <w:rPr>
          <w:spacing w:val="-14"/>
        </w:rPr>
        <w:t> </w:t>
      </w:r>
      <w:r>
        <w:rPr/>
        <w:t>menores</w:t>
      </w:r>
      <w:r>
        <w:rPr>
          <w:spacing w:val="-14"/>
        </w:rPr>
        <w:t> </w:t>
      </w:r>
      <w:r>
        <w:rPr/>
        <w:t>concentraciones</w:t>
      </w:r>
      <w:r>
        <w:rPr>
          <w:spacing w:val="-15"/>
        </w:rPr>
        <w:t> </w:t>
      </w:r>
      <w:r>
        <w:rPr/>
        <w:t>con</w:t>
      </w:r>
      <w:r>
        <w:rPr>
          <w:spacing w:val="-14"/>
        </w:rPr>
        <w:t> </w:t>
      </w:r>
      <w:r>
        <w:rPr/>
        <w:t>dehidroepiandrosterona. Sin embargo, concluyen que la sensibilidad y especificidad del índice volumen total estroma- ovario para diagnóstico de síndrome de ovario poliquístico es cercano al 100%. Actualmente en 2016 se publica un estudio prospectivo en la revista International Journal of Reproduction, Contraception, Obstetrics and Gynecology, donde además de realizar la medición del índice volumen total estroma-ovario, caracterizan la ecogenicidad del estroma y lo correlacionan con el perfil sérico androgénico, obteniendo como resultado una relación significativa y positiva con la dehidroepiandrosterona (R=0.56) y relación baja negativa para testosterona (R=0.27), con incremento hasta el 78.2% de los casos de la ecogencidad del estroma. Comparativamente, el presente estudio y este último, coinciden de forma cercana en resultados con respecto a dehidroepiandrosterona y</w:t>
      </w:r>
      <w:r>
        <w:rPr>
          <w:spacing w:val="-30"/>
        </w:rPr>
        <w:t> </w:t>
      </w:r>
      <w:r>
        <w:rPr/>
        <w:t>testosterona.</w:t>
      </w:r>
    </w:p>
    <w:p>
      <w:pPr>
        <w:spacing w:after="0" w:line="364" w:lineRule="auto"/>
        <w:jc w:val="both"/>
        <w:sectPr>
          <w:pgSz w:w="12240" w:h="15840"/>
          <w:pgMar w:top="1220" w:bottom="280" w:left="1580" w:right="1580"/>
        </w:sectPr>
      </w:pPr>
    </w:p>
    <w:p>
      <w:pPr>
        <w:pStyle w:val="BodyText"/>
        <w:spacing w:before="7"/>
      </w:pPr>
    </w:p>
    <w:p>
      <w:pPr>
        <w:spacing w:before="72"/>
        <w:ind w:left="107" w:right="0" w:firstLine="0"/>
        <w:jc w:val="both"/>
        <w:rPr>
          <w:sz w:val="22"/>
        </w:rPr>
      </w:pPr>
      <w:bookmarkStart w:name="_bookmark21" w:id="22"/>
      <w:bookmarkEnd w:id="22"/>
      <w:r>
        <w:rPr/>
      </w:r>
      <w:r>
        <w:rPr>
          <w:color w:val="5A5A5A"/>
          <w:sz w:val="22"/>
        </w:rPr>
        <w:t>RECOMENDACIONES E INVESTIGACIONES FUTURAS</w:t>
      </w:r>
    </w:p>
    <w:p>
      <w:pPr>
        <w:pStyle w:val="BodyText"/>
        <w:spacing w:line="364" w:lineRule="auto" w:before="177"/>
        <w:ind w:left="117" w:right="107" w:hanging="10"/>
        <w:jc w:val="both"/>
      </w:pPr>
      <w:r>
        <w:rPr/>
        <w:t>Durante la investigación realizada fue de vital importancia la adecuada comunicación</w:t>
      </w:r>
      <w:r>
        <w:rPr>
          <w:spacing w:val="-5"/>
        </w:rPr>
        <w:t> </w:t>
      </w:r>
      <w:r>
        <w:rPr/>
        <w:t>entre</w:t>
      </w:r>
      <w:r>
        <w:rPr>
          <w:spacing w:val="-7"/>
        </w:rPr>
        <w:t> </w:t>
      </w:r>
      <w:r>
        <w:rPr/>
        <w:t>el</w:t>
      </w:r>
      <w:r>
        <w:rPr>
          <w:spacing w:val="-8"/>
        </w:rPr>
        <w:t> </w:t>
      </w:r>
      <w:r>
        <w:rPr/>
        <w:t>servicio</w:t>
      </w:r>
      <w:r>
        <w:rPr>
          <w:spacing w:val="-5"/>
        </w:rPr>
        <w:t> </w:t>
      </w:r>
      <w:r>
        <w:rPr/>
        <w:t>de</w:t>
      </w:r>
      <w:r>
        <w:rPr>
          <w:spacing w:val="-5"/>
        </w:rPr>
        <w:t> </w:t>
      </w:r>
      <w:r>
        <w:rPr/>
        <w:t>Ginecología</w:t>
      </w:r>
      <w:r>
        <w:rPr>
          <w:spacing w:val="-4"/>
        </w:rPr>
        <w:t> </w:t>
      </w:r>
      <w:r>
        <w:rPr/>
        <w:t>del</w:t>
      </w:r>
      <w:r>
        <w:rPr>
          <w:spacing w:val="-6"/>
        </w:rPr>
        <w:t> </w:t>
      </w:r>
      <w:r>
        <w:rPr/>
        <w:t>Hospital,</w:t>
      </w:r>
      <w:r>
        <w:rPr>
          <w:spacing w:val="-5"/>
        </w:rPr>
        <w:t> </w:t>
      </w:r>
      <w:r>
        <w:rPr/>
        <w:t>el</w:t>
      </w:r>
      <w:r>
        <w:rPr>
          <w:spacing w:val="-8"/>
        </w:rPr>
        <w:t> </w:t>
      </w:r>
      <w:r>
        <w:rPr/>
        <w:t>personal</w:t>
      </w:r>
      <w:r>
        <w:rPr>
          <w:spacing w:val="-6"/>
        </w:rPr>
        <w:t> </w:t>
      </w:r>
      <w:r>
        <w:rPr/>
        <w:t>de</w:t>
      </w:r>
      <w:r>
        <w:rPr>
          <w:spacing w:val="-5"/>
        </w:rPr>
        <w:t> </w:t>
      </w:r>
      <w:r>
        <w:rPr/>
        <w:t>archivo</w:t>
      </w:r>
      <w:r>
        <w:rPr>
          <w:spacing w:val="-5"/>
        </w:rPr>
        <w:t> </w:t>
      </w:r>
      <w:r>
        <w:rPr/>
        <w:t>y las pacientes. Es de suma relevancia valorar el trabajo que cada uno realiza para que las investigaciones se lleven a cabo y que el trabajo en equipo pueda aportar nuevos conocimientos para elevar el nivel de atención del Hospital Regional Tlalnepantla.</w:t>
      </w:r>
    </w:p>
    <w:p>
      <w:pPr>
        <w:pStyle w:val="BodyText"/>
        <w:spacing w:line="364" w:lineRule="auto" w:before="199"/>
        <w:ind w:left="117" w:right="108" w:hanging="10"/>
        <w:jc w:val="both"/>
      </w:pPr>
      <w:r>
        <w:rPr/>
        <w:t>La</w:t>
      </w:r>
      <w:r>
        <w:rPr>
          <w:spacing w:val="-7"/>
        </w:rPr>
        <w:t> </w:t>
      </w:r>
      <w:r>
        <w:rPr/>
        <w:t>presente</w:t>
      </w:r>
      <w:r>
        <w:rPr>
          <w:spacing w:val="-7"/>
        </w:rPr>
        <w:t> </w:t>
      </w:r>
      <w:r>
        <w:rPr/>
        <w:t>investigación</w:t>
      </w:r>
      <w:r>
        <w:rPr>
          <w:spacing w:val="-7"/>
        </w:rPr>
        <w:t> </w:t>
      </w:r>
      <w:r>
        <w:rPr/>
        <w:t>podría</w:t>
      </w:r>
      <w:r>
        <w:rPr>
          <w:spacing w:val="-7"/>
        </w:rPr>
        <w:t> </w:t>
      </w:r>
      <w:r>
        <w:rPr/>
        <w:t>tener</w:t>
      </w:r>
      <w:r>
        <w:rPr>
          <w:spacing w:val="-8"/>
        </w:rPr>
        <w:t> </w:t>
      </w:r>
      <w:r>
        <w:rPr/>
        <w:t>futura</w:t>
      </w:r>
      <w:r>
        <w:rPr>
          <w:spacing w:val="-9"/>
        </w:rPr>
        <w:t> </w:t>
      </w:r>
      <w:r>
        <w:rPr/>
        <w:t>continuidad</w:t>
      </w:r>
      <w:r>
        <w:rPr>
          <w:spacing w:val="-9"/>
        </w:rPr>
        <w:t> </w:t>
      </w:r>
      <w:r>
        <w:rPr/>
        <w:t>en</w:t>
      </w:r>
      <w:r>
        <w:rPr>
          <w:spacing w:val="-9"/>
        </w:rPr>
        <w:t> </w:t>
      </w:r>
      <w:r>
        <w:rPr/>
        <w:t>el</w:t>
      </w:r>
      <w:r>
        <w:rPr>
          <w:spacing w:val="-8"/>
        </w:rPr>
        <w:t> </w:t>
      </w:r>
      <w:r>
        <w:rPr/>
        <w:t>área</w:t>
      </w:r>
      <w:r>
        <w:rPr>
          <w:spacing w:val="-9"/>
        </w:rPr>
        <w:t> </w:t>
      </w:r>
      <w:r>
        <w:rPr/>
        <w:t>de</w:t>
      </w:r>
      <w:r>
        <w:rPr>
          <w:spacing w:val="-7"/>
        </w:rPr>
        <w:t> </w:t>
      </w:r>
      <w:r>
        <w:rPr/>
        <w:t>pediatría,</w:t>
      </w:r>
      <w:r>
        <w:rPr>
          <w:spacing w:val="-7"/>
        </w:rPr>
        <w:t> </w:t>
      </w:r>
      <w:r>
        <w:rPr/>
        <w:t>ya que en la población adolescente se ha incrementado la frecuencia de presentación de este síndrome, sin embargo, hace falta realizar una investigación dirigida a conocer la sensibilidad y especificidad que el índice estroma-ovario tiene en el rastreo ecográfico vía</w:t>
      </w:r>
      <w:r>
        <w:rPr>
          <w:spacing w:val="-11"/>
        </w:rPr>
        <w:t> </w:t>
      </w:r>
      <w:r>
        <w:rPr/>
        <w:t>transabdominal.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5"/>
        </w:rPr>
      </w:pPr>
    </w:p>
    <w:p>
      <w:pPr>
        <w:spacing w:before="0"/>
        <w:ind w:left="107" w:right="0" w:firstLine="0"/>
        <w:jc w:val="both"/>
        <w:rPr>
          <w:sz w:val="22"/>
        </w:rPr>
      </w:pPr>
      <w:bookmarkStart w:name="_bookmark22" w:id="23"/>
      <w:bookmarkEnd w:id="23"/>
      <w:r>
        <w:rPr/>
      </w:r>
      <w:r>
        <w:rPr>
          <w:color w:val="5A5A5A"/>
          <w:sz w:val="22"/>
        </w:rPr>
        <w:t>REFERENCIAS BIBLIOGRÁFICAS</w:t>
      </w:r>
    </w:p>
    <w:p>
      <w:pPr>
        <w:pStyle w:val="BodyText"/>
        <w:rPr>
          <w:sz w:val="22"/>
        </w:rPr>
      </w:pPr>
    </w:p>
    <w:p>
      <w:pPr>
        <w:pStyle w:val="BodyText"/>
        <w:rPr>
          <w:sz w:val="22"/>
        </w:rPr>
      </w:pPr>
    </w:p>
    <w:p>
      <w:pPr>
        <w:pStyle w:val="BodyText"/>
        <w:spacing w:before="1"/>
        <w:rPr>
          <w:sz w:val="23"/>
        </w:rPr>
      </w:pPr>
    </w:p>
    <w:p>
      <w:pPr>
        <w:pStyle w:val="ListParagraph"/>
        <w:numPr>
          <w:ilvl w:val="2"/>
          <w:numId w:val="5"/>
        </w:numPr>
        <w:tabs>
          <w:tab w:pos="842" w:val="left" w:leader="none"/>
        </w:tabs>
        <w:spacing w:line="244" w:lineRule="auto" w:before="1" w:after="0"/>
        <w:ind w:left="842" w:right="114" w:hanging="360"/>
        <w:jc w:val="both"/>
        <w:rPr>
          <w:sz w:val="24"/>
        </w:rPr>
      </w:pPr>
      <w:r>
        <w:rPr>
          <w:sz w:val="24"/>
        </w:rPr>
        <w:t>Poli Mara Spritzer, ‘Polycystic ovary syndrome: reviewing diagnosis and management of metabolic disturbances’,Arq Bras Endocrinol Metab. 2014;58/2.</w:t>
      </w:r>
    </w:p>
    <w:p>
      <w:pPr>
        <w:pStyle w:val="ListParagraph"/>
        <w:numPr>
          <w:ilvl w:val="2"/>
          <w:numId w:val="5"/>
        </w:numPr>
        <w:tabs>
          <w:tab w:pos="842" w:val="left" w:leader="none"/>
        </w:tabs>
        <w:spacing w:line="271" w:lineRule="auto" w:before="0" w:after="0"/>
        <w:ind w:left="842" w:right="106" w:hanging="360"/>
        <w:jc w:val="both"/>
        <w:rPr>
          <w:sz w:val="24"/>
        </w:rPr>
      </w:pPr>
      <w:r>
        <w:rPr>
          <w:sz w:val="24"/>
        </w:rPr>
        <w:t>M A Checa Vizcaino.́ Sindromé del ovario poliquístico. Ed. Médica Panamericana,</w:t>
      </w:r>
      <w:r>
        <w:rPr>
          <w:spacing w:val="-12"/>
          <w:sz w:val="24"/>
        </w:rPr>
        <w:t> </w:t>
      </w:r>
      <w:r>
        <w:rPr>
          <w:sz w:val="24"/>
        </w:rPr>
        <w:t>©2006.</w:t>
      </w:r>
    </w:p>
    <w:p>
      <w:pPr>
        <w:pStyle w:val="ListParagraph"/>
        <w:numPr>
          <w:ilvl w:val="2"/>
          <w:numId w:val="5"/>
        </w:numPr>
        <w:tabs>
          <w:tab w:pos="842" w:val="left" w:leader="none"/>
        </w:tabs>
        <w:spacing w:line="247" w:lineRule="auto" w:before="4" w:after="0"/>
        <w:ind w:left="842" w:right="106" w:hanging="360"/>
        <w:jc w:val="both"/>
        <w:rPr>
          <w:sz w:val="24"/>
        </w:rPr>
      </w:pPr>
      <w:r>
        <w:rPr>
          <w:sz w:val="24"/>
        </w:rPr>
        <w:t>Tony T. Lee, MD • Mary E. Rausch, MD, MSCE, ‘Polycystic Ovarian Syndrome: Role of Imaging in Diagnosis’,RadioGraphics 2012; 32:1643– 1657</w:t>
      </w:r>
    </w:p>
    <w:p>
      <w:pPr>
        <w:pStyle w:val="ListParagraph"/>
        <w:numPr>
          <w:ilvl w:val="2"/>
          <w:numId w:val="5"/>
        </w:numPr>
        <w:tabs>
          <w:tab w:pos="842" w:val="left" w:leader="none"/>
        </w:tabs>
        <w:spacing w:line="240" w:lineRule="auto" w:before="0" w:after="0"/>
        <w:ind w:left="842" w:right="108" w:hanging="360"/>
        <w:jc w:val="both"/>
        <w:rPr>
          <w:sz w:val="24"/>
        </w:rPr>
      </w:pPr>
      <w:r>
        <w:rPr>
          <w:sz w:val="24"/>
        </w:rPr>
        <w:t>Morán C, Tena G, Morán S, Ruiz P, Reyna R, Duque X. Prevalence of polycystic</w:t>
      </w:r>
      <w:r>
        <w:rPr>
          <w:spacing w:val="-9"/>
          <w:sz w:val="24"/>
        </w:rPr>
        <w:t> </w:t>
      </w:r>
      <w:r>
        <w:rPr>
          <w:sz w:val="24"/>
        </w:rPr>
        <w:t>ovary</w:t>
      </w:r>
      <w:r>
        <w:rPr>
          <w:spacing w:val="-14"/>
          <w:sz w:val="24"/>
        </w:rPr>
        <w:t> </w:t>
      </w:r>
      <w:r>
        <w:rPr>
          <w:sz w:val="24"/>
        </w:rPr>
        <w:t>syndrome</w:t>
      </w:r>
      <w:r>
        <w:rPr>
          <w:spacing w:val="-13"/>
          <w:sz w:val="24"/>
        </w:rPr>
        <w:t> </w:t>
      </w:r>
      <w:r>
        <w:rPr>
          <w:sz w:val="24"/>
        </w:rPr>
        <w:t>and</w:t>
      </w:r>
      <w:r>
        <w:rPr>
          <w:spacing w:val="-11"/>
          <w:sz w:val="24"/>
        </w:rPr>
        <w:t> </w:t>
      </w:r>
      <w:r>
        <w:rPr>
          <w:sz w:val="24"/>
        </w:rPr>
        <w:t>related</w:t>
      </w:r>
      <w:r>
        <w:rPr>
          <w:spacing w:val="-13"/>
          <w:sz w:val="24"/>
        </w:rPr>
        <w:t> </w:t>
      </w:r>
      <w:r>
        <w:rPr>
          <w:sz w:val="24"/>
        </w:rPr>
        <w:t>disorders</w:t>
      </w:r>
      <w:r>
        <w:rPr>
          <w:spacing w:val="-12"/>
          <w:sz w:val="24"/>
        </w:rPr>
        <w:t> </w:t>
      </w:r>
      <w:r>
        <w:rPr>
          <w:sz w:val="24"/>
        </w:rPr>
        <w:t>in</w:t>
      </w:r>
      <w:r>
        <w:rPr>
          <w:spacing w:val="-11"/>
          <w:sz w:val="24"/>
        </w:rPr>
        <w:t> </w:t>
      </w:r>
      <w:r>
        <w:rPr>
          <w:sz w:val="24"/>
        </w:rPr>
        <w:t>mexican</w:t>
      </w:r>
      <w:r>
        <w:rPr>
          <w:spacing w:val="-10"/>
          <w:sz w:val="24"/>
        </w:rPr>
        <w:t> </w:t>
      </w:r>
      <w:r>
        <w:rPr>
          <w:sz w:val="24"/>
        </w:rPr>
        <w:t>women.</w:t>
      </w:r>
      <w:r>
        <w:rPr>
          <w:spacing w:val="-5"/>
          <w:sz w:val="24"/>
        </w:rPr>
        <w:t> </w:t>
      </w:r>
      <w:r>
        <w:rPr>
          <w:sz w:val="24"/>
        </w:rPr>
        <w:t>Gynecol Obstet Invest 2010;</w:t>
      </w:r>
      <w:r>
        <w:rPr>
          <w:spacing w:val="-11"/>
          <w:sz w:val="24"/>
        </w:rPr>
        <w:t> </w:t>
      </w:r>
      <w:r>
        <w:rPr>
          <w:sz w:val="24"/>
        </w:rPr>
        <w:t>69(4):274-280</w:t>
      </w:r>
    </w:p>
    <w:p>
      <w:pPr>
        <w:pStyle w:val="ListParagraph"/>
        <w:numPr>
          <w:ilvl w:val="2"/>
          <w:numId w:val="5"/>
        </w:numPr>
        <w:tabs>
          <w:tab w:pos="842" w:val="left" w:leader="none"/>
        </w:tabs>
        <w:spacing w:line="244" w:lineRule="auto" w:before="0" w:after="0"/>
        <w:ind w:left="842" w:right="112" w:hanging="360"/>
        <w:jc w:val="both"/>
        <w:rPr>
          <w:sz w:val="24"/>
        </w:rPr>
      </w:pPr>
      <w:r>
        <w:rPr>
          <w:sz w:val="24"/>
        </w:rPr>
        <w:t>Marcela Rodríguez-Flores, ‘Síndrome de ovario poliquístico, el enfoque del internista’,Rev Med Inst Mex Seguro Soc 2011; 49 (6):</w:t>
      </w:r>
      <w:r>
        <w:rPr>
          <w:spacing w:val="-18"/>
          <w:sz w:val="24"/>
        </w:rPr>
        <w:t> </w:t>
      </w:r>
      <w:r>
        <w:rPr>
          <w:sz w:val="24"/>
        </w:rPr>
        <w:t>611-620</w:t>
      </w:r>
    </w:p>
    <w:p>
      <w:pPr>
        <w:pStyle w:val="ListParagraph"/>
        <w:numPr>
          <w:ilvl w:val="2"/>
          <w:numId w:val="5"/>
        </w:numPr>
        <w:tabs>
          <w:tab w:pos="842" w:val="left" w:leader="none"/>
        </w:tabs>
        <w:spacing w:line="240" w:lineRule="auto" w:before="2" w:after="0"/>
        <w:ind w:left="842" w:right="108" w:hanging="360"/>
        <w:jc w:val="both"/>
        <w:rPr>
          <w:sz w:val="24"/>
        </w:rPr>
      </w:pPr>
      <w:r>
        <w:rPr>
          <w:sz w:val="24"/>
        </w:rPr>
        <w:t>Finn</w:t>
      </w:r>
      <w:r>
        <w:rPr>
          <w:spacing w:val="-13"/>
          <w:sz w:val="24"/>
        </w:rPr>
        <w:t> </w:t>
      </w:r>
      <w:r>
        <w:rPr>
          <w:sz w:val="24"/>
        </w:rPr>
        <w:t>Geneser.</w:t>
      </w:r>
      <w:r>
        <w:rPr>
          <w:spacing w:val="-14"/>
          <w:sz w:val="24"/>
        </w:rPr>
        <w:t> </w:t>
      </w:r>
      <w:r>
        <w:rPr>
          <w:sz w:val="24"/>
        </w:rPr>
        <w:t>Histología:</w:t>
      </w:r>
      <w:r>
        <w:rPr>
          <w:spacing w:val="-13"/>
          <w:sz w:val="24"/>
        </w:rPr>
        <w:t> </w:t>
      </w:r>
      <w:r>
        <w:rPr>
          <w:sz w:val="24"/>
        </w:rPr>
        <w:t>sobre</w:t>
      </w:r>
      <w:r>
        <w:rPr>
          <w:spacing w:val="-14"/>
          <w:sz w:val="24"/>
        </w:rPr>
        <w:t> </w:t>
      </w:r>
      <w:r>
        <w:rPr>
          <w:sz w:val="24"/>
        </w:rPr>
        <w:t>bases</w:t>
      </w:r>
      <w:r>
        <w:rPr>
          <w:spacing w:val="-16"/>
          <w:sz w:val="24"/>
        </w:rPr>
        <w:t> </w:t>
      </w:r>
      <w:r>
        <w:rPr>
          <w:sz w:val="24"/>
        </w:rPr>
        <w:t>moleculares.</w:t>
      </w:r>
      <w:r>
        <w:rPr>
          <w:spacing w:val="-13"/>
          <w:sz w:val="24"/>
        </w:rPr>
        <w:t> </w:t>
      </w:r>
      <w:r>
        <w:rPr>
          <w:sz w:val="24"/>
        </w:rPr>
        <w:t>3era</w:t>
      </w:r>
      <w:r>
        <w:rPr>
          <w:spacing w:val="-16"/>
          <w:sz w:val="24"/>
        </w:rPr>
        <w:t> </w:t>
      </w:r>
      <w:r>
        <w:rPr>
          <w:sz w:val="24"/>
        </w:rPr>
        <w:t>edición.</w:t>
      </w:r>
      <w:r>
        <w:rPr>
          <w:spacing w:val="-13"/>
          <w:sz w:val="24"/>
        </w:rPr>
        <w:t> </w:t>
      </w:r>
      <w:r>
        <w:rPr>
          <w:sz w:val="24"/>
        </w:rPr>
        <w:t>Ed.</w:t>
      </w:r>
      <w:r>
        <w:rPr>
          <w:spacing w:val="-16"/>
          <w:sz w:val="24"/>
        </w:rPr>
        <w:t> </w:t>
      </w:r>
      <w:r>
        <w:rPr>
          <w:sz w:val="24"/>
        </w:rPr>
        <w:t>Médica Panamerica,</w:t>
      </w:r>
      <w:r>
        <w:rPr>
          <w:spacing w:val="-10"/>
          <w:sz w:val="24"/>
        </w:rPr>
        <w:t> </w:t>
      </w:r>
      <w:r>
        <w:rPr>
          <w:sz w:val="24"/>
        </w:rPr>
        <w:t>2000.</w:t>
      </w:r>
    </w:p>
    <w:p>
      <w:pPr>
        <w:spacing w:after="0" w:line="240" w:lineRule="auto"/>
        <w:jc w:val="both"/>
        <w:rPr>
          <w:sz w:val="24"/>
        </w:rPr>
        <w:sectPr>
          <w:pgSz w:w="12240" w:h="15840"/>
          <w:pgMar w:top="1500" w:bottom="280" w:left="1580" w:right="1580"/>
        </w:sectPr>
      </w:pPr>
    </w:p>
    <w:p>
      <w:pPr>
        <w:pStyle w:val="ListParagraph"/>
        <w:numPr>
          <w:ilvl w:val="2"/>
          <w:numId w:val="5"/>
        </w:numPr>
        <w:tabs>
          <w:tab w:pos="702" w:val="left" w:leader="none"/>
        </w:tabs>
        <w:spacing w:line="259" w:lineRule="auto" w:before="43" w:after="0"/>
        <w:ind w:left="702" w:right="552" w:hanging="360"/>
        <w:jc w:val="left"/>
        <w:rPr>
          <w:sz w:val="24"/>
        </w:rPr>
      </w:pPr>
      <w:r>
        <w:rPr>
          <w:sz w:val="24"/>
        </w:rPr>
        <w:t>David G. Gardner, Dolores Shoback. Endocrinologia Básica e Clínica de Greenspan (Lange) -</w:t>
      </w:r>
      <w:r>
        <w:rPr>
          <w:spacing w:val="-8"/>
          <w:sz w:val="24"/>
        </w:rPr>
        <w:t> </w:t>
      </w:r>
      <w:r>
        <w:rPr>
          <w:sz w:val="24"/>
        </w:rPr>
        <w:t>9ED</w:t>
      </w:r>
    </w:p>
    <w:p>
      <w:pPr>
        <w:pStyle w:val="BodyText"/>
        <w:ind w:left="701"/>
      </w:pPr>
      <w:r>
        <w:rPr/>
        <w:t>Ed. AMGH, 2013</w:t>
      </w:r>
    </w:p>
    <w:p>
      <w:pPr>
        <w:pStyle w:val="ListParagraph"/>
        <w:numPr>
          <w:ilvl w:val="2"/>
          <w:numId w:val="5"/>
        </w:numPr>
        <w:tabs>
          <w:tab w:pos="702" w:val="left" w:leader="none"/>
        </w:tabs>
        <w:spacing w:line="242" w:lineRule="auto" w:before="19" w:after="0"/>
        <w:ind w:left="702" w:right="110" w:hanging="360"/>
        <w:jc w:val="both"/>
        <w:rPr>
          <w:sz w:val="24"/>
        </w:rPr>
      </w:pPr>
      <w:r>
        <w:rPr>
          <w:sz w:val="24"/>
        </w:rPr>
        <w:t>Pooja</w:t>
      </w:r>
      <w:r>
        <w:rPr>
          <w:spacing w:val="-11"/>
          <w:sz w:val="24"/>
        </w:rPr>
        <w:t> </w:t>
      </w:r>
      <w:r>
        <w:rPr>
          <w:sz w:val="24"/>
        </w:rPr>
        <w:t>Gupta,</w:t>
      </w:r>
      <w:r>
        <w:rPr>
          <w:spacing w:val="-8"/>
          <w:sz w:val="24"/>
        </w:rPr>
        <w:t> </w:t>
      </w:r>
      <w:r>
        <w:rPr>
          <w:sz w:val="24"/>
        </w:rPr>
        <w:t>Harsha</w:t>
      </w:r>
      <w:r>
        <w:rPr>
          <w:spacing w:val="-10"/>
          <w:sz w:val="24"/>
        </w:rPr>
        <w:t> </w:t>
      </w:r>
      <w:r>
        <w:rPr>
          <w:sz w:val="24"/>
        </w:rPr>
        <w:t>Gaikwad.</w:t>
      </w:r>
      <w:r>
        <w:rPr>
          <w:spacing w:val="-8"/>
          <w:sz w:val="24"/>
        </w:rPr>
        <w:t> </w:t>
      </w:r>
      <w:r>
        <w:rPr>
          <w:sz w:val="24"/>
        </w:rPr>
        <w:t>‘Correlation</w:t>
      </w:r>
      <w:r>
        <w:rPr>
          <w:spacing w:val="-10"/>
          <w:sz w:val="24"/>
        </w:rPr>
        <w:t> </w:t>
      </w:r>
      <w:r>
        <w:rPr>
          <w:sz w:val="24"/>
        </w:rPr>
        <w:t>of</w:t>
      </w:r>
      <w:r>
        <w:rPr>
          <w:spacing w:val="-6"/>
          <w:sz w:val="24"/>
        </w:rPr>
        <w:t> </w:t>
      </w:r>
      <w:r>
        <w:rPr>
          <w:sz w:val="24"/>
        </w:rPr>
        <w:t>serverity</w:t>
      </w:r>
      <w:r>
        <w:rPr>
          <w:spacing w:val="-11"/>
          <w:sz w:val="24"/>
        </w:rPr>
        <w:t> </w:t>
      </w:r>
      <w:r>
        <w:rPr>
          <w:sz w:val="24"/>
        </w:rPr>
        <w:t>of</w:t>
      </w:r>
      <w:r>
        <w:rPr>
          <w:spacing w:val="-6"/>
          <w:sz w:val="24"/>
        </w:rPr>
        <w:t> </w:t>
      </w:r>
      <w:r>
        <w:rPr>
          <w:sz w:val="24"/>
        </w:rPr>
        <w:t>hyperandrogenism with</w:t>
      </w:r>
      <w:r>
        <w:rPr>
          <w:spacing w:val="-5"/>
          <w:sz w:val="24"/>
        </w:rPr>
        <w:t> </w:t>
      </w:r>
      <w:r>
        <w:rPr>
          <w:sz w:val="24"/>
        </w:rPr>
        <w:t>ovarian</w:t>
      </w:r>
      <w:r>
        <w:rPr>
          <w:spacing w:val="-5"/>
          <w:sz w:val="24"/>
        </w:rPr>
        <w:t> </w:t>
      </w:r>
      <w:r>
        <w:rPr>
          <w:sz w:val="24"/>
        </w:rPr>
        <w:t>stroma</w:t>
      </w:r>
      <w:r>
        <w:rPr>
          <w:spacing w:val="-7"/>
          <w:sz w:val="24"/>
        </w:rPr>
        <w:t> </w:t>
      </w:r>
      <w:r>
        <w:rPr>
          <w:sz w:val="24"/>
        </w:rPr>
        <w:t>to</w:t>
      </w:r>
      <w:r>
        <w:rPr>
          <w:spacing w:val="-9"/>
          <w:sz w:val="24"/>
        </w:rPr>
        <w:t> </w:t>
      </w:r>
      <w:r>
        <w:rPr>
          <w:sz w:val="24"/>
        </w:rPr>
        <w:t>area</w:t>
      </w:r>
      <w:r>
        <w:rPr>
          <w:spacing w:val="-4"/>
          <w:sz w:val="24"/>
        </w:rPr>
        <w:t> </w:t>
      </w:r>
      <w:r>
        <w:rPr>
          <w:sz w:val="24"/>
        </w:rPr>
        <w:t>ratio</w:t>
      </w:r>
      <w:r>
        <w:rPr>
          <w:spacing w:val="-7"/>
          <w:sz w:val="24"/>
        </w:rPr>
        <w:t> </w:t>
      </w:r>
      <w:r>
        <w:rPr>
          <w:sz w:val="24"/>
        </w:rPr>
        <w:t>and</w:t>
      </w:r>
      <w:r>
        <w:rPr>
          <w:spacing w:val="-5"/>
          <w:sz w:val="24"/>
        </w:rPr>
        <w:t> </w:t>
      </w:r>
      <w:r>
        <w:rPr>
          <w:sz w:val="24"/>
        </w:rPr>
        <w:t>stromal</w:t>
      </w:r>
      <w:r>
        <w:rPr>
          <w:spacing w:val="-4"/>
          <w:sz w:val="24"/>
        </w:rPr>
        <w:t> </w:t>
      </w:r>
      <w:r>
        <w:rPr>
          <w:sz w:val="24"/>
        </w:rPr>
        <w:t>echogenicity</w:t>
      </w:r>
      <w:r>
        <w:rPr>
          <w:spacing w:val="-7"/>
          <w:sz w:val="24"/>
        </w:rPr>
        <w:t> </w:t>
      </w:r>
      <w:r>
        <w:rPr>
          <w:sz w:val="24"/>
        </w:rPr>
        <w:t>in</w:t>
      </w:r>
      <w:r>
        <w:rPr>
          <w:spacing w:val="-7"/>
          <w:sz w:val="24"/>
        </w:rPr>
        <w:t> </w:t>
      </w:r>
      <w:r>
        <w:rPr>
          <w:sz w:val="24"/>
        </w:rPr>
        <w:t>polycystic</w:t>
      </w:r>
      <w:r>
        <w:rPr>
          <w:spacing w:val="-5"/>
          <w:sz w:val="24"/>
        </w:rPr>
        <w:t> </w:t>
      </w:r>
      <w:r>
        <w:rPr>
          <w:sz w:val="24"/>
        </w:rPr>
        <w:t>ovary síndrome patients’. International Journal of Reproduction, Contraception, Obstetrics and Gynecology. 2016 Jan;</w:t>
      </w:r>
      <w:r>
        <w:rPr>
          <w:spacing w:val="-13"/>
          <w:sz w:val="24"/>
        </w:rPr>
        <w:t> </w:t>
      </w:r>
      <w:r>
        <w:rPr>
          <w:sz w:val="24"/>
        </w:rPr>
        <w:t>5(1);116-120.</w:t>
      </w:r>
    </w:p>
    <w:p>
      <w:pPr>
        <w:pStyle w:val="ListParagraph"/>
        <w:numPr>
          <w:ilvl w:val="2"/>
          <w:numId w:val="5"/>
        </w:numPr>
        <w:tabs>
          <w:tab w:pos="702" w:val="left" w:leader="none"/>
        </w:tabs>
        <w:spacing w:line="240" w:lineRule="auto" w:before="0" w:after="0"/>
        <w:ind w:left="702" w:right="116" w:hanging="360"/>
        <w:jc w:val="left"/>
        <w:rPr>
          <w:sz w:val="24"/>
        </w:rPr>
      </w:pPr>
      <w:r>
        <w:rPr>
          <w:sz w:val="24"/>
        </w:rPr>
        <w:t>Ibáñez L, Marcos MV. Hiperandrogenismo. Protoc diagn ter pediatr. 2011;1:76-86</w:t>
      </w:r>
    </w:p>
    <w:p>
      <w:pPr>
        <w:pStyle w:val="ListParagraph"/>
        <w:numPr>
          <w:ilvl w:val="2"/>
          <w:numId w:val="5"/>
        </w:numPr>
        <w:tabs>
          <w:tab w:pos="702" w:val="left" w:leader="none"/>
        </w:tabs>
        <w:spacing w:line="247" w:lineRule="auto" w:before="2" w:after="0"/>
        <w:ind w:left="702" w:right="117" w:hanging="360"/>
        <w:jc w:val="left"/>
        <w:rPr>
          <w:sz w:val="24"/>
        </w:rPr>
      </w:pPr>
      <w:r>
        <w:rPr>
          <w:sz w:val="24"/>
        </w:rPr>
        <w:t>Dra. Teresa Sir P., Dra. Jessica Preisler R., Dr. Amiram Magendzo N., ‘Síndrome de Ovario Poliquístico. Diagnóstico y Manejo’, Rev. Med. Clin. Condes - 2013; 24(5)</w:t>
      </w:r>
      <w:r>
        <w:rPr>
          <w:spacing w:val="-10"/>
          <w:sz w:val="24"/>
        </w:rPr>
        <w:t> </w:t>
      </w:r>
      <w:r>
        <w:rPr>
          <w:sz w:val="24"/>
        </w:rPr>
        <w:t>818-826</w:t>
      </w:r>
    </w:p>
    <w:p>
      <w:pPr>
        <w:pStyle w:val="ListParagraph"/>
        <w:numPr>
          <w:ilvl w:val="2"/>
          <w:numId w:val="5"/>
        </w:numPr>
        <w:tabs>
          <w:tab w:pos="702" w:val="left" w:leader="none"/>
        </w:tabs>
        <w:spacing w:line="242" w:lineRule="auto" w:before="0" w:after="0"/>
        <w:ind w:left="702" w:right="106" w:hanging="360"/>
        <w:jc w:val="left"/>
        <w:rPr>
          <w:sz w:val="24"/>
        </w:rPr>
      </w:pPr>
      <w:r>
        <w:rPr>
          <w:sz w:val="24"/>
        </w:rPr>
        <w:t>Dra. Paulina M. Merino , Dra. Carolina Schulin-Zeuthen P. , Dra. Gigliola Cannoni B., Dra. Carolina Conejero R. Polycystic Ovary Syndrome: Diagnosis</w:t>
      </w:r>
      <w:r>
        <w:rPr>
          <w:spacing w:val="-16"/>
          <w:sz w:val="24"/>
        </w:rPr>
        <w:t> </w:t>
      </w:r>
      <w:r>
        <w:rPr>
          <w:sz w:val="24"/>
        </w:rPr>
        <w:t>During</w:t>
      </w:r>
      <w:r>
        <w:rPr>
          <w:spacing w:val="-16"/>
          <w:sz w:val="24"/>
        </w:rPr>
        <w:t> </w:t>
      </w:r>
      <w:r>
        <w:rPr>
          <w:sz w:val="24"/>
        </w:rPr>
        <w:t>Adolescence’.[Rev.</w:t>
      </w:r>
      <w:r>
        <w:rPr>
          <w:spacing w:val="-15"/>
          <w:sz w:val="24"/>
        </w:rPr>
        <w:t> </w:t>
      </w:r>
      <w:r>
        <w:rPr>
          <w:sz w:val="24"/>
        </w:rPr>
        <w:t>Med.</w:t>
      </w:r>
      <w:r>
        <w:rPr>
          <w:spacing w:val="-17"/>
          <w:sz w:val="24"/>
        </w:rPr>
        <w:t> </w:t>
      </w:r>
      <w:r>
        <w:rPr>
          <w:sz w:val="24"/>
        </w:rPr>
        <w:t>Clin.</w:t>
      </w:r>
      <w:r>
        <w:rPr>
          <w:spacing w:val="-11"/>
          <w:sz w:val="24"/>
        </w:rPr>
        <w:t> </w:t>
      </w:r>
      <w:r>
        <w:rPr>
          <w:sz w:val="24"/>
        </w:rPr>
        <w:t>Condes</w:t>
      </w:r>
      <w:r>
        <w:rPr>
          <w:spacing w:val="-17"/>
          <w:sz w:val="24"/>
        </w:rPr>
        <w:t> </w:t>
      </w:r>
      <w:r>
        <w:rPr>
          <w:sz w:val="24"/>
        </w:rPr>
        <w:t>-</w:t>
      </w:r>
      <w:r>
        <w:rPr>
          <w:spacing w:val="-18"/>
          <w:sz w:val="24"/>
        </w:rPr>
        <w:t> </w:t>
      </w:r>
      <w:r>
        <w:rPr>
          <w:sz w:val="24"/>
        </w:rPr>
        <w:t>2015;</w:t>
      </w:r>
      <w:r>
        <w:rPr>
          <w:spacing w:val="-17"/>
          <w:sz w:val="24"/>
        </w:rPr>
        <w:t> </w:t>
      </w:r>
      <w:r>
        <w:rPr>
          <w:sz w:val="24"/>
        </w:rPr>
        <w:t>26(1)</w:t>
      </w:r>
      <w:r>
        <w:rPr>
          <w:spacing w:val="-16"/>
          <w:sz w:val="24"/>
        </w:rPr>
        <w:t> </w:t>
      </w:r>
      <w:r>
        <w:rPr>
          <w:sz w:val="24"/>
        </w:rPr>
        <w:t>88-93].</w:t>
      </w:r>
    </w:p>
    <w:p>
      <w:pPr>
        <w:pStyle w:val="ListParagraph"/>
        <w:numPr>
          <w:ilvl w:val="2"/>
          <w:numId w:val="5"/>
        </w:numPr>
        <w:tabs>
          <w:tab w:pos="702" w:val="left" w:leader="none"/>
        </w:tabs>
        <w:spacing w:line="254" w:lineRule="auto" w:before="19" w:after="0"/>
        <w:ind w:left="702" w:right="107" w:hanging="360"/>
        <w:jc w:val="left"/>
        <w:rPr>
          <w:sz w:val="24"/>
        </w:rPr>
      </w:pPr>
      <w:r>
        <w:rPr>
          <w:sz w:val="24"/>
        </w:rPr>
        <w:t>Neil F. Goodman, Rhoda H. Cobin, Walter Futterweit, Jennifer S. Glueck, Richard S. Legro, and Enrico Carmina (2015) American Association Of Clinical</w:t>
      </w:r>
      <w:r>
        <w:rPr>
          <w:spacing w:val="-16"/>
          <w:sz w:val="24"/>
        </w:rPr>
        <w:t> </w:t>
      </w:r>
      <w:r>
        <w:rPr>
          <w:sz w:val="24"/>
        </w:rPr>
        <w:t>Endocrinologists,</w:t>
      </w:r>
      <w:r>
        <w:rPr>
          <w:spacing w:val="-15"/>
          <w:sz w:val="24"/>
        </w:rPr>
        <w:t> </w:t>
      </w:r>
      <w:r>
        <w:rPr>
          <w:sz w:val="24"/>
        </w:rPr>
        <w:t>American</w:t>
      </w:r>
      <w:r>
        <w:rPr>
          <w:spacing w:val="-15"/>
          <w:sz w:val="24"/>
        </w:rPr>
        <w:t> </w:t>
      </w:r>
      <w:r>
        <w:rPr>
          <w:sz w:val="24"/>
        </w:rPr>
        <w:t>College</w:t>
      </w:r>
      <w:r>
        <w:rPr>
          <w:spacing w:val="-15"/>
          <w:sz w:val="24"/>
        </w:rPr>
        <w:t> </w:t>
      </w:r>
      <w:r>
        <w:rPr>
          <w:sz w:val="24"/>
        </w:rPr>
        <w:t>Of</w:t>
      </w:r>
      <w:r>
        <w:rPr>
          <w:spacing w:val="-13"/>
          <w:sz w:val="24"/>
        </w:rPr>
        <w:t> </w:t>
      </w:r>
      <w:r>
        <w:rPr>
          <w:sz w:val="24"/>
        </w:rPr>
        <w:t>Endocrinology,</w:t>
      </w:r>
      <w:r>
        <w:rPr>
          <w:spacing w:val="-15"/>
          <w:sz w:val="24"/>
        </w:rPr>
        <w:t> </w:t>
      </w:r>
      <w:r>
        <w:rPr>
          <w:sz w:val="24"/>
        </w:rPr>
        <w:t>And</w:t>
      </w:r>
      <w:r>
        <w:rPr>
          <w:spacing w:val="-15"/>
          <w:sz w:val="24"/>
        </w:rPr>
        <w:t> </w:t>
      </w:r>
      <w:r>
        <w:rPr>
          <w:sz w:val="24"/>
        </w:rPr>
        <w:t>Androgen Excess And Pcos Society Disease State Clinical Review: Guide To The Best Practices In The Evaluation And Treatment Of Polycystic Ovary Syndrome - Part 1. Endocrine Practice: November 2015, Vol. 21, No. 11, pp.</w:t>
      </w:r>
      <w:r>
        <w:rPr>
          <w:spacing w:val="-25"/>
          <w:sz w:val="24"/>
        </w:rPr>
        <w:t> </w:t>
      </w:r>
      <w:r>
        <w:rPr>
          <w:sz w:val="24"/>
        </w:rPr>
        <w:t>1291-1300</w:t>
      </w:r>
    </w:p>
    <w:p>
      <w:pPr>
        <w:pStyle w:val="ListParagraph"/>
        <w:numPr>
          <w:ilvl w:val="2"/>
          <w:numId w:val="5"/>
        </w:numPr>
        <w:tabs>
          <w:tab w:pos="702" w:val="left" w:leader="none"/>
        </w:tabs>
        <w:spacing w:line="240" w:lineRule="auto" w:before="0" w:after="0"/>
        <w:ind w:left="702" w:right="110" w:hanging="360"/>
        <w:jc w:val="both"/>
        <w:rPr>
          <w:sz w:val="24"/>
        </w:rPr>
      </w:pPr>
      <w:r>
        <w:rPr>
          <w:sz w:val="24"/>
        </w:rPr>
        <w:t>Meek CL, Bravis V, Don A, Kaplan F. Polycystic ovary syndrome and the differential</w:t>
      </w:r>
      <w:r>
        <w:rPr>
          <w:spacing w:val="-18"/>
          <w:sz w:val="24"/>
        </w:rPr>
        <w:t> </w:t>
      </w:r>
      <w:r>
        <w:rPr>
          <w:sz w:val="24"/>
        </w:rPr>
        <w:t>diagnosis</w:t>
      </w:r>
      <w:r>
        <w:rPr>
          <w:spacing w:val="-18"/>
          <w:sz w:val="24"/>
        </w:rPr>
        <w:t> </w:t>
      </w:r>
      <w:r>
        <w:rPr>
          <w:sz w:val="24"/>
        </w:rPr>
        <w:t>of</w:t>
      </w:r>
      <w:r>
        <w:rPr>
          <w:spacing w:val="-15"/>
          <w:sz w:val="24"/>
        </w:rPr>
        <w:t> </w:t>
      </w:r>
      <w:r>
        <w:rPr>
          <w:sz w:val="24"/>
        </w:rPr>
        <w:t>hyperandrogenism.</w:t>
      </w:r>
      <w:r>
        <w:rPr>
          <w:spacing w:val="-14"/>
          <w:sz w:val="24"/>
        </w:rPr>
        <w:t> </w:t>
      </w:r>
      <w:r>
        <w:rPr>
          <w:sz w:val="24"/>
        </w:rPr>
        <w:t>The</w:t>
      </w:r>
      <w:r>
        <w:rPr>
          <w:spacing w:val="-15"/>
          <w:sz w:val="24"/>
        </w:rPr>
        <w:t> </w:t>
      </w:r>
      <w:r>
        <w:rPr>
          <w:sz w:val="24"/>
        </w:rPr>
        <w:t>Obstetrician</w:t>
      </w:r>
      <w:r>
        <w:rPr>
          <w:spacing w:val="-17"/>
          <w:sz w:val="24"/>
        </w:rPr>
        <w:t> </w:t>
      </w:r>
      <w:r>
        <w:rPr>
          <w:sz w:val="24"/>
        </w:rPr>
        <w:t>&amp;</w:t>
      </w:r>
      <w:r>
        <w:rPr>
          <w:spacing w:val="-18"/>
          <w:sz w:val="24"/>
        </w:rPr>
        <w:t> </w:t>
      </w:r>
      <w:r>
        <w:rPr>
          <w:sz w:val="24"/>
        </w:rPr>
        <w:t>Gynaecologist 2013.15:171–6.</w:t>
      </w:r>
    </w:p>
    <w:p>
      <w:pPr>
        <w:pStyle w:val="ListParagraph"/>
        <w:numPr>
          <w:ilvl w:val="2"/>
          <w:numId w:val="5"/>
        </w:numPr>
        <w:tabs>
          <w:tab w:pos="702" w:val="left" w:leader="none"/>
        </w:tabs>
        <w:spacing w:line="240" w:lineRule="auto" w:before="0" w:after="0"/>
        <w:ind w:left="702" w:right="107" w:hanging="360"/>
        <w:jc w:val="both"/>
        <w:rPr>
          <w:sz w:val="24"/>
        </w:rPr>
      </w:pPr>
      <w:r>
        <w:rPr>
          <w:sz w:val="24"/>
        </w:rPr>
        <w:t>Didier Dewailly, Marla E. Lujan, Enrico Carmina, Marcelle I. Cedars, Joop Laven, Robert J. Norman, and Hector F. Escobar-Morreale. Definition and significance of polycystic ovarian morphology: a task force report from the Androgen Excess and Polycystic Ovary Syndrome Society. Human Reproduction Update, Vol.20, No.3 pp. 334–352,</w:t>
      </w:r>
      <w:r>
        <w:rPr>
          <w:spacing w:val="-19"/>
          <w:sz w:val="24"/>
        </w:rPr>
        <w:t> </w:t>
      </w:r>
      <w:r>
        <w:rPr>
          <w:sz w:val="24"/>
        </w:rPr>
        <w:t>2014.</w:t>
      </w:r>
    </w:p>
    <w:p>
      <w:pPr>
        <w:pStyle w:val="BodyText"/>
        <w:spacing w:before="1"/>
        <w:rPr>
          <w:sz w:val="26"/>
        </w:rPr>
      </w:pPr>
    </w:p>
    <w:p>
      <w:pPr>
        <w:pStyle w:val="ListParagraph"/>
        <w:numPr>
          <w:ilvl w:val="2"/>
          <w:numId w:val="5"/>
        </w:numPr>
        <w:tabs>
          <w:tab w:pos="702" w:val="left" w:leader="none"/>
        </w:tabs>
        <w:spacing w:line="249" w:lineRule="auto" w:before="0" w:after="0"/>
        <w:ind w:left="702" w:right="114" w:hanging="360"/>
        <w:jc w:val="left"/>
        <w:rPr>
          <w:sz w:val="24"/>
        </w:rPr>
      </w:pPr>
      <w:r>
        <w:rPr>
          <w:sz w:val="24"/>
        </w:rPr>
        <w:t>Adam H.Balen, Joop S.E.Laven, Seang-Lin Tan and Didier Dewailly, ‘Ultrasound assessment of the polycystic ovary: international consensus definitions’, Human Reproduction Update, Vol.9, No.6 pp. 505±514,</w:t>
      </w:r>
      <w:r>
        <w:rPr>
          <w:spacing w:val="-34"/>
          <w:sz w:val="24"/>
        </w:rPr>
        <w:t> </w:t>
      </w:r>
      <w:r>
        <w:rPr>
          <w:sz w:val="24"/>
        </w:rPr>
        <w:t>2003</w:t>
      </w:r>
    </w:p>
    <w:p>
      <w:pPr>
        <w:pStyle w:val="ListParagraph"/>
        <w:numPr>
          <w:ilvl w:val="2"/>
          <w:numId w:val="5"/>
        </w:numPr>
        <w:tabs>
          <w:tab w:pos="702" w:val="left" w:leader="none"/>
        </w:tabs>
        <w:spacing w:line="261" w:lineRule="auto" w:before="71" w:after="0"/>
        <w:ind w:left="702" w:right="106" w:hanging="360"/>
        <w:jc w:val="both"/>
        <w:rPr>
          <w:sz w:val="24"/>
        </w:rPr>
      </w:pPr>
      <w:r>
        <w:rPr>
          <w:sz w:val="24"/>
        </w:rPr>
        <w:t>Anna Maria Fulghesu, M.D., Mario Ciampelli, M.D., Chiara Belosi, M.D., Rosanna Apa, M.D., Virginia Pavone, M.D., and Antonio Lanzone, M.D. </w:t>
      </w:r>
      <w:r>
        <w:rPr>
          <w:position w:val="12"/>
          <w:sz w:val="24"/>
        </w:rPr>
        <w:t>‘</w:t>
      </w:r>
      <w:r>
        <w:rPr>
          <w:sz w:val="24"/>
        </w:rPr>
        <w:t>A new ultrasound criterion for the diagnosis of polycystic ovary syndrome: the ovarian stroma/total area ratio’, FERTILITY AND STERILITY VOL. 76, NO. 2, AUGUST</w:t>
      </w:r>
      <w:r>
        <w:rPr>
          <w:spacing w:val="-6"/>
          <w:sz w:val="24"/>
        </w:rPr>
        <w:t> </w:t>
      </w:r>
      <w:r>
        <w:rPr>
          <w:sz w:val="24"/>
        </w:rPr>
        <w:t>2001</w:t>
      </w:r>
    </w:p>
    <w:p>
      <w:pPr>
        <w:pStyle w:val="ListParagraph"/>
        <w:numPr>
          <w:ilvl w:val="2"/>
          <w:numId w:val="5"/>
        </w:numPr>
        <w:tabs>
          <w:tab w:pos="702" w:val="left" w:leader="none"/>
          <w:tab w:pos="2237" w:val="left" w:leader="none"/>
          <w:tab w:pos="2812" w:val="left" w:leader="none"/>
          <w:tab w:pos="4156" w:val="left" w:leader="none"/>
          <w:tab w:pos="4650" w:val="left" w:leader="none"/>
          <w:tab w:pos="6011" w:val="left" w:leader="none"/>
          <w:tab w:pos="6942" w:val="left" w:leader="none"/>
          <w:tab w:pos="8330" w:val="left" w:leader="none"/>
        </w:tabs>
        <w:spacing w:line="256" w:lineRule="auto" w:before="0" w:after="0"/>
        <w:ind w:left="702" w:right="107" w:hanging="360"/>
        <w:jc w:val="left"/>
        <w:rPr>
          <w:sz w:val="24"/>
        </w:rPr>
      </w:pPr>
      <w:r>
        <w:rPr>
          <w:sz w:val="24"/>
        </w:rPr>
        <w:t>Cesare</w:t>
      </w:r>
      <w:r>
        <w:rPr>
          <w:spacing w:val="-9"/>
          <w:sz w:val="24"/>
        </w:rPr>
        <w:t> </w:t>
      </w:r>
      <w:r>
        <w:rPr>
          <w:sz w:val="24"/>
        </w:rPr>
        <w:t>Battaglia,</w:t>
      </w:r>
      <w:r>
        <w:rPr>
          <w:spacing w:val="-9"/>
          <w:sz w:val="24"/>
        </w:rPr>
        <w:t> </w:t>
      </w:r>
      <w:r>
        <w:rPr>
          <w:sz w:val="24"/>
        </w:rPr>
        <w:t>MD,</w:t>
      </w:r>
      <w:r>
        <w:rPr>
          <w:spacing w:val="-9"/>
          <w:sz w:val="24"/>
        </w:rPr>
        <w:t> </w:t>
      </w:r>
      <w:r>
        <w:rPr>
          <w:sz w:val="24"/>
        </w:rPr>
        <w:t>PhD,</w:t>
      </w:r>
      <w:r>
        <w:rPr>
          <w:spacing w:val="-9"/>
          <w:sz w:val="24"/>
        </w:rPr>
        <w:t> </w:t>
      </w:r>
      <w:r>
        <w:rPr>
          <w:sz w:val="24"/>
        </w:rPr>
        <w:t>Bruno</w:t>
      </w:r>
      <w:r>
        <w:rPr>
          <w:spacing w:val="-8"/>
          <w:sz w:val="24"/>
        </w:rPr>
        <w:t> </w:t>
      </w:r>
      <w:r>
        <w:rPr>
          <w:sz w:val="24"/>
        </w:rPr>
        <w:t>Battaglia,</w:t>
      </w:r>
      <w:r>
        <w:rPr>
          <w:spacing w:val="-9"/>
          <w:sz w:val="24"/>
        </w:rPr>
        <w:t> </w:t>
      </w:r>
      <w:r>
        <w:rPr>
          <w:sz w:val="24"/>
        </w:rPr>
        <w:t>MS,</w:t>
      </w:r>
      <w:r>
        <w:rPr>
          <w:spacing w:val="-9"/>
          <w:sz w:val="24"/>
        </w:rPr>
        <w:t> </w:t>
      </w:r>
      <w:r>
        <w:rPr>
          <w:sz w:val="24"/>
        </w:rPr>
        <w:t>Elena</w:t>
      </w:r>
      <w:r>
        <w:rPr>
          <w:spacing w:val="-8"/>
          <w:sz w:val="24"/>
        </w:rPr>
        <w:t> </w:t>
      </w:r>
      <w:r>
        <w:rPr>
          <w:sz w:val="24"/>
        </w:rPr>
        <w:t>Morotti,</w:t>
      </w:r>
      <w:r>
        <w:rPr>
          <w:spacing w:val="-9"/>
          <w:sz w:val="24"/>
        </w:rPr>
        <w:t> </w:t>
      </w:r>
      <w:r>
        <w:rPr>
          <w:sz w:val="24"/>
        </w:rPr>
        <w:t>MD,</w:t>
      </w:r>
      <w:r>
        <w:rPr>
          <w:spacing w:val="-9"/>
          <w:sz w:val="24"/>
        </w:rPr>
        <w:t> </w:t>
      </w:r>
      <w:r>
        <w:rPr>
          <w:sz w:val="24"/>
        </w:rPr>
        <w:t>Roberto Paradisi, MD, Isabella Zanetti, MS, Maria Cristina Meriggiola, MD, Stefano Venturoli,</w:t>
      </w:r>
      <w:r>
        <w:rPr>
          <w:spacing w:val="-6"/>
          <w:sz w:val="24"/>
        </w:rPr>
        <w:t> </w:t>
      </w:r>
      <w:r>
        <w:rPr>
          <w:sz w:val="24"/>
        </w:rPr>
        <w:t>MD,</w:t>
      </w:r>
      <w:r>
        <w:rPr>
          <w:spacing w:val="-7"/>
          <w:sz w:val="24"/>
        </w:rPr>
        <w:t> </w:t>
      </w:r>
      <w:r>
        <w:rPr>
          <w:sz w:val="24"/>
        </w:rPr>
        <w:t>‘Two-</w:t>
      </w:r>
      <w:r>
        <w:rPr>
          <w:spacing w:val="-7"/>
          <w:sz w:val="24"/>
        </w:rPr>
        <w:t> </w:t>
      </w:r>
      <w:r>
        <w:rPr>
          <w:sz w:val="24"/>
        </w:rPr>
        <w:t>and</w:t>
      </w:r>
      <w:r>
        <w:rPr>
          <w:spacing w:val="-8"/>
          <w:sz w:val="24"/>
        </w:rPr>
        <w:t> </w:t>
      </w:r>
      <w:r>
        <w:rPr>
          <w:sz w:val="24"/>
        </w:rPr>
        <w:t>Three-Dimensional</w:t>
      </w:r>
      <w:r>
        <w:rPr>
          <w:spacing w:val="-10"/>
          <w:sz w:val="24"/>
        </w:rPr>
        <w:t> </w:t>
      </w:r>
      <w:r>
        <w:rPr>
          <w:sz w:val="24"/>
        </w:rPr>
        <w:t>Sonographic</w:t>
      </w:r>
      <w:r>
        <w:rPr>
          <w:spacing w:val="-7"/>
          <w:sz w:val="24"/>
        </w:rPr>
        <w:t> </w:t>
      </w:r>
      <w:r>
        <w:rPr>
          <w:sz w:val="24"/>
        </w:rPr>
        <w:t>and</w:t>
      </w:r>
      <w:r>
        <w:rPr>
          <w:spacing w:val="-6"/>
          <w:sz w:val="24"/>
        </w:rPr>
        <w:t> </w:t>
      </w:r>
      <w:r>
        <w:rPr>
          <w:sz w:val="24"/>
        </w:rPr>
        <w:t>Color</w:t>
      </w:r>
      <w:r>
        <w:rPr>
          <w:spacing w:val="-10"/>
          <w:sz w:val="24"/>
        </w:rPr>
        <w:t> </w:t>
      </w:r>
      <w:r>
        <w:rPr>
          <w:sz w:val="24"/>
        </w:rPr>
        <w:t>Doppler Techniques</w:t>
        <w:tab/>
        <w:t>for</w:t>
        <w:tab/>
        <w:t>Diagnosis</w:t>
        <w:tab/>
        <w:t>of</w:t>
        <w:tab/>
        <w:t>Polycystic</w:t>
        <w:tab/>
        <w:t>Ovary</w:t>
        <w:tab/>
        <w:t>Syndrome</w:t>
        <w:tab/>
        <w:t>(The Stromal/Ovarian Volume Ratio as a New Diagnostic Criterion)’, J Ultrasound Med 2012;</w:t>
      </w:r>
      <w:r>
        <w:rPr>
          <w:spacing w:val="-8"/>
          <w:sz w:val="24"/>
        </w:rPr>
        <w:t> </w:t>
      </w:r>
      <w:r>
        <w:rPr>
          <w:sz w:val="24"/>
        </w:rPr>
        <w:t>31:1015–1024</w:t>
      </w:r>
    </w:p>
    <w:p>
      <w:pPr>
        <w:pStyle w:val="ListParagraph"/>
        <w:numPr>
          <w:ilvl w:val="2"/>
          <w:numId w:val="5"/>
        </w:numPr>
        <w:tabs>
          <w:tab w:pos="702" w:val="left" w:leader="none"/>
        </w:tabs>
        <w:spacing w:line="260" w:lineRule="exact" w:before="0" w:after="0"/>
        <w:ind w:left="702" w:right="0" w:hanging="360"/>
        <w:jc w:val="left"/>
        <w:rPr>
          <w:sz w:val="24"/>
        </w:rPr>
      </w:pPr>
      <w:r>
        <w:rPr>
          <w:sz w:val="24"/>
        </w:rPr>
        <w:t>Robert Y, Dubrulle F., Gaillandre L., Ardaens Y., Thomas-Desrousseaux</w:t>
      </w:r>
      <w:r>
        <w:rPr>
          <w:spacing w:val="63"/>
          <w:sz w:val="24"/>
        </w:rPr>
        <w:t> </w:t>
      </w:r>
      <w:r>
        <w:rPr>
          <w:sz w:val="24"/>
        </w:rPr>
        <w:t>P.,</w:t>
      </w:r>
    </w:p>
    <w:p>
      <w:pPr>
        <w:pStyle w:val="BodyText"/>
        <w:spacing w:before="5"/>
        <w:ind w:left="701"/>
      </w:pPr>
      <w:r>
        <w:rPr/>
        <w:t>Lemaitre   L.,   Dewailly   D.,   ‘Ultrasound   assessment   of   ovarian stroma</w:t>
      </w:r>
    </w:p>
    <w:p>
      <w:pPr>
        <w:spacing w:after="0"/>
        <w:sectPr>
          <w:pgSz w:w="12240" w:h="15840"/>
          <w:pgMar w:top="1220" w:bottom="280" w:left="1720" w:right="1580"/>
        </w:sectPr>
      </w:pPr>
    </w:p>
    <w:p>
      <w:pPr>
        <w:pStyle w:val="BodyText"/>
        <w:spacing w:line="244" w:lineRule="auto" w:before="40"/>
        <w:ind w:left="841" w:right="116"/>
        <w:jc w:val="both"/>
      </w:pPr>
      <w:r>
        <w:rPr/>
        <w:t>hypertrophy in hyperandrogenism and ovulation disorders: visual analysis versus computerized quantification.’, Fertility and Sterility (1995, 65 (2):307312)</w:t>
      </w:r>
    </w:p>
    <w:p>
      <w:pPr>
        <w:pStyle w:val="ListParagraph"/>
        <w:numPr>
          <w:ilvl w:val="2"/>
          <w:numId w:val="5"/>
        </w:numPr>
        <w:tabs>
          <w:tab w:pos="842" w:val="left" w:leader="none"/>
        </w:tabs>
        <w:spacing w:line="247" w:lineRule="auto" w:before="2" w:after="0"/>
        <w:ind w:left="842" w:right="119" w:hanging="360"/>
        <w:jc w:val="left"/>
        <w:rPr>
          <w:sz w:val="24"/>
        </w:rPr>
      </w:pPr>
      <w:r>
        <w:rPr>
          <w:sz w:val="24"/>
        </w:rPr>
        <w:t>Sonal Panchal, CB Nagori, ‘Baseline Scan and Ultrasound Diagnosis of PCOS’, Donald School Journal of Ultrasound in Obstetrics and Gynecology, July-September</w:t>
      </w:r>
      <w:r>
        <w:rPr>
          <w:spacing w:val="-11"/>
          <w:sz w:val="24"/>
        </w:rPr>
        <w:t> </w:t>
      </w:r>
      <w:r>
        <w:rPr>
          <w:sz w:val="24"/>
        </w:rPr>
        <w:t>2012;6(3):290-299</w:t>
      </w:r>
    </w:p>
    <w:p>
      <w:pPr>
        <w:pStyle w:val="ListParagraph"/>
        <w:numPr>
          <w:ilvl w:val="2"/>
          <w:numId w:val="5"/>
        </w:numPr>
        <w:tabs>
          <w:tab w:pos="842" w:val="left" w:leader="none"/>
        </w:tabs>
        <w:spacing w:line="242" w:lineRule="auto" w:before="0" w:after="0"/>
        <w:ind w:left="842" w:right="111" w:hanging="360"/>
        <w:jc w:val="both"/>
        <w:rPr>
          <w:sz w:val="24"/>
        </w:rPr>
      </w:pPr>
      <w:r>
        <w:rPr>
          <w:sz w:val="24"/>
        </w:rPr>
        <w:t>Sanjeed Ahmed, Shivani Pahwa, Chandan Jyoti Das, Farooq A Mir, Sobia Nisar,</w:t>
      </w:r>
      <w:r>
        <w:rPr>
          <w:spacing w:val="-13"/>
          <w:sz w:val="24"/>
        </w:rPr>
        <w:t> </w:t>
      </w:r>
      <w:r>
        <w:rPr>
          <w:sz w:val="24"/>
        </w:rPr>
        <w:t>Majid</w:t>
      </w:r>
      <w:r>
        <w:rPr>
          <w:spacing w:val="-12"/>
          <w:sz w:val="24"/>
        </w:rPr>
        <w:t> </w:t>
      </w:r>
      <w:r>
        <w:rPr>
          <w:sz w:val="24"/>
        </w:rPr>
        <w:t>Jehangir,</w:t>
      </w:r>
      <w:r>
        <w:rPr>
          <w:spacing w:val="-12"/>
          <w:sz w:val="24"/>
        </w:rPr>
        <w:t> </w:t>
      </w:r>
      <w:r>
        <w:rPr>
          <w:sz w:val="24"/>
        </w:rPr>
        <w:t>Shameem</w:t>
      </w:r>
      <w:r>
        <w:rPr>
          <w:spacing w:val="-11"/>
          <w:sz w:val="24"/>
        </w:rPr>
        <w:t> </w:t>
      </w:r>
      <w:r>
        <w:rPr>
          <w:sz w:val="24"/>
        </w:rPr>
        <w:t>Parveen,</w:t>
      </w:r>
      <w:r>
        <w:rPr>
          <w:spacing w:val="-12"/>
          <w:sz w:val="24"/>
        </w:rPr>
        <w:t> </w:t>
      </w:r>
      <w:r>
        <w:rPr>
          <w:sz w:val="24"/>
        </w:rPr>
        <w:t>Aafia</w:t>
      </w:r>
      <w:r>
        <w:rPr>
          <w:spacing w:val="-12"/>
          <w:sz w:val="24"/>
        </w:rPr>
        <w:t> </w:t>
      </w:r>
      <w:r>
        <w:rPr>
          <w:sz w:val="24"/>
        </w:rPr>
        <w:t>Rashid,</w:t>
      </w:r>
      <w:r>
        <w:rPr>
          <w:spacing w:val="-12"/>
          <w:sz w:val="24"/>
        </w:rPr>
        <w:t> </w:t>
      </w:r>
      <w:r>
        <w:rPr>
          <w:sz w:val="24"/>
        </w:rPr>
        <w:t>Mohd</w:t>
      </w:r>
      <w:r>
        <w:rPr>
          <w:spacing w:val="-12"/>
          <w:sz w:val="24"/>
        </w:rPr>
        <w:t> </w:t>
      </w:r>
      <w:r>
        <w:rPr>
          <w:sz w:val="24"/>
        </w:rPr>
        <w:t>Ashraf</w:t>
      </w:r>
      <w:r>
        <w:rPr>
          <w:spacing w:val="-10"/>
          <w:sz w:val="24"/>
        </w:rPr>
        <w:t> </w:t>
      </w:r>
      <w:r>
        <w:rPr>
          <w:sz w:val="24"/>
        </w:rPr>
        <w:t>Ganie. ‘Comparative</w:t>
      </w:r>
      <w:r>
        <w:rPr>
          <w:spacing w:val="-15"/>
          <w:sz w:val="24"/>
        </w:rPr>
        <w:t> </w:t>
      </w:r>
      <w:r>
        <w:rPr>
          <w:sz w:val="24"/>
        </w:rPr>
        <w:t>evaluation</w:t>
      </w:r>
      <w:r>
        <w:rPr>
          <w:spacing w:val="-15"/>
          <w:sz w:val="24"/>
        </w:rPr>
        <w:t> </w:t>
      </w:r>
      <w:r>
        <w:rPr>
          <w:sz w:val="24"/>
        </w:rPr>
        <w:t>of</w:t>
      </w:r>
      <w:r>
        <w:rPr>
          <w:spacing w:val="-13"/>
          <w:sz w:val="24"/>
        </w:rPr>
        <w:t> </w:t>
      </w:r>
      <w:r>
        <w:rPr>
          <w:sz w:val="24"/>
        </w:rPr>
        <w:t>sonographic</w:t>
      </w:r>
      <w:r>
        <w:rPr>
          <w:spacing w:val="-19"/>
          <w:sz w:val="24"/>
        </w:rPr>
        <w:t> </w:t>
      </w:r>
      <w:r>
        <w:rPr>
          <w:sz w:val="24"/>
        </w:rPr>
        <w:t>ovarian</w:t>
      </w:r>
      <w:r>
        <w:rPr>
          <w:spacing w:val="-15"/>
          <w:sz w:val="24"/>
        </w:rPr>
        <w:t> </w:t>
      </w:r>
      <w:r>
        <w:rPr>
          <w:sz w:val="24"/>
        </w:rPr>
        <w:t>morphology</w:t>
      </w:r>
      <w:r>
        <w:rPr>
          <w:spacing w:val="-18"/>
          <w:sz w:val="24"/>
        </w:rPr>
        <w:t> </w:t>
      </w:r>
      <w:r>
        <w:rPr>
          <w:sz w:val="24"/>
        </w:rPr>
        <w:t>of</w:t>
      </w:r>
      <w:r>
        <w:rPr>
          <w:spacing w:val="-13"/>
          <w:sz w:val="24"/>
        </w:rPr>
        <w:t> </w:t>
      </w:r>
      <w:r>
        <w:rPr>
          <w:sz w:val="24"/>
        </w:rPr>
        <w:t>Indian</w:t>
      </w:r>
      <w:r>
        <w:rPr>
          <w:spacing w:val="-15"/>
          <w:sz w:val="24"/>
        </w:rPr>
        <w:t> </w:t>
      </w:r>
      <w:r>
        <w:rPr>
          <w:sz w:val="24"/>
        </w:rPr>
        <w:t>women with polycystic ovary síndrome versus those normal women.’ Indian Journal of Endocrinology and Metabolism / Mar- Apr 2014 / Vol 18/ Issue</w:t>
      </w:r>
      <w:r>
        <w:rPr>
          <w:spacing w:val="-29"/>
          <w:sz w:val="24"/>
        </w:rPr>
        <w:t> </w:t>
      </w:r>
      <w:r>
        <w:rPr>
          <w:sz w:val="24"/>
        </w:rPr>
        <w:t>2</w:t>
      </w:r>
    </w:p>
    <w:p>
      <w:pPr>
        <w:pStyle w:val="ListParagraph"/>
        <w:numPr>
          <w:ilvl w:val="2"/>
          <w:numId w:val="5"/>
        </w:numPr>
        <w:tabs>
          <w:tab w:pos="842" w:val="left" w:leader="none"/>
        </w:tabs>
        <w:spacing w:line="240" w:lineRule="auto" w:before="0" w:after="0"/>
        <w:ind w:left="842" w:right="116" w:hanging="360"/>
        <w:jc w:val="left"/>
        <w:rPr>
          <w:sz w:val="24"/>
        </w:rPr>
      </w:pPr>
      <w:r>
        <w:rPr>
          <w:sz w:val="24"/>
        </w:rPr>
        <w:t>Dennis Kasper, Anthony Fauci, Stephen Hauser, Dan Longo, J. Larry Jameson, Joseph Loscalzo. Principios de Medicina Interna,</w:t>
      </w:r>
      <w:r>
        <w:rPr>
          <w:spacing w:val="-26"/>
          <w:sz w:val="24"/>
        </w:rPr>
        <w:t> </w:t>
      </w:r>
      <w:r>
        <w:rPr>
          <w:sz w:val="24"/>
        </w:rPr>
        <w:t>19edición.</w:t>
      </w:r>
    </w:p>
    <w:p>
      <w:pPr>
        <w:pStyle w:val="ListParagraph"/>
        <w:numPr>
          <w:ilvl w:val="2"/>
          <w:numId w:val="5"/>
        </w:numPr>
        <w:tabs>
          <w:tab w:pos="842" w:val="left" w:leader="none"/>
          <w:tab w:pos="1760" w:val="left" w:leader="none"/>
          <w:tab w:pos="4278" w:val="left" w:leader="none"/>
          <w:tab w:pos="5091" w:val="left" w:leader="none"/>
          <w:tab w:pos="6303" w:val="left" w:leader="none"/>
          <w:tab w:pos="6782" w:val="left" w:leader="none"/>
          <w:tab w:pos="7645" w:val="left" w:leader="none"/>
        </w:tabs>
        <w:spacing w:line="240" w:lineRule="auto" w:before="2" w:after="0"/>
        <w:ind w:left="842" w:right="115" w:hanging="360"/>
        <w:jc w:val="left"/>
        <w:rPr>
          <w:sz w:val="24"/>
        </w:rPr>
      </w:pPr>
      <w:r>
        <w:rPr>
          <w:sz w:val="24"/>
        </w:rPr>
        <w:t>Manuel</w:t>
      </w:r>
      <w:r>
        <w:rPr>
          <w:spacing w:val="-20"/>
          <w:sz w:val="24"/>
        </w:rPr>
        <w:t> </w:t>
      </w:r>
      <w:r>
        <w:rPr>
          <w:sz w:val="24"/>
        </w:rPr>
        <w:t>Nölting,</w:t>
      </w:r>
      <w:r>
        <w:rPr>
          <w:spacing w:val="-19"/>
          <w:sz w:val="24"/>
        </w:rPr>
        <w:t> </w:t>
      </w:r>
      <w:r>
        <w:rPr>
          <w:sz w:val="24"/>
        </w:rPr>
        <w:t>Miguel</w:t>
      </w:r>
      <w:r>
        <w:rPr>
          <w:spacing w:val="-20"/>
          <w:sz w:val="24"/>
        </w:rPr>
        <w:t> </w:t>
      </w:r>
      <w:r>
        <w:rPr>
          <w:sz w:val="24"/>
        </w:rPr>
        <w:t>Correa,</w:t>
      </w:r>
      <w:r>
        <w:rPr>
          <w:spacing w:val="-19"/>
          <w:sz w:val="24"/>
        </w:rPr>
        <w:t> </w:t>
      </w:r>
      <w:r>
        <w:rPr>
          <w:sz w:val="24"/>
        </w:rPr>
        <w:t>Carlos</w:t>
      </w:r>
      <w:r>
        <w:rPr>
          <w:spacing w:val="-20"/>
          <w:sz w:val="24"/>
        </w:rPr>
        <w:t> </w:t>
      </w:r>
      <w:r>
        <w:rPr>
          <w:sz w:val="24"/>
        </w:rPr>
        <w:t>López,</w:t>
      </w:r>
      <w:r>
        <w:rPr>
          <w:spacing w:val="-19"/>
          <w:sz w:val="24"/>
        </w:rPr>
        <w:t> </w:t>
      </w:r>
      <w:r>
        <w:rPr>
          <w:sz w:val="24"/>
        </w:rPr>
        <w:t>Héctor</w:t>
      </w:r>
      <w:r>
        <w:rPr>
          <w:spacing w:val="-20"/>
          <w:sz w:val="24"/>
        </w:rPr>
        <w:t> </w:t>
      </w:r>
      <w:r>
        <w:rPr>
          <w:sz w:val="24"/>
        </w:rPr>
        <w:t>Miechi,</w:t>
      </w:r>
      <w:r>
        <w:rPr>
          <w:spacing w:val="-20"/>
          <w:sz w:val="24"/>
        </w:rPr>
        <w:t> </w:t>
      </w:r>
      <w:r>
        <w:rPr>
          <w:sz w:val="24"/>
        </w:rPr>
        <w:t>Roberto</w:t>
      </w:r>
      <w:r>
        <w:rPr>
          <w:spacing w:val="-21"/>
          <w:sz w:val="24"/>
        </w:rPr>
        <w:t> </w:t>
      </w:r>
      <w:r>
        <w:rPr>
          <w:sz w:val="24"/>
        </w:rPr>
        <w:t>Tozzini, Carina</w:t>
        <w:tab/>
        <w:t>Ugarteche.’Consenso</w:t>
        <w:tab/>
        <w:t>sobre</w:t>
        <w:tab/>
        <w:t>síndrome</w:t>
        <w:tab/>
        <w:t>de</w:t>
        <w:tab/>
        <w:t>ovario</w:t>
        <w:tab/>
      </w:r>
      <w:r>
        <w:rPr>
          <w:spacing w:val="-1"/>
          <w:sz w:val="24"/>
        </w:rPr>
        <w:t>poliquístico’.</w:t>
      </w:r>
    </w:p>
    <w:p>
      <w:pPr>
        <w:pStyle w:val="BodyText"/>
        <w:spacing w:before="2"/>
        <w:ind w:left="841"/>
        <w:jc w:val="both"/>
      </w:pPr>
      <w:r>
        <w:rPr/>
        <w:t>F.A.S.G.O. Volumen 10 - Nº 2 - diciembre 2011.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8"/>
        </w:rPr>
      </w:pPr>
    </w:p>
    <w:p>
      <w:pPr>
        <w:spacing w:before="0"/>
        <w:ind w:left="107" w:right="28" w:firstLine="0"/>
        <w:jc w:val="left"/>
        <w:rPr>
          <w:sz w:val="22"/>
        </w:rPr>
      </w:pPr>
      <w:bookmarkStart w:name="_bookmark23" w:id="24"/>
      <w:bookmarkEnd w:id="24"/>
      <w:r>
        <w:rPr/>
      </w:r>
      <w:r>
        <w:rPr>
          <w:color w:val="5A5A5A"/>
          <w:sz w:val="22"/>
        </w:rPr>
        <w:t>ANEXOS</w:t>
      </w:r>
    </w:p>
    <w:p>
      <w:pPr>
        <w:pStyle w:val="BodyText"/>
        <w:rPr>
          <w:sz w:val="22"/>
        </w:rPr>
      </w:pPr>
    </w:p>
    <w:p>
      <w:pPr>
        <w:pStyle w:val="BodyText"/>
        <w:rPr>
          <w:sz w:val="22"/>
        </w:rPr>
      </w:pPr>
    </w:p>
    <w:p>
      <w:pPr>
        <w:pStyle w:val="BodyText"/>
        <w:spacing w:before="1"/>
        <w:rPr>
          <w:sz w:val="23"/>
        </w:rPr>
      </w:pPr>
    </w:p>
    <w:p>
      <w:pPr>
        <w:pStyle w:val="Heading1"/>
        <w:spacing w:before="1"/>
        <w:ind w:right="28"/>
      </w:pPr>
      <w:r>
        <w:rPr>
          <w:u w:val="thick"/>
        </w:rPr>
        <w:t>ANEXO 1</w:t>
      </w:r>
    </w:p>
    <w:p>
      <w:pPr>
        <w:pStyle w:val="BodyText"/>
        <w:spacing w:before="10"/>
        <w:rPr>
          <w:b/>
          <w:sz w:val="21"/>
        </w:rPr>
      </w:pPr>
    </w:p>
    <w:p>
      <w:pPr>
        <w:pStyle w:val="BodyText"/>
        <w:spacing w:before="70"/>
        <w:ind w:left="107" w:right="28"/>
      </w:pPr>
      <w:r>
        <w:rPr/>
        <w:t>TABLA DE RECOLECCIÓN DE DATOS DEL PACIENTE</w:t>
      </w:r>
    </w:p>
    <w:p>
      <w:pPr>
        <w:spacing w:after="0"/>
        <w:sectPr>
          <w:pgSz w:w="12240" w:h="15840"/>
          <w:pgMar w:top="1220" w:bottom="280" w:left="1580" w:right="1580"/>
        </w:sectPr>
      </w:pPr>
    </w:p>
    <w:p>
      <w:pPr>
        <w:tabs>
          <w:tab w:pos="2986" w:val="left" w:leader="none"/>
          <w:tab w:pos="3826" w:val="left" w:leader="none"/>
          <w:tab w:pos="6001" w:val="left" w:leader="none"/>
          <w:tab w:pos="7366" w:val="left" w:leader="none"/>
        </w:tabs>
        <w:spacing w:before="63" w:after="14"/>
        <w:ind w:left="1248" w:right="0" w:firstLine="0"/>
        <w:jc w:val="left"/>
        <w:rPr>
          <w:b/>
          <w:i/>
          <w:sz w:val="14"/>
        </w:rPr>
      </w:pPr>
      <w:r>
        <w:rPr>
          <w:b/>
          <w:i/>
          <w:sz w:val="14"/>
        </w:rPr>
        <w:t>NOMBRE</w:t>
        <w:tab/>
        <w:t>EDAD</w:t>
        <w:tab/>
        <w:t>NUMERO</w:t>
      </w:r>
      <w:r>
        <w:rPr>
          <w:b/>
          <w:i/>
          <w:spacing w:val="-3"/>
          <w:sz w:val="14"/>
        </w:rPr>
        <w:t> </w:t>
      </w:r>
      <w:r>
        <w:rPr>
          <w:b/>
          <w:i/>
          <w:sz w:val="14"/>
        </w:rPr>
        <w:t>DE</w:t>
      </w:r>
      <w:r>
        <w:rPr>
          <w:b/>
          <w:i/>
          <w:spacing w:val="-2"/>
          <w:sz w:val="14"/>
        </w:rPr>
        <w:t> </w:t>
      </w:r>
      <w:r>
        <w:rPr>
          <w:b/>
          <w:i/>
          <w:sz w:val="14"/>
        </w:rPr>
        <w:t>AFILIACION</w:t>
        <w:tab/>
        <w:t>TELEFONO</w:t>
        <w:tab/>
        <w:t>VIDA SEXUAL</w:t>
      </w:r>
      <w:r>
        <w:rPr>
          <w:b/>
          <w:i/>
          <w:spacing w:val="-7"/>
          <w:sz w:val="14"/>
        </w:rPr>
        <w:t> </w:t>
      </w:r>
      <w:r>
        <w:rPr>
          <w:b/>
          <w:i/>
          <w:sz w:val="14"/>
        </w:rPr>
        <w:t>ACTIVA</w:t>
      </w: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1"/>
        <w:gridCol w:w="910"/>
        <w:gridCol w:w="2074"/>
        <w:gridCol w:w="1334"/>
        <w:gridCol w:w="2136"/>
      </w:tblGrid>
      <w:tr>
        <w:trPr>
          <w:trHeight w:val="490" w:hRule="exact"/>
        </w:trPr>
        <w:tc>
          <w:tcPr>
            <w:tcW w:w="2621" w:type="dxa"/>
            <w:vMerge w:val="restart"/>
            <w:tcBorders>
              <w:left w:val="nil"/>
            </w:tcBorders>
            <w:shd w:val="clear" w:color="auto" w:fill="DBDBDB"/>
          </w:tcPr>
          <w:p>
            <w:pPr>
              <w:pStyle w:val="TableParagraph"/>
              <w:spacing w:before="60"/>
              <w:ind w:left="103"/>
              <w:rPr>
                <w:b/>
                <w:i/>
                <w:sz w:val="14"/>
              </w:rPr>
            </w:pPr>
            <w:r>
              <w:rPr>
                <w:b/>
                <w:i/>
                <w:w w:val="99"/>
                <w:sz w:val="14"/>
              </w:rPr>
              <w:t>1</w:t>
            </w:r>
          </w:p>
        </w:tc>
        <w:tc>
          <w:tcPr>
            <w:tcW w:w="910" w:type="dxa"/>
            <w:tcBorders>
              <w:bottom w:val="dotted" w:sz="4" w:space="0" w:color="000000"/>
              <w:right w:val="dotted" w:sz="4" w:space="0" w:color="000000"/>
            </w:tcBorders>
          </w:tcPr>
          <w:p>
            <w:pPr/>
          </w:p>
        </w:tc>
        <w:tc>
          <w:tcPr>
            <w:tcW w:w="2074" w:type="dxa"/>
            <w:tcBorders>
              <w:left w:val="dotted" w:sz="4" w:space="0" w:color="000000"/>
              <w:bottom w:val="dotted" w:sz="4" w:space="0" w:color="000000"/>
              <w:right w:val="dotted" w:sz="4" w:space="0" w:color="000000"/>
            </w:tcBorders>
          </w:tcPr>
          <w:p>
            <w:pPr/>
          </w:p>
        </w:tc>
        <w:tc>
          <w:tcPr>
            <w:tcW w:w="1334" w:type="dxa"/>
            <w:tcBorders>
              <w:left w:val="dotted" w:sz="4" w:space="0" w:color="000000"/>
              <w:bottom w:val="dotted" w:sz="4" w:space="0" w:color="000000"/>
              <w:right w:val="dotted" w:sz="4" w:space="0" w:color="000000"/>
            </w:tcBorders>
          </w:tcPr>
          <w:p>
            <w:pPr/>
          </w:p>
        </w:tc>
        <w:tc>
          <w:tcPr>
            <w:tcW w:w="2136" w:type="dxa"/>
            <w:tcBorders>
              <w:left w:val="dotted" w:sz="4" w:space="0" w:color="000000"/>
              <w:bottom w:val="dotted" w:sz="4" w:space="0" w:color="000000"/>
              <w:right w:val="nil"/>
            </w:tcBorders>
          </w:tcPr>
          <w:p>
            <w:pPr/>
          </w:p>
        </w:tc>
      </w:tr>
      <w:tr>
        <w:trPr>
          <w:trHeight w:val="121" w:hRule="exact"/>
        </w:trPr>
        <w:tc>
          <w:tcPr>
            <w:tcW w:w="2621" w:type="dxa"/>
            <w:vMerge/>
            <w:tcBorders>
              <w:left w:val="nil"/>
              <w:bottom w:val="single" w:sz="34" w:space="0" w:color="FFFFFF"/>
            </w:tcBorders>
            <w:shd w:val="clear" w:color="auto" w:fill="DBDBDB"/>
          </w:tcPr>
          <w:p>
            <w:pPr/>
          </w:p>
        </w:tc>
        <w:tc>
          <w:tcPr>
            <w:tcW w:w="910" w:type="dxa"/>
            <w:vMerge w:val="restart"/>
            <w:tcBorders>
              <w:top w:val="dotted" w:sz="4" w:space="0" w:color="000000"/>
              <w:right w:val="dotted" w:sz="4" w:space="0" w:color="000000"/>
            </w:tcBorders>
            <w:shd w:val="clear" w:color="auto" w:fill="EDEDED"/>
          </w:tcPr>
          <w:p>
            <w:pPr/>
          </w:p>
        </w:tc>
        <w:tc>
          <w:tcPr>
            <w:tcW w:w="2074" w:type="dxa"/>
            <w:vMerge w:val="restart"/>
            <w:tcBorders>
              <w:top w:val="dotted" w:sz="4" w:space="0" w:color="000000"/>
              <w:left w:val="dotted" w:sz="4" w:space="0" w:color="000000"/>
              <w:right w:val="dotted" w:sz="4" w:space="0" w:color="000000"/>
            </w:tcBorders>
            <w:shd w:val="clear" w:color="auto" w:fill="EDEDED"/>
          </w:tcPr>
          <w:p>
            <w:pPr/>
          </w:p>
        </w:tc>
        <w:tc>
          <w:tcPr>
            <w:tcW w:w="1334" w:type="dxa"/>
            <w:vMerge w:val="restart"/>
            <w:tcBorders>
              <w:top w:val="dotted" w:sz="4" w:space="0" w:color="000000"/>
              <w:left w:val="dotted" w:sz="4" w:space="0" w:color="000000"/>
              <w:right w:val="dotted" w:sz="4" w:space="0" w:color="000000"/>
            </w:tcBorders>
            <w:shd w:val="clear" w:color="auto" w:fill="EDEDED"/>
          </w:tcPr>
          <w:p>
            <w:pPr/>
          </w:p>
        </w:tc>
        <w:tc>
          <w:tcPr>
            <w:tcW w:w="2136" w:type="dxa"/>
            <w:vMerge w:val="restart"/>
            <w:tcBorders>
              <w:top w:val="dotted" w:sz="4" w:space="0" w:color="000000"/>
              <w:left w:val="dotted" w:sz="4" w:space="0" w:color="000000"/>
              <w:right w:val="nil"/>
            </w:tcBorders>
            <w:shd w:val="clear" w:color="auto" w:fill="EDEDED"/>
          </w:tcPr>
          <w:p>
            <w:pPr/>
          </w:p>
        </w:tc>
      </w:tr>
      <w:tr>
        <w:trPr>
          <w:trHeight w:val="640" w:hRule="exact"/>
        </w:trPr>
        <w:tc>
          <w:tcPr>
            <w:tcW w:w="2621" w:type="dxa"/>
            <w:vMerge w:val="restart"/>
            <w:tcBorders>
              <w:top w:val="single" w:sz="34" w:space="0" w:color="FFFFFF"/>
              <w:left w:val="nil"/>
            </w:tcBorders>
            <w:shd w:val="clear" w:color="auto" w:fill="DBDBDB"/>
          </w:tcPr>
          <w:p>
            <w:pPr>
              <w:pStyle w:val="TableParagraph"/>
              <w:rPr>
                <w:b/>
                <w:i/>
                <w:sz w:val="14"/>
              </w:rPr>
            </w:pPr>
          </w:p>
          <w:p>
            <w:pPr>
              <w:pStyle w:val="TableParagraph"/>
              <w:spacing w:before="120"/>
              <w:ind w:left="103"/>
              <w:rPr>
                <w:b/>
                <w:i/>
                <w:sz w:val="14"/>
              </w:rPr>
            </w:pPr>
            <w:r>
              <w:rPr>
                <w:b/>
                <w:i/>
                <w:w w:val="99"/>
                <w:sz w:val="14"/>
              </w:rPr>
              <w:t>2</w:t>
            </w:r>
          </w:p>
        </w:tc>
        <w:tc>
          <w:tcPr>
            <w:tcW w:w="910" w:type="dxa"/>
            <w:vMerge/>
            <w:tcBorders>
              <w:bottom w:val="single" w:sz="4" w:space="0" w:color="000000"/>
              <w:right w:val="dotted" w:sz="4" w:space="0" w:color="000000"/>
            </w:tcBorders>
            <w:shd w:val="clear" w:color="auto" w:fill="EDEDED"/>
          </w:tcPr>
          <w:p>
            <w:pPr/>
          </w:p>
        </w:tc>
        <w:tc>
          <w:tcPr>
            <w:tcW w:w="2074" w:type="dxa"/>
            <w:vMerge/>
            <w:tcBorders>
              <w:left w:val="dotted" w:sz="4" w:space="0" w:color="000000"/>
              <w:bottom w:val="single" w:sz="4" w:space="0" w:color="000000"/>
              <w:right w:val="dotted" w:sz="4" w:space="0" w:color="000000"/>
            </w:tcBorders>
            <w:shd w:val="clear" w:color="auto" w:fill="EDEDED"/>
          </w:tcPr>
          <w:p>
            <w:pPr/>
          </w:p>
        </w:tc>
        <w:tc>
          <w:tcPr>
            <w:tcW w:w="1334" w:type="dxa"/>
            <w:vMerge/>
            <w:tcBorders>
              <w:left w:val="dotted" w:sz="4" w:space="0" w:color="000000"/>
              <w:bottom w:val="single" w:sz="4" w:space="0" w:color="000000"/>
              <w:right w:val="dotted" w:sz="4" w:space="0" w:color="000000"/>
            </w:tcBorders>
            <w:shd w:val="clear" w:color="auto" w:fill="EDEDED"/>
          </w:tcPr>
          <w:p>
            <w:pPr/>
          </w:p>
        </w:tc>
        <w:tc>
          <w:tcPr>
            <w:tcW w:w="2136" w:type="dxa"/>
            <w:vMerge/>
            <w:tcBorders>
              <w:left w:val="dotted" w:sz="4" w:space="0" w:color="000000"/>
              <w:bottom w:val="single" w:sz="4" w:space="0" w:color="000000"/>
              <w:right w:val="nil"/>
            </w:tcBorders>
            <w:shd w:val="clear" w:color="auto" w:fill="EDEDED"/>
          </w:tcPr>
          <w:p>
            <w:pPr/>
          </w:p>
        </w:tc>
      </w:tr>
      <w:tr>
        <w:trPr>
          <w:trHeight w:val="121" w:hRule="exact"/>
        </w:trPr>
        <w:tc>
          <w:tcPr>
            <w:tcW w:w="2621" w:type="dxa"/>
            <w:vMerge/>
            <w:tcBorders>
              <w:left w:val="nil"/>
              <w:bottom w:val="single" w:sz="34" w:space="0" w:color="FFFFFF"/>
            </w:tcBorders>
            <w:shd w:val="clear" w:color="auto" w:fill="DBDBDB"/>
          </w:tcPr>
          <w:p>
            <w:pPr/>
          </w:p>
        </w:tc>
        <w:tc>
          <w:tcPr>
            <w:tcW w:w="910" w:type="dxa"/>
            <w:vMerge w:val="restart"/>
            <w:tcBorders>
              <w:top w:val="single" w:sz="4" w:space="0" w:color="000000"/>
              <w:right w:val="dotted" w:sz="4" w:space="0" w:color="000000"/>
            </w:tcBorders>
          </w:tcPr>
          <w:p>
            <w:pPr/>
          </w:p>
        </w:tc>
        <w:tc>
          <w:tcPr>
            <w:tcW w:w="2074" w:type="dxa"/>
            <w:vMerge w:val="restart"/>
            <w:tcBorders>
              <w:top w:val="single" w:sz="4" w:space="0" w:color="000000"/>
              <w:left w:val="dotted" w:sz="4" w:space="0" w:color="000000"/>
              <w:right w:val="dotted" w:sz="4" w:space="0" w:color="000000"/>
            </w:tcBorders>
          </w:tcPr>
          <w:p>
            <w:pPr/>
          </w:p>
        </w:tc>
        <w:tc>
          <w:tcPr>
            <w:tcW w:w="1334" w:type="dxa"/>
            <w:vMerge w:val="restart"/>
            <w:tcBorders>
              <w:top w:val="single" w:sz="4" w:space="0" w:color="000000"/>
              <w:left w:val="dotted" w:sz="4" w:space="0" w:color="000000"/>
              <w:right w:val="dotted" w:sz="4" w:space="0" w:color="000000"/>
            </w:tcBorders>
          </w:tcPr>
          <w:p>
            <w:pPr/>
          </w:p>
        </w:tc>
        <w:tc>
          <w:tcPr>
            <w:tcW w:w="2136" w:type="dxa"/>
            <w:vMerge w:val="restart"/>
            <w:tcBorders>
              <w:top w:val="single" w:sz="4" w:space="0" w:color="000000"/>
              <w:left w:val="dotted" w:sz="4" w:space="0" w:color="000000"/>
              <w:right w:val="nil"/>
            </w:tcBorders>
          </w:tcPr>
          <w:p>
            <w:pPr/>
          </w:p>
        </w:tc>
      </w:tr>
      <w:tr>
        <w:trPr>
          <w:trHeight w:val="642" w:hRule="exact"/>
        </w:trPr>
        <w:tc>
          <w:tcPr>
            <w:tcW w:w="2621" w:type="dxa"/>
            <w:vMerge w:val="restart"/>
            <w:tcBorders>
              <w:top w:val="single" w:sz="34" w:space="0" w:color="FFFFFF"/>
              <w:left w:val="nil"/>
            </w:tcBorders>
            <w:shd w:val="clear" w:color="auto" w:fill="DBDBDB"/>
          </w:tcPr>
          <w:p>
            <w:pPr>
              <w:pStyle w:val="TableParagraph"/>
              <w:rPr>
                <w:b/>
                <w:i/>
                <w:sz w:val="14"/>
              </w:rPr>
            </w:pPr>
          </w:p>
          <w:p>
            <w:pPr>
              <w:pStyle w:val="TableParagraph"/>
              <w:spacing w:before="123"/>
              <w:ind w:left="103"/>
              <w:rPr>
                <w:b/>
                <w:i/>
                <w:sz w:val="14"/>
              </w:rPr>
            </w:pPr>
            <w:r>
              <w:rPr>
                <w:b/>
                <w:i/>
                <w:w w:val="99"/>
                <w:sz w:val="14"/>
              </w:rPr>
              <w:t>3</w:t>
            </w:r>
          </w:p>
        </w:tc>
        <w:tc>
          <w:tcPr>
            <w:tcW w:w="910" w:type="dxa"/>
            <w:vMerge/>
            <w:tcBorders>
              <w:bottom w:val="dotted" w:sz="4" w:space="0" w:color="000000"/>
              <w:right w:val="dotted" w:sz="4" w:space="0" w:color="000000"/>
            </w:tcBorders>
          </w:tcPr>
          <w:p>
            <w:pPr/>
          </w:p>
        </w:tc>
        <w:tc>
          <w:tcPr>
            <w:tcW w:w="2074" w:type="dxa"/>
            <w:vMerge/>
            <w:tcBorders>
              <w:left w:val="dotted" w:sz="4" w:space="0" w:color="000000"/>
              <w:bottom w:val="dotted" w:sz="4" w:space="0" w:color="000000"/>
              <w:right w:val="dotted" w:sz="4" w:space="0" w:color="000000"/>
            </w:tcBorders>
          </w:tcPr>
          <w:p>
            <w:pPr/>
          </w:p>
        </w:tc>
        <w:tc>
          <w:tcPr>
            <w:tcW w:w="1334" w:type="dxa"/>
            <w:vMerge/>
            <w:tcBorders>
              <w:left w:val="dotted" w:sz="4" w:space="0" w:color="000000"/>
              <w:bottom w:val="dotted" w:sz="4" w:space="0" w:color="000000"/>
              <w:right w:val="dotted" w:sz="4" w:space="0" w:color="000000"/>
            </w:tcBorders>
          </w:tcPr>
          <w:p>
            <w:pPr/>
          </w:p>
        </w:tc>
        <w:tc>
          <w:tcPr>
            <w:tcW w:w="2136" w:type="dxa"/>
            <w:vMerge/>
            <w:tcBorders>
              <w:left w:val="dotted" w:sz="4" w:space="0" w:color="000000"/>
              <w:bottom w:val="dotted" w:sz="4" w:space="0" w:color="000000"/>
              <w:right w:val="nil"/>
            </w:tcBorders>
          </w:tcPr>
          <w:p>
            <w:pPr/>
          </w:p>
        </w:tc>
      </w:tr>
      <w:tr>
        <w:trPr>
          <w:trHeight w:val="121" w:hRule="exact"/>
        </w:trPr>
        <w:tc>
          <w:tcPr>
            <w:tcW w:w="2621" w:type="dxa"/>
            <w:vMerge/>
            <w:tcBorders>
              <w:left w:val="nil"/>
              <w:bottom w:val="single" w:sz="34" w:space="0" w:color="FFFFFF"/>
            </w:tcBorders>
            <w:shd w:val="clear" w:color="auto" w:fill="DBDBDB"/>
          </w:tcPr>
          <w:p>
            <w:pPr/>
          </w:p>
        </w:tc>
        <w:tc>
          <w:tcPr>
            <w:tcW w:w="910" w:type="dxa"/>
            <w:vMerge w:val="restart"/>
            <w:tcBorders>
              <w:top w:val="dotted" w:sz="4" w:space="0" w:color="000000"/>
              <w:right w:val="dotted" w:sz="4" w:space="0" w:color="000000"/>
            </w:tcBorders>
            <w:shd w:val="clear" w:color="auto" w:fill="EDEDED"/>
          </w:tcPr>
          <w:p>
            <w:pPr/>
          </w:p>
        </w:tc>
        <w:tc>
          <w:tcPr>
            <w:tcW w:w="2074" w:type="dxa"/>
            <w:vMerge w:val="restart"/>
            <w:tcBorders>
              <w:top w:val="dotted" w:sz="4" w:space="0" w:color="000000"/>
              <w:left w:val="dotted" w:sz="4" w:space="0" w:color="000000"/>
              <w:right w:val="dotted" w:sz="4" w:space="0" w:color="000000"/>
            </w:tcBorders>
            <w:shd w:val="clear" w:color="auto" w:fill="EDEDED"/>
          </w:tcPr>
          <w:p>
            <w:pPr/>
          </w:p>
        </w:tc>
        <w:tc>
          <w:tcPr>
            <w:tcW w:w="1334" w:type="dxa"/>
            <w:vMerge w:val="restart"/>
            <w:tcBorders>
              <w:top w:val="dotted" w:sz="4" w:space="0" w:color="000000"/>
              <w:left w:val="dotted" w:sz="4" w:space="0" w:color="000000"/>
              <w:right w:val="dotted" w:sz="4" w:space="0" w:color="000000"/>
            </w:tcBorders>
            <w:shd w:val="clear" w:color="auto" w:fill="EDEDED"/>
          </w:tcPr>
          <w:p>
            <w:pPr/>
          </w:p>
        </w:tc>
        <w:tc>
          <w:tcPr>
            <w:tcW w:w="2136" w:type="dxa"/>
            <w:vMerge w:val="restart"/>
            <w:tcBorders>
              <w:top w:val="dotted" w:sz="4" w:space="0" w:color="000000"/>
              <w:left w:val="dotted" w:sz="4" w:space="0" w:color="000000"/>
              <w:right w:val="nil"/>
            </w:tcBorders>
            <w:shd w:val="clear" w:color="auto" w:fill="EDEDED"/>
          </w:tcPr>
          <w:p>
            <w:pPr/>
          </w:p>
        </w:tc>
      </w:tr>
      <w:tr>
        <w:trPr>
          <w:trHeight w:val="640" w:hRule="exact"/>
        </w:trPr>
        <w:tc>
          <w:tcPr>
            <w:tcW w:w="2621" w:type="dxa"/>
            <w:vMerge w:val="restart"/>
            <w:tcBorders>
              <w:top w:val="single" w:sz="34" w:space="0" w:color="FFFFFF"/>
              <w:left w:val="nil"/>
            </w:tcBorders>
            <w:shd w:val="clear" w:color="auto" w:fill="DBDBDB"/>
          </w:tcPr>
          <w:p>
            <w:pPr>
              <w:pStyle w:val="TableParagraph"/>
              <w:rPr>
                <w:b/>
                <w:i/>
                <w:sz w:val="14"/>
              </w:rPr>
            </w:pPr>
          </w:p>
          <w:p>
            <w:pPr>
              <w:pStyle w:val="TableParagraph"/>
              <w:spacing w:before="120"/>
              <w:ind w:left="103"/>
              <w:rPr>
                <w:b/>
                <w:i/>
                <w:sz w:val="14"/>
              </w:rPr>
            </w:pPr>
            <w:r>
              <w:rPr>
                <w:b/>
                <w:i/>
                <w:w w:val="99"/>
                <w:sz w:val="14"/>
              </w:rPr>
              <w:t>4</w:t>
            </w:r>
          </w:p>
        </w:tc>
        <w:tc>
          <w:tcPr>
            <w:tcW w:w="910" w:type="dxa"/>
            <w:vMerge/>
            <w:tcBorders>
              <w:bottom w:val="single" w:sz="4" w:space="0" w:color="000000"/>
              <w:right w:val="dotted" w:sz="4" w:space="0" w:color="000000"/>
            </w:tcBorders>
            <w:shd w:val="clear" w:color="auto" w:fill="EDEDED"/>
          </w:tcPr>
          <w:p>
            <w:pPr/>
          </w:p>
        </w:tc>
        <w:tc>
          <w:tcPr>
            <w:tcW w:w="2074" w:type="dxa"/>
            <w:vMerge/>
            <w:tcBorders>
              <w:left w:val="dotted" w:sz="4" w:space="0" w:color="000000"/>
              <w:bottom w:val="single" w:sz="4" w:space="0" w:color="000000"/>
              <w:right w:val="dotted" w:sz="4" w:space="0" w:color="000000"/>
            </w:tcBorders>
            <w:shd w:val="clear" w:color="auto" w:fill="EDEDED"/>
          </w:tcPr>
          <w:p>
            <w:pPr/>
          </w:p>
        </w:tc>
        <w:tc>
          <w:tcPr>
            <w:tcW w:w="1334" w:type="dxa"/>
            <w:vMerge/>
            <w:tcBorders>
              <w:left w:val="dotted" w:sz="4" w:space="0" w:color="000000"/>
              <w:bottom w:val="single" w:sz="4" w:space="0" w:color="000000"/>
              <w:right w:val="dotted" w:sz="4" w:space="0" w:color="000000"/>
            </w:tcBorders>
            <w:shd w:val="clear" w:color="auto" w:fill="EDEDED"/>
          </w:tcPr>
          <w:p>
            <w:pPr/>
          </w:p>
        </w:tc>
        <w:tc>
          <w:tcPr>
            <w:tcW w:w="2136" w:type="dxa"/>
            <w:vMerge/>
            <w:tcBorders>
              <w:left w:val="dotted" w:sz="4" w:space="0" w:color="000000"/>
              <w:bottom w:val="single" w:sz="4" w:space="0" w:color="000000"/>
              <w:right w:val="nil"/>
            </w:tcBorders>
            <w:shd w:val="clear" w:color="auto" w:fill="EDEDED"/>
          </w:tcPr>
          <w:p>
            <w:pPr/>
          </w:p>
        </w:tc>
      </w:tr>
      <w:tr>
        <w:trPr>
          <w:trHeight w:val="121" w:hRule="exact"/>
        </w:trPr>
        <w:tc>
          <w:tcPr>
            <w:tcW w:w="2621" w:type="dxa"/>
            <w:vMerge/>
            <w:tcBorders>
              <w:left w:val="nil"/>
              <w:bottom w:val="single" w:sz="34" w:space="0" w:color="FFFFFF"/>
            </w:tcBorders>
            <w:shd w:val="clear" w:color="auto" w:fill="DBDBDB"/>
          </w:tcPr>
          <w:p>
            <w:pPr/>
          </w:p>
        </w:tc>
        <w:tc>
          <w:tcPr>
            <w:tcW w:w="910" w:type="dxa"/>
            <w:vMerge w:val="restart"/>
            <w:tcBorders>
              <w:top w:val="single" w:sz="4" w:space="0" w:color="000000"/>
              <w:right w:val="dotted" w:sz="4" w:space="0" w:color="000000"/>
            </w:tcBorders>
          </w:tcPr>
          <w:p>
            <w:pPr/>
          </w:p>
        </w:tc>
        <w:tc>
          <w:tcPr>
            <w:tcW w:w="2074" w:type="dxa"/>
            <w:vMerge w:val="restart"/>
            <w:tcBorders>
              <w:top w:val="single" w:sz="4" w:space="0" w:color="000000"/>
              <w:left w:val="dotted" w:sz="4" w:space="0" w:color="000000"/>
              <w:right w:val="dotted" w:sz="4" w:space="0" w:color="000000"/>
            </w:tcBorders>
          </w:tcPr>
          <w:p>
            <w:pPr/>
          </w:p>
        </w:tc>
        <w:tc>
          <w:tcPr>
            <w:tcW w:w="1334" w:type="dxa"/>
            <w:vMerge w:val="restart"/>
            <w:tcBorders>
              <w:top w:val="single" w:sz="4" w:space="0" w:color="000000"/>
              <w:left w:val="dotted" w:sz="4" w:space="0" w:color="000000"/>
              <w:right w:val="dotted" w:sz="4" w:space="0" w:color="000000"/>
            </w:tcBorders>
          </w:tcPr>
          <w:p>
            <w:pPr/>
          </w:p>
        </w:tc>
        <w:tc>
          <w:tcPr>
            <w:tcW w:w="2136" w:type="dxa"/>
            <w:vMerge w:val="restart"/>
            <w:tcBorders>
              <w:top w:val="single" w:sz="4" w:space="0" w:color="000000"/>
              <w:left w:val="dotted" w:sz="4" w:space="0" w:color="000000"/>
              <w:right w:val="nil"/>
            </w:tcBorders>
          </w:tcPr>
          <w:p>
            <w:pPr/>
          </w:p>
        </w:tc>
      </w:tr>
      <w:tr>
        <w:trPr>
          <w:trHeight w:val="601" w:hRule="exact"/>
        </w:trPr>
        <w:tc>
          <w:tcPr>
            <w:tcW w:w="2621" w:type="dxa"/>
            <w:tcBorders>
              <w:top w:val="single" w:sz="34" w:space="0" w:color="FFFFFF"/>
              <w:left w:val="nil"/>
              <w:bottom w:val="nil"/>
            </w:tcBorders>
            <w:shd w:val="clear" w:color="auto" w:fill="DBDBDB"/>
          </w:tcPr>
          <w:p>
            <w:pPr>
              <w:pStyle w:val="TableParagraph"/>
              <w:spacing w:before="6"/>
              <w:rPr>
                <w:b/>
                <w:i/>
                <w:sz w:val="12"/>
              </w:rPr>
            </w:pPr>
          </w:p>
          <w:p>
            <w:pPr>
              <w:pStyle w:val="TableParagraph"/>
              <w:ind w:left="103"/>
              <w:rPr>
                <w:b/>
                <w:i/>
                <w:sz w:val="14"/>
              </w:rPr>
            </w:pPr>
            <w:r>
              <w:rPr>
                <w:b/>
                <w:i/>
                <w:w w:val="99"/>
                <w:sz w:val="14"/>
              </w:rPr>
              <w:t>5</w:t>
            </w:r>
          </w:p>
        </w:tc>
        <w:tc>
          <w:tcPr>
            <w:tcW w:w="910" w:type="dxa"/>
            <w:vMerge/>
            <w:tcBorders>
              <w:bottom w:val="nil"/>
              <w:right w:val="dotted" w:sz="4" w:space="0" w:color="000000"/>
            </w:tcBorders>
          </w:tcPr>
          <w:p>
            <w:pPr/>
          </w:p>
        </w:tc>
        <w:tc>
          <w:tcPr>
            <w:tcW w:w="2074" w:type="dxa"/>
            <w:vMerge/>
            <w:tcBorders>
              <w:left w:val="dotted" w:sz="4" w:space="0" w:color="000000"/>
              <w:bottom w:val="nil"/>
              <w:right w:val="dotted" w:sz="4" w:space="0" w:color="000000"/>
            </w:tcBorders>
          </w:tcPr>
          <w:p>
            <w:pPr/>
          </w:p>
        </w:tc>
        <w:tc>
          <w:tcPr>
            <w:tcW w:w="1334" w:type="dxa"/>
            <w:vMerge/>
            <w:tcBorders>
              <w:left w:val="dotted" w:sz="4" w:space="0" w:color="000000"/>
              <w:bottom w:val="nil"/>
              <w:right w:val="dotted" w:sz="4" w:space="0" w:color="000000"/>
            </w:tcBorders>
          </w:tcPr>
          <w:p>
            <w:pPr/>
          </w:p>
        </w:tc>
        <w:tc>
          <w:tcPr>
            <w:tcW w:w="2136" w:type="dxa"/>
            <w:vMerge/>
            <w:tcBorders>
              <w:left w:val="dotted" w:sz="4" w:space="0" w:color="000000"/>
              <w:bottom w:val="nil"/>
              <w:right w:val="nil"/>
            </w:tcBorders>
          </w:tcPr>
          <w:p>
            <w:pP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28"/>
        </w:rPr>
      </w:pPr>
    </w:p>
    <w:p>
      <w:pPr>
        <w:pStyle w:val="Heading1"/>
        <w:spacing w:before="70"/>
        <w:ind w:left="307"/>
      </w:pPr>
      <w:r>
        <w:rPr>
          <w:u w:val="thick"/>
        </w:rPr>
        <w:t>ANEXO 2</w:t>
      </w:r>
    </w:p>
    <w:p>
      <w:pPr>
        <w:pStyle w:val="BodyText"/>
        <w:spacing w:before="8"/>
        <w:rPr>
          <w:b/>
          <w:sz w:val="21"/>
        </w:rPr>
      </w:pPr>
    </w:p>
    <w:p>
      <w:pPr>
        <w:pStyle w:val="BodyText"/>
        <w:spacing w:before="69"/>
        <w:ind w:left="307"/>
      </w:pPr>
      <w:r>
        <w:rPr/>
        <w:t>TABLA DE RECOLECCIÓN DE LABORATORIOS</w:t>
      </w:r>
    </w:p>
    <w:p>
      <w:pPr>
        <w:spacing w:after="0"/>
        <w:sectPr>
          <w:pgSz w:w="12240" w:h="15840"/>
          <w:pgMar w:top="1200" w:bottom="280" w:left="1380" w:right="1560"/>
        </w:sectPr>
      </w:pPr>
    </w:p>
    <w:p>
      <w:pPr>
        <w:pStyle w:val="BodyText"/>
        <w:rPr>
          <w:sz w:val="20"/>
        </w:rPr>
      </w:pPr>
    </w:p>
    <w:p>
      <w:pPr>
        <w:pStyle w:val="BodyText"/>
        <w:spacing w:before="10"/>
        <w:rPr>
          <w:sz w:val="28"/>
        </w:rPr>
      </w:pPr>
    </w:p>
    <w:p>
      <w:pPr>
        <w:tabs>
          <w:tab w:pos="1218" w:val="left" w:leader="none"/>
          <w:tab w:pos="2253" w:val="left" w:leader="none"/>
          <w:tab w:pos="3720" w:val="left" w:leader="none"/>
          <w:tab w:pos="4351" w:val="left" w:leader="none"/>
        </w:tabs>
        <w:spacing w:line="261" w:lineRule="auto" w:before="88" w:after="2"/>
        <w:ind w:left="205" w:right="419" w:firstLine="74"/>
        <w:jc w:val="left"/>
        <w:rPr>
          <w:b/>
          <w:i/>
          <w:sz w:val="10"/>
        </w:rPr>
      </w:pPr>
      <w:r>
        <w:rPr>
          <w:b/>
          <w:i/>
          <w:sz w:val="10"/>
        </w:rPr>
        <w:t>PACIENTE</w:t>
        <w:tab/>
        <w:t>ESTRADIOL</w:t>
        <w:tab/>
        <w:t>TESTOSTERONA</w:t>
        <w:tab/>
        <w:t>FSH</w:t>
        <w:tab/>
        <w:t>LUTEINIZANTEHORMONA   ANDROSTENEDIONA  DEHIDROEPIANDROSTERONA</w:t>
      </w:r>
      <w:r>
        <w:rPr>
          <w:b/>
          <w:i/>
          <w:spacing w:val="14"/>
          <w:sz w:val="10"/>
        </w:rPr>
        <w:t> </w:t>
      </w:r>
      <w:r>
        <w:rPr>
          <w:b/>
          <w:i/>
          <w:sz w:val="10"/>
        </w:rPr>
        <w:t>HIDROXYPROGEST17ERONA</w:t>
      </w:r>
      <w:r>
        <w:rPr>
          <w:b/>
          <w:i/>
          <w:spacing w:val="-2"/>
          <w:sz w:val="10"/>
        </w:rPr>
        <w:t> </w:t>
      </w:r>
      <w:r>
        <w:rPr>
          <w:b/>
          <w:i/>
          <w:sz w:val="10"/>
        </w:rPr>
        <w:t>ALFA</w:t>
      </w:r>
      <w:r>
        <w:rPr>
          <w:b/>
          <w:i/>
          <w:w w:val="100"/>
          <w:sz w:val="10"/>
        </w:rPr>
        <w:t> </w:t>
      </w:r>
      <w:r>
        <w:rPr>
          <w:b/>
          <w:i/>
          <w:sz w:val="10"/>
        </w:rPr>
        <w:t>PROLACTINA</w:t>
      </w: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2"/>
        <w:gridCol w:w="1154"/>
        <w:gridCol w:w="1155"/>
        <w:gridCol w:w="1154"/>
        <w:gridCol w:w="1152"/>
        <w:gridCol w:w="1308"/>
        <w:gridCol w:w="1154"/>
        <w:gridCol w:w="1153"/>
        <w:gridCol w:w="1154"/>
      </w:tblGrid>
      <w:tr>
        <w:trPr>
          <w:trHeight w:val="497" w:hRule="exact"/>
        </w:trPr>
        <w:tc>
          <w:tcPr>
            <w:tcW w:w="812" w:type="dxa"/>
            <w:vMerge w:val="restart"/>
            <w:tcBorders>
              <w:left w:val="nil"/>
            </w:tcBorders>
            <w:shd w:val="clear" w:color="auto" w:fill="DBDBDB"/>
          </w:tcPr>
          <w:p>
            <w:pPr>
              <w:pStyle w:val="TableParagraph"/>
              <w:spacing w:before="10"/>
              <w:rPr>
                <w:b/>
                <w:i/>
                <w:sz w:val="14"/>
              </w:rPr>
            </w:pPr>
          </w:p>
          <w:p>
            <w:pPr>
              <w:pStyle w:val="TableParagraph"/>
              <w:ind w:left="8"/>
              <w:jc w:val="center"/>
              <w:rPr>
                <w:b/>
                <w:i/>
                <w:sz w:val="14"/>
              </w:rPr>
            </w:pPr>
            <w:r>
              <w:rPr>
                <w:b/>
                <w:i/>
                <w:w w:val="99"/>
                <w:sz w:val="14"/>
              </w:rPr>
              <w:t>1</w:t>
            </w:r>
          </w:p>
        </w:tc>
        <w:tc>
          <w:tcPr>
            <w:tcW w:w="1154" w:type="dxa"/>
            <w:tcBorders>
              <w:bottom w:val="dotted" w:sz="4" w:space="0" w:color="000000"/>
              <w:right w:val="dotted" w:sz="4" w:space="0" w:color="000000"/>
            </w:tcBorders>
          </w:tcPr>
          <w:p>
            <w:pPr/>
          </w:p>
        </w:tc>
        <w:tc>
          <w:tcPr>
            <w:tcW w:w="1155" w:type="dxa"/>
            <w:tcBorders>
              <w:left w:val="dotted" w:sz="4" w:space="0" w:color="000000"/>
              <w:bottom w:val="dotted" w:sz="4" w:space="0" w:color="000000"/>
              <w:right w:val="dotted" w:sz="4" w:space="0" w:color="000000"/>
            </w:tcBorders>
          </w:tcPr>
          <w:p>
            <w:pPr/>
          </w:p>
        </w:tc>
        <w:tc>
          <w:tcPr>
            <w:tcW w:w="1154" w:type="dxa"/>
            <w:tcBorders>
              <w:left w:val="dotted" w:sz="4" w:space="0" w:color="000000"/>
              <w:bottom w:val="dotted" w:sz="4" w:space="0" w:color="000000"/>
              <w:right w:val="dotted" w:sz="4" w:space="0" w:color="000000"/>
            </w:tcBorders>
          </w:tcPr>
          <w:p>
            <w:pPr/>
          </w:p>
        </w:tc>
        <w:tc>
          <w:tcPr>
            <w:tcW w:w="1152" w:type="dxa"/>
            <w:tcBorders>
              <w:left w:val="dotted" w:sz="4" w:space="0" w:color="000000"/>
              <w:bottom w:val="dotted" w:sz="4" w:space="0" w:color="000000"/>
              <w:right w:val="dotted" w:sz="4" w:space="0" w:color="000000"/>
            </w:tcBorders>
          </w:tcPr>
          <w:p>
            <w:pPr/>
          </w:p>
        </w:tc>
        <w:tc>
          <w:tcPr>
            <w:tcW w:w="1308" w:type="dxa"/>
            <w:tcBorders>
              <w:left w:val="dotted" w:sz="4" w:space="0" w:color="000000"/>
              <w:bottom w:val="dotted" w:sz="4" w:space="0" w:color="000000"/>
              <w:right w:val="dotted" w:sz="4" w:space="0" w:color="000000"/>
            </w:tcBorders>
          </w:tcPr>
          <w:p>
            <w:pPr/>
          </w:p>
        </w:tc>
        <w:tc>
          <w:tcPr>
            <w:tcW w:w="1154" w:type="dxa"/>
            <w:tcBorders>
              <w:left w:val="dotted" w:sz="4" w:space="0" w:color="000000"/>
              <w:bottom w:val="dotted" w:sz="4" w:space="0" w:color="000000"/>
              <w:right w:val="dotted" w:sz="4" w:space="0" w:color="000000"/>
            </w:tcBorders>
          </w:tcPr>
          <w:p>
            <w:pPr/>
          </w:p>
        </w:tc>
        <w:tc>
          <w:tcPr>
            <w:tcW w:w="1153" w:type="dxa"/>
            <w:tcBorders>
              <w:left w:val="dotted" w:sz="4" w:space="0" w:color="000000"/>
              <w:bottom w:val="dotted" w:sz="4" w:space="0" w:color="000000"/>
              <w:right w:val="dotted" w:sz="4" w:space="0" w:color="000000"/>
            </w:tcBorders>
          </w:tcPr>
          <w:p>
            <w:pPr/>
          </w:p>
        </w:tc>
        <w:tc>
          <w:tcPr>
            <w:tcW w:w="1154" w:type="dxa"/>
            <w:tcBorders>
              <w:left w:val="dotted" w:sz="4" w:space="0" w:color="000000"/>
              <w:bottom w:val="dotted" w:sz="4" w:space="0" w:color="000000"/>
              <w:right w:val="nil"/>
            </w:tcBorders>
          </w:tcPr>
          <w:p>
            <w:pPr/>
          </w:p>
        </w:tc>
      </w:tr>
      <w:tr>
        <w:trPr>
          <w:trHeight w:val="121" w:hRule="exact"/>
        </w:trPr>
        <w:tc>
          <w:tcPr>
            <w:tcW w:w="812" w:type="dxa"/>
            <w:vMerge/>
            <w:tcBorders>
              <w:left w:val="nil"/>
              <w:bottom w:val="single" w:sz="34" w:space="0" w:color="FFFFFF"/>
            </w:tcBorders>
            <w:shd w:val="clear" w:color="auto" w:fill="DBDBDB"/>
          </w:tcPr>
          <w:p>
            <w:pPr/>
          </w:p>
        </w:tc>
        <w:tc>
          <w:tcPr>
            <w:tcW w:w="1154" w:type="dxa"/>
            <w:vMerge w:val="restart"/>
            <w:tcBorders>
              <w:top w:val="dotted" w:sz="4" w:space="0" w:color="000000"/>
              <w:right w:val="dotted" w:sz="4" w:space="0" w:color="000000"/>
            </w:tcBorders>
            <w:shd w:val="clear" w:color="auto" w:fill="EDEDED"/>
          </w:tcPr>
          <w:p>
            <w:pPr/>
          </w:p>
        </w:tc>
        <w:tc>
          <w:tcPr>
            <w:tcW w:w="1155" w:type="dxa"/>
            <w:vMerge w:val="restart"/>
            <w:tcBorders>
              <w:top w:val="dotted" w:sz="4" w:space="0" w:color="000000"/>
              <w:left w:val="dotted" w:sz="4" w:space="0" w:color="000000"/>
              <w:right w:val="dotted" w:sz="4" w:space="0" w:color="000000"/>
            </w:tcBorders>
            <w:shd w:val="clear" w:color="auto" w:fill="EDEDED"/>
          </w:tcPr>
          <w:p>
            <w:pPr/>
          </w:p>
        </w:tc>
        <w:tc>
          <w:tcPr>
            <w:tcW w:w="1154" w:type="dxa"/>
            <w:vMerge w:val="restart"/>
            <w:tcBorders>
              <w:top w:val="dotted" w:sz="4" w:space="0" w:color="000000"/>
              <w:left w:val="dotted" w:sz="4" w:space="0" w:color="000000"/>
              <w:right w:val="dotted" w:sz="4" w:space="0" w:color="000000"/>
            </w:tcBorders>
            <w:shd w:val="clear" w:color="auto" w:fill="EDEDED"/>
          </w:tcPr>
          <w:p>
            <w:pPr/>
          </w:p>
        </w:tc>
        <w:tc>
          <w:tcPr>
            <w:tcW w:w="1152" w:type="dxa"/>
            <w:vMerge w:val="restart"/>
            <w:tcBorders>
              <w:top w:val="dotted" w:sz="4" w:space="0" w:color="000000"/>
              <w:left w:val="dotted" w:sz="4" w:space="0" w:color="000000"/>
              <w:right w:val="dotted" w:sz="4" w:space="0" w:color="000000"/>
            </w:tcBorders>
            <w:shd w:val="clear" w:color="auto" w:fill="EDEDED"/>
          </w:tcPr>
          <w:p>
            <w:pPr/>
          </w:p>
        </w:tc>
        <w:tc>
          <w:tcPr>
            <w:tcW w:w="1308" w:type="dxa"/>
            <w:vMerge w:val="restart"/>
            <w:tcBorders>
              <w:top w:val="dotted" w:sz="4" w:space="0" w:color="000000"/>
              <w:left w:val="dotted" w:sz="4" w:space="0" w:color="000000"/>
              <w:right w:val="dotted" w:sz="4" w:space="0" w:color="000000"/>
            </w:tcBorders>
            <w:shd w:val="clear" w:color="auto" w:fill="EDEDED"/>
          </w:tcPr>
          <w:p>
            <w:pPr/>
          </w:p>
        </w:tc>
        <w:tc>
          <w:tcPr>
            <w:tcW w:w="1154" w:type="dxa"/>
            <w:vMerge w:val="restart"/>
            <w:tcBorders>
              <w:top w:val="dotted" w:sz="4" w:space="0" w:color="000000"/>
              <w:left w:val="dotted" w:sz="4" w:space="0" w:color="000000"/>
              <w:right w:val="dotted" w:sz="4" w:space="0" w:color="000000"/>
            </w:tcBorders>
            <w:shd w:val="clear" w:color="auto" w:fill="EDEDED"/>
          </w:tcPr>
          <w:p>
            <w:pPr/>
          </w:p>
        </w:tc>
        <w:tc>
          <w:tcPr>
            <w:tcW w:w="1153" w:type="dxa"/>
            <w:vMerge w:val="restart"/>
            <w:tcBorders>
              <w:top w:val="dotted" w:sz="4" w:space="0" w:color="000000"/>
              <w:left w:val="dotted" w:sz="4" w:space="0" w:color="000000"/>
              <w:right w:val="dotted" w:sz="4" w:space="0" w:color="000000"/>
            </w:tcBorders>
            <w:shd w:val="clear" w:color="auto" w:fill="EDEDED"/>
          </w:tcPr>
          <w:p>
            <w:pPr/>
          </w:p>
        </w:tc>
        <w:tc>
          <w:tcPr>
            <w:tcW w:w="1154" w:type="dxa"/>
            <w:vMerge w:val="restart"/>
            <w:tcBorders>
              <w:top w:val="dotted" w:sz="4" w:space="0" w:color="000000"/>
              <w:left w:val="dotted" w:sz="4" w:space="0" w:color="000000"/>
              <w:right w:val="nil"/>
            </w:tcBorders>
            <w:shd w:val="clear" w:color="auto" w:fill="EDEDED"/>
          </w:tcPr>
          <w:p>
            <w:pPr/>
          </w:p>
        </w:tc>
      </w:tr>
      <w:tr>
        <w:trPr>
          <w:trHeight w:val="613" w:hRule="exact"/>
        </w:trPr>
        <w:tc>
          <w:tcPr>
            <w:tcW w:w="812" w:type="dxa"/>
            <w:vMerge w:val="restart"/>
            <w:tcBorders>
              <w:top w:val="single" w:sz="34" w:space="0" w:color="FFFFFF"/>
              <w:left w:val="nil"/>
            </w:tcBorders>
            <w:shd w:val="clear" w:color="auto" w:fill="DBDBDB"/>
          </w:tcPr>
          <w:p>
            <w:pPr>
              <w:pStyle w:val="TableParagraph"/>
              <w:rPr>
                <w:b/>
                <w:i/>
                <w:sz w:val="14"/>
              </w:rPr>
            </w:pPr>
          </w:p>
          <w:p>
            <w:pPr>
              <w:pStyle w:val="TableParagraph"/>
              <w:spacing w:before="96"/>
              <w:ind w:left="8"/>
              <w:jc w:val="center"/>
              <w:rPr>
                <w:b/>
                <w:i/>
                <w:sz w:val="14"/>
              </w:rPr>
            </w:pPr>
            <w:r>
              <w:rPr>
                <w:b/>
                <w:i/>
                <w:w w:val="99"/>
                <w:sz w:val="14"/>
              </w:rPr>
              <w:t>2</w:t>
            </w:r>
          </w:p>
        </w:tc>
        <w:tc>
          <w:tcPr>
            <w:tcW w:w="1154" w:type="dxa"/>
            <w:vMerge/>
            <w:tcBorders>
              <w:bottom w:val="single" w:sz="4" w:space="0" w:color="000000"/>
              <w:right w:val="dotted" w:sz="4" w:space="0" w:color="000000"/>
            </w:tcBorders>
            <w:shd w:val="clear" w:color="auto" w:fill="EDEDED"/>
          </w:tcPr>
          <w:p>
            <w:pPr/>
          </w:p>
        </w:tc>
        <w:tc>
          <w:tcPr>
            <w:tcW w:w="1155" w:type="dxa"/>
            <w:vMerge/>
            <w:tcBorders>
              <w:left w:val="dotted" w:sz="4" w:space="0" w:color="000000"/>
              <w:bottom w:val="single" w:sz="4" w:space="0" w:color="000000"/>
              <w:right w:val="dotted" w:sz="4" w:space="0" w:color="000000"/>
            </w:tcBorders>
            <w:shd w:val="clear" w:color="auto" w:fill="EDEDED"/>
          </w:tcPr>
          <w:p>
            <w:pPr/>
          </w:p>
        </w:tc>
        <w:tc>
          <w:tcPr>
            <w:tcW w:w="1154" w:type="dxa"/>
            <w:vMerge/>
            <w:tcBorders>
              <w:left w:val="dotted" w:sz="4" w:space="0" w:color="000000"/>
              <w:bottom w:val="single" w:sz="4" w:space="0" w:color="000000"/>
              <w:right w:val="dotted" w:sz="4" w:space="0" w:color="000000"/>
            </w:tcBorders>
            <w:shd w:val="clear" w:color="auto" w:fill="EDEDED"/>
          </w:tcPr>
          <w:p>
            <w:pPr/>
          </w:p>
        </w:tc>
        <w:tc>
          <w:tcPr>
            <w:tcW w:w="1152" w:type="dxa"/>
            <w:vMerge/>
            <w:tcBorders>
              <w:left w:val="dotted" w:sz="4" w:space="0" w:color="000000"/>
              <w:bottom w:val="single" w:sz="4" w:space="0" w:color="000000"/>
              <w:right w:val="dotted" w:sz="4" w:space="0" w:color="000000"/>
            </w:tcBorders>
            <w:shd w:val="clear" w:color="auto" w:fill="EDEDED"/>
          </w:tcPr>
          <w:p>
            <w:pPr/>
          </w:p>
        </w:tc>
        <w:tc>
          <w:tcPr>
            <w:tcW w:w="1308" w:type="dxa"/>
            <w:vMerge/>
            <w:tcBorders>
              <w:left w:val="dotted" w:sz="4" w:space="0" w:color="000000"/>
              <w:bottom w:val="single" w:sz="4" w:space="0" w:color="000000"/>
              <w:right w:val="dotted" w:sz="4" w:space="0" w:color="000000"/>
            </w:tcBorders>
            <w:shd w:val="clear" w:color="auto" w:fill="EDEDED"/>
          </w:tcPr>
          <w:p>
            <w:pPr/>
          </w:p>
        </w:tc>
        <w:tc>
          <w:tcPr>
            <w:tcW w:w="1154" w:type="dxa"/>
            <w:vMerge/>
            <w:tcBorders>
              <w:left w:val="dotted" w:sz="4" w:space="0" w:color="000000"/>
              <w:bottom w:val="single" w:sz="4" w:space="0" w:color="000000"/>
              <w:right w:val="dotted" w:sz="4" w:space="0" w:color="000000"/>
            </w:tcBorders>
            <w:shd w:val="clear" w:color="auto" w:fill="EDEDED"/>
          </w:tcPr>
          <w:p>
            <w:pPr/>
          </w:p>
        </w:tc>
        <w:tc>
          <w:tcPr>
            <w:tcW w:w="1153" w:type="dxa"/>
            <w:vMerge/>
            <w:tcBorders>
              <w:left w:val="dotted" w:sz="4" w:space="0" w:color="000000"/>
              <w:bottom w:val="single" w:sz="4" w:space="0" w:color="000000"/>
              <w:right w:val="dotted" w:sz="4" w:space="0" w:color="000000"/>
            </w:tcBorders>
            <w:shd w:val="clear" w:color="auto" w:fill="EDEDED"/>
          </w:tcPr>
          <w:p>
            <w:pPr/>
          </w:p>
        </w:tc>
        <w:tc>
          <w:tcPr>
            <w:tcW w:w="1154" w:type="dxa"/>
            <w:vMerge/>
            <w:tcBorders>
              <w:left w:val="dotted" w:sz="4" w:space="0" w:color="000000"/>
              <w:bottom w:val="single" w:sz="4" w:space="0" w:color="000000"/>
              <w:right w:val="nil"/>
            </w:tcBorders>
            <w:shd w:val="clear" w:color="auto" w:fill="EDEDED"/>
          </w:tcPr>
          <w:p>
            <w:pPr/>
          </w:p>
        </w:tc>
      </w:tr>
      <w:tr>
        <w:trPr>
          <w:trHeight w:val="121" w:hRule="exact"/>
        </w:trPr>
        <w:tc>
          <w:tcPr>
            <w:tcW w:w="812" w:type="dxa"/>
            <w:vMerge/>
            <w:tcBorders>
              <w:left w:val="nil"/>
              <w:bottom w:val="single" w:sz="34" w:space="0" w:color="FFFFFF"/>
            </w:tcBorders>
            <w:shd w:val="clear" w:color="auto" w:fill="DBDBDB"/>
          </w:tcPr>
          <w:p>
            <w:pPr/>
          </w:p>
        </w:tc>
        <w:tc>
          <w:tcPr>
            <w:tcW w:w="1154" w:type="dxa"/>
            <w:vMerge w:val="restart"/>
            <w:tcBorders>
              <w:top w:val="single" w:sz="4" w:space="0" w:color="000000"/>
              <w:right w:val="dotted" w:sz="4" w:space="0" w:color="000000"/>
            </w:tcBorders>
          </w:tcPr>
          <w:p>
            <w:pPr/>
          </w:p>
        </w:tc>
        <w:tc>
          <w:tcPr>
            <w:tcW w:w="1155" w:type="dxa"/>
            <w:vMerge w:val="restart"/>
            <w:tcBorders>
              <w:top w:val="single" w:sz="4" w:space="0" w:color="000000"/>
              <w:left w:val="dotted" w:sz="4" w:space="0" w:color="000000"/>
              <w:right w:val="dotted" w:sz="4" w:space="0" w:color="000000"/>
            </w:tcBorders>
          </w:tcPr>
          <w:p>
            <w:pPr/>
          </w:p>
        </w:tc>
        <w:tc>
          <w:tcPr>
            <w:tcW w:w="1154" w:type="dxa"/>
            <w:vMerge w:val="restart"/>
            <w:tcBorders>
              <w:top w:val="single" w:sz="4" w:space="0" w:color="000000"/>
              <w:left w:val="dotted" w:sz="4" w:space="0" w:color="000000"/>
              <w:right w:val="dotted" w:sz="4" w:space="0" w:color="000000"/>
            </w:tcBorders>
          </w:tcPr>
          <w:p>
            <w:pPr/>
          </w:p>
        </w:tc>
        <w:tc>
          <w:tcPr>
            <w:tcW w:w="1152" w:type="dxa"/>
            <w:vMerge w:val="restart"/>
            <w:tcBorders>
              <w:top w:val="single" w:sz="4" w:space="0" w:color="000000"/>
              <w:left w:val="dotted" w:sz="4" w:space="0" w:color="000000"/>
              <w:right w:val="dotted" w:sz="4" w:space="0" w:color="000000"/>
            </w:tcBorders>
          </w:tcPr>
          <w:p>
            <w:pPr/>
          </w:p>
        </w:tc>
        <w:tc>
          <w:tcPr>
            <w:tcW w:w="1308" w:type="dxa"/>
            <w:vMerge w:val="restart"/>
            <w:tcBorders>
              <w:top w:val="single" w:sz="4" w:space="0" w:color="000000"/>
              <w:left w:val="dotted" w:sz="4" w:space="0" w:color="000000"/>
              <w:right w:val="dotted" w:sz="4" w:space="0" w:color="000000"/>
            </w:tcBorders>
          </w:tcPr>
          <w:p>
            <w:pPr/>
          </w:p>
        </w:tc>
        <w:tc>
          <w:tcPr>
            <w:tcW w:w="1154" w:type="dxa"/>
            <w:vMerge w:val="restart"/>
            <w:tcBorders>
              <w:top w:val="single" w:sz="4" w:space="0" w:color="000000"/>
              <w:left w:val="dotted" w:sz="4" w:space="0" w:color="000000"/>
              <w:right w:val="dotted" w:sz="4" w:space="0" w:color="000000"/>
            </w:tcBorders>
          </w:tcPr>
          <w:p>
            <w:pPr/>
          </w:p>
        </w:tc>
        <w:tc>
          <w:tcPr>
            <w:tcW w:w="1153" w:type="dxa"/>
            <w:vMerge w:val="restart"/>
            <w:tcBorders>
              <w:top w:val="single" w:sz="4" w:space="0" w:color="000000"/>
              <w:left w:val="dotted" w:sz="4" w:space="0" w:color="000000"/>
              <w:right w:val="dotted" w:sz="4" w:space="0" w:color="000000"/>
            </w:tcBorders>
          </w:tcPr>
          <w:p>
            <w:pPr/>
          </w:p>
        </w:tc>
        <w:tc>
          <w:tcPr>
            <w:tcW w:w="1154" w:type="dxa"/>
            <w:vMerge w:val="restart"/>
            <w:tcBorders>
              <w:top w:val="single" w:sz="4" w:space="0" w:color="000000"/>
              <w:left w:val="dotted" w:sz="4" w:space="0" w:color="000000"/>
              <w:right w:val="nil"/>
            </w:tcBorders>
          </w:tcPr>
          <w:p>
            <w:pPr/>
          </w:p>
        </w:tc>
      </w:tr>
      <w:tr>
        <w:trPr>
          <w:trHeight w:val="620" w:hRule="exact"/>
        </w:trPr>
        <w:tc>
          <w:tcPr>
            <w:tcW w:w="812" w:type="dxa"/>
            <w:tcBorders>
              <w:top w:val="single" w:sz="34" w:space="0" w:color="FFFFFF"/>
              <w:left w:val="nil"/>
              <w:bottom w:val="nil"/>
            </w:tcBorders>
            <w:shd w:val="clear" w:color="auto" w:fill="DBDBDB"/>
          </w:tcPr>
          <w:p>
            <w:pPr>
              <w:pStyle w:val="TableParagraph"/>
              <w:rPr>
                <w:b/>
                <w:i/>
                <w:sz w:val="14"/>
              </w:rPr>
            </w:pPr>
          </w:p>
          <w:p>
            <w:pPr>
              <w:pStyle w:val="TableParagraph"/>
              <w:spacing w:before="101"/>
              <w:ind w:left="367"/>
              <w:rPr>
                <w:b/>
                <w:i/>
                <w:sz w:val="14"/>
              </w:rPr>
            </w:pPr>
            <w:r>
              <w:rPr>
                <w:b/>
                <w:i/>
                <w:w w:val="99"/>
                <w:sz w:val="14"/>
              </w:rPr>
              <w:t>3</w:t>
            </w:r>
          </w:p>
        </w:tc>
        <w:tc>
          <w:tcPr>
            <w:tcW w:w="1154" w:type="dxa"/>
            <w:vMerge/>
            <w:tcBorders>
              <w:bottom w:val="single" w:sz="47" w:space="0" w:color="EDEDED"/>
              <w:right w:val="dotted" w:sz="4" w:space="0" w:color="000000"/>
            </w:tcBorders>
          </w:tcPr>
          <w:p>
            <w:pPr/>
          </w:p>
        </w:tc>
        <w:tc>
          <w:tcPr>
            <w:tcW w:w="1155" w:type="dxa"/>
            <w:vMerge/>
            <w:tcBorders>
              <w:left w:val="dotted" w:sz="4" w:space="0" w:color="000000"/>
              <w:bottom w:val="single" w:sz="47" w:space="0" w:color="EDEDED"/>
              <w:right w:val="dotted" w:sz="4" w:space="0" w:color="000000"/>
            </w:tcBorders>
          </w:tcPr>
          <w:p>
            <w:pPr/>
          </w:p>
        </w:tc>
        <w:tc>
          <w:tcPr>
            <w:tcW w:w="1154" w:type="dxa"/>
            <w:vMerge/>
            <w:tcBorders>
              <w:left w:val="dotted" w:sz="4" w:space="0" w:color="000000"/>
              <w:bottom w:val="single" w:sz="47" w:space="0" w:color="EDEDED"/>
              <w:right w:val="dotted" w:sz="4" w:space="0" w:color="000000"/>
            </w:tcBorders>
          </w:tcPr>
          <w:p>
            <w:pPr/>
          </w:p>
        </w:tc>
        <w:tc>
          <w:tcPr>
            <w:tcW w:w="1152" w:type="dxa"/>
            <w:vMerge/>
            <w:tcBorders>
              <w:left w:val="dotted" w:sz="4" w:space="0" w:color="000000"/>
              <w:bottom w:val="single" w:sz="47" w:space="0" w:color="EDEDED"/>
              <w:right w:val="dotted" w:sz="4" w:space="0" w:color="000000"/>
            </w:tcBorders>
          </w:tcPr>
          <w:p>
            <w:pPr/>
          </w:p>
        </w:tc>
        <w:tc>
          <w:tcPr>
            <w:tcW w:w="1308" w:type="dxa"/>
            <w:vMerge/>
            <w:tcBorders>
              <w:left w:val="dotted" w:sz="4" w:space="0" w:color="000000"/>
              <w:bottom w:val="single" w:sz="47" w:space="0" w:color="EDEDED"/>
              <w:right w:val="dotted" w:sz="4" w:space="0" w:color="000000"/>
            </w:tcBorders>
          </w:tcPr>
          <w:p>
            <w:pPr/>
          </w:p>
        </w:tc>
        <w:tc>
          <w:tcPr>
            <w:tcW w:w="1154" w:type="dxa"/>
            <w:vMerge/>
            <w:tcBorders>
              <w:left w:val="dotted" w:sz="4" w:space="0" w:color="000000"/>
              <w:bottom w:val="single" w:sz="47" w:space="0" w:color="EDEDED"/>
              <w:right w:val="dotted" w:sz="4" w:space="0" w:color="000000"/>
            </w:tcBorders>
          </w:tcPr>
          <w:p>
            <w:pPr/>
          </w:p>
        </w:tc>
        <w:tc>
          <w:tcPr>
            <w:tcW w:w="1153" w:type="dxa"/>
            <w:vMerge/>
            <w:tcBorders>
              <w:left w:val="dotted" w:sz="4" w:space="0" w:color="000000"/>
              <w:bottom w:val="single" w:sz="47" w:space="0" w:color="EDEDED"/>
              <w:right w:val="dotted" w:sz="4" w:space="0" w:color="000000"/>
            </w:tcBorders>
          </w:tcPr>
          <w:p>
            <w:pPr/>
          </w:p>
        </w:tc>
        <w:tc>
          <w:tcPr>
            <w:tcW w:w="1154" w:type="dxa"/>
            <w:vMerge/>
            <w:tcBorders>
              <w:left w:val="dotted" w:sz="4" w:space="0" w:color="000000"/>
              <w:bottom w:val="single" w:sz="47" w:space="0" w:color="EDEDED"/>
              <w:right w:val="nil"/>
            </w:tcBorders>
          </w:tcPr>
          <w:p>
            <w:pPr/>
          </w:p>
        </w:tc>
      </w:tr>
      <w:tr>
        <w:trPr>
          <w:trHeight w:val="530" w:hRule="exact"/>
        </w:trPr>
        <w:tc>
          <w:tcPr>
            <w:tcW w:w="812" w:type="dxa"/>
            <w:tcBorders>
              <w:top w:val="nil"/>
              <w:left w:val="nil"/>
              <w:bottom w:val="nil"/>
            </w:tcBorders>
            <w:shd w:val="clear" w:color="auto" w:fill="DBDBDB"/>
          </w:tcPr>
          <w:p>
            <w:pPr>
              <w:pStyle w:val="TableParagraph"/>
              <w:spacing w:before="3"/>
              <w:rPr>
                <w:b/>
                <w:i/>
                <w:sz w:val="20"/>
              </w:rPr>
            </w:pPr>
          </w:p>
          <w:p>
            <w:pPr>
              <w:pStyle w:val="TableParagraph"/>
              <w:ind w:left="367"/>
              <w:rPr>
                <w:b/>
                <w:i/>
                <w:sz w:val="14"/>
              </w:rPr>
            </w:pPr>
            <w:r>
              <w:rPr>
                <w:b/>
                <w:i/>
                <w:w w:val="99"/>
                <w:sz w:val="14"/>
              </w:rPr>
              <w:t>4</w:t>
            </w:r>
          </w:p>
        </w:tc>
        <w:tc>
          <w:tcPr>
            <w:tcW w:w="1154" w:type="dxa"/>
            <w:tcBorders>
              <w:top w:val="nil"/>
              <w:bottom w:val="single" w:sz="4" w:space="0" w:color="000000"/>
              <w:right w:val="dotted" w:sz="4" w:space="0" w:color="000000"/>
            </w:tcBorders>
            <w:shd w:val="clear" w:color="auto" w:fill="EDEDED"/>
          </w:tcPr>
          <w:p>
            <w:pPr/>
          </w:p>
        </w:tc>
        <w:tc>
          <w:tcPr>
            <w:tcW w:w="1155" w:type="dxa"/>
            <w:tcBorders>
              <w:top w:val="nil"/>
              <w:left w:val="dotted" w:sz="4" w:space="0" w:color="000000"/>
              <w:bottom w:val="single" w:sz="4" w:space="0" w:color="000000"/>
              <w:right w:val="dotted" w:sz="4" w:space="0" w:color="000000"/>
            </w:tcBorders>
            <w:shd w:val="clear" w:color="auto" w:fill="EDEDED"/>
          </w:tcPr>
          <w:p>
            <w:pPr/>
          </w:p>
        </w:tc>
        <w:tc>
          <w:tcPr>
            <w:tcW w:w="1154" w:type="dxa"/>
            <w:tcBorders>
              <w:top w:val="nil"/>
              <w:left w:val="dotted" w:sz="4" w:space="0" w:color="000000"/>
              <w:bottom w:val="single" w:sz="4" w:space="0" w:color="000000"/>
              <w:right w:val="dotted" w:sz="4" w:space="0" w:color="000000"/>
            </w:tcBorders>
            <w:shd w:val="clear" w:color="auto" w:fill="EDEDED"/>
          </w:tcPr>
          <w:p>
            <w:pPr/>
          </w:p>
        </w:tc>
        <w:tc>
          <w:tcPr>
            <w:tcW w:w="1152" w:type="dxa"/>
            <w:tcBorders>
              <w:top w:val="nil"/>
              <w:left w:val="dotted" w:sz="4" w:space="0" w:color="000000"/>
              <w:bottom w:val="single" w:sz="4" w:space="0" w:color="000000"/>
              <w:right w:val="dotted" w:sz="4" w:space="0" w:color="000000"/>
            </w:tcBorders>
            <w:shd w:val="clear" w:color="auto" w:fill="EDEDED"/>
          </w:tcPr>
          <w:p>
            <w:pPr/>
          </w:p>
        </w:tc>
        <w:tc>
          <w:tcPr>
            <w:tcW w:w="1308" w:type="dxa"/>
            <w:tcBorders>
              <w:top w:val="nil"/>
              <w:left w:val="dotted" w:sz="4" w:space="0" w:color="000000"/>
              <w:bottom w:val="single" w:sz="4" w:space="0" w:color="000000"/>
              <w:right w:val="dotted" w:sz="4" w:space="0" w:color="000000"/>
            </w:tcBorders>
            <w:shd w:val="clear" w:color="auto" w:fill="EDEDED"/>
          </w:tcPr>
          <w:p>
            <w:pPr/>
          </w:p>
        </w:tc>
        <w:tc>
          <w:tcPr>
            <w:tcW w:w="1154" w:type="dxa"/>
            <w:tcBorders>
              <w:top w:val="nil"/>
              <w:left w:val="dotted" w:sz="4" w:space="0" w:color="000000"/>
              <w:bottom w:val="single" w:sz="4" w:space="0" w:color="000000"/>
              <w:right w:val="dotted" w:sz="4" w:space="0" w:color="000000"/>
            </w:tcBorders>
            <w:shd w:val="clear" w:color="auto" w:fill="EDEDED"/>
          </w:tcPr>
          <w:p>
            <w:pPr/>
          </w:p>
        </w:tc>
        <w:tc>
          <w:tcPr>
            <w:tcW w:w="1153" w:type="dxa"/>
            <w:tcBorders>
              <w:top w:val="nil"/>
              <w:left w:val="dotted" w:sz="4" w:space="0" w:color="000000"/>
              <w:bottom w:val="single" w:sz="4" w:space="0" w:color="000000"/>
              <w:right w:val="dotted" w:sz="4" w:space="0" w:color="000000"/>
            </w:tcBorders>
            <w:shd w:val="clear" w:color="auto" w:fill="EDEDED"/>
          </w:tcPr>
          <w:p>
            <w:pPr/>
          </w:p>
        </w:tc>
        <w:tc>
          <w:tcPr>
            <w:tcW w:w="1154" w:type="dxa"/>
            <w:tcBorders>
              <w:top w:val="nil"/>
              <w:left w:val="dotted" w:sz="4" w:space="0" w:color="000000"/>
              <w:bottom w:val="single" w:sz="4" w:space="0" w:color="000000"/>
              <w:right w:val="nil"/>
            </w:tcBorders>
            <w:shd w:val="clear" w:color="auto" w:fill="EDEDED"/>
          </w:tcPr>
          <w:p>
            <w:pPr/>
          </w:p>
        </w:tc>
      </w:tr>
      <w:tr>
        <w:trPr>
          <w:trHeight w:val="1011" w:hRule="exact"/>
        </w:trPr>
        <w:tc>
          <w:tcPr>
            <w:tcW w:w="812" w:type="dxa"/>
            <w:tcBorders>
              <w:top w:val="nil"/>
              <w:left w:val="nil"/>
              <w:bottom w:val="nil"/>
            </w:tcBorders>
            <w:shd w:val="clear" w:color="auto" w:fill="DBDBDB"/>
          </w:tcPr>
          <w:p>
            <w:pPr>
              <w:pStyle w:val="TableParagraph"/>
              <w:rPr>
                <w:b/>
                <w:i/>
                <w:sz w:val="14"/>
              </w:rPr>
            </w:pPr>
          </w:p>
          <w:p>
            <w:pPr>
              <w:pStyle w:val="TableParagraph"/>
              <w:rPr>
                <w:b/>
                <w:i/>
                <w:sz w:val="14"/>
              </w:rPr>
            </w:pPr>
          </w:p>
          <w:p>
            <w:pPr>
              <w:pStyle w:val="TableParagraph"/>
              <w:rPr>
                <w:b/>
                <w:i/>
                <w:sz w:val="14"/>
              </w:rPr>
            </w:pPr>
          </w:p>
          <w:p>
            <w:pPr>
              <w:pStyle w:val="TableParagraph"/>
              <w:spacing w:before="120"/>
              <w:ind w:left="367"/>
              <w:rPr>
                <w:b/>
                <w:i/>
                <w:sz w:val="14"/>
              </w:rPr>
            </w:pPr>
            <w:r>
              <w:rPr>
                <w:b/>
                <w:i/>
                <w:w w:val="99"/>
                <w:sz w:val="14"/>
              </w:rPr>
              <w:t>5</w:t>
            </w:r>
          </w:p>
        </w:tc>
        <w:tc>
          <w:tcPr>
            <w:tcW w:w="1154" w:type="dxa"/>
            <w:tcBorders>
              <w:top w:val="single" w:sz="4" w:space="0" w:color="000000"/>
              <w:bottom w:val="nil"/>
              <w:right w:val="dotted" w:sz="4" w:space="0" w:color="000000"/>
            </w:tcBorders>
          </w:tcPr>
          <w:p>
            <w:pPr/>
          </w:p>
        </w:tc>
        <w:tc>
          <w:tcPr>
            <w:tcW w:w="1155" w:type="dxa"/>
            <w:tcBorders>
              <w:top w:val="single" w:sz="4" w:space="0" w:color="000000"/>
              <w:left w:val="dotted" w:sz="4" w:space="0" w:color="000000"/>
              <w:bottom w:val="nil"/>
              <w:right w:val="dotted" w:sz="4" w:space="0" w:color="000000"/>
            </w:tcBorders>
          </w:tcPr>
          <w:p>
            <w:pPr/>
          </w:p>
        </w:tc>
        <w:tc>
          <w:tcPr>
            <w:tcW w:w="1154" w:type="dxa"/>
            <w:tcBorders>
              <w:top w:val="single" w:sz="4" w:space="0" w:color="000000"/>
              <w:left w:val="dotted" w:sz="4" w:space="0" w:color="000000"/>
              <w:bottom w:val="nil"/>
              <w:right w:val="dotted" w:sz="4" w:space="0" w:color="000000"/>
            </w:tcBorders>
          </w:tcPr>
          <w:p>
            <w:pPr/>
          </w:p>
        </w:tc>
        <w:tc>
          <w:tcPr>
            <w:tcW w:w="1152" w:type="dxa"/>
            <w:tcBorders>
              <w:top w:val="single" w:sz="4" w:space="0" w:color="000000"/>
              <w:left w:val="dotted" w:sz="4" w:space="0" w:color="000000"/>
              <w:bottom w:val="nil"/>
              <w:right w:val="dotted" w:sz="4" w:space="0" w:color="000000"/>
            </w:tcBorders>
          </w:tcPr>
          <w:p>
            <w:pPr/>
          </w:p>
        </w:tc>
        <w:tc>
          <w:tcPr>
            <w:tcW w:w="1308" w:type="dxa"/>
            <w:tcBorders>
              <w:top w:val="single" w:sz="4" w:space="0" w:color="000000"/>
              <w:left w:val="dotted" w:sz="4" w:space="0" w:color="000000"/>
              <w:bottom w:val="nil"/>
              <w:right w:val="dotted" w:sz="4" w:space="0" w:color="000000"/>
            </w:tcBorders>
          </w:tcPr>
          <w:p>
            <w:pPr/>
          </w:p>
        </w:tc>
        <w:tc>
          <w:tcPr>
            <w:tcW w:w="1154" w:type="dxa"/>
            <w:tcBorders>
              <w:top w:val="single" w:sz="4" w:space="0" w:color="000000"/>
              <w:left w:val="dotted" w:sz="4" w:space="0" w:color="000000"/>
              <w:bottom w:val="nil"/>
              <w:right w:val="dotted" w:sz="4" w:space="0" w:color="000000"/>
            </w:tcBorders>
          </w:tcPr>
          <w:p>
            <w:pPr/>
          </w:p>
        </w:tc>
        <w:tc>
          <w:tcPr>
            <w:tcW w:w="1153" w:type="dxa"/>
            <w:tcBorders>
              <w:top w:val="single" w:sz="4" w:space="0" w:color="000000"/>
              <w:left w:val="dotted" w:sz="4" w:space="0" w:color="000000"/>
              <w:bottom w:val="nil"/>
              <w:right w:val="dotted" w:sz="4" w:space="0" w:color="000000"/>
            </w:tcBorders>
          </w:tcPr>
          <w:p>
            <w:pPr/>
          </w:p>
        </w:tc>
        <w:tc>
          <w:tcPr>
            <w:tcW w:w="1154" w:type="dxa"/>
            <w:tcBorders>
              <w:top w:val="single" w:sz="4" w:space="0" w:color="000000"/>
              <w:left w:val="dotted" w:sz="4" w:space="0" w:color="000000"/>
              <w:bottom w:val="nil"/>
              <w:right w:val="nil"/>
            </w:tcBorders>
          </w:tcPr>
          <w:p>
            <w:pP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Heading1"/>
        <w:ind w:left="647" w:right="419"/>
      </w:pPr>
      <w:r>
        <w:rPr>
          <w:u w:val="thick"/>
        </w:rPr>
        <w:t>ANEXO 3</w:t>
      </w:r>
    </w:p>
    <w:p>
      <w:pPr>
        <w:pStyle w:val="BodyText"/>
        <w:spacing w:before="8"/>
        <w:rPr>
          <w:b/>
          <w:sz w:val="21"/>
        </w:rPr>
      </w:pPr>
    </w:p>
    <w:p>
      <w:pPr>
        <w:pStyle w:val="BodyText"/>
        <w:spacing w:line="259" w:lineRule="auto" w:before="69"/>
        <w:ind w:left="647" w:right="419"/>
      </w:pPr>
      <w:r>
        <w:rPr/>
        <w:t>TABLA DE RECOLECCIÓN DE CRITERIOS DE ÍNDICE ÁREA TOTAL OVÁRICA / ESTROMA</w:t>
      </w:r>
    </w:p>
    <w:p>
      <w:pPr>
        <w:spacing w:after="0" w:line="259" w:lineRule="auto"/>
        <w:sectPr>
          <w:pgSz w:w="12240" w:h="15840"/>
          <w:pgMar w:top="1500" w:bottom="280" w:left="1040" w:right="760"/>
        </w:sectPr>
      </w:pPr>
    </w:p>
    <w:p>
      <w:pPr>
        <w:pStyle w:val="BodyText"/>
        <w:rPr>
          <w:sz w:val="20"/>
        </w:rPr>
      </w:pPr>
      <w:r>
        <w:rPr/>
        <w:pict>
          <v:group style="position:absolute;margin-left:75.064003pt;margin-top:335.089996pt;width:38.450pt;height:30.75pt;mso-position-horizontal-relative:page;mso-position-vertical-relative:page;z-index:-54520" coordorigin="1501,6702" coordsize="769,615">
            <v:rect style="position:absolute;left:1556;top:6788;width:658;height:449" filled="true" fillcolor="#dbdbdb" stroked="false">
              <v:fill type="solid"/>
            </v:rect>
            <v:shape style="position:absolute;left:1556;top:6702;width:660;height:123" coordorigin="1556,6702" coordsize="660,123" path="m2216,6702l1556,6702,1556,6786,1556,6824,2216,6824,2216,6786,2216,6702e" filled="true" fillcolor="#dbdbdb" stroked="false">
              <v:path arrowok="t"/>
              <v:fill type="solid"/>
            </v:shape>
            <v:line style="position:absolute" from="1541,7277" to="2216,7277" stroked="true" strokeweight="3.96pt" strokecolor="#dbdbdb"/>
            <v:line style="position:absolute" from="2216,7277" to="2230,7277" stroked="true" strokeweight="3.96pt" strokecolor="#dbdbdb"/>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4523" w:val="left" w:leader="none"/>
          <w:tab w:pos="9091" w:val="left" w:leader="none"/>
        </w:tabs>
        <w:spacing w:before="81"/>
        <w:ind w:left="1040" w:right="0" w:firstLine="0"/>
        <w:jc w:val="left"/>
        <w:rPr>
          <w:b/>
          <w:i/>
          <w:sz w:val="14"/>
        </w:rPr>
      </w:pPr>
      <w:r>
        <w:rPr>
          <w:b/>
          <w:i/>
          <w:sz w:val="14"/>
        </w:rPr>
        <w:t>DERECHOAREA </w:t>
      </w:r>
      <w:r>
        <w:rPr>
          <w:b/>
          <w:i/>
          <w:spacing w:val="11"/>
          <w:sz w:val="14"/>
        </w:rPr>
        <w:t> </w:t>
      </w:r>
      <w:r>
        <w:rPr>
          <w:b/>
          <w:i/>
          <w:sz w:val="14"/>
        </w:rPr>
        <w:t>ESTROMADERECHO </w:t>
      </w:r>
      <w:r>
        <w:rPr>
          <w:b/>
          <w:i/>
          <w:spacing w:val="15"/>
          <w:sz w:val="14"/>
        </w:rPr>
        <w:t> </w:t>
      </w:r>
      <w:r>
        <w:rPr>
          <w:b/>
          <w:i/>
          <w:sz w:val="14"/>
        </w:rPr>
        <w:t>INDICE</w:t>
        <w:tab/>
        <w:t>ESTROMA  </w:t>
      </w:r>
      <w:r>
        <w:rPr>
          <w:b/>
          <w:i/>
          <w:spacing w:val="33"/>
          <w:sz w:val="14"/>
        </w:rPr>
        <w:t> </w:t>
      </w:r>
      <w:r>
        <w:rPr>
          <w:b/>
          <w:i/>
          <w:sz w:val="14"/>
        </w:rPr>
        <w:t>IZQUIERDOAREA </w:t>
      </w:r>
      <w:r>
        <w:rPr>
          <w:b/>
          <w:i/>
          <w:spacing w:val="16"/>
          <w:sz w:val="14"/>
        </w:rPr>
        <w:t> </w:t>
      </w:r>
      <w:r>
        <w:rPr>
          <w:b/>
          <w:i/>
          <w:sz w:val="14"/>
        </w:rPr>
        <w:t>IZQUIERDOESTROMA</w:t>
        <w:tab/>
        <w:t>INDICE</w:t>
      </w:r>
    </w:p>
    <w:p>
      <w:pPr>
        <w:spacing w:before="12" w:after="14"/>
        <w:ind w:left="106" w:right="0" w:firstLine="0"/>
        <w:jc w:val="left"/>
        <w:rPr>
          <w:b/>
          <w:i/>
          <w:sz w:val="14"/>
        </w:rPr>
      </w:pPr>
      <w:r>
        <w:rPr>
          <w:b/>
          <w:i/>
          <w:sz w:val="14"/>
        </w:rPr>
        <w:t>ESTROMA</w:t>
      </w:r>
    </w:p>
    <w:tbl>
      <w:tblPr>
        <w:tblW w:w="0" w:type="auto"/>
        <w:jc w:val="left"/>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7"/>
        <w:gridCol w:w="1092"/>
        <w:gridCol w:w="1097"/>
        <w:gridCol w:w="1092"/>
        <w:gridCol w:w="1097"/>
        <w:gridCol w:w="1095"/>
        <w:gridCol w:w="1094"/>
        <w:gridCol w:w="1095"/>
        <w:gridCol w:w="1246"/>
      </w:tblGrid>
      <w:tr>
        <w:trPr>
          <w:trHeight w:val="470" w:hRule="exact"/>
        </w:trPr>
        <w:tc>
          <w:tcPr>
            <w:tcW w:w="667" w:type="dxa"/>
            <w:vMerge w:val="restart"/>
            <w:tcBorders>
              <w:left w:val="nil"/>
            </w:tcBorders>
            <w:shd w:val="clear" w:color="auto" w:fill="DBDBDB"/>
          </w:tcPr>
          <w:p>
            <w:pPr>
              <w:pStyle w:val="TableParagraph"/>
              <w:spacing w:before="36"/>
              <w:ind w:left="3"/>
              <w:jc w:val="center"/>
              <w:rPr>
                <w:b/>
                <w:i/>
                <w:sz w:val="14"/>
              </w:rPr>
            </w:pPr>
            <w:r>
              <w:rPr>
                <w:b/>
                <w:i/>
                <w:w w:val="99"/>
                <w:sz w:val="14"/>
              </w:rPr>
              <w:t>1</w:t>
            </w:r>
          </w:p>
          <w:p>
            <w:pPr>
              <w:pStyle w:val="TableParagraph"/>
              <w:rPr>
                <w:b/>
                <w:i/>
                <w:sz w:val="14"/>
              </w:rPr>
            </w:pPr>
          </w:p>
          <w:p>
            <w:pPr>
              <w:pStyle w:val="TableParagraph"/>
              <w:rPr>
                <w:b/>
                <w:i/>
                <w:sz w:val="14"/>
              </w:rPr>
            </w:pPr>
          </w:p>
          <w:p>
            <w:pPr>
              <w:pStyle w:val="TableParagraph"/>
              <w:spacing w:before="4"/>
              <w:rPr>
                <w:b/>
                <w:i/>
                <w:sz w:val="15"/>
              </w:rPr>
            </w:pPr>
          </w:p>
          <w:p>
            <w:pPr>
              <w:pStyle w:val="TableParagraph"/>
              <w:ind w:left="3"/>
              <w:jc w:val="center"/>
              <w:rPr>
                <w:b/>
                <w:i/>
                <w:sz w:val="14"/>
              </w:rPr>
            </w:pPr>
            <w:r>
              <w:rPr>
                <w:b/>
                <w:i/>
                <w:w w:val="99"/>
                <w:sz w:val="14"/>
              </w:rPr>
              <w:t>2</w:t>
            </w:r>
          </w:p>
          <w:p>
            <w:pPr>
              <w:pStyle w:val="TableParagraph"/>
              <w:rPr>
                <w:b/>
                <w:i/>
                <w:sz w:val="14"/>
              </w:rPr>
            </w:pPr>
          </w:p>
          <w:p>
            <w:pPr>
              <w:pStyle w:val="TableParagraph"/>
              <w:rPr>
                <w:b/>
                <w:i/>
                <w:sz w:val="14"/>
              </w:rPr>
            </w:pPr>
          </w:p>
          <w:p>
            <w:pPr>
              <w:pStyle w:val="TableParagraph"/>
              <w:rPr>
                <w:b/>
                <w:i/>
                <w:sz w:val="14"/>
              </w:rPr>
            </w:pPr>
          </w:p>
          <w:p>
            <w:pPr>
              <w:pStyle w:val="TableParagraph"/>
              <w:rPr>
                <w:b/>
                <w:i/>
                <w:sz w:val="14"/>
              </w:rPr>
            </w:pPr>
          </w:p>
          <w:p>
            <w:pPr>
              <w:pStyle w:val="TableParagraph"/>
              <w:spacing w:before="95"/>
              <w:ind w:left="3"/>
              <w:jc w:val="center"/>
              <w:rPr>
                <w:b/>
                <w:i/>
                <w:sz w:val="14"/>
              </w:rPr>
            </w:pPr>
            <w:r>
              <w:rPr>
                <w:b/>
                <w:i/>
                <w:w w:val="99"/>
                <w:sz w:val="14"/>
              </w:rPr>
              <w:t>3</w:t>
            </w:r>
          </w:p>
          <w:p>
            <w:pPr>
              <w:pStyle w:val="TableParagraph"/>
              <w:rPr>
                <w:b/>
                <w:i/>
                <w:sz w:val="14"/>
              </w:rPr>
            </w:pPr>
          </w:p>
          <w:p>
            <w:pPr>
              <w:pStyle w:val="TableParagraph"/>
              <w:rPr>
                <w:b/>
                <w:i/>
                <w:sz w:val="14"/>
              </w:rPr>
            </w:pPr>
          </w:p>
          <w:p>
            <w:pPr>
              <w:pStyle w:val="TableParagraph"/>
              <w:spacing w:before="7"/>
              <w:rPr>
                <w:b/>
                <w:i/>
                <w:sz w:val="11"/>
              </w:rPr>
            </w:pPr>
          </w:p>
          <w:p>
            <w:pPr>
              <w:pStyle w:val="TableParagraph"/>
              <w:ind w:left="3"/>
              <w:jc w:val="center"/>
              <w:rPr>
                <w:b/>
                <w:i/>
                <w:sz w:val="14"/>
              </w:rPr>
            </w:pPr>
            <w:r>
              <w:rPr>
                <w:b/>
                <w:i/>
                <w:w w:val="99"/>
                <w:sz w:val="14"/>
              </w:rPr>
              <w:t>4</w:t>
            </w:r>
          </w:p>
        </w:tc>
        <w:tc>
          <w:tcPr>
            <w:tcW w:w="1092" w:type="dxa"/>
            <w:tcBorders>
              <w:bottom w:val="nil"/>
              <w:right w:val="dotted" w:sz="4" w:space="0" w:color="000000"/>
            </w:tcBorders>
          </w:tcPr>
          <w:p>
            <w:pPr/>
          </w:p>
        </w:tc>
        <w:tc>
          <w:tcPr>
            <w:tcW w:w="1097" w:type="dxa"/>
            <w:tcBorders>
              <w:left w:val="dotted" w:sz="4" w:space="0" w:color="000000"/>
              <w:bottom w:val="nil"/>
              <w:right w:val="dotted" w:sz="4" w:space="0" w:color="000000"/>
            </w:tcBorders>
          </w:tcPr>
          <w:p>
            <w:pPr/>
          </w:p>
        </w:tc>
        <w:tc>
          <w:tcPr>
            <w:tcW w:w="1092" w:type="dxa"/>
            <w:tcBorders>
              <w:left w:val="dotted" w:sz="4" w:space="0" w:color="000000"/>
              <w:bottom w:val="nil"/>
              <w:right w:val="dotted" w:sz="4" w:space="0" w:color="000000"/>
            </w:tcBorders>
          </w:tcPr>
          <w:p>
            <w:pPr/>
          </w:p>
        </w:tc>
        <w:tc>
          <w:tcPr>
            <w:tcW w:w="1097" w:type="dxa"/>
            <w:tcBorders>
              <w:left w:val="dotted" w:sz="4" w:space="0" w:color="000000"/>
              <w:bottom w:val="nil"/>
              <w:right w:val="dotted" w:sz="4" w:space="0" w:color="000000"/>
            </w:tcBorders>
          </w:tcPr>
          <w:p>
            <w:pPr/>
          </w:p>
        </w:tc>
        <w:tc>
          <w:tcPr>
            <w:tcW w:w="1095" w:type="dxa"/>
            <w:tcBorders>
              <w:left w:val="dotted" w:sz="4" w:space="0" w:color="000000"/>
              <w:bottom w:val="nil"/>
              <w:right w:val="dotted" w:sz="4" w:space="0" w:color="000000"/>
            </w:tcBorders>
          </w:tcPr>
          <w:p>
            <w:pPr/>
          </w:p>
        </w:tc>
        <w:tc>
          <w:tcPr>
            <w:tcW w:w="1094" w:type="dxa"/>
            <w:tcBorders>
              <w:left w:val="dotted" w:sz="4" w:space="0" w:color="000000"/>
              <w:bottom w:val="nil"/>
              <w:right w:val="dotted" w:sz="4" w:space="0" w:color="000000"/>
            </w:tcBorders>
          </w:tcPr>
          <w:p>
            <w:pPr/>
          </w:p>
        </w:tc>
        <w:tc>
          <w:tcPr>
            <w:tcW w:w="1095" w:type="dxa"/>
            <w:tcBorders>
              <w:left w:val="dotted" w:sz="4" w:space="0" w:color="000000"/>
              <w:bottom w:val="nil"/>
              <w:right w:val="dotted" w:sz="4" w:space="0" w:color="000000"/>
            </w:tcBorders>
          </w:tcPr>
          <w:p>
            <w:pPr/>
          </w:p>
        </w:tc>
        <w:tc>
          <w:tcPr>
            <w:tcW w:w="1246" w:type="dxa"/>
            <w:tcBorders>
              <w:left w:val="dotted" w:sz="4" w:space="0" w:color="000000"/>
              <w:bottom w:val="nil"/>
              <w:right w:val="nil"/>
            </w:tcBorders>
          </w:tcPr>
          <w:p>
            <w:pPr/>
          </w:p>
        </w:tc>
      </w:tr>
      <w:tr>
        <w:trPr>
          <w:trHeight w:val="530" w:hRule="exact"/>
        </w:trPr>
        <w:tc>
          <w:tcPr>
            <w:tcW w:w="667" w:type="dxa"/>
            <w:vMerge/>
            <w:tcBorders>
              <w:left w:val="nil"/>
            </w:tcBorders>
            <w:shd w:val="clear" w:color="auto" w:fill="DBDBDB"/>
          </w:tcPr>
          <w:p>
            <w:pPr/>
          </w:p>
        </w:tc>
        <w:tc>
          <w:tcPr>
            <w:tcW w:w="1092" w:type="dxa"/>
            <w:tcBorders>
              <w:top w:val="nil"/>
              <w:bottom w:val="single" w:sz="4" w:space="0" w:color="000000"/>
              <w:right w:val="dotted" w:sz="4" w:space="0" w:color="000000"/>
            </w:tcBorders>
            <w:shd w:val="clear" w:color="auto" w:fill="EDEDED"/>
          </w:tcPr>
          <w:p>
            <w:pPr/>
          </w:p>
        </w:tc>
        <w:tc>
          <w:tcPr>
            <w:tcW w:w="1097" w:type="dxa"/>
            <w:tcBorders>
              <w:top w:val="nil"/>
              <w:left w:val="dotted" w:sz="4" w:space="0" w:color="000000"/>
              <w:bottom w:val="single" w:sz="4" w:space="0" w:color="000000"/>
              <w:right w:val="dotted" w:sz="4" w:space="0" w:color="000000"/>
            </w:tcBorders>
            <w:shd w:val="clear" w:color="auto" w:fill="EDEDED"/>
          </w:tcPr>
          <w:p>
            <w:pPr/>
          </w:p>
        </w:tc>
        <w:tc>
          <w:tcPr>
            <w:tcW w:w="1092" w:type="dxa"/>
            <w:tcBorders>
              <w:top w:val="nil"/>
              <w:left w:val="dotted" w:sz="4" w:space="0" w:color="000000"/>
              <w:bottom w:val="single" w:sz="4" w:space="0" w:color="000000"/>
              <w:right w:val="dotted" w:sz="4" w:space="0" w:color="000000"/>
            </w:tcBorders>
            <w:shd w:val="clear" w:color="auto" w:fill="EDEDED"/>
          </w:tcPr>
          <w:p>
            <w:pPr/>
          </w:p>
        </w:tc>
        <w:tc>
          <w:tcPr>
            <w:tcW w:w="1097" w:type="dxa"/>
            <w:tcBorders>
              <w:top w:val="nil"/>
              <w:left w:val="dotted" w:sz="4" w:space="0" w:color="000000"/>
              <w:bottom w:val="single" w:sz="4" w:space="0" w:color="000000"/>
              <w:right w:val="dotted" w:sz="4" w:space="0" w:color="000000"/>
            </w:tcBorders>
            <w:shd w:val="clear" w:color="auto" w:fill="EDEDED"/>
          </w:tcPr>
          <w:p>
            <w:pPr/>
          </w:p>
        </w:tc>
        <w:tc>
          <w:tcPr>
            <w:tcW w:w="1095" w:type="dxa"/>
            <w:tcBorders>
              <w:top w:val="nil"/>
              <w:left w:val="dotted" w:sz="4" w:space="0" w:color="000000"/>
              <w:bottom w:val="single" w:sz="4" w:space="0" w:color="000000"/>
              <w:right w:val="dotted" w:sz="4" w:space="0" w:color="000000"/>
            </w:tcBorders>
            <w:shd w:val="clear" w:color="auto" w:fill="EDEDED"/>
          </w:tcPr>
          <w:p>
            <w:pPr/>
          </w:p>
        </w:tc>
        <w:tc>
          <w:tcPr>
            <w:tcW w:w="1094" w:type="dxa"/>
            <w:tcBorders>
              <w:top w:val="nil"/>
              <w:left w:val="dotted" w:sz="4" w:space="0" w:color="000000"/>
              <w:bottom w:val="single" w:sz="4" w:space="0" w:color="000000"/>
              <w:right w:val="dotted" w:sz="4" w:space="0" w:color="000000"/>
            </w:tcBorders>
            <w:shd w:val="clear" w:color="auto" w:fill="EDEDED"/>
          </w:tcPr>
          <w:p>
            <w:pPr/>
          </w:p>
        </w:tc>
        <w:tc>
          <w:tcPr>
            <w:tcW w:w="1095" w:type="dxa"/>
            <w:tcBorders>
              <w:top w:val="nil"/>
              <w:left w:val="dotted" w:sz="4" w:space="0" w:color="000000"/>
              <w:bottom w:val="single" w:sz="4" w:space="0" w:color="000000"/>
              <w:right w:val="dotted" w:sz="4" w:space="0" w:color="000000"/>
            </w:tcBorders>
            <w:shd w:val="clear" w:color="auto" w:fill="EDEDED"/>
          </w:tcPr>
          <w:p>
            <w:pPr/>
          </w:p>
        </w:tc>
        <w:tc>
          <w:tcPr>
            <w:tcW w:w="1246" w:type="dxa"/>
            <w:tcBorders>
              <w:top w:val="nil"/>
              <w:left w:val="dotted" w:sz="4" w:space="0" w:color="000000"/>
              <w:bottom w:val="single" w:sz="4" w:space="0" w:color="000000"/>
              <w:right w:val="nil"/>
            </w:tcBorders>
            <w:shd w:val="clear" w:color="auto" w:fill="EDEDED"/>
          </w:tcPr>
          <w:p>
            <w:pPr/>
          </w:p>
        </w:tc>
      </w:tr>
      <w:tr>
        <w:trPr>
          <w:trHeight w:val="980" w:hRule="exact"/>
        </w:trPr>
        <w:tc>
          <w:tcPr>
            <w:tcW w:w="667" w:type="dxa"/>
            <w:vMerge/>
            <w:tcBorders>
              <w:left w:val="nil"/>
            </w:tcBorders>
            <w:shd w:val="clear" w:color="auto" w:fill="DBDBDB"/>
          </w:tcPr>
          <w:p>
            <w:pPr/>
          </w:p>
        </w:tc>
        <w:tc>
          <w:tcPr>
            <w:tcW w:w="1092" w:type="dxa"/>
            <w:tcBorders>
              <w:top w:val="single" w:sz="4" w:space="0" w:color="000000"/>
              <w:bottom w:val="single" w:sz="4" w:space="0" w:color="000000"/>
              <w:right w:val="dotted" w:sz="4" w:space="0" w:color="000000"/>
            </w:tcBorders>
          </w:tcPr>
          <w:p>
            <w:pPr/>
          </w:p>
        </w:tc>
        <w:tc>
          <w:tcPr>
            <w:tcW w:w="1097" w:type="dxa"/>
            <w:tcBorders>
              <w:top w:val="single" w:sz="4" w:space="0" w:color="000000"/>
              <w:left w:val="dotted" w:sz="4" w:space="0" w:color="000000"/>
              <w:bottom w:val="single" w:sz="4" w:space="0" w:color="000000"/>
              <w:right w:val="dotted" w:sz="4" w:space="0" w:color="000000"/>
            </w:tcBorders>
          </w:tcPr>
          <w:p>
            <w:pPr/>
          </w:p>
        </w:tc>
        <w:tc>
          <w:tcPr>
            <w:tcW w:w="1092" w:type="dxa"/>
            <w:tcBorders>
              <w:top w:val="single" w:sz="4" w:space="0" w:color="000000"/>
              <w:left w:val="dotted" w:sz="4" w:space="0" w:color="000000"/>
              <w:bottom w:val="single" w:sz="4" w:space="0" w:color="000000"/>
              <w:right w:val="dotted" w:sz="4" w:space="0" w:color="000000"/>
            </w:tcBorders>
          </w:tcPr>
          <w:p>
            <w:pPr/>
          </w:p>
        </w:tc>
        <w:tc>
          <w:tcPr>
            <w:tcW w:w="1097" w:type="dxa"/>
            <w:tcBorders>
              <w:top w:val="single" w:sz="4" w:space="0" w:color="000000"/>
              <w:left w:val="dotted" w:sz="4" w:space="0" w:color="000000"/>
              <w:bottom w:val="single" w:sz="4" w:space="0" w:color="000000"/>
              <w:right w:val="dotted" w:sz="4" w:space="0" w:color="000000"/>
            </w:tcBorders>
          </w:tcPr>
          <w:p>
            <w:pPr/>
          </w:p>
        </w:tc>
        <w:tc>
          <w:tcPr>
            <w:tcW w:w="1095" w:type="dxa"/>
            <w:tcBorders>
              <w:top w:val="single" w:sz="4" w:space="0" w:color="000000"/>
              <w:left w:val="dotted" w:sz="4" w:space="0" w:color="000000"/>
              <w:bottom w:val="single" w:sz="4" w:space="0" w:color="000000"/>
              <w:right w:val="dotted" w:sz="4" w:space="0" w:color="000000"/>
            </w:tcBorders>
          </w:tcPr>
          <w:p>
            <w:pPr/>
          </w:p>
        </w:tc>
        <w:tc>
          <w:tcPr>
            <w:tcW w:w="1094" w:type="dxa"/>
            <w:tcBorders>
              <w:top w:val="single" w:sz="4" w:space="0" w:color="000000"/>
              <w:left w:val="dotted" w:sz="4" w:space="0" w:color="000000"/>
              <w:bottom w:val="single" w:sz="4" w:space="0" w:color="000000"/>
              <w:right w:val="dotted" w:sz="4" w:space="0" w:color="000000"/>
            </w:tcBorders>
          </w:tcPr>
          <w:p>
            <w:pPr/>
          </w:p>
        </w:tc>
        <w:tc>
          <w:tcPr>
            <w:tcW w:w="1095" w:type="dxa"/>
            <w:tcBorders>
              <w:top w:val="single" w:sz="4" w:space="0" w:color="000000"/>
              <w:left w:val="dotted" w:sz="4" w:space="0" w:color="000000"/>
              <w:bottom w:val="single" w:sz="4" w:space="0" w:color="000000"/>
              <w:right w:val="dotted" w:sz="4" w:space="0" w:color="000000"/>
            </w:tcBorders>
          </w:tcPr>
          <w:p>
            <w:pPr/>
          </w:p>
        </w:tc>
        <w:tc>
          <w:tcPr>
            <w:tcW w:w="1246" w:type="dxa"/>
            <w:tcBorders>
              <w:top w:val="single" w:sz="4" w:space="0" w:color="000000"/>
              <w:left w:val="dotted" w:sz="4" w:space="0" w:color="000000"/>
              <w:bottom w:val="single" w:sz="4" w:space="0" w:color="000000"/>
              <w:right w:val="nil"/>
            </w:tcBorders>
          </w:tcPr>
          <w:p>
            <w:pPr/>
          </w:p>
        </w:tc>
      </w:tr>
      <w:tr>
        <w:trPr>
          <w:trHeight w:val="552" w:hRule="exact"/>
        </w:trPr>
        <w:tc>
          <w:tcPr>
            <w:tcW w:w="667" w:type="dxa"/>
            <w:vMerge/>
            <w:tcBorders>
              <w:left w:val="nil"/>
            </w:tcBorders>
            <w:shd w:val="clear" w:color="auto" w:fill="DBDBDB"/>
          </w:tcPr>
          <w:p>
            <w:pPr/>
          </w:p>
        </w:tc>
        <w:tc>
          <w:tcPr>
            <w:tcW w:w="1092" w:type="dxa"/>
            <w:tcBorders>
              <w:top w:val="single" w:sz="4" w:space="0" w:color="000000"/>
              <w:bottom w:val="single" w:sz="4" w:space="0" w:color="000000"/>
              <w:right w:val="dotted" w:sz="4" w:space="0" w:color="000000"/>
            </w:tcBorders>
            <w:shd w:val="clear" w:color="auto" w:fill="EDEDED"/>
          </w:tcPr>
          <w:p>
            <w:pPr/>
          </w:p>
        </w:tc>
        <w:tc>
          <w:tcPr>
            <w:tcW w:w="1097" w:type="dxa"/>
            <w:tcBorders>
              <w:top w:val="single" w:sz="4" w:space="0" w:color="000000"/>
              <w:left w:val="dotted" w:sz="4" w:space="0" w:color="000000"/>
              <w:bottom w:val="single" w:sz="4" w:space="0" w:color="000000"/>
              <w:right w:val="dotted" w:sz="4" w:space="0" w:color="000000"/>
            </w:tcBorders>
            <w:shd w:val="clear" w:color="auto" w:fill="EDEDED"/>
          </w:tcPr>
          <w:p>
            <w:pPr/>
          </w:p>
        </w:tc>
        <w:tc>
          <w:tcPr>
            <w:tcW w:w="1092" w:type="dxa"/>
            <w:tcBorders>
              <w:top w:val="single" w:sz="4" w:space="0" w:color="000000"/>
              <w:left w:val="dotted" w:sz="4" w:space="0" w:color="000000"/>
              <w:bottom w:val="single" w:sz="4" w:space="0" w:color="000000"/>
              <w:right w:val="dotted" w:sz="4" w:space="0" w:color="000000"/>
            </w:tcBorders>
            <w:shd w:val="clear" w:color="auto" w:fill="EDEDED"/>
          </w:tcPr>
          <w:p>
            <w:pPr/>
          </w:p>
        </w:tc>
        <w:tc>
          <w:tcPr>
            <w:tcW w:w="1097" w:type="dxa"/>
            <w:tcBorders>
              <w:top w:val="single" w:sz="4" w:space="0" w:color="000000"/>
              <w:left w:val="dotted" w:sz="4" w:space="0" w:color="000000"/>
              <w:bottom w:val="single" w:sz="4" w:space="0" w:color="000000"/>
              <w:right w:val="dotted" w:sz="4" w:space="0" w:color="000000"/>
            </w:tcBorders>
            <w:shd w:val="clear" w:color="auto" w:fill="EDEDED"/>
          </w:tcPr>
          <w:p>
            <w:pPr/>
          </w:p>
        </w:tc>
        <w:tc>
          <w:tcPr>
            <w:tcW w:w="1095" w:type="dxa"/>
            <w:tcBorders>
              <w:top w:val="single" w:sz="4" w:space="0" w:color="000000"/>
              <w:left w:val="dotted" w:sz="4" w:space="0" w:color="000000"/>
              <w:bottom w:val="single" w:sz="4" w:space="0" w:color="000000"/>
              <w:right w:val="dotted" w:sz="4" w:space="0" w:color="000000"/>
            </w:tcBorders>
            <w:shd w:val="clear" w:color="auto" w:fill="EDEDED"/>
          </w:tcPr>
          <w:p>
            <w:pPr/>
          </w:p>
        </w:tc>
        <w:tc>
          <w:tcPr>
            <w:tcW w:w="1094" w:type="dxa"/>
            <w:tcBorders>
              <w:top w:val="single" w:sz="4" w:space="0" w:color="000000"/>
              <w:left w:val="dotted" w:sz="4" w:space="0" w:color="000000"/>
              <w:bottom w:val="single" w:sz="4" w:space="0" w:color="000000"/>
              <w:right w:val="dotted" w:sz="4" w:space="0" w:color="000000"/>
            </w:tcBorders>
            <w:shd w:val="clear" w:color="auto" w:fill="EDEDED"/>
          </w:tcPr>
          <w:p>
            <w:pPr/>
          </w:p>
        </w:tc>
        <w:tc>
          <w:tcPr>
            <w:tcW w:w="1095" w:type="dxa"/>
            <w:tcBorders>
              <w:top w:val="single" w:sz="4" w:space="0" w:color="000000"/>
              <w:left w:val="dotted" w:sz="4" w:space="0" w:color="000000"/>
              <w:bottom w:val="single" w:sz="4" w:space="0" w:color="000000"/>
              <w:right w:val="dotted" w:sz="4" w:space="0" w:color="000000"/>
            </w:tcBorders>
            <w:shd w:val="clear" w:color="auto" w:fill="EDEDED"/>
          </w:tcPr>
          <w:p>
            <w:pPr/>
          </w:p>
        </w:tc>
        <w:tc>
          <w:tcPr>
            <w:tcW w:w="1246" w:type="dxa"/>
            <w:tcBorders>
              <w:top w:val="single" w:sz="4" w:space="0" w:color="000000"/>
              <w:left w:val="dotted" w:sz="4" w:space="0" w:color="000000"/>
              <w:bottom w:val="single" w:sz="4" w:space="0" w:color="000000"/>
              <w:right w:val="nil"/>
            </w:tcBorders>
            <w:shd w:val="clear" w:color="auto" w:fill="EDEDED"/>
          </w:tcPr>
          <w:p>
            <w:pPr/>
          </w:p>
        </w:tc>
      </w:tr>
      <w:tr>
        <w:trPr>
          <w:trHeight w:val="79" w:hRule="exact"/>
        </w:trPr>
        <w:tc>
          <w:tcPr>
            <w:tcW w:w="667" w:type="dxa"/>
            <w:vMerge/>
            <w:tcBorders>
              <w:left w:val="nil"/>
              <w:bottom w:val="nil"/>
            </w:tcBorders>
            <w:shd w:val="clear" w:color="auto" w:fill="DBDBDB"/>
          </w:tcPr>
          <w:p>
            <w:pPr/>
          </w:p>
        </w:tc>
        <w:tc>
          <w:tcPr>
            <w:tcW w:w="1092" w:type="dxa"/>
            <w:vMerge w:val="restart"/>
            <w:tcBorders>
              <w:top w:val="single" w:sz="4" w:space="0" w:color="000000"/>
              <w:right w:val="dotted" w:sz="4" w:space="0" w:color="000000"/>
            </w:tcBorders>
          </w:tcPr>
          <w:p>
            <w:pPr/>
          </w:p>
        </w:tc>
        <w:tc>
          <w:tcPr>
            <w:tcW w:w="1097" w:type="dxa"/>
            <w:vMerge w:val="restart"/>
            <w:tcBorders>
              <w:top w:val="single" w:sz="4" w:space="0" w:color="000000"/>
              <w:left w:val="dotted" w:sz="4" w:space="0" w:color="000000"/>
              <w:right w:val="dotted" w:sz="4" w:space="0" w:color="000000"/>
            </w:tcBorders>
          </w:tcPr>
          <w:p>
            <w:pPr/>
          </w:p>
        </w:tc>
        <w:tc>
          <w:tcPr>
            <w:tcW w:w="1092" w:type="dxa"/>
            <w:vMerge w:val="restart"/>
            <w:tcBorders>
              <w:top w:val="single" w:sz="4" w:space="0" w:color="000000"/>
              <w:left w:val="dotted" w:sz="4" w:space="0" w:color="000000"/>
              <w:right w:val="dotted" w:sz="4" w:space="0" w:color="000000"/>
            </w:tcBorders>
          </w:tcPr>
          <w:p>
            <w:pPr/>
          </w:p>
        </w:tc>
        <w:tc>
          <w:tcPr>
            <w:tcW w:w="1097" w:type="dxa"/>
            <w:vMerge w:val="restart"/>
            <w:tcBorders>
              <w:top w:val="single" w:sz="4" w:space="0" w:color="000000"/>
              <w:left w:val="dotted" w:sz="4" w:space="0" w:color="000000"/>
              <w:right w:val="dotted" w:sz="4" w:space="0" w:color="000000"/>
            </w:tcBorders>
          </w:tcPr>
          <w:p>
            <w:pPr/>
          </w:p>
        </w:tc>
        <w:tc>
          <w:tcPr>
            <w:tcW w:w="1095" w:type="dxa"/>
            <w:vMerge w:val="restart"/>
            <w:tcBorders>
              <w:top w:val="single" w:sz="4" w:space="0" w:color="000000"/>
              <w:left w:val="dotted" w:sz="4" w:space="0" w:color="000000"/>
              <w:right w:val="dotted" w:sz="4" w:space="0" w:color="000000"/>
            </w:tcBorders>
          </w:tcPr>
          <w:p>
            <w:pPr/>
          </w:p>
        </w:tc>
        <w:tc>
          <w:tcPr>
            <w:tcW w:w="1094" w:type="dxa"/>
            <w:vMerge w:val="restart"/>
            <w:tcBorders>
              <w:top w:val="single" w:sz="4" w:space="0" w:color="000000"/>
              <w:left w:val="dotted" w:sz="4" w:space="0" w:color="000000"/>
              <w:right w:val="dotted" w:sz="4" w:space="0" w:color="000000"/>
            </w:tcBorders>
          </w:tcPr>
          <w:p>
            <w:pPr/>
          </w:p>
        </w:tc>
        <w:tc>
          <w:tcPr>
            <w:tcW w:w="1095" w:type="dxa"/>
            <w:vMerge w:val="restart"/>
            <w:tcBorders>
              <w:top w:val="single" w:sz="4" w:space="0" w:color="000000"/>
              <w:left w:val="dotted" w:sz="4" w:space="0" w:color="000000"/>
              <w:right w:val="dotted" w:sz="4" w:space="0" w:color="000000"/>
            </w:tcBorders>
          </w:tcPr>
          <w:p>
            <w:pPr/>
          </w:p>
        </w:tc>
        <w:tc>
          <w:tcPr>
            <w:tcW w:w="1246" w:type="dxa"/>
            <w:vMerge w:val="restart"/>
            <w:tcBorders>
              <w:top w:val="single" w:sz="4" w:space="0" w:color="000000"/>
              <w:left w:val="dotted" w:sz="4" w:space="0" w:color="000000"/>
              <w:right w:val="nil"/>
            </w:tcBorders>
          </w:tcPr>
          <w:p>
            <w:pPr/>
          </w:p>
        </w:tc>
      </w:tr>
      <w:tr>
        <w:trPr>
          <w:trHeight w:val="619" w:hRule="exact"/>
        </w:trPr>
        <w:tc>
          <w:tcPr>
            <w:tcW w:w="667" w:type="dxa"/>
            <w:tcBorders>
              <w:top w:val="nil"/>
              <w:left w:val="nil"/>
              <w:bottom w:val="nil"/>
            </w:tcBorders>
            <w:shd w:val="clear" w:color="auto" w:fill="DBDBDB"/>
          </w:tcPr>
          <w:p>
            <w:pPr>
              <w:pStyle w:val="TableParagraph"/>
              <w:rPr>
                <w:b/>
                <w:i/>
                <w:sz w:val="14"/>
              </w:rPr>
            </w:pPr>
          </w:p>
          <w:p>
            <w:pPr>
              <w:pStyle w:val="TableParagraph"/>
              <w:spacing w:before="2"/>
              <w:rPr>
                <w:b/>
                <w:i/>
                <w:sz w:val="14"/>
              </w:rPr>
            </w:pPr>
          </w:p>
          <w:p>
            <w:pPr>
              <w:pStyle w:val="TableParagraph"/>
              <w:ind w:left="3"/>
              <w:jc w:val="center"/>
              <w:rPr>
                <w:b/>
                <w:i/>
                <w:sz w:val="14"/>
              </w:rPr>
            </w:pPr>
            <w:r>
              <w:rPr>
                <w:b/>
                <w:i/>
                <w:w w:val="99"/>
                <w:sz w:val="14"/>
              </w:rPr>
              <w:t>5</w:t>
            </w:r>
          </w:p>
        </w:tc>
        <w:tc>
          <w:tcPr>
            <w:tcW w:w="1092" w:type="dxa"/>
            <w:vMerge/>
            <w:tcBorders>
              <w:bottom w:val="nil"/>
              <w:right w:val="dotted" w:sz="4" w:space="0" w:color="000000"/>
            </w:tcBorders>
          </w:tcPr>
          <w:p>
            <w:pPr/>
          </w:p>
        </w:tc>
        <w:tc>
          <w:tcPr>
            <w:tcW w:w="1097" w:type="dxa"/>
            <w:vMerge/>
            <w:tcBorders>
              <w:left w:val="dotted" w:sz="4" w:space="0" w:color="000000"/>
              <w:bottom w:val="nil"/>
              <w:right w:val="dotted" w:sz="4" w:space="0" w:color="000000"/>
            </w:tcBorders>
          </w:tcPr>
          <w:p>
            <w:pPr/>
          </w:p>
        </w:tc>
        <w:tc>
          <w:tcPr>
            <w:tcW w:w="1092" w:type="dxa"/>
            <w:vMerge/>
            <w:tcBorders>
              <w:left w:val="dotted" w:sz="4" w:space="0" w:color="000000"/>
              <w:bottom w:val="nil"/>
              <w:right w:val="dotted" w:sz="4" w:space="0" w:color="000000"/>
            </w:tcBorders>
          </w:tcPr>
          <w:p>
            <w:pPr/>
          </w:p>
        </w:tc>
        <w:tc>
          <w:tcPr>
            <w:tcW w:w="1097" w:type="dxa"/>
            <w:vMerge/>
            <w:tcBorders>
              <w:left w:val="dotted" w:sz="4" w:space="0" w:color="000000"/>
              <w:bottom w:val="nil"/>
              <w:right w:val="dotted" w:sz="4" w:space="0" w:color="000000"/>
            </w:tcBorders>
          </w:tcPr>
          <w:p>
            <w:pPr/>
          </w:p>
        </w:tc>
        <w:tc>
          <w:tcPr>
            <w:tcW w:w="1095" w:type="dxa"/>
            <w:vMerge/>
            <w:tcBorders>
              <w:left w:val="dotted" w:sz="4" w:space="0" w:color="000000"/>
              <w:bottom w:val="nil"/>
              <w:right w:val="dotted" w:sz="4" w:space="0" w:color="000000"/>
            </w:tcBorders>
          </w:tcPr>
          <w:p>
            <w:pPr/>
          </w:p>
        </w:tc>
        <w:tc>
          <w:tcPr>
            <w:tcW w:w="1094" w:type="dxa"/>
            <w:vMerge/>
            <w:tcBorders>
              <w:left w:val="dotted" w:sz="4" w:space="0" w:color="000000"/>
              <w:bottom w:val="nil"/>
              <w:right w:val="dotted" w:sz="4" w:space="0" w:color="000000"/>
            </w:tcBorders>
          </w:tcPr>
          <w:p>
            <w:pPr/>
          </w:p>
        </w:tc>
        <w:tc>
          <w:tcPr>
            <w:tcW w:w="1095" w:type="dxa"/>
            <w:vMerge/>
            <w:tcBorders>
              <w:left w:val="dotted" w:sz="4" w:space="0" w:color="000000"/>
              <w:bottom w:val="nil"/>
              <w:right w:val="dotted" w:sz="4" w:space="0" w:color="000000"/>
            </w:tcBorders>
          </w:tcPr>
          <w:p>
            <w:pPr/>
          </w:p>
        </w:tc>
        <w:tc>
          <w:tcPr>
            <w:tcW w:w="1246" w:type="dxa"/>
            <w:vMerge/>
            <w:tcBorders>
              <w:left w:val="dotted" w:sz="4" w:space="0" w:color="000000"/>
              <w:bottom w:val="nil"/>
              <w:right w:val="nil"/>
            </w:tcBorders>
          </w:tcPr>
          <w:p>
            <w:pPr/>
          </w:p>
        </w:tc>
      </w:tr>
    </w:tbl>
    <w:p>
      <w:pPr>
        <w:spacing w:after="0"/>
        <w:sectPr>
          <w:pgSz w:w="12240" w:h="15840"/>
          <w:pgMar w:top="1500" w:bottom="280" w:left="1180" w:right="980"/>
        </w:sectPr>
      </w:pPr>
    </w:p>
    <w:p>
      <w:pPr>
        <w:pStyle w:val="Heading1"/>
        <w:spacing w:before="43"/>
        <w:ind w:right="28"/>
      </w:pPr>
      <w:r>
        <w:rPr/>
        <w:t>ANEXO 4</w:t>
      </w:r>
    </w:p>
    <w:p>
      <w:pPr>
        <w:pStyle w:val="BodyText"/>
        <w:spacing w:before="22"/>
        <w:ind w:left="2688" w:right="28"/>
      </w:pPr>
      <w:r>
        <w:rPr/>
        <w:t>CONSENTIMIENTO INFORMADO</w:t>
      </w: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tabs>
          <w:tab w:pos="7193" w:val="left" w:leader="none"/>
        </w:tabs>
        <w:ind w:left="107"/>
        <w:jc w:val="both"/>
      </w:pPr>
      <w:r>
        <w:rPr/>
        <w:t>Tlalnepantla de Baz, Estado de México,</w:t>
      </w:r>
      <w:r>
        <w:rPr>
          <w:spacing w:val="-12"/>
        </w:rPr>
        <w:t> </w:t>
      </w:r>
      <w:r>
        <w:rPr/>
        <w:t>a        </w:t>
      </w:r>
      <w:r>
        <w:rPr>
          <w:spacing w:val="54"/>
        </w:rPr>
        <w:t> </w:t>
      </w:r>
      <w:r>
        <w:rPr/>
        <w:t>de</w:t>
      </w:r>
      <w:r>
        <w:rPr>
          <w:u w:val="single"/>
        </w:rPr>
        <w:t> </w:t>
        <w:tab/>
      </w:r>
      <w:r>
        <w:rPr/>
        <w:t>de</w:t>
      </w:r>
      <w:r>
        <w:rPr>
          <w:spacing w:val="-4"/>
        </w:rPr>
        <w:t> </w:t>
      </w:r>
      <w:r>
        <w:rPr/>
        <w:t>2016.</w:t>
      </w:r>
    </w:p>
    <w:p>
      <w:pPr>
        <w:pStyle w:val="BodyText"/>
      </w:pPr>
    </w:p>
    <w:p>
      <w:pPr>
        <w:pStyle w:val="BodyText"/>
      </w:pPr>
    </w:p>
    <w:p>
      <w:pPr>
        <w:pStyle w:val="BodyText"/>
      </w:pPr>
    </w:p>
    <w:p>
      <w:pPr>
        <w:pStyle w:val="BodyText"/>
        <w:spacing w:before="4"/>
        <w:rPr>
          <w:sz w:val="33"/>
        </w:rPr>
      </w:pPr>
    </w:p>
    <w:p>
      <w:pPr>
        <w:pStyle w:val="BodyText"/>
        <w:ind w:left="117" w:right="108" w:firstLine="57"/>
        <w:jc w:val="both"/>
      </w:pPr>
      <w:r>
        <w:rPr/>
        <w:t>En plena capacidad de mis facultades como paciente, bajo protesta de decir la verdad, declaro que me ha sido informado y entendido el diagnóstico presuncional de poliquistosis ovárica para cuya valoración se planea realizar </w:t>
      </w:r>
      <w:r>
        <w:rPr>
          <w:b/>
        </w:rPr>
        <w:t>ultrasonido endovaginal </w:t>
      </w:r>
      <w:r>
        <w:rPr/>
        <w:t>con intención diagnóstica así como hacer uso de la información obtenida para fines estadísticos y de protocolo de investigación, guardado la confidencialidad de mi identidad, expediente y datos personales asentados en este último, bajo las normas bioéticas establecidas.</w:t>
      </w:r>
    </w:p>
    <w:p>
      <w:pPr>
        <w:pStyle w:val="BodyText"/>
        <w:spacing w:before="10"/>
        <w:rPr>
          <w:sz w:val="25"/>
        </w:rPr>
      </w:pPr>
    </w:p>
    <w:p>
      <w:pPr>
        <w:pStyle w:val="BodyText"/>
        <w:ind w:left="117" w:right="111" w:firstLine="57"/>
        <w:jc w:val="both"/>
      </w:pPr>
      <w:r>
        <w:rPr/>
        <w:t>Así mismo que las posibles complicaciones que se pueden presentar durante el estudio</w:t>
      </w:r>
      <w:r>
        <w:rPr>
          <w:spacing w:val="-18"/>
        </w:rPr>
        <w:t> </w:t>
      </w:r>
      <w:r>
        <w:rPr/>
        <w:t>se</w:t>
      </w:r>
      <w:r>
        <w:rPr>
          <w:spacing w:val="-18"/>
        </w:rPr>
        <w:t> </w:t>
      </w:r>
      <w:r>
        <w:rPr/>
        <w:t>limitan</w:t>
      </w:r>
      <w:r>
        <w:rPr>
          <w:spacing w:val="-18"/>
        </w:rPr>
        <w:t> </w:t>
      </w:r>
      <w:r>
        <w:rPr/>
        <w:t>únicamente</w:t>
      </w:r>
      <w:r>
        <w:rPr>
          <w:spacing w:val="-18"/>
        </w:rPr>
        <w:t> </w:t>
      </w:r>
      <w:r>
        <w:rPr/>
        <w:t>a</w:t>
      </w:r>
      <w:r>
        <w:rPr>
          <w:spacing w:val="-20"/>
        </w:rPr>
        <w:t> </w:t>
      </w:r>
      <w:r>
        <w:rPr/>
        <w:t>molestias</w:t>
      </w:r>
      <w:r>
        <w:rPr>
          <w:spacing w:val="-21"/>
        </w:rPr>
        <w:t> </w:t>
      </w:r>
      <w:r>
        <w:rPr/>
        <w:t>propias</w:t>
      </w:r>
      <w:r>
        <w:rPr>
          <w:spacing w:val="-18"/>
        </w:rPr>
        <w:t> </w:t>
      </w:r>
      <w:r>
        <w:rPr/>
        <w:t>de</w:t>
      </w:r>
      <w:r>
        <w:rPr>
          <w:spacing w:val="-18"/>
        </w:rPr>
        <w:t> </w:t>
      </w:r>
      <w:r>
        <w:rPr/>
        <w:t>la</w:t>
      </w:r>
      <w:r>
        <w:rPr>
          <w:spacing w:val="-21"/>
        </w:rPr>
        <w:t> </w:t>
      </w:r>
      <w:r>
        <w:rPr/>
        <w:t>manipulación</w:t>
      </w:r>
      <w:r>
        <w:rPr>
          <w:spacing w:val="-20"/>
        </w:rPr>
        <w:t> </w:t>
      </w:r>
      <w:r>
        <w:rPr/>
        <w:t>de</w:t>
      </w:r>
      <w:r>
        <w:rPr>
          <w:spacing w:val="-18"/>
        </w:rPr>
        <w:t> </w:t>
      </w:r>
      <w:r>
        <w:rPr/>
        <w:t>transductor, las cuales son similares a las del procedimiento de Papanicolaou (introducción de espejo</w:t>
      </w:r>
      <w:r>
        <w:rPr>
          <w:spacing w:val="-8"/>
        </w:rPr>
        <w:t> </w:t>
      </w:r>
      <w:r>
        <w:rPr/>
        <w:t>vaginal).</w:t>
      </w:r>
    </w:p>
    <w:p>
      <w:pPr>
        <w:pStyle w:val="BodyText"/>
        <w:spacing w:before="10"/>
        <w:rPr>
          <w:sz w:val="25"/>
        </w:rPr>
      </w:pPr>
    </w:p>
    <w:p>
      <w:pPr>
        <w:pStyle w:val="BodyText"/>
        <w:ind w:left="117" w:right="112" w:firstLine="57"/>
        <w:jc w:val="both"/>
      </w:pPr>
      <w:r>
        <w:rPr/>
        <w:t>En tales condiciones, consiento en forma libre y espontánea y sin ningún tipo de presión que la Dra. Berenice Godínez Contreras realice ultrasonido endovaginal en el</w:t>
      </w:r>
      <w:r>
        <w:rPr>
          <w:spacing w:val="-5"/>
        </w:rPr>
        <w:t> </w:t>
      </w:r>
      <w:r>
        <w:rPr/>
        <w:t>Hospital</w:t>
      </w:r>
      <w:r>
        <w:rPr>
          <w:spacing w:val="-7"/>
        </w:rPr>
        <w:t> </w:t>
      </w:r>
      <w:r>
        <w:rPr/>
        <w:t>Regional</w:t>
      </w:r>
      <w:r>
        <w:rPr>
          <w:spacing w:val="-7"/>
        </w:rPr>
        <w:t> </w:t>
      </w:r>
      <w:r>
        <w:rPr/>
        <w:t>de</w:t>
      </w:r>
      <w:r>
        <w:rPr>
          <w:spacing w:val="-6"/>
        </w:rPr>
        <w:t> </w:t>
      </w:r>
      <w:r>
        <w:rPr/>
        <w:t>Tlalnepantla</w:t>
      </w:r>
      <w:r>
        <w:rPr>
          <w:spacing w:val="-6"/>
        </w:rPr>
        <w:t> </w:t>
      </w:r>
      <w:r>
        <w:rPr/>
        <w:t>del</w:t>
      </w:r>
      <w:r>
        <w:rPr>
          <w:spacing w:val="-7"/>
        </w:rPr>
        <w:t> </w:t>
      </w:r>
      <w:r>
        <w:rPr/>
        <w:t>Instituto</w:t>
      </w:r>
      <w:r>
        <w:rPr>
          <w:spacing w:val="-5"/>
        </w:rPr>
        <w:t> </w:t>
      </w:r>
      <w:r>
        <w:rPr/>
        <w:t>de</w:t>
      </w:r>
      <w:r>
        <w:rPr>
          <w:spacing w:val="-6"/>
        </w:rPr>
        <w:t> </w:t>
      </w:r>
      <w:r>
        <w:rPr/>
        <w:t>Seguridad</w:t>
      </w:r>
      <w:r>
        <w:rPr>
          <w:spacing w:val="-6"/>
        </w:rPr>
        <w:t> </w:t>
      </w:r>
      <w:r>
        <w:rPr/>
        <w:t>Social</w:t>
      </w:r>
      <w:r>
        <w:rPr>
          <w:spacing w:val="-5"/>
        </w:rPr>
        <w:t> </w:t>
      </w:r>
      <w:r>
        <w:rPr/>
        <w:t>del</w:t>
      </w:r>
      <w:r>
        <w:rPr>
          <w:spacing w:val="-7"/>
        </w:rPr>
        <w:t> </w:t>
      </w:r>
      <w:r>
        <w:rPr/>
        <w:t>Estado</w:t>
      </w:r>
      <w:r>
        <w:rPr>
          <w:spacing w:val="-6"/>
        </w:rPr>
        <w:t> </w:t>
      </w:r>
      <w:r>
        <w:rPr/>
        <w:t>de México y Municipios. Dándole total capacidad legar para que ella destine, de acuerdo a los procesos internos de esta unidad médica, a quien crea necesario, para que intervengan en el acto o procedimiento, con el fin de recuperar la salud. De igual manera sé y comprendo que por escrito, en cualquier momento puedo revocar el consentimiento que ahora</w:t>
      </w:r>
      <w:r>
        <w:rPr>
          <w:spacing w:val="-13"/>
        </w:rPr>
        <w:t> </w:t>
      </w:r>
      <w:r>
        <w:rPr/>
        <w:t>otorgo.</w:t>
      </w:r>
    </w:p>
    <w:p>
      <w:pPr>
        <w:pStyle w:val="BodyText"/>
        <w:spacing w:before="1"/>
        <w:rPr>
          <w:sz w:val="26"/>
        </w:rPr>
      </w:pPr>
    </w:p>
    <w:p>
      <w:pPr>
        <w:pStyle w:val="Heading1"/>
        <w:tabs>
          <w:tab w:pos="5193" w:val="left" w:leader="none"/>
        </w:tabs>
        <w:ind w:left="0" w:right="772"/>
        <w:jc w:val="center"/>
      </w:pPr>
      <w:r>
        <w:rPr/>
        <w:t>AUTORIZA:</w:t>
      </w:r>
      <w:r>
        <w:rPr>
          <w:spacing w:val="-3"/>
        </w:rPr>
        <w:t> </w:t>
      </w:r>
      <w:r>
        <w:rPr/>
        <w:t>PACIENTE</w:t>
        <w:tab/>
        <w:t>MEDICO</w:t>
      </w:r>
      <w:r>
        <w:rPr>
          <w:spacing w:val="-7"/>
        </w:rPr>
        <w:t> </w:t>
      </w:r>
      <w:r>
        <w:rPr/>
        <w:t>INFORMANTE</w:t>
      </w:r>
    </w:p>
    <w:p>
      <w:pPr>
        <w:pStyle w:val="BodyText"/>
        <w:spacing w:before="9"/>
        <w:rPr>
          <w:b/>
          <w:sz w:val="20"/>
        </w:rPr>
      </w:pPr>
      <w:r>
        <w:rPr/>
        <w:pict>
          <v:line style="position:absolute;mso-position-horizontal-relative:page;mso-position-vertical-relative:paragraph;z-index:2056;mso-wrap-distance-left:0;mso-wrap-distance-right:0" from="84.384003pt,14.347021pt" to="284.400013pt,14.347021pt" stroked="true" strokeweight=".756pt" strokecolor="#000000">
            <w10:wrap type="topAndBottom"/>
          </v:line>
        </w:pict>
      </w:r>
      <w:r>
        <w:rPr/>
        <w:pict>
          <v:line style="position:absolute;mso-position-horizontal-relative:page;mso-position-vertical-relative:paragraph;z-index:2080;mso-wrap-distance-left:0;mso-wrap-distance-right:0" from="333.600006pt,14.347021pt" to="526.908016pt,14.347021pt" stroked="true" strokeweight=".756pt" strokecolor="#000000">
            <w10:wrap type="topAndBottom"/>
          </v:line>
        </w:pict>
      </w:r>
    </w:p>
    <w:p>
      <w:pPr>
        <w:tabs>
          <w:tab w:pos="4740" w:val="left" w:leader="none"/>
        </w:tabs>
        <w:spacing w:line="229" w:lineRule="exact" w:before="0"/>
        <w:ind w:left="117" w:right="28" w:firstLine="0"/>
        <w:jc w:val="left"/>
        <w:rPr>
          <w:sz w:val="22"/>
        </w:rPr>
      </w:pPr>
      <w:r>
        <w:rPr>
          <w:sz w:val="22"/>
        </w:rPr>
        <w:t>NOMBRE COMPLETO</w:t>
      </w:r>
      <w:r>
        <w:rPr>
          <w:spacing w:val="-5"/>
          <w:sz w:val="22"/>
        </w:rPr>
        <w:t> </w:t>
      </w:r>
      <w:r>
        <w:rPr>
          <w:sz w:val="22"/>
        </w:rPr>
        <w:t>Y</w:t>
      </w:r>
      <w:r>
        <w:rPr>
          <w:spacing w:val="-2"/>
          <w:sz w:val="22"/>
        </w:rPr>
        <w:t> </w:t>
      </w:r>
      <w:r>
        <w:rPr>
          <w:sz w:val="22"/>
        </w:rPr>
        <w:t>FIRMA</w:t>
        <w:tab/>
        <w:t>DRA. BERENICE GODINEZ</w:t>
      </w:r>
      <w:r>
        <w:rPr>
          <w:spacing w:val="-12"/>
          <w:sz w:val="22"/>
        </w:rPr>
        <w:t> </w:t>
      </w:r>
      <w:r>
        <w:rPr>
          <w:sz w:val="22"/>
        </w:rPr>
        <w:t>CONTRERAS</w:t>
      </w:r>
    </w:p>
    <w:p>
      <w:pPr>
        <w:pStyle w:val="BodyText"/>
        <w:rPr>
          <w:sz w:val="22"/>
        </w:rPr>
      </w:pPr>
    </w:p>
    <w:p>
      <w:pPr>
        <w:pStyle w:val="BodyText"/>
        <w:rPr>
          <w:sz w:val="22"/>
        </w:rPr>
      </w:pPr>
    </w:p>
    <w:p>
      <w:pPr>
        <w:pStyle w:val="BodyText"/>
        <w:rPr>
          <w:sz w:val="22"/>
        </w:rPr>
      </w:pPr>
    </w:p>
    <w:p>
      <w:pPr>
        <w:pStyle w:val="BodyText"/>
        <w:spacing w:before="153"/>
        <w:ind w:left="4060" w:right="3925"/>
        <w:jc w:val="center"/>
      </w:pPr>
      <w:r>
        <w:rPr/>
        <w:t>TESTIGO</w:t>
      </w:r>
    </w:p>
    <w:p>
      <w:pPr>
        <w:pStyle w:val="BodyText"/>
        <w:rPr>
          <w:sz w:val="20"/>
        </w:rPr>
      </w:pPr>
    </w:p>
    <w:p>
      <w:pPr>
        <w:pStyle w:val="BodyText"/>
        <w:spacing w:before="8"/>
        <w:rPr>
          <w:sz w:val="26"/>
        </w:rPr>
      </w:pPr>
      <w:r>
        <w:rPr/>
        <w:pict>
          <v:line style="position:absolute;mso-position-horizontal-relative:page;mso-position-vertical-relative:paragraph;z-index:2104;mso-wrap-distance-left:0;mso-wrap-distance-right:0" from="179.059998pt,17.728018pt" to="432.41601pt,17.728018pt" stroked="true" strokeweight=".756pt" strokecolor="#000000">
            <w10:wrap type="topAndBottom"/>
          </v:line>
        </w:pict>
      </w:r>
    </w:p>
    <w:sectPr>
      <w:pgSz w:w="12240" w:h="15840"/>
      <w:pgMar w:top="1220" w:bottom="28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egoe UI">
    <w:altName w:val="Segoe U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7"/>
      <w:numFmt w:val="decimal"/>
      <w:lvlText w:val="%1"/>
      <w:lvlJc w:val="left"/>
      <w:pPr>
        <w:ind w:left="692" w:hanging="586"/>
        <w:jc w:val="left"/>
      </w:pPr>
      <w:rPr>
        <w:rFonts w:hint="default"/>
      </w:rPr>
    </w:lvl>
    <w:lvl w:ilvl="1">
      <w:start w:val="1"/>
      <w:numFmt w:val="upperLetter"/>
      <w:lvlText w:val="%1-%2"/>
      <w:lvlJc w:val="left"/>
      <w:pPr>
        <w:ind w:left="692" w:hanging="586"/>
        <w:jc w:val="left"/>
      </w:pPr>
      <w:rPr>
        <w:rFonts w:hint="default"/>
        <w:w w:val="99"/>
        <w:u w:val="thick" w:color="000000"/>
      </w:rPr>
    </w:lvl>
    <w:lvl w:ilvl="2">
      <w:start w:val="1"/>
      <w:numFmt w:val="decimal"/>
      <w:lvlText w:val="%3."/>
      <w:lvlJc w:val="left"/>
      <w:pPr>
        <w:ind w:left="842" w:hanging="360"/>
        <w:jc w:val="right"/>
      </w:pPr>
      <w:rPr>
        <w:rFonts w:hint="default" w:ascii="Arial" w:hAnsi="Arial" w:eastAsia="Arial" w:cs="Arial"/>
        <w:spacing w:val="-7"/>
        <w:w w:val="99"/>
        <w:sz w:val="24"/>
        <w:szCs w:val="24"/>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3">
    <w:multiLevelType w:val="hybridMultilevel"/>
    <w:lvl w:ilvl="0">
      <w:start w:val="1"/>
      <w:numFmt w:val="bullet"/>
      <w:lvlText w:val="•"/>
      <w:lvlJc w:val="left"/>
      <w:pPr>
        <w:ind w:left="117" w:hanging="636"/>
      </w:pPr>
      <w:rPr>
        <w:rFonts w:hint="default"/>
        <w:w w:val="99"/>
      </w:rPr>
    </w:lvl>
    <w:lvl w:ilvl="1">
      <w:start w:val="1"/>
      <w:numFmt w:val="bullet"/>
      <w:lvlText w:val="•"/>
      <w:lvlJc w:val="left"/>
      <w:pPr>
        <w:ind w:left="1016" w:hanging="636"/>
      </w:pPr>
      <w:rPr>
        <w:rFonts w:hint="default"/>
      </w:rPr>
    </w:lvl>
    <w:lvl w:ilvl="2">
      <w:start w:val="1"/>
      <w:numFmt w:val="bullet"/>
      <w:lvlText w:val="•"/>
      <w:lvlJc w:val="left"/>
      <w:pPr>
        <w:ind w:left="1912" w:hanging="636"/>
      </w:pPr>
      <w:rPr>
        <w:rFonts w:hint="default"/>
      </w:rPr>
    </w:lvl>
    <w:lvl w:ilvl="3">
      <w:start w:val="1"/>
      <w:numFmt w:val="bullet"/>
      <w:lvlText w:val="•"/>
      <w:lvlJc w:val="left"/>
      <w:pPr>
        <w:ind w:left="2808" w:hanging="636"/>
      </w:pPr>
      <w:rPr>
        <w:rFonts w:hint="default"/>
      </w:rPr>
    </w:lvl>
    <w:lvl w:ilvl="4">
      <w:start w:val="1"/>
      <w:numFmt w:val="bullet"/>
      <w:lvlText w:val="•"/>
      <w:lvlJc w:val="left"/>
      <w:pPr>
        <w:ind w:left="3704" w:hanging="636"/>
      </w:pPr>
      <w:rPr>
        <w:rFonts w:hint="default"/>
      </w:rPr>
    </w:lvl>
    <w:lvl w:ilvl="5">
      <w:start w:val="1"/>
      <w:numFmt w:val="bullet"/>
      <w:lvlText w:val="•"/>
      <w:lvlJc w:val="left"/>
      <w:pPr>
        <w:ind w:left="4600" w:hanging="636"/>
      </w:pPr>
      <w:rPr>
        <w:rFonts w:hint="default"/>
      </w:rPr>
    </w:lvl>
    <w:lvl w:ilvl="6">
      <w:start w:val="1"/>
      <w:numFmt w:val="bullet"/>
      <w:lvlText w:val="•"/>
      <w:lvlJc w:val="left"/>
      <w:pPr>
        <w:ind w:left="5496" w:hanging="636"/>
      </w:pPr>
      <w:rPr>
        <w:rFonts w:hint="default"/>
      </w:rPr>
    </w:lvl>
    <w:lvl w:ilvl="7">
      <w:start w:val="1"/>
      <w:numFmt w:val="bullet"/>
      <w:lvlText w:val="•"/>
      <w:lvlJc w:val="left"/>
      <w:pPr>
        <w:ind w:left="6392" w:hanging="636"/>
      </w:pPr>
      <w:rPr>
        <w:rFonts w:hint="default"/>
      </w:rPr>
    </w:lvl>
    <w:lvl w:ilvl="8">
      <w:start w:val="1"/>
      <w:numFmt w:val="bullet"/>
      <w:lvlText w:val="•"/>
      <w:lvlJc w:val="left"/>
      <w:pPr>
        <w:ind w:left="7288" w:hanging="636"/>
      </w:pPr>
      <w:rPr>
        <w:rFonts w:hint="default"/>
      </w:rPr>
    </w:lvl>
  </w:abstractNum>
  <w:abstractNum w:abstractNumId="2">
    <w:multiLevelType w:val="hybridMultilevel"/>
    <w:lvl w:ilvl="0">
      <w:start w:val="1"/>
      <w:numFmt w:val="decimal"/>
      <w:lvlText w:val="%1."/>
      <w:lvlJc w:val="left"/>
      <w:pPr>
        <w:ind w:left="654" w:hanging="360"/>
        <w:jc w:val="left"/>
      </w:pPr>
      <w:rPr>
        <w:rFonts w:hint="default" w:ascii="Arial" w:hAnsi="Arial" w:eastAsia="Arial" w:cs="Arial"/>
        <w:spacing w:val="-4"/>
        <w:w w:val="99"/>
        <w:sz w:val="24"/>
        <w:szCs w:val="24"/>
      </w:rPr>
    </w:lvl>
    <w:lvl w:ilvl="1">
      <w:start w:val="1"/>
      <w:numFmt w:val="decimal"/>
      <w:lvlText w:val="%2."/>
      <w:lvlJc w:val="left"/>
      <w:pPr>
        <w:ind w:left="842" w:hanging="360"/>
        <w:jc w:val="left"/>
      </w:pPr>
      <w:rPr>
        <w:rFonts w:hint="default" w:ascii="Arial" w:hAnsi="Arial" w:eastAsia="Arial" w:cs="Arial"/>
        <w:w w:val="99"/>
        <w:sz w:val="24"/>
        <w:szCs w:val="24"/>
      </w:rPr>
    </w:lvl>
    <w:lvl w:ilvl="2">
      <w:start w:val="1"/>
      <w:numFmt w:val="bullet"/>
      <w:lvlText w:val="•"/>
      <w:lvlJc w:val="left"/>
      <w:pPr>
        <w:ind w:left="1755" w:hanging="360"/>
      </w:pPr>
      <w:rPr>
        <w:rFonts w:hint="default"/>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1">
    <w:multiLevelType w:val="hybridMultilevel"/>
    <w:lvl w:ilvl="0">
      <w:start w:val="1"/>
      <w:numFmt w:val="decimal"/>
      <w:lvlText w:val="%1."/>
      <w:lvlJc w:val="left"/>
      <w:pPr>
        <w:ind w:left="117" w:hanging="636"/>
        <w:jc w:val="right"/>
      </w:pPr>
      <w:rPr>
        <w:rFonts w:hint="default" w:ascii="Arial" w:hAnsi="Arial" w:eastAsia="Arial" w:cs="Arial"/>
        <w:spacing w:val="-34"/>
        <w:w w:val="99"/>
        <w:sz w:val="24"/>
        <w:szCs w:val="24"/>
      </w:rPr>
    </w:lvl>
    <w:lvl w:ilvl="1">
      <w:start w:val="1"/>
      <w:numFmt w:val="bullet"/>
      <w:lvlText w:val="•"/>
      <w:lvlJc w:val="left"/>
      <w:pPr>
        <w:ind w:left="1042" w:hanging="360"/>
      </w:pPr>
      <w:rPr>
        <w:rFonts w:hint="default" w:ascii="Arial" w:hAnsi="Arial" w:eastAsia="Arial" w:cs="Arial"/>
        <w:w w:val="99"/>
        <w:sz w:val="24"/>
        <w:szCs w:val="24"/>
      </w:rPr>
    </w:lvl>
    <w:lvl w:ilvl="2">
      <w:start w:val="1"/>
      <w:numFmt w:val="bullet"/>
      <w:lvlText w:val="•"/>
      <w:lvlJc w:val="left"/>
      <w:pPr>
        <w:ind w:left="1933" w:hanging="360"/>
      </w:pPr>
      <w:rPr>
        <w:rFonts w:hint="default"/>
      </w:rPr>
    </w:lvl>
    <w:lvl w:ilvl="3">
      <w:start w:val="1"/>
      <w:numFmt w:val="bullet"/>
      <w:lvlText w:val="•"/>
      <w:lvlJc w:val="left"/>
      <w:pPr>
        <w:ind w:left="2826" w:hanging="360"/>
      </w:pPr>
      <w:rPr>
        <w:rFonts w:hint="default"/>
      </w:rPr>
    </w:lvl>
    <w:lvl w:ilvl="4">
      <w:start w:val="1"/>
      <w:numFmt w:val="bullet"/>
      <w:lvlText w:val="•"/>
      <w:lvlJc w:val="left"/>
      <w:pPr>
        <w:ind w:left="3720" w:hanging="360"/>
      </w:pPr>
      <w:rPr>
        <w:rFonts w:hint="default"/>
      </w:rPr>
    </w:lvl>
    <w:lvl w:ilvl="5">
      <w:start w:val="1"/>
      <w:numFmt w:val="bullet"/>
      <w:lvlText w:val="•"/>
      <w:lvlJc w:val="left"/>
      <w:pPr>
        <w:ind w:left="4613" w:hanging="360"/>
      </w:pPr>
      <w:rPr>
        <w:rFonts w:hint="default"/>
      </w:rPr>
    </w:lvl>
    <w:lvl w:ilvl="6">
      <w:start w:val="1"/>
      <w:numFmt w:val="bullet"/>
      <w:lvlText w:val="•"/>
      <w:lvlJc w:val="left"/>
      <w:pPr>
        <w:ind w:left="5506" w:hanging="360"/>
      </w:pPr>
      <w:rPr>
        <w:rFonts w:hint="default"/>
      </w:rPr>
    </w:lvl>
    <w:lvl w:ilvl="7">
      <w:start w:val="1"/>
      <w:numFmt w:val="bullet"/>
      <w:lvlText w:val="•"/>
      <w:lvlJc w:val="left"/>
      <w:pPr>
        <w:ind w:left="6400" w:hanging="360"/>
      </w:pPr>
      <w:rPr>
        <w:rFonts w:hint="default"/>
      </w:rPr>
    </w:lvl>
    <w:lvl w:ilvl="8">
      <w:start w:val="1"/>
      <w:numFmt w:val="bullet"/>
      <w:lvlText w:val="•"/>
      <w:lvlJc w:val="left"/>
      <w:pPr>
        <w:ind w:left="7293" w:hanging="360"/>
      </w:pPr>
      <w:rPr>
        <w:rFonts w:hint="default"/>
      </w:rPr>
    </w:lvl>
  </w:abstractNum>
  <w:abstractNum w:abstractNumId="0">
    <w:multiLevelType w:val="hybridMultilevel"/>
    <w:lvl w:ilvl="0">
      <w:start w:val="1"/>
      <w:numFmt w:val="lowerLetter"/>
      <w:lvlText w:val="%1)"/>
      <w:lvlJc w:val="left"/>
      <w:pPr>
        <w:ind w:left="815" w:hanging="708"/>
        <w:jc w:val="left"/>
      </w:pPr>
      <w:rPr>
        <w:rFonts w:hint="default" w:ascii="Arial" w:hAnsi="Arial" w:eastAsia="Arial" w:cs="Arial"/>
        <w:w w:val="99"/>
        <w:sz w:val="24"/>
        <w:szCs w:val="24"/>
      </w:rPr>
    </w:lvl>
    <w:lvl w:ilvl="1">
      <w:start w:val="1"/>
      <w:numFmt w:val="bullet"/>
      <w:lvlText w:val="•"/>
      <w:lvlJc w:val="left"/>
      <w:pPr>
        <w:ind w:left="1646" w:hanging="708"/>
      </w:pPr>
      <w:rPr>
        <w:rFonts w:hint="default"/>
      </w:rPr>
    </w:lvl>
    <w:lvl w:ilvl="2">
      <w:start w:val="1"/>
      <w:numFmt w:val="bullet"/>
      <w:lvlText w:val="•"/>
      <w:lvlJc w:val="left"/>
      <w:pPr>
        <w:ind w:left="2472" w:hanging="708"/>
      </w:pPr>
      <w:rPr>
        <w:rFonts w:hint="default"/>
      </w:rPr>
    </w:lvl>
    <w:lvl w:ilvl="3">
      <w:start w:val="1"/>
      <w:numFmt w:val="bullet"/>
      <w:lvlText w:val="•"/>
      <w:lvlJc w:val="left"/>
      <w:pPr>
        <w:ind w:left="3298" w:hanging="708"/>
      </w:pPr>
      <w:rPr>
        <w:rFonts w:hint="default"/>
      </w:rPr>
    </w:lvl>
    <w:lvl w:ilvl="4">
      <w:start w:val="1"/>
      <w:numFmt w:val="bullet"/>
      <w:lvlText w:val="•"/>
      <w:lvlJc w:val="left"/>
      <w:pPr>
        <w:ind w:left="4124" w:hanging="708"/>
      </w:pPr>
      <w:rPr>
        <w:rFonts w:hint="default"/>
      </w:rPr>
    </w:lvl>
    <w:lvl w:ilvl="5">
      <w:start w:val="1"/>
      <w:numFmt w:val="bullet"/>
      <w:lvlText w:val="•"/>
      <w:lvlJc w:val="left"/>
      <w:pPr>
        <w:ind w:left="4950" w:hanging="708"/>
      </w:pPr>
      <w:rPr>
        <w:rFonts w:hint="default"/>
      </w:rPr>
    </w:lvl>
    <w:lvl w:ilvl="6">
      <w:start w:val="1"/>
      <w:numFmt w:val="bullet"/>
      <w:lvlText w:val="•"/>
      <w:lvlJc w:val="left"/>
      <w:pPr>
        <w:ind w:left="5776" w:hanging="708"/>
      </w:pPr>
      <w:rPr>
        <w:rFonts w:hint="default"/>
      </w:rPr>
    </w:lvl>
    <w:lvl w:ilvl="7">
      <w:start w:val="1"/>
      <w:numFmt w:val="bullet"/>
      <w:lvlText w:val="•"/>
      <w:lvlJc w:val="left"/>
      <w:pPr>
        <w:ind w:left="6602" w:hanging="708"/>
      </w:pPr>
      <w:rPr>
        <w:rFonts w:hint="default"/>
      </w:rPr>
    </w:lvl>
    <w:lvl w:ilvl="8">
      <w:start w:val="1"/>
      <w:numFmt w:val="bullet"/>
      <w:lvlText w:val="•"/>
      <w:lvlJc w:val="left"/>
      <w:pPr>
        <w:ind w:left="7428" w:hanging="708"/>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7"/>
      <w:outlineLvl w:val="1"/>
    </w:pPr>
    <w:rPr>
      <w:rFonts w:ascii="Arial" w:hAnsi="Arial" w:eastAsia="Arial" w:cs="Arial"/>
      <w:b/>
      <w:bCs/>
      <w:sz w:val="24"/>
      <w:szCs w:val="24"/>
    </w:rPr>
  </w:style>
  <w:style w:styleId="ListParagraph" w:type="paragraph">
    <w:name w:val="List Paragraph"/>
    <w:basedOn w:val="Normal"/>
    <w:uiPriority w:val="1"/>
    <w:qFormat/>
    <w:pPr>
      <w:ind w:left="842"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Méndez</dc:creator>
  <dcterms:created xsi:type="dcterms:W3CDTF">2017-05-18T01:26:38Z</dcterms:created>
  <dcterms:modified xsi:type="dcterms:W3CDTF">2017-05-18T01:26:38Z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2017-03-28T00:00:00Z</vt:filetime>
  </property>
  <property fmtid="{D5CDD505-2E9C-101B-9397-08002B2CF9AE}" pid="3" name="Creator">
    <vt:lpwstr>Microsoft® Word 2016</vt:lpwstr>
  </property>
  <property fmtid="{D5CDD505-2E9C-101B-9397-08002B2CF9AE}" pid="4" name="LastSaved">
    <vt:filetime>2017-05-17T00:00:00Z</vt:filetime>
  </property>
</Properties>
</file>