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line="552" w:lineRule="auto" w:before="47"/>
        <w:ind w:left="1517" w:right="1536" w:firstLine="0"/>
        <w:jc w:val="center"/>
        <w:rPr>
          <w:sz w:val="21"/>
        </w:rPr>
      </w:pPr>
      <w:r>
        <w:rPr>
          <w:sz w:val="21"/>
        </w:rPr>
        <w:t>UNIVERSIDAD AUTÓNOMA DEL ESTADO DE MÉXICO FACULTAD DE MEDICINA</w:t>
      </w:r>
    </w:p>
    <w:p>
      <w:pPr>
        <w:spacing w:line="554" w:lineRule="auto" w:before="8"/>
        <w:ind w:left="617" w:right="641" w:firstLine="0"/>
        <w:jc w:val="center"/>
        <w:rPr>
          <w:sz w:val="21"/>
        </w:rPr>
      </w:pPr>
      <w:r>
        <w:rPr>
          <w:sz w:val="21"/>
        </w:rPr>
        <w:t>COORDINACIÓN DE INVESTIGACIÓN Y ESTUDIOS AVANZADOS DEPARTAMENTO DE ESTUDIOS AVANZADOS</w:t>
      </w:r>
    </w:p>
    <w:p>
      <w:pPr>
        <w:spacing w:line="554" w:lineRule="auto" w:before="5" w:after="10"/>
        <w:ind w:left="1517" w:right="1542" w:firstLine="0"/>
        <w:jc w:val="center"/>
        <w:rPr>
          <w:sz w:val="21"/>
        </w:rPr>
      </w:pPr>
      <w:r>
        <w:rPr>
          <w:sz w:val="21"/>
        </w:rPr>
        <w:t>COORDINACIÓN DE LA ESPECIALIDAD DE NEONATOLOGÍA DEPARTAMENTO DE EVALUACIÓN PROFESIONAL</w:t>
      </w:r>
    </w:p>
    <w:p>
      <w:pPr>
        <w:pStyle w:val="BodyText"/>
        <w:ind w:left="2948"/>
        <w:rPr>
          <w:sz w:val="20"/>
        </w:rPr>
      </w:pPr>
      <w:r>
        <w:rPr>
          <w:sz w:val="20"/>
        </w:rPr>
        <w:drawing>
          <wp:inline distT="0" distB="0" distL="0" distR="0">
            <wp:extent cx="1996845" cy="1876425"/>
            <wp:effectExtent l="0" t="0" r="0" b="0"/>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1996845" cy="1876425"/>
                    </a:xfrm>
                    <a:prstGeom prst="rect">
                      <a:avLst/>
                    </a:prstGeom>
                  </pic:spPr>
                </pic:pic>
              </a:graphicData>
            </a:graphic>
          </wp:inline>
        </w:drawing>
      </w:r>
      <w:r>
        <w:rPr>
          <w:sz w:val="20"/>
        </w:rPr>
      </w:r>
    </w:p>
    <w:p>
      <w:pPr>
        <w:pStyle w:val="BodyText"/>
        <w:spacing w:before="8"/>
        <w:rPr>
          <w:sz w:val="26"/>
        </w:rPr>
      </w:pPr>
    </w:p>
    <w:p>
      <w:pPr>
        <w:spacing w:line="276" w:lineRule="auto" w:before="0"/>
        <w:ind w:left="111" w:right="135" w:firstLine="0"/>
        <w:jc w:val="center"/>
        <w:rPr>
          <w:sz w:val="21"/>
        </w:rPr>
      </w:pPr>
      <w:r>
        <w:rPr>
          <w:sz w:val="21"/>
        </w:rPr>
        <w:t>“Prevalencia de malformaciones congénitas gastrointestinales en el Hospital Materno Perinatal Mónica Pretelini Sáenz durante el periodo de 2010 a 2015”</w:t>
      </w:r>
    </w:p>
    <w:p>
      <w:pPr>
        <w:pStyle w:val="BodyText"/>
        <w:spacing w:before="1"/>
      </w:pPr>
    </w:p>
    <w:p>
      <w:pPr>
        <w:spacing w:line="554" w:lineRule="auto" w:before="0"/>
        <w:ind w:left="1364" w:right="1363" w:firstLine="734"/>
        <w:jc w:val="left"/>
        <w:rPr>
          <w:sz w:val="21"/>
        </w:rPr>
      </w:pPr>
      <w:r>
        <w:rPr>
          <w:sz w:val="21"/>
        </w:rPr>
        <w:t>INSTITUTO DE SALUD DEL ESTADO DE MÉXICO HOSPITAL MATERNO PERINATAL “MÓNICA PRETELINI SÁENZ”</w:t>
      </w:r>
    </w:p>
    <w:p>
      <w:pPr>
        <w:spacing w:before="5"/>
        <w:ind w:left="1517" w:right="1533" w:firstLine="0"/>
        <w:jc w:val="center"/>
        <w:rPr>
          <w:sz w:val="21"/>
        </w:rPr>
      </w:pPr>
      <w:r>
        <w:rPr>
          <w:sz w:val="21"/>
        </w:rPr>
        <w:t>TESIS</w:t>
      </w:r>
    </w:p>
    <w:p>
      <w:pPr>
        <w:spacing w:before="37"/>
        <w:ind w:left="618" w:right="638" w:firstLine="0"/>
        <w:jc w:val="center"/>
        <w:rPr>
          <w:sz w:val="21"/>
        </w:rPr>
      </w:pPr>
      <w:r>
        <w:rPr>
          <w:sz w:val="21"/>
        </w:rPr>
        <w:t>PARA OBTENER EL DIPLOMA DE LA ESPECIALIDAD DE NEONATOLOGÍA</w:t>
      </w:r>
    </w:p>
    <w:p>
      <w:pPr>
        <w:pStyle w:val="BodyText"/>
        <w:spacing w:before="2"/>
        <w:rPr>
          <w:sz w:val="27"/>
        </w:rPr>
      </w:pPr>
    </w:p>
    <w:p>
      <w:pPr>
        <w:spacing w:before="0"/>
        <w:ind w:left="1517" w:right="1533" w:firstLine="0"/>
        <w:jc w:val="center"/>
        <w:rPr>
          <w:sz w:val="21"/>
        </w:rPr>
      </w:pPr>
      <w:r>
        <w:rPr>
          <w:sz w:val="21"/>
        </w:rPr>
        <w:t>INVESTIGADOR:</w:t>
      </w:r>
    </w:p>
    <w:p>
      <w:pPr>
        <w:spacing w:before="1"/>
        <w:ind w:left="2740" w:right="1363" w:firstLine="0"/>
        <w:jc w:val="left"/>
        <w:rPr>
          <w:sz w:val="21"/>
        </w:rPr>
      </w:pPr>
      <w:r>
        <w:rPr>
          <w:sz w:val="21"/>
        </w:rPr>
        <w:t>E. EN P. NURI GONZÁLEZ OCAMPO</w:t>
      </w:r>
    </w:p>
    <w:p>
      <w:pPr>
        <w:pStyle w:val="BodyText"/>
        <w:spacing w:before="10"/>
        <w:rPr>
          <w:sz w:val="20"/>
        </w:rPr>
      </w:pPr>
    </w:p>
    <w:p>
      <w:pPr>
        <w:spacing w:before="1"/>
        <w:ind w:left="1517" w:right="1534" w:firstLine="0"/>
        <w:jc w:val="center"/>
        <w:rPr>
          <w:sz w:val="21"/>
        </w:rPr>
      </w:pPr>
      <w:r>
        <w:rPr>
          <w:sz w:val="21"/>
        </w:rPr>
        <w:t>DIRECTOR DE TESIS</w:t>
      </w:r>
    </w:p>
    <w:p>
      <w:pPr>
        <w:spacing w:before="1"/>
        <w:ind w:left="2656" w:right="1363" w:firstLine="0"/>
        <w:jc w:val="left"/>
        <w:rPr>
          <w:sz w:val="21"/>
        </w:rPr>
      </w:pPr>
      <w:r>
        <w:rPr>
          <w:sz w:val="21"/>
        </w:rPr>
        <w:t>E. EN C. P. YOLANDA IRIBE GAXIOLA</w:t>
      </w:r>
    </w:p>
    <w:p>
      <w:pPr>
        <w:pStyle w:val="BodyText"/>
        <w:spacing w:before="10"/>
        <w:rPr>
          <w:sz w:val="20"/>
        </w:rPr>
      </w:pPr>
    </w:p>
    <w:p>
      <w:pPr>
        <w:spacing w:before="1"/>
        <w:ind w:left="1517" w:right="1533" w:firstLine="0"/>
        <w:jc w:val="center"/>
        <w:rPr>
          <w:sz w:val="21"/>
        </w:rPr>
      </w:pPr>
      <w:r>
        <w:rPr>
          <w:sz w:val="21"/>
        </w:rPr>
        <w:t>ASESOR METODOLÓGICO</w:t>
      </w:r>
    </w:p>
    <w:p>
      <w:pPr>
        <w:spacing w:before="1"/>
        <w:ind w:left="618" w:right="641" w:firstLine="0"/>
        <w:jc w:val="center"/>
        <w:rPr>
          <w:sz w:val="21"/>
        </w:rPr>
      </w:pPr>
      <w:r>
        <w:rPr>
          <w:sz w:val="21"/>
        </w:rPr>
        <w:t>DR. EN CIENCIAS DE LA SALUD. GUSTAVO GABRIEL MENDIETA ALCÁNTARA</w:t>
      </w:r>
    </w:p>
    <w:p>
      <w:pPr>
        <w:pStyle w:val="BodyText"/>
        <w:rPr>
          <w:sz w:val="21"/>
        </w:rPr>
      </w:pPr>
    </w:p>
    <w:p>
      <w:pPr>
        <w:spacing w:before="0"/>
        <w:ind w:left="1517" w:right="1533" w:firstLine="0"/>
        <w:jc w:val="center"/>
        <w:rPr>
          <w:sz w:val="21"/>
        </w:rPr>
      </w:pPr>
      <w:r>
        <w:rPr>
          <w:sz w:val="21"/>
        </w:rPr>
        <w:t>REVISORES:</w:t>
      </w:r>
    </w:p>
    <w:p>
      <w:pPr>
        <w:spacing w:line="241" w:lineRule="exact" w:before="1"/>
        <w:ind w:left="2062" w:right="1363" w:firstLine="0"/>
        <w:jc w:val="left"/>
        <w:rPr>
          <w:sz w:val="21"/>
        </w:rPr>
      </w:pPr>
      <w:r>
        <w:rPr>
          <w:sz w:val="21"/>
        </w:rPr>
        <w:t>E. EN NEONAT. JULIA PENELOPE DÍAZ ÁLVAREZ</w:t>
      </w:r>
    </w:p>
    <w:p>
      <w:pPr>
        <w:spacing w:line="241" w:lineRule="exact" w:before="0"/>
        <w:ind w:left="2365" w:right="1363" w:firstLine="0"/>
        <w:jc w:val="left"/>
        <w:rPr>
          <w:sz w:val="21"/>
        </w:rPr>
      </w:pPr>
      <w:r>
        <w:rPr>
          <w:sz w:val="21"/>
        </w:rPr>
        <w:t>E. EN NEONAT. GABRIELA LÓPEZ SUÁREZ</w:t>
      </w:r>
    </w:p>
    <w:p>
      <w:pPr>
        <w:spacing w:before="1"/>
        <w:ind w:left="2605" w:right="1854" w:hanging="752"/>
        <w:jc w:val="left"/>
        <w:rPr>
          <w:sz w:val="21"/>
        </w:rPr>
      </w:pPr>
      <w:r>
        <w:rPr>
          <w:sz w:val="21"/>
        </w:rPr>
        <w:t>E. EN NEONAT. JUAN FERNANDO GARCÍA ROBLEDO DR. EN C. ALBERTO E. HARDY PÉREZ</w:t>
      </w:r>
    </w:p>
    <w:p>
      <w:pPr>
        <w:pStyle w:val="BodyText"/>
        <w:spacing w:before="4"/>
        <w:rPr>
          <w:sz w:val="21"/>
        </w:rPr>
      </w:pPr>
    </w:p>
    <w:p>
      <w:pPr>
        <w:spacing w:before="0"/>
        <w:ind w:left="5291" w:right="0" w:firstLine="0"/>
        <w:jc w:val="left"/>
        <w:rPr>
          <w:sz w:val="20"/>
        </w:rPr>
      </w:pPr>
      <w:r>
        <w:rPr>
          <w:sz w:val="21"/>
        </w:rPr>
        <w:t>TOLUCA, ESTADO DE MÉXICO 2017</w:t>
      </w:r>
      <w:r>
        <w:rPr>
          <w:sz w:val="20"/>
        </w:rPr>
        <w:t>.</w:t>
      </w:r>
    </w:p>
    <w:p>
      <w:pPr>
        <w:spacing w:after="0"/>
        <w:jc w:val="left"/>
        <w:rPr>
          <w:sz w:val="20"/>
        </w:rPr>
        <w:sectPr>
          <w:type w:val="continuous"/>
          <w:pgSz w:w="12240" w:h="15840"/>
          <w:pgMar w:top="800" w:bottom="280" w:left="1600" w:right="1580"/>
        </w:sectPr>
      </w:pPr>
    </w:p>
    <w:p>
      <w:pPr>
        <w:pStyle w:val="BodyText"/>
        <w:rPr>
          <w:rFonts w:ascii="Times New Roman"/>
          <w:sz w:val="20"/>
        </w:rPr>
      </w:pPr>
    </w:p>
    <w:p>
      <w:pPr>
        <w:pStyle w:val="BodyText"/>
        <w:spacing w:before="5"/>
        <w:rPr>
          <w:rFonts w:ascii="Times New Roman"/>
          <w:sz w:val="20"/>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396"/>
        <w:gridCol w:w="2504"/>
      </w:tblGrid>
      <w:tr>
        <w:trPr>
          <w:trHeight w:val="375" w:hRule="exact"/>
        </w:trPr>
        <w:tc>
          <w:tcPr>
            <w:tcW w:w="6396" w:type="dxa"/>
          </w:tcPr>
          <w:p>
            <w:pPr>
              <w:pStyle w:val="TableParagraph"/>
              <w:spacing w:line="204" w:lineRule="exact"/>
              <w:ind w:left="200" w:right="1218"/>
              <w:rPr>
                <w:b/>
                <w:sz w:val="20"/>
              </w:rPr>
            </w:pPr>
            <w:r>
              <w:rPr>
                <w:b/>
                <w:sz w:val="20"/>
                <w:u w:val="thick"/>
              </w:rPr>
              <w:t>ÍNDICE</w:t>
            </w:r>
          </w:p>
        </w:tc>
        <w:tc>
          <w:tcPr>
            <w:tcW w:w="2504" w:type="dxa"/>
          </w:tcPr>
          <w:p>
            <w:pPr/>
          </w:p>
        </w:tc>
      </w:tr>
      <w:tr>
        <w:trPr>
          <w:trHeight w:val="1216" w:hRule="exact"/>
        </w:trPr>
        <w:tc>
          <w:tcPr>
            <w:tcW w:w="6396" w:type="dxa"/>
          </w:tcPr>
          <w:p>
            <w:pPr>
              <w:pStyle w:val="TableParagraph"/>
              <w:numPr>
                <w:ilvl w:val="0"/>
                <w:numId w:val="1"/>
              </w:numPr>
              <w:tabs>
                <w:tab w:pos="335" w:val="left" w:leader="none"/>
              </w:tabs>
              <w:spacing w:line="240" w:lineRule="auto" w:before="145" w:after="0"/>
              <w:ind w:left="334" w:right="0" w:hanging="134"/>
              <w:jc w:val="left"/>
              <w:rPr>
                <w:sz w:val="24"/>
              </w:rPr>
            </w:pPr>
            <w:r>
              <w:rPr>
                <w:sz w:val="24"/>
              </w:rPr>
              <w:t>RESUMEN</w:t>
            </w:r>
          </w:p>
          <w:p>
            <w:pPr>
              <w:pStyle w:val="TableParagraph"/>
              <w:spacing w:before="4"/>
              <w:rPr>
                <w:rFonts w:ascii="Times New Roman"/>
                <w:sz w:val="29"/>
              </w:rPr>
            </w:pPr>
          </w:p>
          <w:p>
            <w:pPr>
              <w:pStyle w:val="TableParagraph"/>
              <w:numPr>
                <w:ilvl w:val="0"/>
                <w:numId w:val="1"/>
              </w:numPr>
              <w:tabs>
                <w:tab w:pos="469" w:val="left" w:leader="none"/>
              </w:tabs>
              <w:spacing w:line="240" w:lineRule="auto" w:before="1" w:after="0"/>
              <w:ind w:left="468" w:right="0" w:hanging="268"/>
              <w:jc w:val="left"/>
              <w:rPr>
                <w:sz w:val="24"/>
              </w:rPr>
            </w:pPr>
            <w:r>
              <w:rPr>
                <w:sz w:val="24"/>
              </w:rPr>
              <w:t>ANTECEDENTES</w:t>
            </w:r>
          </w:p>
        </w:tc>
        <w:tc>
          <w:tcPr>
            <w:tcW w:w="2504" w:type="dxa"/>
          </w:tcPr>
          <w:p>
            <w:pPr>
              <w:pStyle w:val="TableParagraph"/>
              <w:spacing w:before="145"/>
              <w:ind w:right="198"/>
              <w:jc w:val="right"/>
              <w:rPr>
                <w:sz w:val="24"/>
              </w:rPr>
            </w:pPr>
            <w:r>
              <w:rPr>
                <w:w w:val="99"/>
                <w:sz w:val="24"/>
              </w:rPr>
              <w:t>1</w:t>
            </w:r>
          </w:p>
          <w:p>
            <w:pPr>
              <w:pStyle w:val="TableParagraph"/>
              <w:spacing w:before="4"/>
              <w:rPr>
                <w:rFonts w:ascii="Times New Roman"/>
                <w:sz w:val="29"/>
              </w:rPr>
            </w:pPr>
          </w:p>
          <w:p>
            <w:pPr>
              <w:pStyle w:val="TableParagraph"/>
              <w:spacing w:before="1"/>
              <w:ind w:right="201"/>
              <w:jc w:val="right"/>
              <w:rPr>
                <w:sz w:val="24"/>
              </w:rPr>
            </w:pPr>
            <w:r>
              <w:rPr>
                <w:w w:val="99"/>
                <w:sz w:val="24"/>
              </w:rPr>
              <w:t>3</w:t>
            </w:r>
          </w:p>
        </w:tc>
      </w:tr>
      <w:tr>
        <w:trPr>
          <w:trHeight w:val="613" w:hRule="exact"/>
        </w:trPr>
        <w:tc>
          <w:tcPr>
            <w:tcW w:w="6396" w:type="dxa"/>
          </w:tcPr>
          <w:p>
            <w:pPr>
              <w:pStyle w:val="TableParagraph"/>
              <w:spacing w:before="155"/>
              <w:ind w:left="200" w:right="1218"/>
              <w:rPr>
                <w:sz w:val="24"/>
              </w:rPr>
            </w:pPr>
            <w:r>
              <w:rPr>
                <w:sz w:val="24"/>
              </w:rPr>
              <w:t>III.PLANTEAMIENTO DELPROBLEMA</w:t>
            </w:r>
          </w:p>
        </w:tc>
        <w:tc>
          <w:tcPr>
            <w:tcW w:w="2504" w:type="dxa"/>
          </w:tcPr>
          <w:p>
            <w:pPr>
              <w:pStyle w:val="TableParagraph"/>
              <w:spacing w:before="155"/>
              <w:ind w:right="198"/>
              <w:jc w:val="right"/>
              <w:rPr>
                <w:sz w:val="24"/>
              </w:rPr>
            </w:pPr>
            <w:r>
              <w:rPr>
                <w:sz w:val="24"/>
              </w:rPr>
              <w:t>13</w:t>
            </w:r>
          </w:p>
        </w:tc>
      </w:tr>
      <w:tr>
        <w:trPr>
          <w:trHeight w:val="614" w:hRule="exact"/>
        </w:trPr>
        <w:tc>
          <w:tcPr>
            <w:tcW w:w="6396" w:type="dxa"/>
          </w:tcPr>
          <w:p>
            <w:pPr>
              <w:pStyle w:val="TableParagraph"/>
              <w:spacing w:before="156"/>
              <w:ind w:left="200" w:right="1218"/>
              <w:rPr>
                <w:sz w:val="24"/>
              </w:rPr>
            </w:pPr>
            <w:r>
              <w:rPr>
                <w:sz w:val="24"/>
              </w:rPr>
              <w:t>IV.JUSTIFICACIONES</w:t>
            </w:r>
          </w:p>
        </w:tc>
        <w:tc>
          <w:tcPr>
            <w:tcW w:w="2504" w:type="dxa"/>
          </w:tcPr>
          <w:p>
            <w:pPr>
              <w:pStyle w:val="TableParagraph"/>
              <w:spacing w:before="156"/>
              <w:ind w:right="200"/>
              <w:jc w:val="right"/>
              <w:rPr>
                <w:sz w:val="24"/>
              </w:rPr>
            </w:pPr>
            <w:r>
              <w:rPr>
                <w:sz w:val="24"/>
              </w:rPr>
              <w:t>14</w:t>
            </w:r>
          </w:p>
        </w:tc>
      </w:tr>
      <w:tr>
        <w:trPr>
          <w:trHeight w:val="615" w:hRule="exact"/>
        </w:trPr>
        <w:tc>
          <w:tcPr>
            <w:tcW w:w="6396" w:type="dxa"/>
          </w:tcPr>
          <w:p>
            <w:pPr>
              <w:pStyle w:val="TableParagraph"/>
              <w:spacing w:before="156"/>
              <w:ind w:left="200" w:right="1218"/>
              <w:rPr>
                <w:sz w:val="24"/>
              </w:rPr>
            </w:pPr>
            <w:r>
              <w:rPr>
                <w:sz w:val="24"/>
              </w:rPr>
              <w:t>V.OBJETIVOS</w:t>
            </w:r>
          </w:p>
        </w:tc>
        <w:tc>
          <w:tcPr>
            <w:tcW w:w="2504" w:type="dxa"/>
          </w:tcPr>
          <w:p>
            <w:pPr>
              <w:pStyle w:val="TableParagraph"/>
              <w:spacing w:before="156"/>
              <w:ind w:right="200"/>
              <w:jc w:val="right"/>
              <w:rPr>
                <w:sz w:val="24"/>
              </w:rPr>
            </w:pPr>
            <w:r>
              <w:rPr>
                <w:sz w:val="24"/>
              </w:rPr>
              <w:t>15</w:t>
            </w:r>
          </w:p>
        </w:tc>
      </w:tr>
      <w:tr>
        <w:trPr>
          <w:trHeight w:val="613" w:hRule="exact"/>
        </w:trPr>
        <w:tc>
          <w:tcPr>
            <w:tcW w:w="6396" w:type="dxa"/>
          </w:tcPr>
          <w:p>
            <w:pPr>
              <w:pStyle w:val="TableParagraph"/>
              <w:spacing w:before="157"/>
              <w:ind w:left="200" w:right="1218"/>
              <w:rPr>
                <w:sz w:val="24"/>
              </w:rPr>
            </w:pPr>
            <w:r>
              <w:rPr>
                <w:sz w:val="24"/>
              </w:rPr>
              <w:t>VI.MÉTODO</w:t>
            </w:r>
          </w:p>
        </w:tc>
        <w:tc>
          <w:tcPr>
            <w:tcW w:w="2504" w:type="dxa"/>
          </w:tcPr>
          <w:p>
            <w:pPr>
              <w:pStyle w:val="TableParagraph"/>
              <w:spacing w:before="157"/>
              <w:ind w:right="200"/>
              <w:jc w:val="right"/>
              <w:rPr>
                <w:sz w:val="24"/>
              </w:rPr>
            </w:pPr>
            <w:r>
              <w:rPr>
                <w:sz w:val="24"/>
              </w:rPr>
              <w:t>16</w:t>
            </w:r>
          </w:p>
        </w:tc>
      </w:tr>
      <w:tr>
        <w:trPr>
          <w:trHeight w:val="614" w:hRule="exact"/>
        </w:trPr>
        <w:tc>
          <w:tcPr>
            <w:tcW w:w="6396" w:type="dxa"/>
          </w:tcPr>
          <w:p>
            <w:pPr>
              <w:pStyle w:val="TableParagraph"/>
              <w:spacing w:before="159"/>
              <w:ind w:left="531" w:right="1218"/>
              <w:rPr>
                <w:sz w:val="20"/>
              </w:rPr>
            </w:pPr>
            <w:r>
              <w:rPr>
                <w:sz w:val="20"/>
              </w:rPr>
              <w:t>DISEÑO DEL ESTUDIO</w:t>
            </w:r>
          </w:p>
        </w:tc>
        <w:tc>
          <w:tcPr>
            <w:tcW w:w="2504" w:type="dxa"/>
          </w:tcPr>
          <w:p>
            <w:pPr>
              <w:pStyle w:val="TableParagraph"/>
              <w:spacing w:before="158"/>
              <w:ind w:right="200"/>
              <w:jc w:val="right"/>
              <w:rPr>
                <w:sz w:val="24"/>
              </w:rPr>
            </w:pPr>
            <w:r>
              <w:rPr>
                <w:sz w:val="24"/>
              </w:rPr>
              <w:t>16</w:t>
            </w:r>
          </w:p>
        </w:tc>
      </w:tr>
      <w:tr>
        <w:trPr>
          <w:trHeight w:val="612" w:hRule="exact"/>
        </w:trPr>
        <w:tc>
          <w:tcPr>
            <w:tcW w:w="6396" w:type="dxa"/>
          </w:tcPr>
          <w:p>
            <w:pPr>
              <w:pStyle w:val="TableParagraph"/>
              <w:spacing w:before="159"/>
              <w:ind w:left="531" w:right="1218"/>
              <w:rPr>
                <w:sz w:val="20"/>
              </w:rPr>
            </w:pPr>
            <w:r>
              <w:rPr>
                <w:sz w:val="20"/>
              </w:rPr>
              <w:t>OPERACIONALIZACIÓN DE VARIABLES</w:t>
            </w:r>
          </w:p>
        </w:tc>
        <w:tc>
          <w:tcPr>
            <w:tcW w:w="2504" w:type="dxa"/>
          </w:tcPr>
          <w:p>
            <w:pPr>
              <w:pStyle w:val="TableParagraph"/>
              <w:spacing w:before="158"/>
              <w:ind w:right="200"/>
              <w:jc w:val="right"/>
              <w:rPr>
                <w:sz w:val="24"/>
              </w:rPr>
            </w:pPr>
            <w:r>
              <w:rPr>
                <w:sz w:val="24"/>
              </w:rPr>
              <w:t>16</w:t>
            </w:r>
          </w:p>
        </w:tc>
      </w:tr>
      <w:tr>
        <w:trPr>
          <w:trHeight w:val="731" w:hRule="exact"/>
        </w:trPr>
        <w:tc>
          <w:tcPr>
            <w:tcW w:w="6396" w:type="dxa"/>
          </w:tcPr>
          <w:p>
            <w:pPr>
              <w:pStyle w:val="TableParagraph"/>
              <w:spacing w:line="242" w:lineRule="auto" w:before="157"/>
              <w:ind w:left="454" w:right="1218" w:firstLine="21"/>
              <w:rPr>
                <w:sz w:val="20"/>
              </w:rPr>
            </w:pPr>
            <w:r>
              <w:rPr>
                <w:sz w:val="20"/>
              </w:rPr>
              <w:t>UNIVERSO DE TRABAJO, MUESTRA Y CRITERIOS DE SELECCIÓN</w:t>
            </w:r>
          </w:p>
        </w:tc>
        <w:tc>
          <w:tcPr>
            <w:tcW w:w="2504" w:type="dxa"/>
          </w:tcPr>
          <w:p>
            <w:pPr>
              <w:pStyle w:val="TableParagraph"/>
              <w:spacing w:before="158"/>
              <w:ind w:right="200"/>
              <w:jc w:val="right"/>
              <w:rPr>
                <w:sz w:val="24"/>
              </w:rPr>
            </w:pPr>
            <w:r>
              <w:rPr>
                <w:sz w:val="24"/>
              </w:rPr>
              <w:t>17</w:t>
            </w:r>
          </w:p>
        </w:tc>
      </w:tr>
      <w:tr>
        <w:trPr>
          <w:trHeight w:val="1784" w:hRule="exact"/>
        </w:trPr>
        <w:tc>
          <w:tcPr>
            <w:tcW w:w="6396" w:type="dxa"/>
          </w:tcPr>
          <w:p>
            <w:pPr>
              <w:pStyle w:val="TableParagraph"/>
              <w:spacing w:line="448" w:lineRule="auto" w:before="89"/>
              <w:ind w:left="420" w:right="2856" w:firstLine="110"/>
              <w:rPr>
                <w:sz w:val="20"/>
              </w:rPr>
            </w:pPr>
            <w:r>
              <w:rPr>
                <w:sz w:val="20"/>
              </w:rPr>
              <w:t>DESARROLLO DEL PROYECTO LÍMITE DE ESPACIO Y TIEMPO</w:t>
            </w:r>
          </w:p>
          <w:p>
            <w:pPr>
              <w:pStyle w:val="TableParagraph"/>
              <w:rPr>
                <w:rFonts w:ascii="Times New Roman"/>
                <w:sz w:val="20"/>
              </w:rPr>
            </w:pPr>
          </w:p>
          <w:p>
            <w:pPr>
              <w:pStyle w:val="TableParagraph"/>
              <w:rPr>
                <w:rFonts w:ascii="Times New Roman"/>
                <w:sz w:val="18"/>
              </w:rPr>
            </w:pPr>
          </w:p>
          <w:p>
            <w:pPr>
              <w:pStyle w:val="TableParagraph"/>
              <w:ind w:left="420" w:right="1218"/>
              <w:rPr>
                <w:sz w:val="20"/>
              </w:rPr>
            </w:pPr>
            <w:r>
              <w:rPr>
                <w:sz w:val="20"/>
              </w:rPr>
              <w:t>DISEÑO ESTADÍSTICO</w:t>
            </w:r>
          </w:p>
        </w:tc>
        <w:tc>
          <w:tcPr>
            <w:tcW w:w="2504" w:type="dxa"/>
          </w:tcPr>
          <w:p>
            <w:pPr>
              <w:pStyle w:val="TableParagraph"/>
              <w:spacing w:before="87"/>
              <w:ind w:right="201"/>
              <w:jc w:val="right"/>
              <w:rPr>
                <w:sz w:val="24"/>
              </w:rPr>
            </w:pPr>
            <w:r>
              <w:rPr>
                <w:sz w:val="24"/>
              </w:rPr>
              <w:t>18</w:t>
            </w:r>
          </w:p>
          <w:p>
            <w:pPr>
              <w:pStyle w:val="TableParagraph"/>
              <w:spacing w:before="5"/>
              <w:rPr>
                <w:rFonts w:ascii="Times New Roman"/>
                <w:sz w:val="29"/>
              </w:rPr>
            </w:pPr>
          </w:p>
          <w:p>
            <w:pPr>
              <w:pStyle w:val="TableParagraph"/>
              <w:ind w:right="198"/>
              <w:jc w:val="right"/>
              <w:rPr>
                <w:sz w:val="24"/>
              </w:rPr>
            </w:pPr>
            <w:r>
              <w:rPr>
                <w:sz w:val="24"/>
              </w:rPr>
              <w:t>18</w:t>
            </w:r>
          </w:p>
          <w:p>
            <w:pPr>
              <w:pStyle w:val="TableParagraph"/>
              <w:spacing w:before="4"/>
              <w:rPr>
                <w:rFonts w:ascii="Times New Roman"/>
                <w:sz w:val="29"/>
              </w:rPr>
            </w:pPr>
          </w:p>
          <w:p>
            <w:pPr>
              <w:pStyle w:val="TableParagraph"/>
              <w:spacing w:before="1"/>
              <w:ind w:right="200"/>
              <w:jc w:val="right"/>
              <w:rPr>
                <w:sz w:val="24"/>
              </w:rPr>
            </w:pPr>
            <w:r>
              <w:rPr>
                <w:sz w:val="24"/>
              </w:rPr>
              <w:t>19</w:t>
            </w:r>
          </w:p>
        </w:tc>
      </w:tr>
      <w:tr>
        <w:trPr>
          <w:trHeight w:val="605" w:hRule="exact"/>
        </w:trPr>
        <w:tc>
          <w:tcPr>
            <w:tcW w:w="6396" w:type="dxa"/>
          </w:tcPr>
          <w:p>
            <w:pPr>
              <w:pStyle w:val="TableParagraph"/>
              <w:spacing w:before="147"/>
              <w:ind w:left="200" w:right="1218"/>
              <w:rPr>
                <w:sz w:val="24"/>
              </w:rPr>
            </w:pPr>
            <w:r>
              <w:rPr>
                <w:sz w:val="24"/>
              </w:rPr>
              <w:t>VII.IMPLICACIONES ÉTICAS</w:t>
            </w:r>
          </w:p>
        </w:tc>
        <w:tc>
          <w:tcPr>
            <w:tcW w:w="2504" w:type="dxa"/>
          </w:tcPr>
          <w:p>
            <w:pPr>
              <w:pStyle w:val="TableParagraph"/>
              <w:spacing w:before="147"/>
              <w:ind w:right="198"/>
              <w:jc w:val="right"/>
              <w:rPr>
                <w:sz w:val="24"/>
              </w:rPr>
            </w:pPr>
            <w:r>
              <w:rPr>
                <w:sz w:val="24"/>
              </w:rPr>
              <w:t>20</w:t>
            </w:r>
          </w:p>
        </w:tc>
      </w:tr>
      <w:tr>
        <w:trPr>
          <w:trHeight w:val="1841" w:hRule="exact"/>
        </w:trPr>
        <w:tc>
          <w:tcPr>
            <w:tcW w:w="6396" w:type="dxa"/>
          </w:tcPr>
          <w:p>
            <w:pPr>
              <w:pStyle w:val="TableParagraph"/>
              <w:numPr>
                <w:ilvl w:val="0"/>
                <w:numId w:val="2"/>
              </w:numPr>
              <w:tabs>
                <w:tab w:pos="630" w:val="left" w:leader="none"/>
              </w:tabs>
              <w:spacing w:line="240" w:lineRule="auto" w:before="156" w:after="0"/>
              <w:ind w:left="629" w:right="0" w:hanging="429"/>
              <w:jc w:val="left"/>
              <w:rPr>
                <w:sz w:val="24"/>
              </w:rPr>
            </w:pPr>
            <w:r>
              <w:rPr>
                <w:sz w:val="24"/>
              </w:rPr>
              <w:t>RESULTADOS</w:t>
            </w:r>
          </w:p>
          <w:p>
            <w:pPr>
              <w:pStyle w:val="TableParagraph"/>
              <w:spacing w:before="2"/>
              <w:rPr>
                <w:rFonts w:ascii="Times New Roman"/>
                <w:sz w:val="29"/>
              </w:rPr>
            </w:pPr>
          </w:p>
          <w:p>
            <w:pPr>
              <w:pStyle w:val="TableParagraph"/>
              <w:numPr>
                <w:ilvl w:val="0"/>
                <w:numId w:val="2"/>
              </w:numPr>
              <w:tabs>
                <w:tab w:pos="560" w:val="left" w:leader="none"/>
              </w:tabs>
              <w:spacing w:line="240" w:lineRule="auto" w:before="0" w:after="0"/>
              <w:ind w:left="559" w:right="0" w:hanging="359"/>
              <w:jc w:val="left"/>
              <w:rPr>
                <w:sz w:val="24"/>
              </w:rPr>
            </w:pPr>
            <w:r>
              <w:rPr>
                <w:sz w:val="24"/>
              </w:rPr>
              <w:t>DISCUSIÓN Y</w:t>
            </w:r>
            <w:r>
              <w:rPr>
                <w:spacing w:val="-5"/>
                <w:sz w:val="24"/>
              </w:rPr>
              <w:t> </w:t>
            </w:r>
            <w:r>
              <w:rPr>
                <w:sz w:val="24"/>
              </w:rPr>
              <w:t>ANÁLISIS</w:t>
            </w:r>
          </w:p>
          <w:p>
            <w:pPr>
              <w:pStyle w:val="TableParagraph"/>
              <w:spacing w:before="4"/>
              <w:rPr>
                <w:rFonts w:ascii="Times New Roman"/>
                <w:sz w:val="29"/>
              </w:rPr>
            </w:pPr>
          </w:p>
          <w:p>
            <w:pPr>
              <w:pStyle w:val="TableParagraph"/>
              <w:numPr>
                <w:ilvl w:val="0"/>
                <w:numId w:val="2"/>
              </w:numPr>
              <w:tabs>
                <w:tab w:pos="493" w:val="left" w:leader="none"/>
              </w:tabs>
              <w:spacing w:line="240" w:lineRule="auto" w:before="1" w:after="0"/>
              <w:ind w:left="492" w:right="0" w:hanging="292"/>
              <w:jc w:val="left"/>
              <w:rPr>
                <w:sz w:val="24"/>
              </w:rPr>
            </w:pPr>
            <w:r>
              <w:rPr>
                <w:sz w:val="24"/>
              </w:rPr>
              <w:t>CONCLUSIONES</w:t>
            </w:r>
          </w:p>
        </w:tc>
        <w:tc>
          <w:tcPr>
            <w:tcW w:w="2504" w:type="dxa"/>
          </w:tcPr>
          <w:p>
            <w:pPr>
              <w:pStyle w:val="TableParagraph"/>
              <w:spacing w:before="156"/>
              <w:ind w:right="198"/>
              <w:jc w:val="right"/>
              <w:rPr>
                <w:sz w:val="24"/>
              </w:rPr>
            </w:pPr>
            <w:r>
              <w:rPr>
                <w:sz w:val="24"/>
              </w:rPr>
              <w:t>21</w:t>
            </w:r>
          </w:p>
          <w:p>
            <w:pPr>
              <w:pStyle w:val="TableParagraph"/>
              <w:spacing w:before="2"/>
              <w:rPr>
                <w:rFonts w:ascii="Times New Roman"/>
                <w:sz w:val="29"/>
              </w:rPr>
            </w:pPr>
          </w:p>
          <w:p>
            <w:pPr>
              <w:pStyle w:val="TableParagraph"/>
              <w:ind w:right="198"/>
              <w:jc w:val="right"/>
              <w:rPr>
                <w:sz w:val="24"/>
              </w:rPr>
            </w:pPr>
            <w:r>
              <w:rPr>
                <w:sz w:val="24"/>
              </w:rPr>
              <w:t>29</w:t>
            </w:r>
          </w:p>
          <w:p>
            <w:pPr>
              <w:pStyle w:val="TableParagraph"/>
              <w:spacing w:before="4"/>
              <w:rPr>
                <w:rFonts w:ascii="Times New Roman"/>
                <w:sz w:val="29"/>
              </w:rPr>
            </w:pPr>
          </w:p>
          <w:p>
            <w:pPr>
              <w:pStyle w:val="TableParagraph"/>
              <w:spacing w:before="1"/>
              <w:ind w:right="198"/>
              <w:jc w:val="right"/>
              <w:rPr>
                <w:sz w:val="24"/>
              </w:rPr>
            </w:pPr>
            <w:r>
              <w:rPr>
                <w:sz w:val="24"/>
              </w:rPr>
              <w:t>31</w:t>
            </w:r>
          </w:p>
        </w:tc>
      </w:tr>
      <w:tr>
        <w:trPr>
          <w:trHeight w:val="615" w:hRule="exact"/>
        </w:trPr>
        <w:tc>
          <w:tcPr>
            <w:tcW w:w="6396" w:type="dxa"/>
          </w:tcPr>
          <w:p>
            <w:pPr>
              <w:pStyle w:val="TableParagraph"/>
              <w:spacing w:before="157"/>
              <w:ind w:left="200" w:right="1218"/>
              <w:rPr>
                <w:sz w:val="24"/>
              </w:rPr>
            </w:pPr>
            <w:r>
              <w:rPr>
                <w:sz w:val="24"/>
              </w:rPr>
              <w:t>XI.BIBLIOGRAFIA</w:t>
            </w:r>
          </w:p>
        </w:tc>
        <w:tc>
          <w:tcPr>
            <w:tcW w:w="2504" w:type="dxa"/>
          </w:tcPr>
          <w:p>
            <w:pPr>
              <w:pStyle w:val="TableParagraph"/>
              <w:spacing w:before="157"/>
              <w:ind w:right="200"/>
              <w:jc w:val="right"/>
              <w:rPr>
                <w:sz w:val="24"/>
              </w:rPr>
            </w:pPr>
            <w:r>
              <w:rPr>
                <w:sz w:val="24"/>
              </w:rPr>
              <w:t>32</w:t>
            </w:r>
          </w:p>
        </w:tc>
      </w:tr>
      <w:tr>
        <w:trPr>
          <w:trHeight w:val="427" w:hRule="exact"/>
        </w:trPr>
        <w:tc>
          <w:tcPr>
            <w:tcW w:w="6396" w:type="dxa"/>
          </w:tcPr>
          <w:p>
            <w:pPr>
              <w:pStyle w:val="TableParagraph"/>
              <w:spacing w:before="156"/>
              <w:ind w:left="200" w:right="1218"/>
              <w:rPr>
                <w:sz w:val="24"/>
              </w:rPr>
            </w:pPr>
            <w:r>
              <w:rPr>
                <w:sz w:val="24"/>
              </w:rPr>
              <w:t>XII.ANEXOS</w:t>
            </w:r>
          </w:p>
        </w:tc>
        <w:tc>
          <w:tcPr>
            <w:tcW w:w="2504" w:type="dxa"/>
          </w:tcPr>
          <w:p>
            <w:pPr>
              <w:pStyle w:val="TableParagraph"/>
              <w:spacing w:before="156"/>
              <w:ind w:right="198"/>
              <w:jc w:val="right"/>
              <w:rPr>
                <w:sz w:val="24"/>
              </w:rPr>
            </w:pPr>
            <w:r>
              <w:rPr>
                <w:sz w:val="24"/>
              </w:rPr>
              <w:t>36</w:t>
            </w:r>
          </w:p>
        </w:tc>
      </w:tr>
    </w:tbl>
    <w:p>
      <w:pPr>
        <w:spacing w:after="0"/>
        <w:jc w:val="right"/>
        <w:rPr>
          <w:sz w:val="24"/>
        </w:rPr>
        <w:sectPr>
          <w:pgSz w:w="12240" w:h="15840"/>
          <w:pgMar w:top="1500" w:bottom="280" w:left="1400" w:right="1720"/>
        </w:sectPr>
      </w:pPr>
    </w:p>
    <w:p>
      <w:pPr>
        <w:pStyle w:val="Heading1"/>
        <w:numPr>
          <w:ilvl w:val="0"/>
          <w:numId w:val="3"/>
        </w:numPr>
        <w:tabs>
          <w:tab w:pos="303" w:val="left" w:leader="none"/>
        </w:tabs>
        <w:spacing w:line="240" w:lineRule="auto" w:before="42" w:after="0"/>
        <w:ind w:left="302" w:right="0" w:hanging="200"/>
        <w:jc w:val="both"/>
      </w:pPr>
      <w:r>
        <w:rPr/>
        <w:t>RESUMEN</w:t>
      </w:r>
    </w:p>
    <w:p>
      <w:pPr>
        <w:pStyle w:val="BodyText"/>
        <w:spacing w:before="1"/>
        <w:rPr>
          <w:b/>
          <w:sz w:val="31"/>
        </w:rPr>
      </w:pPr>
    </w:p>
    <w:p>
      <w:pPr>
        <w:pStyle w:val="BodyText"/>
        <w:spacing w:line="276" w:lineRule="auto"/>
        <w:ind w:left="102" w:right="117"/>
        <w:jc w:val="both"/>
        <w:rPr>
          <w:sz w:val="16"/>
        </w:rPr>
      </w:pPr>
      <w:r>
        <w:rPr>
          <w:b/>
        </w:rPr>
        <w:t>INTRODUCCIÓN: </w:t>
      </w:r>
      <w:r>
        <w:rPr/>
        <w:t>Las malformaciones congénitas suelen ser causadas por alteraciones en el desarrollo morfológico, estructural, funcional o molecular del embrión, generando repercusiones tanto estéticas como funcionales con alteraciones transitorias o permanentes, e incluso la muerte. Se consideran según la</w:t>
      </w:r>
      <w:r>
        <w:rPr>
          <w:spacing w:val="-4"/>
        </w:rPr>
        <w:t> </w:t>
      </w:r>
      <w:r>
        <w:rPr/>
        <w:t>OMS</w:t>
      </w:r>
      <w:r>
        <w:rPr>
          <w:spacing w:val="-6"/>
        </w:rPr>
        <w:t> </w:t>
      </w:r>
      <w:r>
        <w:rPr/>
        <w:t>un</w:t>
      </w:r>
      <w:r>
        <w:rPr>
          <w:spacing w:val="-6"/>
        </w:rPr>
        <w:t> </w:t>
      </w:r>
      <w:r>
        <w:rPr/>
        <w:t>problema</w:t>
      </w:r>
      <w:r>
        <w:rPr>
          <w:spacing w:val="-6"/>
        </w:rPr>
        <w:t> </w:t>
      </w:r>
      <w:r>
        <w:rPr/>
        <w:t>de</w:t>
      </w:r>
      <w:r>
        <w:rPr>
          <w:spacing w:val="-4"/>
        </w:rPr>
        <w:t> </w:t>
      </w:r>
      <w:r>
        <w:rPr/>
        <w:t>salud</w:t>
      </w:r>
      <w:r>
        <w:rPr>
          <w:spacing w:val="-6"/>
        </w:rPr>
        <w:t> </w:t>
      </w:r>
      <w:r>
        <w:rPr/>
        <w:t>pública</w:t>
      </w:r>
      <w:r>
        <w:rPr>
          <w:spacing w:val="-4"/>
        </w:rPr>
        <w:t> </w:t>
      </w:r>
      <w:r>
        <w:rPr/>
        <w:t>y</w:t>
      </w:r>
      <w:r>
        <w:rPr>
          <w:spacing w:val="-7"/>
        </w:rPr>
        <w:t> </w:t>
      </w:r>
      <w:r>
        <w:rPr/>
        <w:t>junto</w:t>
      </w:r>
      <w:r>
        <w:rPr>
          <w:spacing w:val="-8"/>
        </w:rPr>
        <w:t> </w:t>
      </w:r>
      <w:r>
        <w:rPr/>
        <w:t>con</w:t>
      </w:r>
      <w:r>
        <w:rPr>
          <w:spacing w:val="-4"/>
        </w:rPr>
        <w:t> </w:t>
      </w:r>
      <w:r>
        <w:rPr/>
        <w:t>las</w:t>
      </w:r>
      <w:r>
        <w:rPr>
          <w:spacing w:val="-7"/>
        </w:rPr>
        <w:t> </w:t>
      </w:r>
      <w:r>
        <w:rPr/>
        <w:t>afecciones</w:t>
      </w:r>
      <w:r>
        <w:rPr>
          <w:spacing w:val="-7"/>
        </w:rPr>
        <w:t> </w:t>
      </w:r>
      <w:r>
        <w:rPr/>
        <w:t>asociadas</w:t>
      </w:r>
      <w:r>
        <w:rPr>
          <w:spacing w:val="-7"/>
        </w:rPr>
        <w:t> </w:t>
      </w:r>
      <w:r>
        <w:rPr/>
        <w:t>son</w:t>
      </w:r>
      <w:r>
        <w:rPr>
          <w:spacing w:val="-6"/>
        </w:rPr>
        <w:t> </w:t>
      </w:r>
      <w:r>
        <w:rPr/>
        <w:t>una de las causas de muerte importantes en niños. En el Estado de México en 2013 se registraron</w:t>
      </w:r>
      <w:r>
        <w:rPr>
          <w:spacing w:val="-8"/>
        </w:rPr>
        <w:t> </w:t>
      </w:r>
      <w:r>
        <w:rPr/>
        <w:t>un</w:t>
      </w:r>
      <w:r>
        <w:rPr>
          <w:spacing w:val="-11"/>
        </w:rPr>
        <w:t> </w:t>
      </w:r>
      <w:r>
        <w:rPr/>
        <w:t>total</w:t>
      </w:r>
      <w:r>
        <w:rPr>
          <w:spacing w:val="-12"/>
        </w:rPr>
        <w:t> </w:t>
      </w:r>
      <w:r>
        <w:rPr/>
        <w:t>de</w:t>
      </w:r>
      <w:r>
        <w:rPr>
          <w:spacing w:val="-11"/>
        </w:rPr>
        <w:t> </w:t>
      </w:r>
      <w:r>
        <w:rPr/>
        <w:t>74,566</w:t>
      </w:r>
      <w:r>
        <w:rPr>
          <w:spacing w:val="-13"/>
        </w:rPr>
        <w:t> </w:t>
      </w:r>
      <w:r>
        <w:rPr/>
        <w:t>muertes,</w:t>
      </w:r>
      <w:r>
        <w:rPr>
          <w:spacing w:val="-11"/>
        </w:rPr>
        <w:t> </w:t>
      </w:r>
      <w:r>
        <w:rPr/>
        <w:t>de</w:t>
      </w:r>
      <w:r>
        <w:rPr>
          <w:spacing w:val="-11"/>
        </w:rPr>
        <w:t> </w:t>
      </w:r>
      <w:r>
        <w:rPr/>
        <w:t>las</w:t>
      </w:r>
      <w:r>
        <w:rPr>
          <w:spacing w:val="-13"/>
        </w:rPr>
        <w:t> </w:t>
      </w:r>
      <w:r>
        <w:rPr/>
        <w:t>cuales</w:t>
      </w:r>
      <w:r>
        <w:rPr>
          <w:spacing w:val="-11"/>
        </w:rPr>
        <w:t> </w:t>
      </w:r>
      <w:r>
        <w:rPr/>
        <w:t>4476</w:t>
      </w:r>
      <w:r>
        <w:rPr>
          <w:spacing w:val="-11"/>
        </w:rPr>
        <w:t> </w:t>
      </w:r>
      <w:r>
        <w:rPr/>
        <w:t>corresponden</w:t>
      </w:r>
      <w:r>
        <w:rPr>
          <w:spacing w:val="-11"/>
        </w:rPr>
        <w:t> </w:t>
      </w:r>
      <w:r>
        <w:rPr/>
        <w:t>a</w:t>
      </w:r>
      <w:r>
        <w:rPr>
          <w:spacing w:val="-11"/>
        </w:rPr>
        <w:t> </w:t>
      </w:r>
      <w:r>
        <w:rPr/>
        <w:t>menores de un año; siendo las malformaciones congénitas, deformidades y anomalías la segunda</w:t>
      </w:r>
      <w:r>
        <w:rPr>
          <w:spacing w:val="-6"/>
        </w:rPr>
        <w:t> </w:t>
      </w:r>
      <w:r>
        <w:rPr/>
        <w:t>causa</w:t>
      </w:r>
      <w:r>
        <w:rPr>
          <w:spacing w:val="-6"/>
        </w:rPr>
        <w:t> </w:t>
      </w:r>
      <w:r>
        <w:rPr/>
        <w:t>de</w:t>
      </w:r>
      <w:r>
        <w:rPr>
          <w:spacing w:val="-6"/>
        </w:rPr>
        <w:t> </w:t>
      </w:r>
      <w:r>
        <w:rPr/>
        <w:t>muerte</w:t>
      </w:r>
      <w:r>
        <w:rPr>
          <w:spacing w:val="-4"/>
        </w:rPr>
        <w:t> </w:t>
      </w:r>
      <w:r>
        <w:rPr/>
        <w:t>con</w:t>
      </w:r>
      <w:r>
        <w:rPr>
          <w:spacing w:val="-6"/>
        </w:rPr>
        <w:t> </w:t>
      </w:r>
      <w:r>
        <w:rPr/>
        <w:t>un</w:t>
      </w:r>
      <w:r>
        <w:rPr>
          <w:spacing w:val="-4"/>
        </w:rPr>
        <w:t> </w:t>
      </w:r>
      <w:r>
        <w:rPr/>
        <w:t>total</w:t>
      </w:r>
      <w:r>
        <w:rPr>
          <w:spacing w:val="-7"/>
        </w:rPr>
        <w:t> </w:t>
      </w:r>
      <w:r>
        <w:rPr/>
        <w:t>de</w:t>
      </w:r>
      <w:r>
        <w:rPr>
          <w:spacing w:val="-6"/>
        </w:rPr>
        <w:t> </w:t>
      </w:r>
      <w:r>
        <w:rPr/>
        <w:t>1047.</w:t>
      </w:r>
      <w:r>
        <w:rPr>
          <w:position w:val="8"/>
          <w:sz w:val="16"/>
        </w:rPr>
        <w:t>(5)</w:t>
      </w:r>
      <w:r>
        <w:rPr>
          <w:spacing w:val="17"/>
          <w:position w:val="8"/>
          <w:sz w:val="16"/>
        </w:rPr>
        <w:t> </w:t>
      </w:r>
      <w:r>
        <w:rPr/>
        <w:t>En</w:t>
      </w:r>
      <w:r>
        <w:rPr>
          <w:spacing w:val="-4"/>
        </w:rPr>
        <w:t> </w:t>
      </w:r>
      <w:r>
        <w:rPr/>
        <w:t>el</w:t>
      </w:r>
      <w:r>
        <w:rPr>
          <w:spacing w:val="-7"/>
        </w:rPr>
        <w:t> </w:t>
      </w:r>
      <w:r>
        <w:rPr/>
        <w:t>periodo</w:t>
      </w:r>
      <w:r>
        <w:rPr>
          <w:spacing w:val="-6"/>
        </w:rPr>
        <w:t> </w:t>
      </w:r>
      <w:r>
        <w:rPr/>
        <w:t>2009</w:t>
      </w:r>
      <w:r>
        <w:rPr>
          <w:spacing w:val="-1"/>
        </w:rPr>
        <w:t> </w:t>
      </w:r>
      <w:r>
        <w:rPr/>
        <w:t>-</w:t>
      </w:r>
      <w:r>
        <w:rPr>
          <w:spacing w:val="-7"/>
        </w:rPr>
        <w:t> </w:t>
      </w:r>
      <w:r>
        <w:rPr/>
        <w:t>2010</w:t>
      </w:r>
      <w:r>
        <w:rPr>
          <w:spacing w:val="-4"/>
        </w:rPr>
        <w:t> </w:t>
      </w:r>
      <w:r>
        <w:rPr/>
        <w:t>la</w:t>
      </w:r>
      <w:r>
        <w:rPr>
          <w:spacing w:val="-6"/>
        </w:rPr>
        <w:t> </w:t>
      </w:r>
      <w:r>
        <w:rPr/>
        <w:t>tasa de prevalencia nacional para malformaciones congénitas fue de 73.9 por cada 10,000 nacimientos y de 58.3 para el Estado de México.</w:t>
      </w:r>
      <w:r>
        <w:rPr>
          <w:spacing w:val="-14"/>
        </w:rPr>
        <w:t> </w:t>
      </w:r>
      <w:r>
        <w:rPr>
          <w:position w:val="8"/>
          <w:sz w:val="16"/>
        </w:rPr>
        <w:t>(6)</w:t>
      </w:r>
    </w:p>
    <w:p>
      <w:pPr>
        <w:pStyle w:val="BodyText"/>
        <w:spacing w:before="8"/>
        <w:rPr>
          <w:sz w:val="27"/>
        </w:rPr>
      </w:pPr>
    </w:p>
    <w:p>
      <w:pPr>
        <w:pStyle w:val="BodyText"/>
        <w:spacing w:line="276" w:lineRule="auto"/>
        <w:ind w:left="102" w:right="124"/>
        <w:jc w:val="both"/>
      </w:pPr>
      <w:r>
        <w:rPr>
          <w:b/>
        </w:rPr>
        <w:t>OBJETIVO: </w:t>
      </w:r>
      <w:r>
        <w:rPr/>
        <w:t>Determinar la prevalencia de malformaciones gastrointestinales en recién nacidos vivos del Hospital Materno Perinatal Mónica Pretelini Sáenz en el periodo comprendido de 2010 a 2015</w:t>
      </w:r>
    </w:p>
    <w:p>
      <w:pPr>
        <w:pStyle w:val="BodyText"/>
        <w:spacing w:before="9"/>
        <w:rPr>
          <w:sz w:val="27"/>
        </w:rPr>
      </w:pPr>
    </w:p>
    <w:p>
      <w:pPr>
        <w:pStyle w:val="BodyText"/>
        <w:spacing w:line="276" w:lineRule="auto"/>
        <w:ind w:left="102" w:right="116"/>
        <w:jc w:val="both"/>
      </w:pPr>
      <w:r>
        <w:rPr>
          <w:b/>
        </w:rPr>
        <w:t>MATERIALES Y MÉTODO: </w:t>
      </w:r>
      <w:r>
        <w:rPr/>
        <w:t>Se diseñó un estudio observacional, descriptivo, retrospectivo y transversal en una serie de casos, por un periodo de 6 años en los que se observaron el número de malformaciones congénitas gastrointestinales en los recién nacidos del Hospital Materno Perinatal Mónica Pretelini Sáenz</w:t>
      </w:r>
    </w:p>
    <w:p>
      <w:pPr>
        <w:pStyle w:val="BodyText"/>
        <w:spacing w:before="7"/>
        <w:rPr>
          <w:sz w:val="27"/>
        </w:rPr>
      </w:pPr>
    </w:p>
    <w:p>
      <w:pPr>
        <w:pStyle w:val="BodyText"/>
        <w:spacing w:line="276" w:lineRule="auto"/>
        <w:ind w:left="102" w:right="116"/>
        <w:jc w:val="both"/>
      </w:pPr>
      <w:r>
        <w:rPr>
          <w:b/>
        </w:rPr>
        <w:t>RESULTADOS: </w:t>
      </w:r>
      <w:r>
        <w:rPr/>
        <w:t>Se registraron un total de 45,286 nacimientos de los cuales 94 pacientes presentaron malformación gastrointestinal, con una prevalencia de 0.2% y una tasa de 20.8 por cada 10,000 nacidos vivos. Se encontró al sexo masculino como el más afectado (59.6%), relación hombre mujer de 1.47:1. La edad gestacional media fue de 38 semanas de gestación al momento del nacimiento y</w:t>
      </w:r>
      <w:r>
        <w:rPr>
          <w:spacing w:val="-30"/>
        </w:rPr>
        <w:t> </w:t>
      </w:r>
      <w:r>
        <w:rPr/>
        <w:t>la media para edad materna de 23.2 años. El 36.1% (n=34) de los pacientes con malformación gastrointestinal presentó al menos una malformación asociada, la más frecuente fue la cardiopatía</w:t>
      </w:r>
      <w:r>
        <w:rPr>
          <w:spacing w:val="-19"/>
        </w:rPr>
        <w:t> </w:t>
      </w:r>
      <w:r>
        <w:rPr/>
        <w:t>congénita.</w:t>
      </w:r>
    </w:p>
    <w:p>
      <w:pPr>
        <w:pStyle w:val="BodyText"/>
        <w:spacing w:before="6"/>
        <w:rPr>
          <w:sz w:val="27"/>
        </w:rPr>
      </w:pPr>
    </w:p>
    <w:p>
      <w:pPr>
        <w:pStyle w:val="BodyText"/>
        <w:spacing w:line="276" w:lineRule="auto" w:before="1"/>
        <w:ind w:left="102" w:right="116"/>
        <w:jc w:val="both"/>
      </w:pPr>
      <w:r>
        <w:rPr>
          <w:b/>
        </w:rPr>
        <w:t>CONCLUSIONES: </w:t>
      </w:r>
      <w:r>
        <w:rPr/>
        <w:t>Las malformaciones congénitas constituyen un problema de salud pública por las altas tasas de morbilidad y mortalidad. Deben ser objeto de vigilancia médica y epidemiológica para que, mediante programas específicos contribuyan a una mejor calidad de vida de los niños afectados. Es necesario realizar el cribado prenatal en cualquier mujer embarazada para lograr diagnóstico temprano y referir a una Unidad Especializada ya que requieren de tratamiento multidisciplinario.</w:t>
      </w:r>
    </w:p>
    <w:p>
      <w:pPr>
        <w:spacing w:after="0" w:line="276" w:lineRule="auto"/>
        <w:jc w:val="both"/>
        <w:sectPr>
          <w:pgSz w:w="12240" w:h="15840"/>
          <w:pgMar w:top="1360" w:bottom="280" w:left="1600" w:right="1580"/>
        </w:sectPr>
      </w:pPr>
    </w:p>
    <w:p>
      <w:pPr>
        <w:pStyle w:val="BodyText"/>
        <w:spacing w:line="276" w:lineRule="auto" w:before="50"/>
        <w:ind w:left="102" w:right="119"/>
        <w:jc w:val="both"/>
      </w:pPr>
      <w:r>
        <w:rPr>
          <w:b/>
        </w:rPr>
        <w:t>PALABRAS CLAVE: </w:t>
      </w:r>
      <w:r>
        <w:rPr/>
        <w:t>Malformaciones congénitas, Sistema gastrointestinal, recién nacidos, prevalencia</w:t>
      </w:r>
    </w:p>
    <w:p>
      <w:pPr>
        <w:pStyle w:val="BodyText"/>
      </w:pPr>
    </w:p>
    <w:p>
      <w:pPr>
        <w:pStyle w:val="BodyText"/>
      </w:pPr>
    </w:p>
    <w:p>
      <w:pPr>
        <w:pStyle w:val="BodyText"/>
      </w:pPr>
    </w:p>
    <w:p>
      <w:pPr>
        <w:pStyle w:val="BodyText"/>
      </w:pPr>
    </w:p>
    <w:p>
      <w:pPr>
        <w:pStyle w:val="BodyText"/>
        <w:spacing w:before="4"/>
        <w:rPr>
          <w:sz w:val="22"/>
        </w:rPr>
      </w:pPr>
    </w:p>
    <w:p>
      <w:pPr>
        <w:pStyle w:val="ListParagraph"/>
        <w:numPr>
          <w:ilvl w:val="1"/>
          <w:numId w:val="3"/>
        </w:numPr>
        <w:tabs>
          <w:tab w:pos="1181" w:val="left" w:leader="none"/>
          <w:tab w:pos="1182" w:val="left" w:leader="none"/>
        </w:tabs>
        <w:spacing w:line="240" w:lineRule="auto" w:before="0" w:after="0"/>
        <w:ind w:left="1182" w:right="0" w:hanging="720"/>
        <w:jc w:val="left"/>
        <w:rPr>
          <w:b/>
          <w:sz w:val="22"/>
        </w:rPr>
      </w:pPr>
      <w:r>
        <w:rPr>
          <w:b/>
          <w:sz w:val="22"/>
        </w:rPr>
        <w:t>ABSTRACT</w:t>
      </w:r>
    </w:p>
    <w:p>
      <w:pPr>
        <w:pStyle w:val="BodyText"/>
        <w:rPr>
          <w:b/>
          <w:sz w:val="22"/>
        </w:rPr>
      </w:pPr>
    </w:p>
    <w:p>
      <w:pPr>
        <w:pStyle w:val="BodyText"/>
        <w:spacing w:before="4"/>
        <w:rPr>
          <w:b/>
          <w:sz w:val="26"/>
        </w:rPr>
      </w:pPr>
    </w:p>
    <w:p>
      <w:pPr>
        <w:pStyle w:val="BodyText"/>
        <w:ind w:left="102" w:right="112"/>
        <w:jc w:val="both"/>
      </w:pPr>
      <w:r>
        <w:rPr>
          <w:color w:val="202020"/>
        </w:rPr>
        <w:t>Congenital malformations are usually caused by alterations in the morphological, structural, functional or molecular development of the embryo, generating both aesthetic</w:t>
      </w:r>
      <w:r>
        <w:rPr>
          <w:color w:val="202020"/>
          <w:spacing w:val="-17"/>
        </w:rPr>
        <w:t> </w:t>
      </w:r>
      <w:r>
        <w:rPr>
          <w:color w:val="202020"/>
        </w:rPr>
        <w:t>and</w:t>
      </w:r>
      <w:r>
        <w:rPr>
          <w:color w:val="202020"/>
          <w:spacing w:val="-19"/>
        </w:rPr>
        <w:t> </w:t>
      </w:r>
      <w:r>
        <w:rPr>
          <w:color w:val="202020"/>
        </w:rPr>
        <w:t>functional</w:t>
      </w:r>
      <w:r>
        <w:rPr>
          <w:color w:val="202020"/>
          <w:spacing w:val="-15"/>
        </w:rPr>
        <w:t> </w:t>
      </w:r>
      <w:r>
        <w:rPr>
          <w:color w:val="202020"/>
        </w:rPr>
        <w:t>repercussions</w:t>
      </w:r>
      <w:r>
        <w:rPr>
          <w:color w:val="202020"/>
          <w:spacing w:val="-15"/>
        </w:rPr>
        <w:t> </w:t>
      </w:r>
      <w:r>
        <w:rPr>
          <w:color w:val="202020"/>
        </w:rPr>
        <w:t>with</w:t>
      </w:r>
      <w:r>
        <w:rPr>
          <w:color w:val="202020"/>
          <w:spacing w:val="-14"/>
        </w:rPr>
        <w:t> </w:t>
      </w:r>
      <w:r>
        <w:rPr>
          <w:color w:val="202020"/>
        </w:rPr>
        <w:t>transient</w:t>
      </w:r>
      <w:r>
        <w:rPr>
          <w:color w:val="202020"/>
          <w:spacing w:val="-17"/>
        </w:rPr>
        <w:t> </w:t>
      </w:r>
      <w:r>
        <w:rPr>
          <w:color w:val="202020"/>
        </w:rPr>
        <w:t>and</w:t>
      </w:r>
      <w:r>
        <w:rPr>
          <w:color w:val="202020"/>
          <w:spacing w:val="-17"/>
        </w:rPr>
        <w:t> </w:t>
      </w:r>
      <w:r>
        <w:rPr>
          <w:color w:val="202020"/>
        </w:rPr>
        <w:t>permanent</w:t>
      </w:r>
      <w:r>
        <w:rPr>
          <w:color w:val="202020"/>
          <w:spacing w:val="-19"/>
        </w:rPr>
        <w:t> </w:t>
      </w:r>
      <w:r>
        <w:rPr>
          <w:color w:val="202020"/>
        </w:rPr>
        <w:t>alterations,</w:t>
      </w:r>
      <w:r>
        <w:rPr>
          <w:color w:val="202020"/>
          <w:spacing w:val="-17"/>
        </w:rPr>
        <w:t> </w:t>
      </w:r>
      <w:r>
        <w:rPr>
          <w:color w:val="202020"/>
        </w:rPr>
        <w:t>and even death. According to the World Health Organization these are considered a public</w:t>
      </w:r>
      <w:r>
        <w:rPr>
          <w:color w:val="202020"/>
          <w:spacing w:val="-13"/>
        </w:rPr>
        <w:t> </w:t>
      </w:r>
      <w:r>
        <w:rPr>
          <w:color w:val="202020"/>
        </w:rPr>
        <w:t>health</w:t>
      </w:r>
      <w:r>
        <w:rPr>
          <w:color w:val="202020"/>
          <w:spacing w:val="-12"/>
        </w:rPr>
        <w:t> </w:t>
      </w:r>
      <w:r>
        <w:rPr>
          <w:color w:val="202020"/>
        </w:rPr>
        <w:t>problem</w:t>
      </w:r>
      <w:r>
        <w:rPr>
          <w:color w:val="202020"/>
          <w:spacing w:val="-11"/>
        </w:rPr>
        <w:t> </w:t>
      </w:r>
      <w:r>
        <w:rPr>
          <w:color w:val="202020"/>
        </w:rPr>
        <w:t>and</w:t>
      </w:r>
      <w:r>
        <w:rPr>
          <w:color w:val="202020"/>
          <w:spacing w:val="-12"/>
        </w:rPr>
        <w:t> </w:t>
      </w:r>
      <w:r>
        <w:rPr>
          <w:color w:val="202020"/>
        </w:rPr>
        <w:t>along</w:t>
      </w:r>
      <w:r>
        <w:rPr>
          <w:color w:val="202020"/>
          <w:spacing w:val="-13"/>
        </w:rPr>
        <w:t> </w:t>
      </w:r>
      <w:r>
        <w:rPr>
          <w:color w:val="202020"/>
        </w:rPr>
        <w:t>with</w:t>
      </w:r>
      <w:r>
        <w:rPr>
          <w:color w:val="202020"/>
          <w:spacing w:val="-11"/>
        </w:rPr>
        <w:t> </w:t>
      </w:r>
      <w:r>
        <w:rPr>
          <w:color w:val="202020"/>
        </w:rPr>
        <w:t>the</w:t>
      </w:r>
      <w:r>
        <w:rPr>
          <w:color w:val="202020"/>
          <w:spacing w:val="-12"/>
        </w:rPr>
        <w:t> </w:t>
      </w:r>
      <w:r>
        <w:rPr>
          <w:color w:val="202020"/>
        </w:rPr>
        <w:t>conditions</w:t>
      </w:r>
      <w:r>
        <w:rPr>
          <w:color w:val="202020"/>
          <w:spacing w:val="-13"/>
        </w:rPr>
        <w:t> </w:t>
      </w:r>
      <w:r>
        <w:rPr>
          <w:color w:val="202020"/>
        </w:rPr>
        <w:t>associated</w:t>
      </w:r>
      <w:r>
        <w:rPr>
          <w:color w:val="202020"/>
          <w:spacing w:val="-12"/>
        </w:rPr>
        <w:t> </w:t>
      </w:r>
      <w:r>
        <w:rPr>
          <w:color w:val="202020"/>
        </w:rPr>
        <w:t>with</w:t>
      </w:r>
      <w:r>
        <w:rPr>
          <w:color w:val="202020"/>
          <w:spacing w:val="-12"/>
        </w:rPr>
        <w:t> </w:t>
      </w:r>
      <w:r>
        <w:rPr>
          <w:color w:val="202020"/>
        </w:rPr>
        <w:t>one</w:t>
      </w:r>
      <w:r>
        <w:rPr>
          <w:color w:val="202020"/>
          <w:spacing w:val="-12"/>
        </w:rPr>
        <w:t> </w:t>
      </w:r>
      <w:r>
        <w:rPr>
          <w:color w:val="202020"/>
        </w:rPr>
        <w:t>of</w:t>
      </w:r>
      <w:r>
        <w:rPr>
          <w:color w:val="202020"/>
          <w:spacing w:val="-10"/>
        </w:rPr>
        <w:t> </w:t>
      </w:r>
      <w:r>
        <w:rPr>
          <w:color w:val="202020"/>
        </w:rPr>
        <w:t>the</w:t>
      </w:r>
      <w:r>
        <w:rPr>
          <w:color w:val="202020"/>
          <w:spacing w:val="-13"/>
        </w:rPr>
        <w:t> </w:t>
      </w:r>
      <w:r>
        <w:rPr>
          <w:color w:val="202020"/>
        </w:rPr>
        <w:t>major causes of death in children. In the State of Mexico in 2013, a total of 74,566 deaths were recorded, of which 4476 were children under one year of age; (5) In the 2009- 2010 period, the national prevalence rate for congenital malformations was 73.9 for every 10,000 births and 58.3 for the State of Mexico.</w:t>
      </w:r>
      <w:r>
        <w:rPr>
          <w:color w:val="202020"/>
          <w:spacing w:val="-21"/>
        </w:rPr>
        <w:t> </w:t>
      </w:r>
      <w:r>
        <w:rPr>
          <w:color w:val="202020"/>
        </w:rPr>
        <w:t>(6)</w:t>
      </w:r>
    </w:p>
    <w:p>
      <w:pPr>
        <w:pStyle w:val="BodyText"/>
      </w:pPr>
    </w:p>
    <w:p>
      <w:pPr>
        <w:pStyle w:val="BodyText"/>
        <w:rPr>
          <w:sz w:val="21"/>
        </w:rPr>
      </w:pPr>
    </w:p>
    <w:p>
      <w:pPr>
        <w:pStyle w:val="BodyText"/>
        <w:spacing w:before="1"/>
        <w:ind w:left="102" w:right="118"/>
        <w:jc w:val="both"/>
      </w:pPr>
      <w:r>
        <w:rPr>
          <w:b/>
        </w:rPr>
        <w:t>OBJECTIVE: </w:t>
      </w:r>
      <w:r>
        <w:rPr>
          <w:color w:val="202020"/>
        </w:rPr>
        <w:t>To determine the prevalence of gastrointestinal malformations in live newborns at the Maternal Perinatal Hospital “Mónica Pretelini Sáenz” in the period from 2010 to 2015</w:t>
      </w:r>
    </w:p>
    <w:p>
      <w:pPr>
        <w:pStyle w:val="BodyText"/>
      </w:pPr>
    </w:p>
    <w:p>
      <w:pPr>
        <w:pStyle w:val="BodyText"/>
      </w:pPr>
    </w:p>
    <w:p>
      <w:pPr>
        <w:pStyle w:val="BodyText"/>
        <w:spacing w:before="10"/>
        <w:rPr>
          <w:sz w:val="20"/>
        </w:rPr>
      </w:pPr>
    </w:p>
    <w:p>
      <w:pPr>
        <w:pStyle w:val="BodyText"/>
        <w:ind w:left="102" w:right="116"/>
        <w:jc w:val="both"/>
      </w:pPr>
      <w:r>
        <w:rPr>
          <w:b/>
        </w:rPr>
        <w:t>METHODS &amp; MATERIALS: </w:t>
      </w:r>
      <w:r>
        <w:rPr>
          <w:color w:val="202020"/>
        </w:rPr>
        <w:t>An observational, descriptive, retrospective and cross- sectional study was designed for a period of 6 years in which the number of gastrointestinal</w:t>
      </w:r>
      <w:r>
        <w:rPr>
          <w:color w:val="202020"/>
          <w:spacing w:val="-14"/>
        </w:rPr>
        <w:t> </w:t>
      </w:r>
      <w:r>
        <w:rPr>
          <w:color w:val="202020"/>
        </w:rPr>
        <w:t>congenital</w:t>
      </w:r>
      <w:r>
        <w:rPr>
          <w:color w:val="202020"/>
          <w:spacing w:val="-14"/>
        </w:rPr>
        <w:t> </w:t>
      </w:r>
      <w:r>
        <w:rPr>
          <w:color w:val="202020"/>
        </w:rPr>
        <w:t>malformations</w:t>
      </w:r>
      <w:r>
        <w:rPr>
          <w:color w:val="202020"/>
          <w:spacing w:val="-14"/>
        </w:rPr>
        <w:t> </w:t>
      </w:r>
      <w:r>
        <w:rPr>
          <w:color w:val="202020"/>
        </w:rPr>
        <w:t>was</w:t>
      </w:r>
      <w:r>
        <w:rPr>
          <w:color w:val="202020"/>
          <w:spacing w:val="-14"/>
        </w:rPr>
        <w:t> </w:t>
      </w:r>
      <w:r>
        <w:rPr>
          <w:color w:val="202020"/>
        </w:rPr>
        <w:t>observed</w:t>
      </w:r>
      <w:r>
        <w:rPr>
          <w:color w:val="202020"/>
          <w:spacing w:val="-13"/>
        </w:rPr>
        <w:t> </w:t>
      </w:r>
      <w:r>
        <w:rPr>
          <w:color w:val="202020"/>
        </w:rPr>
        <w:t>in</w:t>
      </w:r>
      <w:r>
        <w:rPr>
          <w:color w:val="202020"/>
          <w:spacing w:val="-15"/>
        </w:rPr>
        <w:t> </w:t>
      </w:r>
      <w:r>
        <w:rPr>
          <w:color w:val="202020"/>
        </w:rPr>
        <w:t>newborns</w:t>
      </w:r>
      <w:r>
        <w:rPr>
          <w:color w:val="202020"/>
          <w:spacing w:val="-14"/>
        </w:rPr>
        <w:t> </w:t>
      </w:r>
      <w:r>
        <w:rPr>
          <w:color w:val="202020"/>
        </w:rPr>
        <w:t>at</w:t>
      </w:r>
      <w:r>
        <w:rPr>
          <w:color w:val="202020"/>
          <w:spacing w:val="-13"/>
        </w:rPr>
        <w:t> </w:t>
      </w:r>
      <w:r>
        <w:rPr>
          <w:color w:val="202020"/>
        </w:rPr>
        <w:t>the</w:t>
      </w:r>
      <w:r>
        <w:rPr>
          <w:color w:val="202020"/>
          <w:spacing w:val="-13"/>
        </w:rPr>
        <w:t> </w:t>
      </w:r>
      <w:r>
        <w:rPr>
          <w:color w:val="202020"/>
        </w:rPr>
        <w:t>Maternal Perinatal Hospital “Mónica Pretelini</w:t>
      </w:r>
      <w:r>
        <w:rPr>
          <w:color w:val="202020"/>
          <w:spacing w:val="-12"/>
        </w:rPr>
        <w:t> </w:t>
      </w:r>
      <w:r>
        <w:rPr>
          <w:color w:val="202020"/>
        </w:rPr>
        <w:t>Sáenz”</w:t>
      </w:r>
    </w:p>
    <w:p>
      <w:pPr>
        <w:pStyle w:val="BodyText"/>
      </w:pPr>
    </w:p>
    <w:p>
      <w:pPr>
        <w:pStyle w:val="BodyText"/>
        <w:rPr>
          <w:sz w:val="21"/>
        </w:rPr>
      </w:pPr>
    </w:p>
    <w:p>
      <w:pPr>
        <w:pStyle w:val="BodyText"/>
        <w:spacing w:before="1"/>
        <w:ind w:left="102" w:right="124"/>
        <w:jc w:val="both"/>
      </w:pPr>
      <w:r>
        <w:rPr>
          <w:b/>
        </w:rPr>
        <w:t>RESULTS: </w:t>
      </w:r>
      <w:r>
        <w:rPr>
          <w:color w:val="202020"/>
        </w:rPr>
        <w:t>A total of 45,286 births were recorded, of which 94 patients had gastrointestinal malformations, with a prevalence of 0.2% and a rate of 20.8 per 10,000 live births. The male sex was the most affected (59.6%), male ratio of</w:t>
      </w:r>
      <w:r>
        <w:rPr>
          <w:color w:val="202020"/>
          <w:spacing w:val="55"/>
        </w:rPr>
        <w:t> </w:t>
      </w:r>
      <w:r>
        <w:rPr>
          <w:color w:val="202020"/>
        </w:rPr>
        <w:t>1.47:</w:t>
      </w:r>
    </w:p>
    <w:p>
      <w:pPr>
        <w:pStyle w:val="ListParagraph"/>
        <w:numPr>
          <w:ilvl w:val="0"/>
          <w:numId w:val="4"/>
        </w:numPr>
        <w:tabs>
          <w:tab w:pos="419" w:val="left" w:leader="none"/>
        </w:tabs>
        <w:spacing w:line="240" w:lineRule="auto" w:before="0" w:after="0"/>
        <w:ind w:left="102" w:right="117" w:firstLine="0"/>
        <w:jc w:val="both"/>
        <w:rPr>
          <w:sz w:val="24"/>
        </w:rPr>
      </w:pPr>
      <w:r>
        <w:rPr>
          <w:color w:val="202020"/>
          <w:sz w:val="24"/>
        </w:rPr>
        <w:t>The mean gestational age was 38 gestational weeks at birth and the mean maternal age was 23.2 years. 36.1% (n = 34) of the patients with gastrointestinal malformation</w:t>
      </w:r>
      <w:r>
        <w:rPr>
          <w:color w:val="202020"/>
          <w:spacing w:val="-19"/>
          <w:sz w:val="24"/>
        </w:rPr>
        <w:t> </w:t>
      </w:r>
      <w:r>
        <w:rPr>
          <w:color w:val="202020"/>
          <w:sz w:val="24"/>
        </w:rPr>
        <w:t>presented</w:t>
      </w:r>
      <w:r>
        <w:rPr>
          <w:color w:val="202020"/>
          <w:spacing w:val="-17"/>
          <w:sz w:val="24"/>
        </w:rPr>
        <w:t> </w:t>
      </w:r>
      <w:r>
        <w:rPr>
          <w:color w:val="202020"/>
          <w:sz w:val="24"/>
        </w:rPr>
        <w:t>at</w:t>
      </w:r>
      <w:r>
        <w:rPr>
          <w:color w:val="202020"/>
          <w:spacing w:val="-17"/>
          <w:sz w:val="24"/>
        </w:rPr>
        <w:t> </w:t>
      </w:r>
      <w:r>
        <w:rPr>
          <w:color w:val="202020"/>
          <w:sz w:val="24"/>
        </w:rPr>
        <w:t>least</w:t>
      </w:r>
      <w:r>
        <w:rPr>
          <w:color w:val="202020"/>
          <w:spacing w:val="-19"/>
          <w:sz w:val="24"/>
        </w:rPr>
        <w:t> </w:t>
      </w:r>
      <w:r>
        <w:rPr>
          <w:color w:val="202020"/>
          <w:sz w:val="24"/>
        </w:rPr>
        <w:t>one</w:t>
      </w:r>
      <w:r>
        <w:rPr>
          <w:color w:val="202020"/>
          <w:spacing w:val="-19"/>
          <w:sz w:val="24"/>
        </w:rPr>
        <w:t> </w:t>
      </w:r>
      <w:r>
        <w:rPr>
          <w:color w:val="202020"/>
          <w:sz w:val="24"/>
        </w:rPr>
        <w:t>associated</w:t>
      </w:r>
      <w:r>
        <w:rPr>
          <w:color w:val="202020"/>
          <w:spacing w:val="-19"/>
          <w:sz w:val="24"/>
        </w:rPr>
        <w:t> </w:t>
      </w:r>
      <w:r>
        <w:rPr>
          <w:color w:val="202020"/>
          <w:sz w:val="24"/>
        </w:rPr>
        <w:t>malformation,</w:t>
      </w:r>
      <w:r>
        <w:rPr>
          <w:color w:val="202020"/>
          <w:spacing w:val="-17"/>
          <w:sz w:val="24"/>
        </w:rPr>
        <w:t> </w:t>
      </w:r>
      <w:r>
        <w:rPr>
          <w:color w:val="202020"/>
          <w:sz w:val="24"/>
        </w:rPr>
        <w:t>the</w:t>
      </w:r>
      <w:r>
        <w:rPr>
          <w:color w:val="202020"/>
          <w:spacing w:val="-19"/>
          <w:sz w:val="24"/>
        </w:rPr>
        <w:t> </w:t>
      </w:r>
      <w:r>
        <w:rPr>
          <w:color w:val="202020"/>
          <w:sz w:val="24"/>
        </w:rPr>
        <w:t>most</w:t>
      </w:r>
      <w:r>
        <w:rPr>
          <w:color w:val="202020"/>
          <w:spacing w:val="-19"/>
          <w:sz w:val="24"/>
        </w:rPr>
        <w:t> </w:t>
      </w:r>
      <w:r>
        <w:rPr>
          <w:color w:val="202020"/>
          <w:sz w:val="24"/>
        </w:rPr>
        <w:t>frequent</w:t>
      </w:r>
      <w:r>
        <w:rPr>
          <w:color w:val="202020"/>
          <w:spacing w:val="-19"/>
          <w:sz w:val="24"/>
        </w:rPr>
        <w:t> </w:t>
      </w:r>
      <w:r>
        <w:rPr>
          <w:color w:val="202020"/>
          <w:sz w:val="24"/>
        </w:rPr>
        <w:t>was a congenital heart</w:t>
      </w:r>
      <w:r>
        <w:rPr>
          <w:color w:val="202020"/>
          <w:spacing w:val="-12"/>
          <w:sz w:val="24"/>
        </w:rPr>
        <w:t> </w:t>
      </w:r>
      <w:r>
        <w:rPr>
          <w:color w:val="202020"/>
          <w:sz w:val="24"/>
        </w:rPr>
        <w:t>disease</w:t>
      </w:r>
    </w:p>
    <w:p>
      <w:pPr>
        <w:pStyle w:val="BodyText"/>
      </w:pPr>
    </w:p>
    <w:p>
      <w:pPr>
        <w:pStyle w:val="BodyText"/>
        <w:spacing w:before="10"/>
        <w:rPr>
          <w:sz w:val="20"/>
        </w:rPr>
      </w:pPr>
    </w:p>
    <w:p>
      <w:pPr>
        <w:pStyle w:val="BodyText"/>
        <w:ind w:left="102" w:right="123"/>
        <w:jc w:val="both"/>
      </w:pPr>
      <w:r>
        <w:rPr>
          <w:b/>
        </w:rPr>
        <w:t>CONCLUSIONS: </w:t>
      </w:r>
      <w:r>
        <w:rPr>
          <w:color w:val="202020"/>
        </w:rPr>
        <w:t>Congenital malformations constitute a public health problem due to high rates of morbidity and mortality. They should be subject to medical and epidemiological surveillance so that, through specific programs, they contribute to</w:t>
      </w:r>
      <w:r>
        <w:rPr>
          <w:color w:val="202020"/>
          <w:spacing w:val="-36"/>
        </w:rPr>
        <w:t> </w:t>
      </w:r>
      <w:r>
        <w:rPr>
          <w:color w:val="202020"/>
        </w:rPr>
        <w:t>a better quality of life for the affected children. It is necessary to perform prenatal screening in any pregnant woman to achieve early diagnosis and refer to a specialized unit as they require multidisciplinary</w:t>
      </w:r>
      <w:r>
        <w:rPr>
          <w:color w:val="202020"/>
          <w:spacing w:val="-18"/>
        </w:rPr>
        <w:t> </w:t>
      </w:r>
      <w:r>
        <w:rPr>
          <w:color w:val="202020"/>
        </w:rPr>
        <w:t>treatment.</w:t>
      </w:r>
    </w:p>
    <w:p>
      <w:pPr>
        <w:spacing w:after="0"/>
        <w:jc w:val="both"/>
        <w:sectPr>
          <w:pgSz w:w="12240" w:h="15840"/>
          <w:pgMar w:top="800" w:bottom="280" w:left="1600" w:right="1580"/>
        </w:sectPr>
      </w:pPr>
    </w:p>
    <w:p>
      <w:pPr>
        <w:pStyle w:val="BodyText"/>
        <w:spacing w:before="43"/>
        <w:ind w:left="102" w:right="118"/>
        <w:jc w:val="both"/>
      </w:pPr>
      <w:r>
        <w:rPr>
          <w:color w:val="202020"/>
        </w:rPr>
        <w:t>KEY WORDS: Congenital malformations, Gastrointestinal system, newborns, prevalence</w:t>
      </w:r>
    </w:p>
    <w:p>
      <w:pPr>
        <w:pStyle w:val="BodyText"/>
      </w:pPr>
    </w:p>
    <w:p>
      <w:pPr>
        <w:pStyle w:val="BodyText"/>
      </w:pPr>
    </w:p>
    <w:p>
      <w:pPr>
        <w:pStyle w:val="BodyText"/>
      </w:pPr>
    </w:p>
    <w:p>
      <w:pPr>
        <w:pStyle w:val="BodyText"/>
      </w:pPr>
    </w:p>
    <w:p>
      <w:pPr>
        <w:pStyle w:val="BodyText"/>
        <w:spacing w:before="3"/>
        <w:rPr>
          <w:sz w:val="26"/>
        </w:rPr>
      </w:pPr>
    </w:p>
    <w:p>
      <w:pPr>
        <w:pStyle w:val="Heading1"/>
        <w:numPr>
          <w:ilvl w:val="1"/>
          <w:numId w:val="3"/>
        </w:numPr>
        <w:tabs>
          <w:tab w:pos="364" w:val="left" w:leader="none"/>
        </w:tabs>
        <w:spacing w:line="240" w:lineRule="auto" w:before="1" w:after="0"/>
        <w:ind w:left="363" w:right="0" w:hanging="261"/>
        <w:jc w:val="both"/>
        <w:rPr>
          <w:sz w:val="23"/>
        </w:rPr>
      </w:pPr>
      <w:r>
        <w:rPr/>
        <w:t>ANTECEDENTES</w:t>
      </w:r>
    </w:p>
    <w:p>
      <w:pPr>
        <w:pStyle w:val="BodyText"/>
        <w:rPr>
          <w:b/>
        </w:rPr>
      </w:pPr>
    </w:p>
    <w:p>
      <w:pPr>
        <w:pStyle w:val="BodyText"/>
        <w:rPr>
          <w:b/>
        </w:rPr>
      </w:pPr>
    </w:p>
    <w:p>
      <w:pPr>
        <w:pStyle w:val="BodyText"/>
        <w:spacing w:line="360" w:lineRule="auto"/>
        <w:ind w:left="102" w:right="117"/>
        <w:jc w:val="both"/>
      </w:pPr>
      <w:r>
        <w:rPr/>
        <w:t>En tiempos remotos, los defectos congénitos se creían relacionados a la acción de fuerzas sobrenaturales, como la manifestación de algo demoniaco.</w:t>
      </w:r>
    </w:p>
    <w:p>
      <w:pPr>
        <w:pStyle w:val="BodyText"/>
      </w:pPr>
    </w:p>
    <w:p>
      <w:pPr>
        <w:pStyle w:val="BodyText"/>
        <w:spacing w:line="360" w:lineRule="auto" w:before="142"/>
        <w:ind w:left="102" w:right="116"/>
        <w:jc w:val="both"/>
      </w:pPr>
      <w:r>
        <w:rPr/>
        <w:t>El</w:t>
      </w:r>
      <w:r>
        <w:rPr>
          <w:spacing w:val="-6"/>
        </w:rPr>
        <w:t> </w:t>
      </w:r>
      <w:r>
        <w:rPr/>
        <w:t>estudio</w:t>
      </w:r>
      <w:r>
        <w:rPr>
          <w:spacing w:val="-5"/>
        </w:rPr>
        <w:t> </w:t>
      </w:r>
      <w:r>
        <w:rPr/>
        <w:t>sistemático</w:t>
      </w:r>
      <w:r>
        <w:rPr>
          <w:spacing w:val="-7"/>
        </w:rPr>
        <w:t> </w:t>
      </w:r>
      <w:r>
        <w:rPr/>
        <w:t>de</w:t>
      </w:r>
      <w:r>
        <w:rPr>
          <w:spacing w:val="-5"/>
        </w:rPr>
        <w:t> </w:t>
      </w:r>
      <w:r>
        <w:rPr/>
        <w:t>los</w:t>
      </w:r>
      <w:r>
        <w:rPr>
          <w:spacing w:val="-4"/>
        </w:rPr>
        <w:t> </w:t>
      </w:r>
      <w:r>
        <w:rPr/>
        <w:t>defectos</w:t>
      </w:r>
      <w:r>
        <w:rPr>
          <w:spacing w:val="-6"/>
        </w:rPr>
        <w:t> </w:t>
      </w:r>
      <w:r>
        <w:rPr/>
        <w:t>congénitos</w:t>
      </w:r>
      <w:r>
        <w:rPr>
          <w:spacing w:val="-4"/>
        </w:rPr>
        <w:t> </w:t>
      </w:r>
      <w:r>
        <w:rPr/>
        <w:t>inició</w:t>
      </w:r>
      <w:r>
        <w:rPr>
          <w:spacing w:val="-5"/>
        </w:rPr>
        <w:t> </w:t>
      </w:r>
      <w:r>
        <w:rPr/>
        <w:t>a</w:t>
      </w:r>
      <w:r>
        <w:rPr>
          <w:spacing w:val="-5"/>
        </w:rPr>
        <w:t> </w:t>
      </w:r>
      <w:r>
        <w:rPr/>
        <w:t>partir</w:t>
      </w:r>
      <w:r>
        <w:rPr>
          <w:spacing w:val="-6"/>
        </w:rPr>
        <w:t> </w:t>
      </w:r>
      <w:r>
        <w:rPr/>
        <w:t>de</w:t>
      </w:r>
      <w:r>
        <w:rPr>
          <w:spacing w:val="-5"/>
        </w:rPr>
        <w:t> </w:t>
      </w:r>
      <w:r>
        <w:rPr/>
        <w:t>la</w:t>
      </w:r>
      <w:r>
        <w:rPr>
          <w:spacing w:val="-5"/>
        </w:rPr>
        <w:t> </w:t>
      </w:r>
      <w:r>
        <w:rPr/>
        <w:t>segunda</w:t>
      </w:r>
      <w:r>
        <w:rPr>
          <w:spacing w:val="-7"/>
        </w:rPr>
        <w:t> </w:t>
      </w:r>
      <w:r>
        <w:rPr/>
        <w:t>mitad el siglo XX, coincidiendo con el reconocimiento de efectos teratogénicos o exposición a infecciones y el uso de  talidomida, durante el</w:t>
      </w:r>
      <w:r>
        <w:rPr>
          <w:spacing w:val="-25"/>
        </w:rPr>
        <w:t> </w:t>
      </w:r>
      <w:r>
        <w:rPr/>
        <w:t>embarazo.</w:t>
      </w:r>
    </w:p>
    <w:p>
      <w:pPr>
        <w:pStyle w:val="BodyText"/>
      </w:pPr>
    </w:p>
    <w:p>
      <w:pPr>
        <w:pStyle w:val="BodyText"/>
        <w:spacing w:line="360" w:lineRule="auto" w:before="142"/>
        <w:ind w:left="102" w:right="115"/>
        <w:jc w:val="both"/>
      </w:pPr>
      <w:r>
        <w:rPr/>
        <w:t>El término dismorfología, se concibió en la década de los 60, definido como el estudio de las características anormales, y se especializó en la determinación de patrones anormales y establecimiento de hipótesis diagnósticas. (1)</w:t>
      </w:r>
    </w:p>
    <w:p>
      <w:pPr>
        <w:pStyle w:val="BodyText"/>
      </w:pPr>
    </w:p>
    <w:p>
      <w:pPr>
        <w:pStyle w:val="BodyText"/>
        <w:spacing w:line="360" w:lineRule="auto" w:before="142"/>
        <w:ind w:left="102" w:right="116"/>
        <w:jc w:val="both"/>
      </w:pPr>
      <w:r>
        <w:rPr/>
        <w:t>Las malformaciones congénitas suelen ser causadas por alteraciones en el desarrollo morfológico, estructural, funcional o molecular del embrión, generando repercusiones tanto estéticas como funcionales con alteraciones transitorias o permanentes, que incluso pueden ocasionar la muerte.</w:t>
      </w:r>
    </w:p>
    <w:p>
      <w:pPr>
        <w:pStyle w:val="BodyText"/>
      </w:pPr>
    </w:p>
    <w:p>
      <w:pPr>
        <w:pStyle w:val="BodyText"/>
        <w:spacing w:line="360" w:lineRule="auto" w:before="142"/>
        <w:ind w:left="102" w:right="124"/>
        <w:jc w:val="both"/>
      </w:pPr>
      <w:r>
        <w:rPr/>
        <w:t>La frecuencia varia de 3 a 5 % en la población general, incrementándose hasta en 7-8% en pacientes expuestos a teratógenos, infecciones o que sufren padecimientos crónicos degenerativos.</w:t>
      </w:r>
    </w:p>
    <w:p>
      <w:pPr>
        <w:pStyle w:val="BodyText"/>
      </w:pPr>
    </w:p>
    <w:p>
      <w:pPr>
        <w:pStyle w:val="BodyText"/>
        <w:spacing w:line="360" w:lineRule="auto" w:before="142"/>
        <w:ind w:left="102" w:right="115"/>
        <w:jc w:val="both"/>
      </w:pPr>
      <w:r>
        <w:rPr/>
        <w:t>Se consideran según la Organización Mundial de la Salud (OMS) un problema de salud pública y junto con las afecciones asociadas (cardiopatías congénitas, genopatías), son una de las causas de muerte importantes en niños.</w:t>
      </w:r>
    </w:p>
    <w:p>
      <w:pPr>
        <w:spacing w:after="0" w:line="360" w:lineRule="auto"/>
        <w:jc w:val="both"/>
        <w:sectPr>
          <w:pgSz w:w="12240" w:h="15840"/>
          <w:pgMar w:top="1080" w:bottom="280" w:left="1600" w:right="1580"/>
        </w:sectPr>
      </w:pPr>
    </w:p>
    <w:p>
      <w:pPr>
        <w:pStyle w:val="BodyText"/>
        <w:spacing w:line="360" w:lineRule="auto" w:before="50"/>
        <w:ind w:left="102" w:right="116"/>
        <w:jc w:val="both"/>
      </w:pPr>
      <w:r>
        <w:rPr/>
        <w:t>Existen diferentes clasificaciones de las malformaciones congénitas, entre las cuales se definen:</w:t>
      </w:r>
    </w:p>
    <w:p>
      <w:pPr>
        <w:pStyle w:val="ListParagraph"/>
        <w:numPr>
          <w:ilvl w:val="2"/>
          <w:numId w:val="3"/>
        </w:numPr>
        <w:tabs>
          <w:tab w:pos="822" w:val="left" w:leader="none"/>
        </w:tabs>
        <w:spacing w:line="360" w:lineRule="auto" w:before="5" w:after="0"/>
        <w:ind w:left="822" w:right="124" w:hanging="360"/>
        <w:jc w:val="left"/>
        <w:rPr>
          <w:sz w:val="24"/>
        </w:rPr>
      </w:pPr>
      <w:r>
        <w:rPr>
          <w:sz w:val="24"/>
        </w:rPr>
        <w:t>Malformación: Formación deficiente de tejido, que resulta de un desarrollo anormal, y de origen</w:t>
      </w:r>
      <w:r>
        <w:rPr>
          <w:spacing w:val="-16"/>
          <w:sz w:val="24"/>
        </w:rPr>
        <w:t> </w:t>
      </w:r>
      <w:r>
        <w:rPr>
          <w:sz w:val="24"/>
        </w:rPr>
        <w:t>intrínseco.</w:t>
      </w:r>
    </w:p>
    <w:p>
      <w:pPr>
        <w:pStyle w:val="BodyText"/>
      </w:pPr>
    </w:p>
    <w:p>
      <w:pPr>
        <w:pStyle w:val="BodyText"/>
      </w:pPr>
    </w:p>
    <w:p>
      <w:pPr>
        <w:pStyle w:val="BodyText"/>
      </w:pPr>
    </w:p>
    <w:p>
      <w:pPr>
        <w:pStyle w:val="BodyText"/>
      </w:pPr>
    </w:p>
    <w:p>
      <w:pPr>
        <w:pStyle w:val="ListParagraph"/>
        <w:numPr>
          <w:ilvl w:val="2"/>
          <w:numId w:val="3"/>
        </w:numPr>
        <w:tabs>
          <w:tab w:pos="822" w:val="left" w:leader="none"/>
        </w:tabs>
        <w:spacing w:line="360" w:lineRule="auto" w:before="142" w:after="0"/>
        <w:ind w:left="822" w:right="124" w:hanging="360"/>
        <w:jc w:val="left"/>
        <w:rPr>
          <w:sz w:val="24"/>
        </w:rPr>
      </w:pPr>
      <w:r>
        <w:rPr>
          <w:sz w:val="24"/>
        </w:rPr>
        <w:t>Deformación:</w:t>
      </w:r>
      <w:r>
        <w:rPr>
          <w:spacing w:val="-18"/>
          <w:sz w:val="24"/>
        </w:rPr>
        <w:t> </w:t>
      </w:r>
      <w:r>
        <w:rPr>
          <w:sz w:val="24"/>
        </w:rPr>
        <w:t>originada</w:t>
      </w:r>
      <w:r>
        <w:rPr>
          <w:spacing w:val="-17"/>
          <w:sz w:val="24"/>
        </w:rPr>
        <w:t> </w:t>
      </w:r>
      <w:r>
        <w:rPr>
          <w:sz w:val="24"/>
        </w:rPr>
        <w:t>por</w:t>
      </w:r>
      <w:r>
        <w:rPr>
          <w:spacing w:val="-19"/>
          <w:sz w:val="24"/>
        </w:rPr>
        <w:t> </w:t>
      </w:r>
      <w:r>
        <w:rPr>
          <w:sz w:val="24"/>
        </w:rPr>
        <w:t>fuerzas</w:t>
      </w:r>
      <w:r>
        <w:rPr>
          <w:spacing w:val="-17"/>
          <w:sz w:val="24"/>
        </w:rPr>
        <w:t> </w:t>
      </w:r>
      <w:r>
        <w:rPr>
          <w:sz w:val="24"/>
        </w:rPr>
        <w:t>mecánicas</w:t>
      </w:r>
      <w:r>
        <w:rPr>
          <w:spacing w:val="34"/>
          <w:sz w:val="24"/>
        </w:rPr>
        <w:t> </w:t>
      </w:r>
      <w:r>
        <w:rPr>
          <w:sz w:val="24"/>
        </w:rPr>
        <w:t>alteradas</w:t>
      </w:r>
      <w:r>
        <w:rPr>
          <w:spacing w:val="-17"/>
          <w:sz w:val="24"/>
        </w:rPr>
        <w:t> </w:t>
      </w:r>
      <w:r>
        <w:rPr>
          <w:sz w:val="24"/>
        </w:rPr>
        <w:t>en</w:t>
      </w:r>
      <w:r>
        <w:rPr>
          <w:spacing w:val="-18"/>
          <w:sz w:val="24"/>
        </w:rPr>
        <w:t> </w:t>
      </w:r>
      <w:r>
        <w:rPr>
          <w:sz w:val="24"/>
        </w:rPr>
        <w:t>un</w:t>
      </w:r>
      <w:r>
        <w:rPr>
          <w:spacing w:val="-18"/>
          <w:sz w:val="24"/>
        </w:rPr>
        <w:t> </w:t>
      </w:r>
      <w:r>
        <w:rPr>
          <w:sz w:val="24"/>
        </w:rPr>
        <w:t>tejido</w:t>
      </w:r>
      <w:r>
        <w:rPr>
          <w:spacing w:val="-17"/>
          <w:sz w:val="24"/>
        </w:rPr>
        <w:t> </w:t>
      </w:r>
      <w:r>
        <w:rPr>
          <w:sz w:val="24"/>
        </w:rPr>
        <w:t>normal, puede ser intrínseco o</w:t>
      </w:r>
      <w:r>
        <w:rPr>
          <w:spacing w:val="-18"/>
          <w:sz w:val="24"/>
        </w:rPr>
        <w:t> </w:t>
      </w:r>
      <w:r>
        <w:rPr>
          <w:sz w:val="24"/>
        </w:rPr>
        <w:t>extrínseco</w:t>
      </w:r>
    </w:p>
    <w:p>
      <w:pPr>
        <w:pStyle w:val="ListParagraph"/>
        <w:numPr>
          <w:ilvl w:val="2"/>
          <w:numId w:val="3"/>
        </w:numPr>
        <w:tabs>
          <w:tab w:pos="822" w:val="left" w:leader="none"/>
        </w:tabs>
        <w:spacing w:line="360" w:lineRule="auto" w:before="5" w:after="0"/>
        <w:ind w:left="822" w:right="122" w:hanging="360"/>
        <w:jc w:val="left"/>
        <w:rPr>
          <w:sz w:val="24"/>
        </w:rPr>
      </w:pPr>
      <w:r>
        <w:rPr>
          <w:sz w:val="24"/>
        </w:rPr>
        <w:t>Desorganización o ruptura: defecto morfológico resultado de la alteración</w:t>
      </w:r>
      <w:r>
        <w:rPr>
          <w:spacing w:val="-33"/>
          <w:sz w:val="24"/>
        </w:rPr>
        <w:t> </w:t>
      </w:r>
      <w:r>
        <w:rPr>
          <w:sz w:val="24"/>
        </w:rPr>
        <w:t>de un tejido previamente  normal, y es de origen</w:t>
      </w:r>
      <w:r>
        <w:rPr>
          <w:spacing w:val="-27"/>
          <w:sz w:val="24"/>
        </w:rPr>
        <w:t> </w:t>
      </w:r>
      <w:r>
        <w:rPr>
          <w:sz w:val="24"/>
        </w:rPr>
        <w:t>extrínseco</w:t>
      </w:r>
    </w:p>
    <w:p>
      <w:pPr>
        <w:pStyle w:val="ListParagraph"/>
        <w:numPr>
          <w:ilvl w:val="2"/>
          <w:numId w:val="3"/>
        </w:numPr>
        <w:tabs>
          <w:tab w:pos="822" w:val="left" w:leader="none"/>
          <w:tab w:pos="7131" w:val="left" w:leader="none"/>
        </w:tabs>
        <w:spacing w:line="360" w:lineRule="auto" w:before="5" w:after="0"/>
        <w:ind w:left="822" w:right="124" w:hanging="360"/>
        <w:jc w:val="left"/>
        <w:rPr>
          <w:sz w:val="24"/>
        </w:rPr>
      </w:pPr>
      <w:r>
        <w:rPr>
          <w:sz w:val="24"/>
        </w:rPr>
        <w:t>Displasia:  es  la  organización  anormal  de </w:t>
      </w:r>
      <w:r>
        <w:rPr>
          <w:spacing w:val="41"/>
          <w:sz w:val="24"/>
        </w:rPr>
        <w:t> </w:t>
      </w:r>
      <w:r>
        <w:rPr>
          <w:sz w:val="24"/>
        </w:rPr>
        <w:t>las </w:t>
      </w:r>
      <w:r>
        <w:rPr>
          <w:spacing w:val="7"/>
          <w:sz w:val="24"/>
        </w:rPr>
        <w:t> </w:t>
      </w:r>
      <w:r>
        <w:rPr>
          <w:sz w:val="24"/>
        </w:rPr>
        <w:t>células</w:t>
        <w:tab/>
        <w:t>que </w:t>
      </w:r>
      <w:r>
        <w:rPr>
          <w:spacing w:val="3"/>
          <w:sz w:val="24"/>
        </w:rPr>
        <w:t> </w:t>
      </w:r>
      <w:r>
        <w:rPr>
          <w:sz w:val="24"/>
        </w:rPr>
        <w:t>origina </w:t>
      </w:r>
      <w:r>
        <w:rPr>
          <w:spacing w:val="4"/>
          <w:sz w:val="24"/>
        </w:rPr>
        <w:t> </w:t>
      </w:r>
      <w:r>
        <w:rPr>
          <w:sz w:val="24"/>
        </w:rPr>
        <w:t>una</w:t>
      </w:r>
      <w:r>
        <w:rPr>
          <w:w w:val="99"/>
          <w:sz w:val="24"/>
        </w:rPr>
        <w:t> </w:t>
      </w:r>
      <w:r>
        <w:rPr>
          <w:sz w:val="24"/>
        </w:rPr>
        <w:t>alteración</w:t>
      </w:r>
      <w:r>
        <w:rPr>
          <w:spacing w:val="-6"/>
          <w:sz w:val="24"/>
        </w:rPr>
        <w:t> </w:t>
      </w:r>
      <w:r>
        <w:rPr>
          <w:sz w:val="24"/>
        </w:rPr>
        <w:t>morfológico</w:t>
      </w:r>
    </w:p>
    <w:p>
      <w:pPr>
        <w:pStyle w:val="BodyText"/>
      </w:pPr>
    </w:p>
    <w:p>
      <w:pPr>
        <w:pStyle w:val="BodyText"/>
        <w:spacing w:line="360" w:lineRule="auto" w:before="142"/>
        <w:ind w:left="102" w:right="118"/>
        <w:jc w:val="both"/>
      </w:pPr>
      <w:r>
        <w:rPr/>
        <w:t>Las malformaciones mayores se observan en 3% de los afectados, y se definen como las malformaciones que afectan la apariencia estética o función, y requieren alguna corrección, sobre todo de tipo quirúrgico.</w:t>
      </w:r>
    </w:p>
    <w:p>
      <w:pPr>
        <w:pStyle w:val="BodyText"/>
      </w:pPr>
    </w:p>
    <w:p>
      <w:pPr>
        <w:pStyle w:val="BodyText"/>
        <w:spacing w:line="362" w:lineRule="auto" w:before="142"/>
        <w:ind w:left="102" w:right="115"/>
        <w:jc w:val="both"/>
      </w:pPr>
      <w:r>
        <w:rPr/>
        <w:t>Cuando coexisten dos o más malformaciones pueden dar lugar a alguna de las siguientes situaciones:</w:t>
      </w:r>
    </w:p>
    <w:p>
      <w:pPr>
        <w:pStyle w:val="ListParagraph"/>
        <w:numPr>
          <w:ilvl w:val="0"/>
          <w:numId w:val="5"/>
        </w:numPr>
        <w:tabs>
          <w:tab w:pos="822" w:val="left" w:leader="none"/>
        </w:tabs>
        <w:spacing w:line="240" w:lineRule="auto" w:before="0" w:after="0"/>
        <w:ind w:left="822" w:right="0" w:hanging="360"/>
        <w:jc w:val="left"/>
        <w:rPr>
          <w:sz w:val="24"/>
        </w:rPr>
      </w:pPr>
      <w:r>
        <w:rPr>
          <w:sz w:val="24"/>
        </w:rPr>
        <w:t>Síndrome: conjunto de anomalías patogenéticamente</w:t>
      </w:r>
      <w:r>
        <w:rPr>
          <w:spacing w:val="-27"/>
          <w:sz w:val="24"/>
        </w:rPr>
        <w:t> </w:t>
      </w:r>
      <w:r>
        <w:rPr>
          <w:sz w:val="24"/>
        </w:rPr>
        <w:t>relacionadas</w:t>
      </w:r>
    </w:p>
    <w:p>
      <w:pPr>
        <w:pStyle w:val="ListParagraph"/>
        <w:numPr>
          <w:ilvl w:val="0"/>
          <w:numId w:val="5"/>
        </w:numPr>
        <w:tabs>
          <w:tab w:pos="822" w:val="left" w:leader="none"/>
        </w:tabs>
        <w:spacing w:line="360" w:lineRule="auto" w:before="139" w:after="0"/>
        <w:ind w:left="822" w:right="125" w:hanging="360"/>
        <w:jc w:val="left"/>
        <w:rPr>
          <w:sz w:val="24"/>
        </w:rPr>
      </w:pPr>
      <w:r>
        <w:rPr>
          <w:sz w:val="24"/>
        </w:rPr>
        <w:t>Secuencia: patrón de defectos múltiples derivados de malformaciones, deformidades y</w:t>
      </w:r>
      <w:r>
        <w:rPr>
          <w:spacing w:val="-14"/>
          <w:sz w:val="24"/>
        </w:rPr>
        <w:t> </w:t>
      </w:r>
      <w:r>
        <w:rPr>
          <w:sz w:val="24"/>
        </w:rPr>
        <w:t>desorganizaciones.</w:t>
      </w:r>
    </w:p>
    <w:p>
      <w:pPr>
        <w:pStyle w:val="ListParagraph"/>
        <w:numPr>
          <w:ilvl w:val="0"/>
          <w:numId w:val="5"/>
        </w:numPr>
        <w:tabs>
          <w:tab w:pos="822" w:val="left" w:leader="none"/>
        </w:tabs>
        <w:spacing w:line="360" w:lineRule="auto" w:before="5" w:after="0"/>
        <w:ind w:left="822" w:right="117" w:hanging="360"/>
        <w:jc w:val="left"/>
        <w:rPr>
          <w:sz w:val="24"/>
        </w:rPr>
      </w:pPr>
      <w:r>
        <w:rPr>
          <w:sz w:val="24"/>
        </w:rPr>
        <w:t>Asociación: Definido como uno o dos defectos no debidos al azar o a un síndrome</w:t>
      </w:r>
      <w:r>
        <w:rPr>
          <w:spacing w:val="-2"/>
          <w:sz w:val="24"/>
        </w:rPr>
        <w:t> </w:t>
      </w:r>
      <w:r>
        <w:rPr>
          <w:sz w:val="24"/>
        </w:rPr>
        <w:t>(2,3)</w:t>
      </w:r>
    </w:p>
    <w:p>
      <w:pPr>
        <w:spacing w:after="0" w:line="360" w:lineRule="auto"/>
        <w:jc w:val="left"/>
        <w:rPr>
          <w:sz w:val="24"/>
        </w:rPr>
        <w:sectPr>
          <w:pgSz w:w="12240" w:h="15840"/>
          <w:pgMar w:top="800" w:bottom="28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9"/>
        </w:rPr>
      </w:pPr>
    </w:p>
    <w:p>
      <w:pPr>
        <w:pStyle w:val="Heading1"/>
        <w:spacing w:before="70"/>
        <w:ind w:left="1517" w:right="1536"/>
        <w:jc w:val="center"/>
      </w:pPr>
      <w:r>
        <w:rPr/>
        <w:t>MARCO TEÓRICO</w:t>
      </w:r>
    </w:p>
    <w:p>
      <w:pPr>
        <w:pStyle w:val="BodyText"/>
        <w:rPr>
          <w:b/>
        </w:rPr>
      </w:pPr>
    </w:p>
    <w:p>
      <w:pPr>
        <w:pStyle w:val="BodyText"/>
        <w:rPr>
          <w:b/>
        </w:rPr>
      </w:pPr>
    </w:p>
    <w:p>
      <w:pPr>
        <w:pStyle w:val="BodyText"/>
        <w:spacing w:line="360" w:lineRule="auto"/>
        <w:ind w:left="102" w:right="124"/>
        <w:jc w:val="both"/>
      </w:pPr>
      <w:r>
        <w:rPr/>
        <w:t>Las</w:t>
      </w:r>
      <w:r>
        <w:rPr>
          <w:spacing w:val="-17"/>
        </w:rPr>
        <w:t> </w:t>
      </w:r>
      <w:r>
        <w:rPr/>
        <w:t>malformaciones</w:t>
      </w:r>
      <w:r>
        <w:rPr>
          <w:spacing w:val="-17"/>
        </w:rPr>
        <w:t> </w:t>
      </w:r>
      <w:r>
        <w:rPr/>
        <w:t>congénitas,</w:t>
      </w:r>
      <w:r>
        <w:rPr>
          <w:spacing w:val="-19"/>
        </w:rPr>
        <w:t> </w:t>
      </w:r>
      <w:r>
        <w:rPr/>
        <w:t>ocupan</w:t>
      </w:r>
      <w:r>
        <w:rPr>
          <w:spacing w:val="-17"/>
        </w:rPr>
        <w:t> </w:t>
      </w:r>
      <w:r>
        <w:rPr/>
        <w:t>el</w:t>
      </w:r>
      <w:r>
        <w:rPr>
          <w:spacing w:val="-20"/>
        </w:rPr>
        <w:t> </w:t>
      </w:r>
      <w:r>
        <w:rPr/>
        <w:t>primer</w:t>
      </w:r>
      <w:r>
        <w:rPr>
          <w:spacing w:val="-18"/>
        </w:rPr>
        <w:t> </w:t>
      </w:r>
      <w:r>
        <w:rPr/>
        <w:t>lugar</w:t>
      </w:r>
      <w:r>
        <w:rPr>
          <w:spacing w:val="-18"/>
        </w:rPr>
        <w:t> </w:t>
      </w:r>
      <w:r>
        <w:rPr/>
        <w:t>las</w:t>
      </w:r>
      <w:r>
        <w:rPr>
          <w:spacing w:val="-17"/>
        </w:rPr>
        <w:t> </w:t>
      </w:r>
      <w:r>
        <w:rPr/>
        <w:t>cardiovasculares</w:t>
      </w:r>
      <w:r>
        <w:rPr>
          <w:spacing w:val="-17"/>
        </w:rPr>
        <w:t> </w:t>
      </w:r>
      <w:r>
        <w:rPr/>
        <w:t>y</w:t>
      </w:r>
      <w:r>
        <w:rPr>
          <w:spacing w:val="-20"/>
        </w:rPr>
        <w:t> </w:t>
      </w:r>
      <w:r>
        <w:rPr/>
        <w:t>luego le siguen las que tienen su origen en el aparato digestivo. Aproximadamente 0.9% de todos los neonatos presentan una anomalía en el conducto</w:t>
      </w:r>
      <w:r>
        <w:rPr>
          <w:spacing w:val="-32"/>
        </w:rPr>
        <w:t> </w:t>
      </w:r>
      <w:r>
        <w:rPr/>
        <w:t>digestivo.</w:t>
      </w:r>
    </w:p>
    <w:p>
      <w:pPr>
        <w:pStyle w:val="BodyText"/>
      </w:pPr>
    </w:p>
    <w:p>
      <w:pPr>
        <w:pStyle w:val="BodyText"/>
        <w:spacing w:line="360" w:lineRule="auto" w:before="142"/>
        <w:ind w:left="102" w:right="118"/>
        <w:jc w:val="both"/>
      </w:pPr>
      <w:r>
        <w:rPr/>
        <w:t>La OMS calcula que en el año 2004 aproximadamente 260,000 fallecimientos en</w:t>
      </w:r>
      <w:r>
        <w:rPr>
          <w:spacing w:val="-34"/>
        </w:rPr>
        <w:t> </w:t>
      </w:r>
      <w:r>
        <w:rPr/>
        <w:t>el mundo fueron causados por anomalías congénitas (alrededor de un 7 % de todas las muertes de recién nacidos)</w:t>
      </w:r>
      <w:r>
        <w:rPr>
          <w:spacing w:val="-11"/>
        </w:rPr>
        <w:t> </w:t>
      </w:r>
      <w:r>
        <w:rPr/>
        <w:t>(4,5)</w:t>
      </w:r>
    </w:p>
    <w:p>
      <w:pPr>
        <w:pStyle w:val="BodyText"/>
      </w:pPr>
    </w:p>
    <w:p>
      <w:pPr>
        <w:pStyle w:val="BodyText"/>
        <w:spacing w:line="360" w:lineRule="auto" w:before="142"/>
        <w:ind w:left="102" w:right="118"/>
        <w:jc w:val="both"/>
      </w:pPr>
      <w:r>
        <w:rPr/>
        <w:t>Estudios realizados en México como el de Flores Nava y colaboradores o el de Navarrete Hernández coinciden en la frecuencia de malformaciones congénitas entre 0.95 a 0.99% de los recién nacidos vivos, con mayor prevalencia en las malformaciones</w:t>
      </w:r>
      <w:r>
        <w:rPr>
          <w:spacing w:val="-17"/>
        </w:rPr>
        <w:t> </w:t>
      </w:r>
      <w:r>
        <w:rPr/>
        <w:t>de</w:t>
      </w:r>
      <w:r>
        <w:rPr>
          <w:spacing w:val="-16"/>
        </w:rPr>
        <w:t> </w:t>
      </w:r>
      <w:r>
        <w:rPr/>
        <w:t>tubo</w:t>
      </w:r>
      <w:r>
        <w:rPr>
          <w:spacing w:val="-14"/>
        </w:rPr>
        <w:t> </w:t>
      </w:r>
      <w:r>
        <w:rPr/>
        <w:t>neural</w:t>
      </w:r>
      <w:r>
        <w:rPr>
          <w:spacing w:val="-18"/>
        </w:rPr>
        <w:t> </w:t>
      </w:r>
      <w:r>
        <w:rPr/>
        <w:t>entre</w:t>
      </w:r>
      <w:r>
        <w:rPr>
          <w:spacing w:val="-14"/>
        </w:rPr>
        <w:t> </w:t>
      </w:r>
      <w:r>
        <w:rPr/>
        <w:t>38.9%</w:t>
      </w:r>
      <w:r>
        <w:rPr>
          <w:spacing w:val="-15"/>
        </w:rPr>
        <w:t> </w:t>
      </w:r>
      <w:r>
        <w:rPr/>
        <w:t>al</w:t>
      </w:r>
      <w:r>
        <w:rPr>
          <w:spacing w:val="-18"/>
        </w:rPr>
        <w:t> </w:t>
      </w:r>
      <w:r>
        <w:rPr/>
        <w:t>57.8%,</w:t>
      </w:r>
      <w:r>
        <w:rPr>
          <w:spacing w:val="-17"/>
        </w:rPr>
        <w:t> </w:t>
      </w:r>
      <w:r>
        <w:rPr/>
        <w:t>seguidas</w:t>
      </w:r>
      <w:r>
        <w:rPr>
          <w:spacing w:val="-17"/>
        </w:rPr>
        <w:t> </w:t>
      </w:r>
      <w:r>
        <w:rPr/>
        <w:t>de</w:t>
      </w:r>
      <w:r>
        <w:rPr>
          <w:spacing w:val="-17"/>
        </w:rPr>
        <w:t> </w:t>
      </w:r>
      <w:r>
        <w:rPr/>
        <w:t>aparato</w:t>
      </w:r>
      <w:r>
        <w:rPr>
          <w:spacing w:val="-16"/>
        </w:rPr>
        <w:t> </w:t>
      </w:r>
      <w:r>
        <w:rPr/>
        <w:t>digestivo entre el 14 y 15.9%.</w:t>
      </w:r>
      <w:r>
        <w:rPr>
          <w:spacing w:val="-9"/>
        </w:rPr>
        <w:t> </w:t>
      </w:r>
      <w:r>
        <w:rPr/>
        <w:t>(3)</w:t>
      </w:r>
    </w:p>
    <w:p>
      <w:pPr>
        <w:pStyle w:val="BodyText"/>
      </w:pPr>
    </w:p>
    <w:p>
      <w:pPr>
        <w:pStyle w:val="BodyText"/>
        <w:spacing w:line="360" w:lineRule="auto" w:before="142"/>
        <w:ind w:left="102" w:right="115"/>
        <w:jc w:val="both"/>
      </w:pPr>
      <w:r>
        <w:rPr/>
        <w:t>Según</w:t>
      </w:r>
      <w:r>
        <w:rPr>
          <w:spacing w:val="-17"/>
        </w:rPr>
        <w:t> </w:t>
      </w:r>
      <w:r>
        <w:rPr/>
        <w:t>datos</w:t>
      </w:r>
      <w:r>
        <w:rPr>
          <w:spacing w:val="-17"/>
        </w:rPr>
        <w:t> </w:t>
      </w:r>
      <w:r>
        <w:rPr/>
        <w:t>del</w:t>
      </w:r>
      <w:r>
        <w:rPr>
          <w:spacing w:val="-18"/>
        </w:rPr>
        <w:t> </w:t>
      </w:r>
      <w:r>
        <w:rPr/>
        <w:t>Instituto</w:t>
      </w:r>
      <w:r>
        <w:rPr>
          <w:spacing w:val="-14"/>
        </w:rPr>
        <w:t> </w:t>
      </w:r>
      <w:r>
        <w:rPr/>
        <w:t>Nacional</w:t>
      </w:r>
      <w:r>
        <w:rPr>
          <w:spacing w:val="-18"/>
        </w:rPr>
        <w:t> </w:t>
      </w:r>
      <w:r>
        <w:rPr/>
        <w:t>de</w:t>
      </w:r>
      <w:r>
        <w:rPr>
          <w:spacing w:val="-16"/>
        </w:rPr>
        <w:t> </w:t>
      </w:r>
      <w:r>
        <w:rPr/>
        <w:t>Estadística</w:t>
      </w:r>
      <w:r>
        <w:rPr>
          <w:spacing w:val="-14"/>
        </w:rPr>
        <w:t> </w:t>
      </w:r>
      <w:r>
        <w:rPr/>
        <w:t>y</w:t>
      </w:r>
      <w:r>
        <w:rPr>
          <w:spacing w:val="-17"/>
        </w:rPr>
        <w:t> </w:t>
      </w:r>
      <w:r>
        <w:rPr/>
        <w:t>Geografía</w:t>
      </w:r>
      <w:r>
        <w:rPr>
          <w:spacing w:val="-14"/>
        </w:rPr>
        <w:t> </w:t>
      </w:r>
      <w:r>
        <w:rPr/>
        <w:t>en</w:t>
      </w:r>
      <w:r>
        <w:rPr>
          <w:spacing w:val="-14"/>
        </w:rPr>
        <w:t> </w:t>
      </w:r>
      <w:r>
        <w:rPr/>
        <w:t>los</w:t>
      </w:r>
      <w:r>
        <w:rPr>
          <w:spacing w:val="-17"/>
        </w:rPr>
        <w:t> </w:t>
      </w:r>
      <w:r>
        <w:rPr/>
        <w:t>Estados</w:t>
      </w:r>
      <w:r>
        <w:rPr>
          <w:spacing w:val="-7"/>
        </w:rPr>
        <w:t> </w:t>
      </w:r>
      <w:r>
        <w:rPr/>
        <w:t>Unidos Mexicanos en el año 2015 se registraron un total de</w:t>
      </w:r>
      <w:r>
        <w:rPr>
          <w:spacing w:val="-46"/>
        </w:rPr>
        <w:t> </w:t>
      </w:r>
      <w:r>
        <w:rPr/>
        <w:t>655,694 muertes de las cuales 26,058</w:t>
      </w:r>
      <w:r>
        <w:rPr>
          <w:spacing w:val="-15"/>
        </w:rPr>
        <w:t> </w:t>
      </w:r>
      <w:r>
        <w:rPr/>
        <w:t>correspondieron</w:t>
      </w:r>
      <w:r>
        <w:rPr>
          <w:spacing w:val="-16"/>
        </w:rPr>
        <w:t> </w:t>
      </w:r>
      <w:r>
        <w:rPr/>
        <w:t>a</w:t>
      </w:r>
      <w:r>
        <w:rPr>
          <w:spacing w:val="-18"/>
        </w:rPr>
        <w:t> </w:t>
      </w:r>
      <w:r>
        <w:rPr/>
        <w:t>menores</w:t>
      </w:r>
      <w:r>
        <w:rPr>
          <w:spacing w:val="-15"/>
        </w:rPr>
        <w:t> </w:t>
      </w:r>
      <w:r>
        <w:rPr/>
        <w:t>de</w:t>
      </w:r>
      <w:r>
        <w:rPr>
          <w:spacing w:val="-16"/>
        </w:rPr>
        <w:t> </w:t>
      </w:r>
      <w:r>
        <w:rPr/>
        <w:t>un</w:t>
      </w:r>
      <w:r>
        <w:rPr>
          <w:spacing w:val="-18"/>
        </w:rPr>
        <w:t> </w:t>
      </w:r>
      <w:r>
        <w:rPr/>
        <w:t>año</w:t>
      </w:r>
      <w:r>
        <w:rPr>
          <w:spacing w:val="-18"/>
        </w:rPr>
        <w:t> </w:t>
      </w:r>
      <w:r>
        <w:rPr/>
        <w:t>y</w:t>
      </w:r>
      <w:r>
        <w:rPr>
          <w:spacing w:val="-19"/>
        </w:rPr>
        <w:t> </w:t>
      </w:r>
      <w:r>
        <w:rPr/>
        <w:t>6,529</w:t>
      </w:r>
      <w:r>
        <w:rPr>
          <w:spacing w:val="-16"/>
        </w:rPr>
        <w:t> </w:t>
      </w:r>
      <w:r>
        <w:rPr/>
        <w:t>se</w:t>
      </w:r>
      <w:r>
        <w:rPr>
          <w:spacing w:val="-18"/>
        </w:rPr>
        <w:t> </w:t>
      </w:r>
      <w:r>
        <w:rPr/>
        <w:t>debieron</w:t>
      </w:r>
      <w:r>
        <w:rPr>
          <w:spacing w:val="-15"/>
        </w:rPr>
        <w:t> </w:t>
      </w:r>
      <w:r>
        <w:rPr/>
        <w:t>a</w:t>
      </w:r>
      <w:r>
        <w:rPr>
          <w:spacing w:val="-18"/>
        </w:rPr>
        <w:t> </w:t>
      </w:r>
      <w:r>
        <w:rPr/>
        <w:t>malformaciones congénitas, deformidades y anomalías</w:t>
      </w:r>
      <w:r>
        <w:rPr>
          <w:spacing w:val="-15"/>
        </w:rPr>
        <w:t> </w:t>
      </w:r>
      <w:r>
        <w:rPr/>
        <w:t>cromosómicas.</w:t>
      </w:r>
    </w:p>
    <w:p>
      <w:pPr>
        <w:pStyle w:val="BodyText"/>
      </w:pPr>
    </w:p>
    <w:p>
      <w:pPr>
        <w:pStyle w:val="BodyText"/>
        <w:spacing w:line="360" w:lineRule="auto" w:before="142"/>
        <w:ind w:left="102" w:right="119"/>
        <w:jc w:val="both"/>
      </w:pPr>
      <w:r>
        <w:rPr/>
        <w:t>En el Estado de México en el año 2015 se registraron un total de 77,813 muertes, de</w:t>
      </w:r>
      <w:r>
        <w:rPr>
          <w:spacing w:val="-8"/>
        </w:rPr>
        <w:t> </w:t>
      </w:r>
      <w:r>
        <w:rPr/>
        <w:t>las</w:t>
      </w:r>
      <w:r>
        <w:rPr>
          <w:spacing w:val="-9"/>
        </w:rPr>
        <w:t> </w:t>
      </w:r>
      <w:r>
        <w:rPr/>
        <w:t>cuales</w:t>
      </w:r>
      <w:r>
        <w:rPr>
          <w:spacing w:val="-11"/>
        </w:rPr>
        <w:t> </w:t>
      </w:r>
      <w:r>
        <w:rPr/>
        <w:t>3,862</w:t>
      </w:r>
      <w:r>
        <w:rPr>
          <w:spacing w:val="-8"/>
        </w:rPr>
        <w:t> </w:t>
      </w:r>
      <w:r>
        <w:rPr/>
        <w:t>corresponden</w:t>
      </w:r>
      <w:r>
        <w:rPr>
          <w:spacing w:val="-11"/>
        </w:rPr>
        <w:t> </w:t>
      </w:r>
      <w:r>
        <w:rPr/>
        <w:t>a</w:t>
      </w:r>
      <w:r>
        <w:rPr>
          <w:spacing w:val="-8"/>
        </w:rPr>
        <w:t> </w:t>
      </w:r>
      <w:r>
        <w:rPr/>
        <w:t>menores</w:t>
      </w:r>
      <w:r>
        <w:rPr>
          <w:spacing w:val="-11"/>
        </w:rPr>
        <w:t> </w:t>
      </w:r>
      <w:r>
        <w:rPr/>
        <w:t>de</w:t>
      </w:r>
      <w:r>
        <w:rPr>
          <w:spacing w:val="-8"/>
        </w:rPr>
        <w:t> </w:t>
      </w:r>
      <w:r>
        <w:rPr/>
        <w:t>un</w:t>
      </w:r>
      <w:r>
        <w:rPr>
          <w:spacing w:val="-8"/>
        </w:rPr>
        <w:t> </w:t>
      </w:r>
      <w:r>
        <w:rPr/>
        <w:t>año;</w:t>
      </w:r>
      <w:r>
        <w:rPr>
          <w:spacing w:val="-9"/>
        </w:rPr>
        <w:t> </w:t>
      </w:r>
      <w:r>
        <w:rPr/>
        <w:t>siendo</w:t>
      </w:r>
      <w:r>
        <w:rPr>
          <w:spacing w:val="-8"/>
        </w:rPr>
        <w:t> </w:t>
      </w:r>
      <w:r>
        <w:rPr/>
        <w:t>las</w:t>
      </w:r>
      <w:r>
        <w:rPr>
          <w:spacing w:val="-9"/>
        </w:rPr>
        <w:t> </w:t>
      </w:r>
      <w:r>
        <w:rPr/>
        <w:t>malformaciones congénitas, deformidades y anomalías la segunda causa de muerte con un total</w:t>
      </w:r>
      <w:r>
        <w:rPr>
          <w:spacing w:val="-37"/>
        </w:rPr>
        <w:t> </w:t>
      </w:r>
      <w:r>
        <w:rPr/>
        <w:t>de 958.</w:t>
      </w:r>
      <w:r>
        <w:rPr>
          <w:spacing w:val="-2"/>
        </w:rPr>
        <w:t> </w:t>
      </w:r>
      <w:r>
        <w:rPr/>
        <w:t>(6)</w:t>
      </w:r>
    </w:p>
    <w:p>
      <w:pPr>
        <w:spacing w:after="0" w:line="360" w:lineRule="auto"/>
        <w:jc w:val="both"/>
        <w:sectPr>
          <w:pgSz w:w="12240" w:h="15840"/>
          <w:pgMar w:top="1500" w:bottom="280" w:left="1600" w:right="1580"/>
        </w:sectPr>
      </w:pPr>
    </w:p>
    <w:p>
      <w:pPr>
        <w:pStyle w:val="BodyText"/>
        <w:spacing w:line="360" w:lineRule="auto" w:before="50"/>
        <w:ind w:left="102" w:right="118"/>
        <w:jc w:val="both"/>
      </w:pPr>
      <w:r>
        <w:rPr/>
        <w:t>En un estudio que se realizó a nivel nacional en la Ciudad de México en el periodo de 2009 a 2010 se encontró una tasa de prevalencia para malformaciones gastrointestinales de 4.8 por cada 10,000 nacimientos (7). Sin embargo no se</w:t>
      </w:r>
    </w:p>
    <w:p>
      <w:pPr>
        <w:pStyle w:val="BodyText"/>
      </w:pPr>
    </w:p>
    <w:p>
      <w:pPr>
        <w:pStyle w:val="BodyText"/>
      </w:pPr>
    </w:p>
    <w:p>
      <w:pPr>
        <w:pStyle w:val="BodyText"/>
      </w:pPr>
    </w:p>
    <w:p>
      <w:pPr>
        <w:pStyle w:val="BodyText"/>
      </w:pPr>
    </w:p>
    <w:p>
      <w:pPr>
        <w:pStyle w:val="BodyText"/>
      </w:pPr>
    </w:p>
    <w:p>
      <w:pPr>
        <w:pStyle w:val="BodyText"/>
        <w:spacing w:before="2"/>
      </w:pPr>
    </w:p>
    <w:p>
      <w:pPr>
        <w:pStyle w:val="BodyText"/>
        <w:spacing w:line="360" w:lineRule="auto" w:before="1"/>
        <w:ind w:left="102" w:right="126"/>
        <w:jc w:val="both"/>
      </w:pPr>
      <w:r>
        <w:rPr/>
        <w:t>cuenta con una estadística regional por cada entidad federativa para malformaciones gastrointestinales.</w:t>
      </w:r>
    </w:p>
    <w:p>
      <w:pPr>
        <w:pStyle w:val="BodyText"/>
      </w:pPr>
    </w:p>
    <w:p>
      <w:pPr>
        <w:pStyle w:val="BodyText"/>
        <w:spacing w:line="360" w:lineRule="auto" w:before="142"/>
        <w:ind w:left="102" w:right="116"/>
        <w:jc w:val="both"/>
      </w:pPr>
      <w:r>
        <w:rPr/>
        <w:t>Dentro de las malformaciones congénitas de tubo digestivo que se abordaron en este estudio, podemos encontrar atresia esofágica, malrotación intestinal, atresia intestinal y  malformación anorrectal.</w:t>
      </w:r>
    </w:p>
    <w:p>
      <w:pPr>
        <w:pStyle w:val="BodyText"/>
      </w:pPr>
    </w:p>
    <w:p>
      <w:pPr>
        <w:pStyle w:val="BodyText"/>
        <w:spacing w:before="142"/>
        <w:ind w:left="102"/>
        <w:jc w:val="both"/>
      </w:pPr>
      <w:r>
        <w:rPr>
          <w:u w:val="single"/>
        </w:rPr>
        <w:t>ATRESIA ESOFÁGICA</w:t>
      </w:r>
    </w:p>
    <w:p>
      <w:pPr>
        <w:pStyle w:val="BodyText"/>
        <w:spacing w:line="360" w:lineRule="auto" w:before="139"/>
        <w:ind w:left="102" w:right="119"/>
        <w:jc w:val="both"/>
      </w:pPr>
      <w:r>
        <w:rPr/>
        <w:t>La atresia esofágica, con o sin fístula traqueoesofágica es una rara anomalía anatómica, con una prevalencia de 2.55 por 10,000 embarazos en Europa. (7)</w:t>
      </w:r>
    </w:p>
    <w:p>
      <w:pPr>
        <w:pStyle w:val="BodyText"/>
      </w:pPr>
    </w:p>
    <w:p>
      <w:pPr>
        <w:pStyle w:val="BodyText"/>
        <w:spacing w:line="362" w:lineRule="auto" w:before="142"/>
        <w:ind w:left="102" w:right="127"/>
        <w:jc w:val="both"/>
      </w:pPr>
      <w:r>
        <w:rPr/>
        <w:t>La incidencia reportada según diferentes revisiones va de 1 en 2500 a 1 en 4500 recién nacidos vivos (8)</w:t>
      </w:r>
    </w:p>
    <w:p>
      <w:pPr>
        <w:pStyle w:val="BodyText"/>
      </w:pPr>
    </w:p>
    <w:p>
      <w:pPr>
        <w:pStyle w:val="BodyText"/>
        <w:spacing w:line="360" w:lineRule="auto" w:before="139"/>
        <w:ind w:left="102" w:right="120"/>
        <w:jc w:val="both"/>
      </w:pPr>
      <w:r>
        <w:rPr/>
        <w:t>En estudios realizados en Latinoamérica, se ha demostrado mayor prevalencia de atresia esofágica  con predominio de pacientes de género masculino (9,10).</w:t>
      </w:r>
    </w:p>
    <w:p>
      <w:pPr>
        <w:pStyle w:val="BodyText"/>
      </w:pPr>
    </w:p>
    <w:p>
      <w:pPr>
        <w:pStyle w:val="BodyText"/>
        <w:spacing w:line="360" w:lineRule="auto" w:before="142"/>
        <w:ind w:left="102" w:right="116"/>
        <w:jc w:val="both"/>
      </w:pPr>
      <w:r>
        <w:rPr/>
        <w:t>La etiología sigue siendo desconocida, pero se asocia a factores ambientales y genéticos. La variante más frecuentemente reportada es la Tipo III (atresia esofágica</w:t>
      </w:r>
      <w:r>
        <w:rPr>
          <w:spacing w:val="-11"/>
        </w:rPr>
        <w:t> </w:t>
      </w:r>
      <w:r>
        <w:rPr/>
        <w:t>con</w:t>
      </w:r>
      <w:r>
        <w:rPr>
          <w:spacing w:val="-13"/>
        </w:rPr>
        <w:t> </w:t>
      </w:r>
      <w:r>
        <w:rPr/>
        <w:t>fistula</w:t>
      </w:r>
      <w:r>
        <w:rPr>
          <w:spacing w:val="-11"/>
        </w:rPr>
        <w:t> </w:t>
      </w:r>
      <w:r>
        <w:rPr/>
        <w:t>traqueoesofágica</w:t>
      </w:r>
      <w:r>
        <w:rPr>
          <w:spacing w:val="-11"/>
        </w:rPr>
        <w:t> </w:t>
      </w:r>
      <w:r>
        <w:rPr/>
        <w:t>distal),</w:t>
      </w:r>
      <w:r>
        <w:rPr>
          <w:spacing w:val="-11"/>
        </w:rPr>
        <w:t> </w:t>
      </w:r>
      <w:r>
        <w:rPr/>
        <w:t>con</w:t>
      </w:r>
      <w:r>
        <w:rPr>
          <w:spacing w:val="-11"/>
        </w:rPr>
        <w:t> </w:t>
      </w:r>
      <w:r>
        <w:rPr/>
        <w:t>un</w:t>
      </w:r>
      <w:r>
        <w:rPr>
          <w:spacing w:val="-11"/>
        </w:rPr>
        <w:t> </w:t>
      </w:r>
      <w:r>
        <w:rPr/>
        <w:t>porcentaje</w:t>
      </w:r>
      <w:r>
        <w:rPr>
          <w:spacing w:val="-13"/>
        </w:rPr>
        <w:t> </w:t>
      </w:r>
      <w:r>
        <w:rPr/>
        <w:t>de</w:t>
      </w:r>
      <w:r>
        <w:rPr>
          <w:spacing w:val="-13"/>
        </w:rPr>
        <w:t> </w:t>
      </w:r>
      <w:r>
        <w:rPr/>
        <w:t>79</w:t>
      </w:r>
      <w:r>
        <w:rPr>
          <w:spacing w:val="-11"/>
        </w:rPr>
        <w:t> </w:t>
      </w:r>
      <w:r>
        <w:rPr/>
        <w:t>a</w:t>
      </w:r>
      <w:r>
        <w:rPr>
          <w:spacing w:val="-11"/>
        </w:rPr>
        <w:t> </w:t>
      </w:r>
      <w:r>
        <w:rPr/>
        <w:t>90%</w:t>
      </w:r>
      <w:r>
        <w:rPr>
          <w:spacing w:val="-11"/>
        </w:rPr>
        <w:t> </w:t>
      </w:r>
      <w:r>
        <w:rPr/>
        <w:t>de</w:t>
      </w:r>
      <w:r>
        <w:rPr>
          <w:spacing w:val="-11"/>
        </w:rPr>
        <w:t> </w:t>
      </w:r>
      <w:r>
        <w:rPr/>
        <w:t>los casos. (11,</w:t>
      </w:r>
      <w:r>
        <w:rPr>
          <w:spacing w:val="-6"/>
        </w:rPr>
        <w:t> </w:t>
      </w:r>
      <w:r>
        <w:rPr/>
        <w:t>12)</w:t>
      </w:r>
    </w:p>
    <w:p>
      <w:pPr>
        <w:pStyle w:val="BodyText"/>
      </w:pPr>
    </w:p>
    <w:p>
      <w:pPr>
        <w:pStyle w:val="BodyText"/>
        <w:spacing w:line="360" w:lineRule="auto" w:before="142"/>
        <w:ind w:left="102" w:right="117"/>
        <w:jc w:val="both"/>
      </w:pPr>
      <w:r>
        <w:rPr/>
        <w:t>Se puede presentar con múltiples variedades. Según la clasificación de Vogt (modificada</w:t>
      </w:r>
      <w:r>
        <w:rPr>
          <w:spacing w:val="-14"/>
        </w:rPr>
        <w:t> </w:t>
      </w:r>
      <w:r>
        <w:rPr/>
        <w:t>por</w:t>
      </w:r>
      <w:r>
        <w:rPr>
          <w:spacing w:val="-17"/>
        </w:rPr>
        <w:t> </w:t>
      </w:r>
      <w:r>
        <w:rPr/>
        <w:t>Ladd),</w:t>
      </w:r>
      <w:r>
        <w:rPr>
          <w:spacing w:val="34"/>
        </w:rPr>
        <w:t> </w:t>
      </w:r>
      <w:r>
        <w:rPr/>
        <w:t>se</w:t>
      </w:r>
      <w:r>
        <w:rPr>
          <w:spacing w:val="-16"/>
        </w:rPr>
        <w:t> </w:t>
      </w:r>
      <w:r>
        <w:rPr/>
        <w:t>encuentran</w:t>
      </w:r>
      <w:r>
        <w:rPr>
          <w:spacing w:val="-15"/>
        </w:rPr>
        <w:t> </w:t>
      </w:r>
      <w:r>
        <w:rPr/>
        <w:t>6</w:t>
      </w:r>
      <w:r>
        <w:rPr>
          <w:spacing w:val="-16"/>
        </w:rPr>
        <w:t> </w:t>
      </w:r>
      <w:r>
        <w:rPr/>
        <w:t>diferentes</w:t>
      </w:r>
      <w:r>
        <w:rPr>
          <w:spacing w:val="-16"/>
        </w:rPr>
        <w:t> </w:t>
      </w:r>
      <w:r>
        <w:rPr/>
        <w:t>presentaciones</w:t>
      </w:r>
      <w:r>
        <w:rPr>
          <w:spacing w:val="-11"/>
        </w:rPr>
        <w:t> </w:t>
      </w:r>
      <w:r>
        <w:rPr/>
        <w:t>como</w:t>
      </w:r>
      <w:r>
        <w:rPr>
          <w:spacing w:val="-15"/>
        </w:rPr>
        <w:t> </w:t>
      </w:r>
      <w:r>
        <w:rPr/>
        <w:t>se</w:t>
      </w:r>
      <w:r>
        <w:rPr>
          <w:spacing w:val="-15"/>
        </w:rPr>
        <w:t> </w:t>
      </w:r>
      <w:r>
        <w:rPr/>
        <w:t>muestra en la Tabla 1. (13,</w:t>
      </w:r>
      <w:r>
        <w:rPr>
          <w:spacing w:val="-10"/>
        </w:rPr>
        <w:t> </w:t>
      </w:r>
      <w:r>
        <w:rPr/>
        <w:t>14)</w:t>
      </w:r>
    </w:p>
    <w:p>
      <w:pPr>
        <w:spacing w:after="0" w:line="360" w:lineRule="auto"/>
        <w:jc w:val="both"/>
        <w:sectPr>
          <w:pgSz w:w="12240" w:h="15840"/>
          <w:pgMar w:top="800" w:bottom="28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9"/>
        </w:rPr>
      </w:pPr>
    </w:p>
    <w:p>
      <w:pPr>
        <w:pStyle w:val="BodyText"/>
        <w:spacing w:before="70"/>
        <w:ind w:left="102"/>
        <w:jc w:val="both"/>
      </w:pPr>
      <w:r>
        <w:rPr/>
        <w:drawing>
          <wp:anchor distT="0" distB="0" distL="0" distR="0" allowOverlap="1" layoutInCell="1" locked="0" behindDoc="0" simplePos="0" relativeHeight="0">
            <wp:simplePos x="0" y="0"/>
            <wp:positionH relativeFrom="page">
              <wp:posOffset>1080516</wp:posOffset>
            </wp:positionH>
            <wp:positionV relativeFrom="paragraph">
              <wp:posOffset>307541</wp:posOffset>
            </wp:positionV>
            <wp:extent cx="5562280" cy="1447800"/>
            <wp:effectExtent l="0" t="0" r="0" b="0"/>
            <wp:wrapTopAndBottom/>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5562280" cy="1447800"/>
                    </a:xfrm>
                    <a:prstGeom prst="rect">
                      <a:avLst/>
                    </a:prstGeom>
                  </pic:spPr>
                </pic:pic>
              </a:graphicData>
            </a:graphic>
          </wp:anchor>
        </w:drawing>
      </w:r>
      <w:r>
        <w:rPr/>
        <w:t>Tabla 1. Tipos de atresia esofágica. (14)</w:t>
      </w:r>
    </w:p>
    <w:p>
      <w:pPr>
        <w:spacing w:line="360" w:lineRule="auto" w:before="119"/>
        <w:ind w:left="102" w:right="123" w:firstLine="0"/>
        <w:jc w:val="both"/>
        <w:rPr>
          <w:sz w:val="16"/>
        </w:rPr>
      </w:pPr>
      <w:r>
        <w:rPr>
          <w:sz w:val="16"/>
        </w:rPr>
        <w:t>Fuente: H. García, M.F. Gutiérrez. Manejo multidisciplinario de los pacientes con atresia de esófago. Bol Med Infant Mex 2011;68(6):467-475</w:t>
      </w:r>
    </w:p>
    <w:p>
      <w:pPr>
        <w:pStyle w:val="BodyText"/>
        <w:rPr>
          <w:sz w:val="16"/>
        </w:rPr>
      </w:pPr>
    </w:p>
    <w:p>
      <w:pPr>
        <w:pStyle w:val="BodyText"/>
        <w:rPr>
          <w:sz w:val="16"/>
        </w:rPr>
      </w:pPr>
    </w:p>
    <w:p>
      <w:pPr>
        <w:pStyle w:val="BodyText"/>
        <w:rPr>
          <w:sz w:val="16"/>
        </w:rPr>
      </w:pPr>
    </w:p>
    <w:p>
      <w:pPr>
        <w:pStyle w:val="BodyText"/>
        <w:rPr>
          <w:sz w:val="16"/>
        </w:rPr>
      </w:pPr>
    </w:p>
    <w:p>
      <w:pPr>
        <w:pStyle w:val="BodyText"/>
        <w:tabs>
          <w:tab w:pos="5834" w:val="left" w:leader="none"/>
        </w:tabs>
        <w:spacing w:line="360" w:lineRule="auto" w:before="94"/>
        <w:ind w:left="102" w:right="116"/>
        <w:jc w:val="both"/>
      </w:pPr>
      <w:r>
        <w:rPr/>
        <w:t>Los</w:t>
      </w:r>
      <w:r>
        <w:rPr>
          <w:spacing w:val="-7"/>
        </w:rPr>
        <w:t> </w:t>
      </w:r>
      <w:r>
        <w:rPr/>
        <w:t>avances</w:t>
      </w:r>
      <w:r>
        <w:rPr>
          <w:spacing w:val="-5"/>
        </w:rPr>
        <w:t> </w:t>
      </w:r>
      <w:r>
        <w:rPr/>
        <w:t>en</w:t>
      </w:r>
      <w:r>
        <w:rPr>
          <w:spacing w:val="-5"/>
        </w:rPr>
        <w:t> </w:t>
      </w:r>
      <w:r>
        <w:rPr/>
        <w:t>cirugía</w:t>
      </w:r>
      <w:r>
        <w:rPr>
          <w:spacing w:val="-5"/>
        </w:rPr>
        <w:t> </w:t>
      </w:r>
      <w:r>
        <w:rPr/>
        <w:t>y</w:t>
      </w:r>
      <w:r>
        <w:rPr>
          <w:spacing w:val="-7"/>
        </w:rPr>
        <w:t> </w:t>
      </w:r>
      <w:r>
        <w:rPr/>
        <w:t>cuidados</w:t>
      </w:r>
      <w:r>
        <w:rPr>
          <w:spacing w:val="-5"/>
        </w:rPr>
        <w:t> </w:t>
      </w:r>
      <w:r>
        <w:rPr/>
        <w:t>intensivos</w:t>
      </w:r>
      <w:r>
        <w:rPr>
          <w:spacing w:val="-5"/>
        </w:rPr>
        <w:t> </w:t>
      </w:r>
      <w:r>
        <w:rPr/>
        <w:t>específicos,</w:t>
      </w:r>
      <w:r>
        <w:rPr>
          <w:spacing w:val="-6"/>
        </w:rPr>
        <w:t> </w:t>
      </w:r>
      <w:r>
        <w:rPr/>
        <w:t>han</w:t>
      </w:r>
      <w:r>
        <w:rPr>
          <w:spacing w:val="-6"/>
        </w:rPr>
        <w:t> </w:t>
      </w:r>
      <w:r>
        <w:rPr/>
        <w:t>elevado</w:t>
      </w:r>
      <w:r>
        <w:rPr>
          <w:spacing w:val="-6"/>
        </w:rPr>
        <w:t> </w:t>
      </w:r>
      <w:r>
        <w:rPr/>
        <w:t>las</w:t>
      </w:r>
      <w:r>
        <w:rPr>
          <w:spacing w:val="-5"/>
        </w:rPr>
        <w:t> </w:t>
      </w:r>
      <w:r>
        <w:rPr/>
        <w:t>tasas</w:t>
      </w:r>
      <w:r>
        <w:rPr>
          <w:spacing w:val="-7"/>
        </w:rPr>
        <w:t> </w:t>
      </w:r>
      <w:r>
        <w:rPr/>
        <w:t>de sobrevivencia entre 93 a 95%, en los centros especializados. Posterior a la reparación quirúrgica muchos de los pacientes experimentan reflujo gastroesofágico, y quizá en adultez esofagitis, constricción anatómica o</w:t>
      </w:r>
      <w:r>
        <w:rPr>
          <w:spacing w:val="-31"/>
        </w:rPr>
        <w:t> </w:t>
      </w:r>
      <w:r>
        <w:rPr/>
        <w:t>metaplasia epitelial, así como</w:t>
      </w:r>
      <w:r>
        <w:rPr>
          <w:spacing w:val="-9"/>
        </w:rPr>
        <w:t> </w:t>
      </w:r>
      <w:r>
        <w:rPr/>
        <w:t>adenocarcinoma</w:t>
      </w:r>
      <w:r>
        <w:rPr>
          <w:spacing w:val="-4"/>
        </w:rPr>
        <w:t> </w:t>
      </w:r>
      <w:r>
        <w:rPr/>
        <w:t>esofágico.</w:t>
        <w:tab/>
        <w:t>(7, 8, 10,</w:t>
      </w:r>
      <w:r>
        <w:rPr>
          <w:spacing w:val="-2"/>
        </w:rPr>
        <w:t> </w:t>
      </w:r>
      <w:r>
        <w:rPr/>
        <w:t>12,14)</w:t>
      </w:r>
    </w:p>
    <w:p>
      <w:pPr>
        <w:pStyle w:val="BodyText"/>
      </w:pPr>
    </w:p>
    <w:p>
      <w:pPr>
        <w:pStyle w:val="BodyText"/>
      </w:pPr>
    </w:p>
    <w:p>
      <w:pPr>
        <w:pStyle w:val="BodyText"/>
        <w:spacing w:before="5"/>
      </w:pPr>
    </w:p>
    <w:p>
      <w:pPr>
        <w:pStyle w:val="BodyText"/>
        <w:ind w:left="102"/>
        <w:jc w:val="both"/>
      </w:pPr>
      <w:r>
        <w:rPr>
          <w:u w:val="single"/>
        </w:rPr>
        <w:t>ATRESIA INTESTINAL</w:t>
      </w:r>
    </w:p>
    <w:p>
      <w:pPr>
        <w:pStyle w:val="BodyText"/>
        <w:spacing w:line="360" w:lineRule="auto" w:before="137"/>
        <w:ind w:left="102" w:right="119"/>
        <w:jc w:val="both"/>
      </w:pPr>
      <w:r>
        <w:rPr/>
        <w:t>La</w:t>
      </w:r>
      <w:r>
        <w:rPr>
          <w:spacing w:val="-12"/>
        </w:rPr>
        <w:t> </w:t>
      </w:r>
      <w:r>
        <w:rPr/>
        <w:t>atresia</w:t>
      </w:r>
      <w:r>
        <w:rPr>
          <w:spacing w:val="-12"/>
        </w:rPr>
        <w:t> </w:t>
      </w:r>
      <w:r>
        <w:rPr/>
        <w:t>intestinal</w:t>
      </w:r>
      <w:r>
        <w:rPr>
          <w:spacing w:val="-15"/>
        </w:rPr>
        <w:t> </w:t>
      </w:r>
      <w:r>
        <w:rPr/>
        <w:t>es</w:t>
      </w:r>
      <w:r>
        <w:rPr>
          <w:spacing w:val="-15"/>
        </w:rPr>
        <w:t> </w:t>
      </w:r>
      <w:r>
        <w:rPr/>
        <w:t>un</w:t>
      </w:r>
      <w:r>
        <w:rPr>
          <w:spacing w:val="-12"/>
        </w:rPr>
        <w:t> </w:t>
      </w:r>
      <w:r>
        <w:rPr/>
        <w:t>defecto</w:t>
      </w:r>
      <w:r>
        <w:rPr>
          <w:spacing w:val="-11"/>
        </w:rPr>
        <w:t> </w:t>
      </w:r>
      <w:r>
        <w:rPr/>
        <w:t>de</w:t>
      </w:r>
      <w:r>
        <w:rPr>
          <w:spacing w:val="-12"/>
        </w:rPr>
        <w:t> </w:t>
      </w:r>
      <w:r>
        <w:rPr/>
        <w:t>continuidad</w:t>
      </w:r>
      <w:r>
        <w:rPr>
          <w:spacing w:val="-12"/>
        </w:rPr>
        <w:t> </w:t>
      </w:r>
      <w:r>
        <w:rPr/>
        <w:t>luminal</w:t>
      </w:r>
      <w:r>
        <w:rPr>
          <w:spacing w:val="-10"/>
        </w:rPr>
        <w:t> </w:t>
      </w:r>
      <w:r>
        <w:rPr/>
        <w:t>por</w:t>
      </w:r>
      <w:r>
        <w:rPr>
          <w:spacing w:val="-13"/>
        </w:rPr>
        <w:t> </w:t>
      </w:r>
      <w:r>
        <w:rPr/>
        <w:t>una</w:t>
      </w:r>
      <w:r>
        <w:rPr>
          <w:spacing w:val="-14"/>
        </w:rPr>
        <w:t> </w:t>
      </w:r>
      <w:r>
        <w:rPr/>
        <w:t>disrupción</w:t>
      </w:r>
      <w:r>
        <w:rPr>
          <w:spacing w:val="-14"/>
        </w:rPr>
        <w:t> </w:t>
      </w:r>
      <w:r>
        <w:rPr/>
        <w:t>durante el desarrollo, se presenta en el periodo neonatal con obstrucción intestinal, secundaria a una oclusión vascular que origina necrosis.</w:t>
      </w:r>
      <w:r>
        <w:rPr>
          <w:spacing w:val="-9"/>
        </w:rPr>
        <w:t> </w:t>
      </w:r>
      <w:r>
        <w:rPr/>
        <w:t>(15)</w:t>
      </w:r>
    </w:p>
    <w:p>
      <w:pPr>
        <w:pStyle w:val="BodyText"/>
      </w:pPr>
    </w:p>
    <w:p>
      <w:pPr>
        <w:pStyle w:val="BodyText"/>
        <w:spacing w:line="360" w:lineRule="auto" w:before="142"/>
        <w:ind w:left="102" w:right="115"/>
        <w:jc w:val="both"/>
      </w:pPr>
      <w:r>
        <w:rPr/>
        <w:t>La</w:t>
      </w:r>
      <w:r>
        <w:rPr>
          <w:spacing w:val="-16"/>
        </w:rPr>
        <w:t> </w:t>
      </w:r>
      <w:r>
        <w:rPr/>
        <w:t>atresia</w:t>
      </w:r>
      <w:r>
        <w:rPr>
          <w:spacing w:val="-16"/>
        </w:rPr>
        <w:t> </w:t>
      </w:r>
      <w:r>
        <w:rPr/>
        <w:t>intestinal</w:t>
      </w:r>
      <w:r>
        <w:rPr>
          <w:spacing w:val="-17"/>
        </w:rPr>
        <w:t> </w:t>
      </w:r>
      <w:r>
        <w:rPr/>
        <w:t>es</w:t>
      </w:r>
      <w:r>
        <w:rPr>
          <w:spacing w:val="-16"/>
        </w:rPr>
        <w:t> </w:t>
      </w:r>
      <w:r>
        <w:rPr/>
        <w:t>la</w:t>
      </w:r>
      <w:r>
        <w:rPr>
          <w:spacing w:val="-16"/>
        </w:rPr>
        <w:t> </w:t>
      </w:r>
      <w:r>
        <w:rPr/>
        <w:t>más</w:t>
      </w:r>
      <w:r>
        <w:rPr>
          <w:spacing w:val="-16"/>
        </w:rPr>
        <w:t> </w:t>
      </w:r>
      <w:r>
        <w:rPr/>
        <w:t>común</w:t>
      </w:r>
      <w:r>
        <w:rPr>
          <w:spacing w:val="-18"/>
        </w:rPr>
        <w:t> </w:t>
      </w:r>
      <w:r>
        <w:rPr/>
        <w:t>de</w:t>
      </w:r>
      <w:r>
        <w:rPr>
          <w:spacing w:val="-16"/>
        </w:rPr>
        <w:t> </w:t>
      </w:r>
      <w:r>
        <w:rPr/>
        <w:t>las</w:t>
      </w:r>
      <w:r>
        <w:rPr>
          <w:spacing w:val="-18"/>
        </w:rPr>
        <w:t> </w:t>
      </w:r>
      <w:r>
        <w:rPr/>
        <w:t>malformaciones</w:t>
      </w:r>
      <w:r>
        <w:rPr>
          <w:spacing w:val="-16"/>
        </w:rPr>
        <w:t> </w:t>
      </w:r>
      <w:r>
        <w:rPr/>
        <w:t>congénitas</w:t>
      </w:r>
      <w:r>
        <w:rPr>
          <w:spacing w:val="-16"/>
        </w:rPr>
        <w:t> </w:t>
      </w:r>
      <w:r>
        <w:rPr/>
        <w:t>obstructivas del tracto digestivo, se encuentra en cerca de un tercio de los casos, su</w:t>
      </w:r>
      <w:r>
        <w:rPr>
          <w:spacing w:val="62"/>
        </w:rPr>
        <w:t> </w:t>
      </w:r>
      <w:r>
        <w:rPr/>
        <w:t>incidencia</w:t>
      </w:r>
    </w:p>
    <w:p>
      <w:pPr>
        <w:spacing w:after="0" w:line="360" w:lineRule="auto"/>
        <w:jc w:val="both"/>
        <w:sectPr>
          <w:pgSz w:w="12240" w:h="15840"/>
          <w:pgMar w:top="1500" w:bottom="280" w:left="1600" w:right="1580"/>
        </w:sectPr>
      </w:pPr>
    </w:p>
    <w:p>
      <w:pPr>
        <w:pStyle w:val="BodyText"/>
        <w:spacing w:line="360" w:lineRule="auto" w:before="50"/>
        <w:ind w:left="102" w:right="262"/>
        <w:jc w:val="both"/>
      </w:pPr>
      <w:r>
        <w:rPr/>
        <w:t>se reporta en 2.25 de 10,000 nacidos vivos y 50% de estos casos ocurre en el duodeno, 36% en segmento ileoyeyunal, 7% en colon, y 5% como múltiple.</w:t>
      </w:r>
    </w:p>
    <w:p>
      <w:pPr>
        <w:pStyle w:val="BodyText"/>
      </w:pPr>
    </w:p>
    <w:p>
      <w:pPr>
        <w:pStyle w:val="BodyText"/>
        <w:spacing w:line="360" w:lineRule="auto" w:before="142"/>
        <w:ind w:left="102" w:right="257"/>
        <w:jc w:val="both"/>
      </w:pPr>
      <w:r>
        <w:rPr/>
        <w:t>Se ha reportado mayor incidencia en recién nacidos menores a 37% semanas de gestación o con peso menor a 2,500 gramos. La sobrevida se reporta hasta un</w:t>
      </w:r>
    </w:p>
    <w:p>
      <w:pPr>
        <w:pStyle w:val="BodyText"/>
      </w:pPr>
    </w:p>
    <w:p>
      <w:pPr>
        <w:pStyle w:val="BodyText"/>
      </w:pPr>
    </w:p>
    <w:p>
      <w:pPr>
        <w:pStyle w:val="BodyText"/>
      </w:pPr>
    </w:p>
    <w:p>
      <w:pPr>
        <w:pStyle w:val="BodyText"/>
      </w:pPr>
    </w:p>
    <w:p>
      <w:pPr>
        <w:pStyle w:val="BodyText"/>
        <w:spacing w:line="360" w:lineRule="auto" w:before="139"/>
        <w:ind w:left="102" w:right="267"/>
        <w:jc w:val="both"/>
      </w:pPr>
      <w:r>
        <w:rPr/>
        <w:t>90% cuando son intervenidos quirúrgicamente, con mayor riesgo de muerte si la atresia es distal. (16)</w:t>
      </w:r>
    </w:p>
    <w:p>
      <w:pPr>
        <w:pStyle w:val="BodyText"/>
      </w:pPr>
    </w:p>
    <w:p>
      <w:pPr>
        <w:pStyle w:val="BodyText"/>
        <w:spacing w:line="360" w:lineRule="auto" w:before="142"/>
        <w:ind w:left="102" w:right="256"/>
        <w:jc w:val="both"/>
      </w:pPr>
      <w:r>
        <w:rPr/>
        <w:t>El primer signo que presentan puede ser polihidramnios, posteriormente vómito biliar y ausencia de meconio las primeras 24 horas, y posteriormente datos sugerentes de sepsis. (17)</w:t>
      </w:r>
    </w:p>
    <w:p>
      <w:pPr>
        <w:pStyle w:val="BodyText"/>
        <w:spacing w:line="360" w:lineRule="auto" w:before="2"/>
        <w:ind w:left="102" w:right="263"/>
        <w:jc w:val="both"/>
      </w:pPr>
      <w:r>
        <w:rPr/>
        <w:t>Los</w:t>
      </w:r>
      <w:r>
        <w:rPr>
          <w:spacing w:val="-18"/>
        </w:rPr>
        <w:t> </w:t>
      </w:r>
      <w:r>
        <w:rPr/>
        <w:t>hallazgos</w:t>
      </w:r>
      <w:r>
        <w:rPr>
          <w:spacing w:val="-18"/>
        </w:rPr>
        <w:t> </w:t>
      </w:r>
      <w:r>
        <w:rPr/>
        <w:t>radiográficos</w:t>
      </w:r>
      <w:r>
        <w:rPr>
          <w:spacing w:val="-18"/>
        </w:rPr>
        <w:t> </w:t>
      </w:r>
      <w:r>
        <w:rPr/>
        <w:t>de</w:t>
      </w:r>
      <w:r>
        <w:rPr>
          <w:spacing w:val="-18"/>
        </w:rPr>
        <w:t> </w:t>
      </w:r>
      <w:r>
        <w:rPr/>
        <w:t>abdomen</w:t>
      </w:r>
      <w:r>
        <w:rPr>
          <w:spacing w:val="-19"/>
        </w:rPr>
        <w:t> </w:t>
      </w:r>
      <w:r>
        <w:rPr/>
        <w:t>pueden</w:t>
      </w:r>
      <w:r>
        <w:rPr>
          <w:spacing w:val="-18"/>
        </w:rPr>
        <w:t> </w:t>
      </w:r>
      <w:r>
        <w:rPr/>
        <w:t>ser</w:t>
      </w:r>
      <w:r>
        <w:rPr>
          <w:spacing w:val="-19"/>
        </w:rPr>
        <w:t> </w:t>
      </w:r>
      <w:r>
        <w:rPr/>
        <w:t>inespecíficos,</w:t>
      </w:r>
      <w:r>
        <w:rPr>
          <w:spacing w:val="-18"/>
        </w:rPr>
        <w:t> </w:t>
      </w:r>
      <w:r>
        <w:rPr/>
        <w:t>se</w:t>
      </w:r>
      <w:r>
        <w:rPr>
          <w:spacing w:val="-18"/>
        </w:rPr>
        <w:t> </w:t>
      </w:r>
      <w:r>
        <w:rPr/>
        <w:t>aprecian</w:t>
      </w:r>
      <w:r>
        <w:rPr>
          <w:spacing w:val="-18"/>
        </w:rPr>
        <w:t> </w:t>
      </w:r>
      <w:r>
        <w:rPr/>
        <w:t>asas intestinales con aire y líquido, y el resto del abdomen carece de gas. Los niveles hidroaéreos pueden ser escasos, y resultar obvios tras la descompresión por vía nasogástrica en una radiografía de control.</w:t>
      </w:r>
      <w:r>
        <w:rPr>
          <w:spacing w:val="-14"/>
        </w:rPr>
        <w:t> </w:t>
      </w:r>
      <w:r>
        <w:rPr/>
        <w:t>(18)</w:t>
      </w:r>
    </w:p>
    <w:p>
      <w:pPr>
        <w:pStyle w:val="BodyText"/>
      </w:pPr>
    </w:p>
    <w:p>
      <w:pPr>
        <w:pStyle w:val="BodyText"/>
        <w:spacing w:before="142"/>
        <w:ind w:left="102"/>
        <w:jc w:val="both"/>
      </w:pPr>
      <w:r>
        <w:rPr/>
        <w:t>Clasificación de atresia intestinal por Louw, modificada por Grosfeld (19)</w:t>
      </w:r>
    </w:p>
    <w:p>
      <w:pPr>
        <w:pStyle w:val="BodyText"/>
        <w:rPr>
          <w:sz w:val="12"/>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90"/>
        <w:gridCol w:w="7893"/>
      </w:tblGrid>
      <w:tr>
        <w:trPr>
          <w:trHeight w:val="518" w:hRule="exact"/>
        </w:trPr>
        <w:tc>
          <w:tcPr>
            <w:tcW w:w="1090" w:type="dxa"/>
            <w:tcBorders>
              <w:top w:val="single" w:sz="4" w:space="0" w:color="7E7E7E"/>
              <w:bottom w:val="single" w:sz="4" w:space="0" w:color="7E7E7E"/>
            </w:tcBorders>
          </w:tcPr>
          <w:p>
            <w:pPr>
              <w:pStyle w:val="TableParagraph"/>
              <w:spacing w:line="268" w:lineRule="exact"/>
              <w:ind w:left="108"/>
              <w:rPr>
                <w:rFonts w:ascii="Calibri"/>
                <w:b/>
                <w:sz w:val="22"/>
              </w:rPr>
            </w:pPr>
            <w:r>
              <w:rPr>
                <w:rFonts w:ascii="Calibri"/>
                <w:b/>
                <w:sz w:val="22"/>
              </w:rPr>
              <w:t>TIPO</w:t>
            </w:r>
          </w:p>
        </w:tc>
        <w:tc>
          <w:tcPr>
            <w:tcW w:w="7893" w:type="dxa"/>
            <w:tcBorders>
              <w:top w:val="single" w:sz="4" w:space="0" w:color="7E7E7E"/>
              <w:bottom w:val="single" w:sz="4" w:space="0" w:color="7E7E7E"/>
            </w:tcBorders>
          </w:tcPr>
          <w:p>
            <w:pPr>
              <w:pStyle w:val="TableParagraph"/>
              <w:spacing w:line="268" w:lineRule="exact"/>
              <w:ind w:left="544" w:right="847"/>
              <w:rPr>
                <w:rFonts w:ascii="Calibri" w:hAnsi="Calibri"/>
                <w:b/>
                <w:sz w:val="22"/>
              </w:rPr>
            </w:pPr>
            <w:r>
              <w:rPr>
                <w:rFonts w:ascii="Calibri" w:hAnsi="Calibri"/>
                <w:b/>
                <w:sz w:val="22"/>
              </w:rPr>
              <w:t>CARACTERÍSTICAS</w:t>
            </w:r>
          </w:p>
        </w:tc>
      </w:tr>
      <w:tr>
        <w:trPr>
          <w:trHeight w:val="923" w:hRule="exact"/>
        </w:trPr>
        <w:tc>
          <w:tcPr>
            <w:tcW w:w="1090" w:type="dxa"/>
            <w:tcBorders>
              <w:top w:val="single" w:sz="4" w:space="0" w:color="7E7E7E"/>
            </w:tcBorders>
          </w:tcPr>
          <w:p>
            <w:pPr>
              <w:pStyle w:val="TableParagraph"/>
              <w:spacing w:before="1"/>
              <w:ind w:left="108"/>
              <w:rPr>
                <w:rFonts w:ascii="Calibri"/>
                <w:sz w:val="22"/>
              </w:rPr>
            </w:pPr>
            <w:r>
              <w:rPr>
                <w:rFonts w:ascii="Calibri"/>
                <w:w w:val="100"/>
                <w:sz w:val="22"/>
              </w:rPr>
              <w:t>I</w:t>
            </w:r>
          </w:p>
          <w:p>
            <w:pPr>
              <w:pStyle w:val="TableParagraph"/>
              <w:spacing w:before="10"/>
              <w:rPr>
                <w:sz w:val="20"/>
              </w:rPr>
            </w:pPr>
          </w:p>
          <w:p>
            <w:pPr>
              <w:pStyle w:val="TableParagraph"/>
              <w:ind w:left="108"/>
              <w:rPr>
                <w:rFonts w:ascii="Calibri"/>
                <w:sz w:val="22"/>
              </w:rPr>
            </w:pPr>
            <w:r>
              <w:rPr>
                <w:rFonts w:ascii="Calibri"/>
                <w:sz w:val="22"/>
              </w:rPr>
              <w:t>II</w:t>
            </w:r>
          </w:p>
        </w:tc>
        <w:tc>
          <w:tcPr>
            <w:tcW w:w="7893" w:type="dxa"/>
            <w:tcBorders>
              <w:top w:val="single" w:sz="4" w:space="0" w:color="7E7E7E"/>
            </w:tcBorders>
          </w:tcPr>
          <w:p>
            <w:pPr>
              <w:pStyle w:val="TableParagraph"/>
              <w:spacing w:before="1"/>
              <w:ind w:left="544" w:right="847"/>
              <w:rPr>
                <w:rFonts w:ascii="Calibri" w:hAnsi="Calibri"/>
                <w:sz w:val="22"/>
              </w:rPr>
            </w:pPr>
            <w:r>
              <w:rPr>
                <w:rFonts w:ascii="Calibri" w:hAnsi="Calibri"/>
                <w:sz w:val="22"/>
              </w:rPr>
              <w:t>Membrana interna, continuidad de la serosa, sin defecto mesentérico</w:t>
            </w:r>
          </w:p>
          <w:p>
            <w:pPr>
              <w:pStyle w:val="TableParagraph"/>
              <w:spacing w:before="10"/>
              <w:rPr>
                <w:sz w:val="20"/>
              </w:rPr>
            </w:pPr>
          </w:p>
          <w:p>
            <w:pPr>
              <w:pStyle w:val="TableParagraph"/>
              <w:ind w:left="544" w:right="847"/>
              <w:rPr>
                <w:rFonts w:ascii="Calibri" w:hAnsi="Calibri"/>
                <w:sz w:val="22"/>
              </w:rPr>
            </w:pPr>
            <w:r>
              <w:rPr>
                <w:rFonts w:ascii="Calibri" w:hAnsi="Calibri"/>
                <w:sz w:val="22"/>
              </w:rPr>
              <w:t>Discontinuidad de la serosa, condón entre cabo proximal y cabo distal</w:t>
            </w:r>
          </w:p>
        </w:tc>
      </w:tr>
      <w:tr>
        <w:trPr>
          <w:trHeight w:val="817" w:hRule="exact"/>
        </w:trPr>
        <w:tc>
          <w:tcPr>
            <w:tcW w:w="1090" w:type="dxa"/>
          </w:tcPr>
          <w:p>
            <w:pPr>
              <w:pStyle w:val="TableParagraph"/>
              <w:spacing w:before="101"/>
              <w:ind w:left="108"/>
              <w:rPr>
                <w:rFonts w:ascii="Calibri"/>
                <w:sz w:val="22"/>
              </w:rPr>
            </w:pPr>
            <w:r>
              <w:rPr>
                <w:rFonts w:ascii="Calibri"/>
                <w:sz w:val="22"/>
              </w:rPr>
              <w:t>III</w:t>
            </w:r>
          </w:p>
        </w:tc>
        <w:tc>
          <w:tcPr>
            <w:tcW w:w="7893" w:type="dxa"/>
          </w:tcPr>
          <w:p>
            <w:pPr>
              <w:pStyle w:val="TableParagraph"/>
              <w:spacing w:line="276" w:lineRule="auto" w:before="99"/>
              <w:ind w:left="544" w:right="847"/>
              <w:rPr>
                <w:rFonts w:ascii="Calibri" w:hAnsi="Calibri"/>
                <w:sz w:val="22"/>
              </w:rPr>
            </w:pPr>
            <w:r>
              <w:rPr>
                <w:rFonts w:ascii="Calibri" w:hAnsi="Calibri"/>
                <w:sz w:val="22"/>
              </w:rPr>
              <w:t>Discontinuidad serosa con defecto mesentérico (subdividida en a y b por Grosfeld)</w:t>
            </w:r>
          </w:p>
        </w:tc>
      </w:tr>
      <w:tr>
        <w:trPr>
          <w:trHeight w:val="509" w:hRule="exact"/>
        </w:trPr>
        <w:tc>
          <w:tcPr>
            <w:tcW w:w="1090" w:type="dxa"/>
          </w:tcPr>
          <w:p>
            <w:pPr>
              <w:pStyle w:val="TableParagraph"/>
              <w:spacing w:before="100"/>
              <w:ind w:left="108"/>
              <w:rPr>
                <w:rFonts w:ascii="Calibri"/>
                <w:sz w:val="22"/>
              </w:rPr>
            </w:pPr>
            <w:r>
              <w:rPr>
                <w:rFonts w:ascii="Calibri"/>
                <w:sz w:val="22"/>
              </w:rPr>
              <w:t>IIIa</w:t>
            </w:r>
          </w:p>
        </w:tc>
        <w:tc>
          <w:tcPr>
            <w:tcW w:w="7893" w:type="dxa"/>
          </w:tcPr>
          <w:p>
            <w:pPr>
              <w:pStyle w:val="TableParagraph"/>
              <w:spacing w:before="100"/>
              <w:ind w:left="544" w:right="847"/>
              <w:rPr>
                <w:rFonts w:ascii="Calibri" w:hAnsi="Calibri"/>
                <w:sz w:val="22"/>
              </w:rPr>
            </w:pPr>
            <w:r>
              <w:rPr>
                <w:rFonts w:ascii="Calibri" w:hAnsi="Calibri"/>
                <w:sz w:val="22"/>
              </w:rPr>
              <w:t>Sólo defecto mesentérico</w:t>
            </w:r>
          </w:p>
        </w:tc>
      </w:tr>
      <w:tr>
        <w:trPr>
          <w:trHeight w:val="509" w:hRule="exact"/>
        </w:trPr>
        <w:tc>
          <w:tcPr>
            <w:tcW w:w="1090" w:type="dxa"/>
          </w:tcPr>
          <w:p>
            <w:pPr>
              <w:pStyle w:val="TableParagraph"/>
              <w:spacing w:before="100"/>
              <w:ind w:left="108"/>
              <w:rPr>
                <w:rFonts w:ascii="Calibri"/>
                <w:sz w:val="22"/>
              </w:rPr>
            </w:pPr>
            <w:r>
              <w:rPr>
                <w:rFonts w:ascii="Calibri"/>
                <w:sz w:val="22"/>
              </w:rPr>
              <w:t>IIIb</w:t>
            </w:r>
          </w:p>
        </w:tc>
        <w:tc>
          <w:tcPr>
            <w:tcW w:w="7893" w:type="dxa"/>
          </w:tcPr>
          <w:p>
            <w:pPr>
              <w:pStyle w:val="TableParagraph"/>
              <w:spacing w:before="100"/>
              <w:ind w:left="544"/>
              <w:rPr>
                <w:rFonts w:ascii="Calibri" w:hAnsi="Calibri"/>
                <w:sz w:val="22"/>
              </w:rPr>
            </w:pPr>
            <w:r>
              <w:rPr>
                <w:rFonts w:ascii="Calibri" w:hAnsi="Calibri"/>
                <w:sz w:val="22"/>
              </w:rPr>
              <w:t>“en cáscara de manzana”, el íleon aparece enrollado sobre una arteria ileocólica</w:t>
            </w:r>
          </w:p>
        </w:tc>
      </w:tr>
      <w:tr>
        <w:trPr>
          <w:trHeight w:val="617" w:hRule="exact"/>
        </w:trPr>
        <w:tc>
          <w:tcPr>
            <w:tcW w:w="1090" w:type="dxa"/>
            <w:tcBorders>
              <w:bottom w:val="single" w:sz="4" w:space="0" w:color="7E7E7E"/>
            </w:tcBorders>
          </w:tcPr>
          <w:p>
            <w:pPr>
              <w:pStyle w:val="TableParagraph"/>
              <w:spacing w:before="100"/>
              <w:ind w:left="108"/>
              <w:rPr>
                <w:rFonts w:ascii="Calibri"/>
                <w:sz w:val="22"/>
              </w:rPr>
            </w:pPr>
            <w:r>
              <w:rPr>
                <w:rFonts w:ascii="Calibri"/>
                <w:sz w:val="22"/>
              </w:rPr>
              <w:t>IV</w:t>
            </w:r>
          </w:p>
        </w:tc>
        <w:tc>
          <w:tcPr>
            <w:tcW w:w="7893" w:type="dxa"/>
            <w:tcBorders>
              <w:bottom w:val="single" w:sz="4" w:space="0" w:color="7E7E7E"/>
            </w:tcBorders>
          </w:tcPr>
          <w:p>
            <w:pPr>
              <w:pStyle w:val="TableParagraph"/>
              <w:spacing w:before="100"/>
              <w:ind w:left="544" w:right="847"/>
              <w:rPr>
                <w:rFonts w:ascii="Calibri" w:hAnsi="Calibri"/>
                <w:sz w:val="22"/>
              </w:rPr>
            </w:pPr>
            <w:r>
              <w:rPr>
                <w:rFonts w:ascii="Calibri" w:hAnsi="Calibri"/>
                <w:sz w:val="22"/>
              </w:rPr>
              <w:t>Atresias múltiples</w:t>
            </w:r>
          </w:p>
        </w:tc>
      </w:tr>
    </w:tbl>
    <w:p>
      <w:pPr>
        <w:pStyle w:val="BodyText"/>
        <w:spacing w:before="8"/>
        <w:rPr>
          <w:sz w:val="16"/>
        </w:rPr>
      </w:pPr>
    </w:p>
    <w:p>
      <w:pPr>
        <w:spacing w:before="80"/>
        <w:ind w:left="102" w:right="0" w:firstLine="0"/>
        <w:jc w:val="left"/>
        <w:rPr>
          <w:sz w:val="16"/>
        </w:rPr>
      </w:pPr>
      <w:r>
        <w:rPr>
          <w:sz w:val="16"/>
        </w:rPr>
        <w:t>Fuente: Adams SD, Stanton MP, Malrotation and intestinal atresias. Early Hum Dev (2014)</w:t>
      </w:r>
    </w:p>
    <w:p>
      <w:pPr>
        <w:spacing w:after="0"/>
        <w:jc w:val="left"/>
        <w:rPr>
          <w:sz w:val="16"/>
        </w:rPr>
        <w:sectPr>
          <w:pgSz w:w="12240" w:h="15840"/>
          <w:pgMar w:top="800" w:bottom="280" w:left="1600" w:right="1440"/>
        </w:sectPr>
      </w:pPr>
    </w:p>
    <w:p>
      <w:pPr>
        <w:pStyle w:val="BodyText"/>
        <w:spacing w:line="360" w:lineRule="auto" w:before="50"/>
        <w:ind w:left="102" w:right="102"/>
        <w:jc w:val="both"/>
      </w:pPr>
      <w:r>
        <w:rPr/>
        <w:t>El objetivo del tratamiento quirúrgico será siempre lograr mayor continuidad en el trayecto del intestino, para obtener una mayor superficie de absorción. Con tasas de sobrevida reportadas en centros especializados, que varían del 68 al 95%, gracias a un diagnóstico temprano y la posibilidad de alimentación parenteral. (18) Las</w:t>
      </w:r>
      <w:r>
        <w:rPr>
          <w:spacing w:val="-8"/>
        </w:rPr>
        <w:t> </w:t>
      </w:r>
      <w:r>
        <w:rPr/>
        <w:t>complicaciones</w:t>
      </w:r>
      <w:r>
        <w:rPr>
          <w:spacing w:val="-10"/>
        </w:rPr>
        <w:t> </w:t>
      </w:r>
      <w:r>
        <w:rPr/>
        <w:t>de</w:t>
      </w:r>
      <w:r>
        <w:rPr>
          <w:spacing w:val="-9"/>
        </w:rPr>
        <w:t> </w:t>
      </w:r>
      <w:r>
        <w:rPr/>
        <w:t>la</w:t>
      </w:r>
      <w:r>
        <w:rPr>
          <w:spacing w:val="-7"/>
        </w:rPr>
        <w:t> </w:t>
      </w:r>
      <w:r>
        <w:rPr/>
        <w:t>atresia</w:t>
      </w:r>
      <w:r>
        <w:rPr>
          <w:spacing w:val="-7"/>
        </w:rPr>
        <w:t> </w:t>
      </w:r>
      <w:r>
        <w:rPr/>
        <w:t>intestinal</w:t>
      </w:r>
      <w:r>
        <w:rPr>
          <w:spacing w:val="-8"/>
        </w:rPr>
        <w:t> </w:t>
      </w:r>
      <w:r>
        <w:rPr/>
        <w:t>incluyen</w:t>
      </w:r>
      <w:r>
        <w:rPr>
          <w:spacing w:val="-7"/>
        </w:rPr>
        <w:t> </w:t>
      </w:r>
      <w:r>
        <w:rPr/>
        <w:t>perforación,</w:t>
      </w:r>
      <w:r>
        <w:rPr>
          <w:spacing w:val="-10"/>
        </w:rPr>
        <w:t> </w:t>
      </w:r>
      <w:r>
        <w:rPr/>
        <w:t>peritonitis</w:t>
      </w:r>
      <w:r>
        <w:rPr>
          <w:spacing w:val="-11"/>
        </w:rPr>
        <w:t> </w:t>
      </w:r>
      <w:r>
        <w:rPr/>
        <w:t>meconial y síndrome de intestino corto.</w:t>
      </w:r>
      <w:r>
        <w:rPr>
          <w:spacing w:val="-10"/>
        </w:rPr>
        <w:t> </w:t>
      </w:r>
      <w:r>
        <w:rPr/>
        <w:t>(20)</w:t>
      </w:r>
    </w:p>
    <w:p>
      <w:pPr>
        <w:pStyle w:val="BodyText"/>
      </w:pPr>
    </w:p>
    <w:p>
      <w:pPr>
        <w:pStyle w:val="BodyText"/>
        <w:spacing w:before="142"/>
        <w:ind w:left="102"/>
        <w:jc w:val="both"/>
      </w:pPr>
      <w:r>
        <w:rPr>
          <w:u w:val="single"/>
        </w:rPr>
        <w:t>MALROTACIÓN INTESTINAL</w:t>
      </w:r>
    </w:p>
    <w:p>
      <w:pPr>
        <w:pStyle w:val="BodyText"/>
        <w:spacing w:line="360" w:lineRule="auto" w:before="137"/>
        <w:ind w:left="102" w:right="106"/>
        <w:jc w:val="both"/>
      </w:pPr>
      <w:r>
        <w:rPr/>
        <w:t>Entre la sexta y la décima segunda semana de desarrollo intrauterino ocurren fenómenos entre los cuales destaca la rotación intestinal. Debido a que la cavidad abdominal es más pequeña que el intestino, en la fase extracelómica, se inicia la</w:t>
      </w:r>
    </w:p>
    <w:p>
      <w:pPr>
        <w:pStyle w:val="BodyText"/>
      </w:pPr>
    </w:p>
    <w:p>
      <w:pPr>
        <w:pStyle w:val="BodyText"/>
      </w:pPr>
    </w:p>
    <w:p>
      <w:pPr>
        <w:pStyle w:val="BodyText"/>
      </w:pPr>
    </w:p>
    <w:p>
      <w:pPr>
        <w:pStyle w:val="BodyText"/>
      </w:pPr>
    </w:p>
    <w:p>
      <w:pPr>
        <w:pStyle w:val="BodyText"/>
        <w:spacing w:line="360" w:lineRule="auto" w:before="142"/>
        <w:ind w:left="102" w:right="104"/>
        <w:jc w:val="both"/>
      </w:pPr>
      <w:r>
        <w:rPr/>
        <w:t>rotación de las dos guías que orientan el fenómeno. Simultáneamente con la rotación,</w:t>
      </w:r>
      <w:r>
        <w:rPr>
          <w:spacing w:val="-17"/>
        </w:rPr>
        <w:t> </w:t>
      </w:r>
      <w:r>
        <w:rPr/>
        <w:t>existe</w:t>
      </w:r>
      <w:r>
        <w:rPr>
          <w:spacing w:val="-14"/>
        </w:rPr>
        <w:t> </w:t>
      </w:r>
      <w:r>
        <w:rPr/>
        <w:t>un</w:t>
      </w:r>
      <w:r>
        <w:rPr>
          <w:spacing w:val="-14"/>
        </w:rPr>
        <w:t> </w:t>
      </w:r>
      <w:r>
        <w:rPr/>
        <w:t>depósito</w:t>
      </w:r>
      <w:r>
        <w:rPr>
          <w:spacing w:val="-14"/>
        </w:rPr>
        <w:t> </w:t>
      </w:r>
      <w:r>
        <w:rPr/>
        <w:t>permanente</w:t>
      </w:r>
      <w:r>
        <w:rPr>
          <w:spacing w:val="-14"/>
        </w:rPr>
        <w:t> </w:t>
      </w:r>
      <w:r>
        <w:rPr/>
        <w:t>de</w:t>
      </w:r>
      <w:r>
        <w:rPr>
          <w:spacing w:val="-14"/>
        </w:rPr>
        <w:t> </w:t>
      </w:r>
      <w:r>
        <w:rPr/>
        <w:t>tejido</w:t>
      </w:r>
      <w:r>
        <w:rPr>
          <w:spacing w:val="-14"/>
        </w:rPr>
        <w:t> </w:t>
      </w:r>
      <w:r>
        <w:rPr/>
        <w:t>conectivo</w:t>
      </w:r>
      <w:r>
        <w:rPr>
          <w:spacing w:val="-14"/>
        </w:rPr>
        <w:t> </w:t>
      </w:r>
      <w:r>
        <w:rPr/>
        <w:t>que</w:t>
      </w:r>
      <w:r>
        <w:rPr>
          <w:spacing w:val="-14"/>
        </w:rPr>
        <w:t> </w:t>
      </w:r>
      <w:r>
        <w:rPr/>
        <w:t>sirve</w:t>
      </w:r>
      <w:r>
        <w:rPr>
          <w:spacing w:val="-14"/>
        </w:rPr>
        <w:t> </w:t>
      </w:r>
      <w:r>
        <w:rPr/>
        <w:t>como</w:t>
      </w:r>
      <w:r>
        <w:rPr>
          <w:spacing w:val="-14"/>
        </w:rPr>
        <w:t> </w:t>
      </w:r>
      <w:r>
        <w:rPr/>
        <w:t>sujeción del intestino a la pared posterior del</w:t>
      </w:r>
      <w:r>
        <w:rPr>
          <w:spacing w:val="-22"/>
        </w:rPr>
        <w:t> </w:t>
      </w:r>
      <w:r>
        <w:rPr/>
        <w:t>abdomen.</w:t>
      </w:r>
    </w:p>
    <w:p>
      <w:pPr>
        <w:pStyle w:val="BodyText"/>
      </w:pPr>
    </w:p>
    <w:p>
      <w:pPr>
        <w:pStyle w:val="BodyText"/>
        <w:spacing w:line="360" w:lineRule="auto" w:before="142"/>
        <w:ind w:left="102" w:right="99"/>
        <w:jc w:val="both"/>
      </w:pPr>
      <w:r>
        <w:rPr/>
        <w:t>En algunos casos, como cuando existe una hernia diafragmática congénita o un defecto de la pared anterior del abdomen, la malrotación es una “anomalía obligada”; en ese 70% de malformaciones asociadas a la malrotación puede haber invaginación,</w:t>
      </w:r>
      <w:r>
        <w:rPr>
          <w:spacing w:val="-17"/>
        </w:rPr>
        <w:t> </w:t>
      </w:r>
      <w:r>
        <w:rPr/>
        <w:t>atresia</w:t>
      </w:r>
      <w:r>
        <w:rPr>
          <w:spacing w:val="-17"/>
        </w:rPr>
        <w:t> </w:t>
      </w:r>
      <w:r>
        <w:rPr/>
        <w:t>y</w:t>
      </w:r>
      <w:r>
        <w:rPr>
          <w:spacing w:val="-22"/>
        </w:rPr>
        <w:t> </w:t>
      </w:r>
      <w:r>
        <w:rPr/>
        <w:t>estenosis</w:t>
      </w:r>
      <w:r>
        <w:rPr>
          <w:spacing w:val="-18"/>
        </w:rPr>
        <w:t> </w:t>
      </w:r>
      <w:r>
        <w:rPr/>
        <w:t>intestinal,</w:t>
      </w:r>
      <w:r>
        <w:rPr>
          <w:spacing w:val="-20"/>
        </w:rPr>
        <w:t> </w:t>
      </w:r>
      <w:r>
        <w:rPr/>
        <w:t>enfermedad</w:t>
      </w:r>
      <w:r>
        <w:rPr>
          <w:spacing w:val="-19"/>
        </w:rPr>
        <w:t> </w:t>
      </w:r>
      <w:r>
        <w:rPr/>
        <w:t>de</w:t>
      </w:r>
      <w:r>
        <w:rPr>
          <w:spacing w:val="-19"/>
        </w:rPr>
        <w:t> </w:t>
      </w:r>
      <w:r>
        <w:rPr/>
        <w:t>Hirschsprung</w:t>
      </w:r>
      <w:r>
        <w:rPr>
          <w:spacing w:val="-19"/>
        </w:rPr>
        <w:t> </w:t>
      </w:r>
      <w:r>
        <w:rPr/>
        <w:t>entre</w:t>
      </w:r>
      <w:r>
        <w:rPr>
          <w:spacing w:val="-19"/>
        </w:rPr>
        <w:t> </w:t>
      </w:r>
      <w:r>
        <w:rPr/>
        <w:t>otras. La</w:t>
      </w:r>
      <w:r>
        <w:rPr>
          <w:spacing w:val="-13"/>
        </w:rPr>
        <w:t> </w:t>
      </w:r>
      <w:r>
        <w:rPr/>
        <w:t>forma</w:t>
      </w:r>
      <w:r>
        <w:rPr>
          <w:spacing w:val="-11"/>
        </w:rPr>
        <w:t> </w:t>
      </w:r>
      <w:r>
        <w:rPr/>
        <w:t>clásica,</w:t>
      </w:r>
      <w:r>
        <w:rPr>
          <w:spacing w:val="-11"/>
        </w:rPr>
        <w:t> </w:t>
      </w:r>
      <w:r>
        <w:rPr/>
        <w:t>en</w:t>
      </w:r>
      <w:r>
        <w:rPr>
          <w:spacing w:val="-11"/>
        </w:rPr>
        <w:t> </w:t>
      </w:r>
      <w:r>
        <w:rPr/>
        <w:t>el</w:t>
      </w:r>
      <w:r>
        <w:rPr>
          <w:spacing w:val="-14"/>
        </w:rPr>
        <w:t> </w:t>
      </w:r>
      <w:r>
        <w:rPr/>
        <w:t>periodo</w:t>
      </w:r>
      <w:r>
        <w:rPr>
          <w:spacing w:val="-13"/>
        </w:rPr>
        <w:t> </w:t>
      </w:r>
      <w:r>
        <w:rPr/>
        <w:t>neonatal,</w:t>
      </w:r>
      <w:r>
        <w:rPr>
          <w:spacing w:val="-12"/>
        </w:rPr>
        <w:t> </w:t>
      </w:r>
      <w:r>
        <w:rPr/>
        <w:t>se</w:t>
      </w:r>
      <w:r>
        <w:rPr>
          <w:spacing w:val="-11"/>
        </w:rPr>
        <w:t> </w:t>
      </w:r>
      <w:r>
        <w:rPr/>
        <w:t>debe</w:t>
      </w:r>
      <w:r>
        <w:rPr>
          <w:spacing w:val="-13"/>
        </w:rPr>
        <w:t> </w:t>
      </w:r>
      <w:r>
        <w:rPr/>
        <w:t>a</w:t>
      </w:r>
      <w:r>
        <w:rPr>
          <w:spacing w:val="-11"/>
        </w:rPr>
        <w:t> </w:t>
      </w:r>
      <w:r>
        <w:rPr/>
        <w:t>la</w:t>
      </w:r>
      <w:r>
        <w:rPr>
          <w:spacing w:val="-13"/>
        </w:rPr>
        <w:t> </w:t>
      </w:r>
      <w:r>
        <w:rPr/>
        <w:t>falta</w:t>
      </w:r>
      <w:r>
        <w:rPr>
          <w:spacing w:val="-13"/>
        </w:rPr>
        <w:t> </w:t>
      </w:r>
      <w:r>
        <w:rPr/>
        <w:t>de</w:t>
      </w:r>
      <w:r>
        <w:rPr>
          <w:spacing w:val="-11"/>
        </w:rPr>
        <w:t> </w:t>
      </w:r>
      <w:r>
        <w:rPr/>
        <w:t>rotación</w:t>
      </w:r>
      <w:r>
        <w:rPr>
          <w:spacing w:val="-11"/>
        </w:rPr>
        <w:t> </w:t>
      </w:r>
      <w:r>
        <w:rPr/>
        <w:t>del</w:t>
      </w:r>
      <w:r>
        <w:rPr>
          <w:spacing w:val="-12"/>
        </w:rPr>
        <w:t> </w:t>
      </w:r>
      <w:r>
        <w:rPr/>
        <w:t>segmento proximal y rotación incompleta del segmento distal. (21,</w:t>
      </w:r>
      <w:r>
        <w:rPr>
          <w:spacing w:val="-16"/>
        </w:rPr>
        <w:t> </w:t>
      </w:r>
      <w:r>
        <w:rPr/>
        <w:t>22)</w:t>
      </w:r>
    </w:p>
    <w:p>
      <w:pPr>
        <w:pStyle w:val="BodyText"/>
      </w:pPr>
    </w:p>
    <w:p>
      <w:pPr>
        <w:pStyle w:val="BodyText"/>
        <w:spacing w:line="360" w:lineRule="auto" w:before="142"/>
        <w:ind w:left="102" w:right="98"/>
        <w:jc w:val="both"/>
      </w:pPr>
      <w:r>
        <w:rPr/>
        <w:t>La malrotación intestinal se presenta en alrededor de 1 en 2,500 nacidos vivos, sin embargo puede llegar a ser una entidad más común en 0.2 a 1% de la población general normal. Existe una alta prevalencia de malformaciones asociadas como atresia intestinal tipo IIIb y vólvulos.</w:t>
      </w:r>
    </w:p>
    <w:p>
      <w:pPr>
        <w:pStyle w:val="BodyText"/>
      </w:pPr>
    </w:p>
    <w:p>
      <w:pPr>
        <w:pStyle w:val="BodyText"/>
        <w:spacing w:line="360" w:lineRule="auto" w:before="142"/>
        <w:ind w:left="102" w:right="98"/>
        <w:jc w:val="both"/>
      </w:pPr>
      <w:r>
        <w:rPr/>
        <w:t>La</w:t>
      </w:r>
      <w:r>
        <w:rPr>
          <w:spacing w:val="-6"/>
        </w:rPr>
        <w:t> </w:t>
      </w:r>
      <w:r>
        <w:rPr/>
        <w:t>presentación</w:t>
      </w:r>
      <w:r>
        <w:rPr>
          <w:spacing w:val="-6"/>
        </w:rPr>
        <w:t> </w:t>
      </w:r>
      <w:r>
        <w:rPr/>
        <w:t>clínica</w:t>
      </w:r>
      <w:r>
        <w:rPr>
          <w:spacing w:val="-4"/>
        </w:rPr>
        <w:t> </w:t>
      </w:r>
      <w:r>
        <w:rPr/>
        <w:t>más</w:t>
      </w:r>
      <w:r>
        <w:rPr>
          <w:spacing w:val="-4"/>
        </w:rPr>
        <w:t> </w:t>
      </w:r>
      <w:r>
        <w:rPr/>
        <w:t>común</w:t>
      </w:r>
      <w:r>
        <w:rPr>
          <w:spacing w:val="-6"/>
        </w:rPr>
        <w:t> </w:t>
      </w:r>
      <w:r>
        <w:rPr/>
        <w:t>suele</w:t>
      </w:r>
      <w:r>
        <w:rPr>
          <w:spacing w:val="-6"/>
        </w:rPr>
        <w:t> </w:t>
      </w:r>
      <w:r>
        <w:rPr/>
        <w:t>ser</w:t>
      </w:r>
      <w:r>
        <w:rPr>
          <w:spacing w:val="-7"/>
        </w:rPr>
        <w:t> </w:t>
      </w:r>
      <w:r>
        <w:rPr/>
        <w:t>vómito</w:t>
      </w:r>
      <w:r>
        <w:rPr>
          <w:spacing w:val="-6"/>
        </w:rPr>
        <w:t> </w:t>
      </w:r>
      <w:r>
        <w:rPr/>
        <w:t>durante</w:t>
      </w:r>
      <w:r>
        <w:rPr>
          <w:spacing w:val="-5"/>
        </w:rPr>
        <w:t> </w:t>
      </w:r>
      <w:r>
        <w:rPr/>
        <w:t>el</w:t>
      </w:r>
      <w:r>
        <w:rPr>
          <w:spacing w:val="-7"/>
        </w:rPr>
        <w:t> </w:t>
      </w:r>
      <w:r>
        <w:rPr/>
        <w:t>primer</w:t>
      </w:r>
      <w:r>
        <w:rPr>
          <w:spacing w:val="-5"/>
        </w:rPr>
        <w:t> </w:t>
      </w:r>
      <w:r>
        <w:rPr/>
        <w:t>mes</w:t>
      </w:r>
      <w:r>
        <w:rPr>
          <w:spacing w:val="-7"/>
        </w:rPr>
        <w:t> </w:t>
      </w:r>
      <w:r>
        <w:rPr/>
        <w:t>de</w:t>
      </w:r>
      <w:r>
        <w:rPr>
          <w:spacing w:val="-6"/>
        </w:rPr>
        <w:t> </w:t>
      </w:r>
      <w:r>
        <w:rPr/>
        <w:t>vida, hasta en 50% de los casos. La radiografía abdominal comúnmente demuestra</w:t>
      </w:r>
      <w:r>
        <w:rPr>
          <w:spacing w:val="30"/>
        </w:rPr>
        <w:t> </w:t>
      </w:r>
      <w:r>
        <w:rPr/>
        <w:t>una</w:t>
      </w:r>
    </w:p>
    <w:p>
      <w:pPr>
        <w:spacing w:after="0" w:line="360" w:lineRule="auto"/>
        <w:jc w:val="both"/>
        <w:sectPr>
          <w:pgSz w:w="12240" w:h="15840"/>
          <w:pgMar w:top="800" w:bottom="280" w:left="1600" w:right="1600"/>
        </w:sectPr>
      </w:pPr>
    </w:p>
    <w:p>
      <w:pPr>
        <w:pStyle w:val="BodyText"/>
        <w:spacing w:line="360" w:lineRule="auto" w:before="50"/>
        <w:ind w:left="102" w:right="126"/>
        <w:jc w:val="both"/>
      </w:pPr>
      <w:r>
        <w:rPr/>
        <w:t>distribución normal de aire; ocasionalmente puede observarse distensión aérea en estómago y duodeno proximal (23, 24)</w:t>
      </w:r>
    </w:p>
    <w:p>
      <w:pPr>
        <w:pStyle w:val="BodyText"/>
      </w:pPr>
    </w:p>
    <w:p>
      <w:pPr>
        <w:pStyle w:val="BodyText"/>
        <w:spacing w:line="360" w:lineRule="auto" w:before="142"/>
        <w:ind w:left="102" w:right="117"/>
        <w:jc w:val="both"/>
      </w:pPr>
      <w:r>
        <w:rPr/>
        <w:t>El procedimiento de corrección quirúrgica fue descrito por Ladd en 1936, continuando en uso; las principales complicaciones son: obstrucción de intestino delgado, hernia incisional  y vólvulo recurrente (1-6%).</w:t>
      </w:r>
    </w:p>
    <w:p>
      <w:pPr>
        <w:pStyle w:val="BodyText"/>
      </w:pPr>
    </w:p>
    <w:p>
      <w:pPr>
        <w:pStyle w:val="BodyText"/>
        <w:spacing w:line="360" w:lineRule="auto" w:before="142"/>
        <w:ind w:left="102" w:right="120"/>
        <w:jc w:val="both"/>
      </w:pPr>
      <w:r>
        <w:rPr/>
        <w:t>La malrotación intestinal continua siendo la principal causa de pacientes con síndrome</w:t>
      </w:r>
      <w:r>
        <w:rPr>
          <w:spacing w:val="-11"/>
        </w:rPr>
        <w:t> </w:t>
      </w:r>
      <w:r>
        <w:rPr/>
        <w:t>de</w:t>
      </w:r>
      <w:r>
        <w:rPr>
          <w:spacing w:val="-11"/>
        </w:rPr>
        <w:t> </w:t>
      </w:r>
      <w:r>
        <w:rPr/>
        <w:t>intestino</w:t>
      </w:r>
      <w:r>
        <w:rPr>
          <w:spacing w:val="-13"/>
        </w:rPr>
        <w:t> </w:t>
      </w:r>
      <w:r>
        <w:rPr/>
        <w:t>corto.</w:t>
      </w:r>
      <w:r>
        <w:rPr>
          <w:spacing w:val="-11"/>
        </w:rPr>
        <w:t> </w:t>
      </w:r>
      <w:r>
        <w:rPr/>
        <w:t>La</w:t>
      </w:r>
      <w:r>
        <w:rPr>
          <w:spacing w:val="-11"/>
        </w:rPr>
        <w:t> </w:t>
      </w:r>
      <w:r>
        <w:rPr/>
        <w:t>mortalidad</w:t>
      </w:r>
      <w:r>
        <w:rPr>
          <w:spacing w:val="-11"/>
        </w:rPr>
        <w:t> </w:t>
      </w:r>
      <w:r>
        <w:rPr/>
        <w:t>depende</w:t>
      </w:r>
      <w:r>
        <w:rPr>
          <w:spacing w:val="-11"/>
        </w:rPr>
        <w:t> </w:t>
      </w:r>
      <w:r>
        <w:rPr/>
        <w:t>del</w:t>
      </w:r>
      <w:r>
        <w:rPr>
          <w:spacing w:val="-12"/>
        </w:rPr>
        <w:t> </w:t>
      </w:r>
      <w:r>
        <w:rPr/>
        <w:t>grado</w:t>
      </w:r>
      <w:r>
        <w:rPr>
          <w:spacing w:val="-11"/>
        </w:rPr>
        <w:t> </w:t>
      </w:r>
      <w:r>
        <w:rPr/>
        <w:t>de</w:t>
      </w:r>
      <w:r>
        <w:rPr>
          <w:spacing w:val="-11"/>
        </w:rPr>
        <w:t> </w:t>
      </w:r>
      <w:r>
        <w:rPr/>
        <w:t>isquemia</w:t>
      </w:r>
      <w:r>
        <w:rPr>
          <w:spacing w:val="-8"/>
        </w:rPr>
        <w:t> </w:t>
      </w:r>
      <w:r>
        <w:rPr/>
        <w:t>intestinal y suele ser alrededor del 3%.</w:t>
      </w:r>
      <w:r>
        <w:rPr>
          <w:spacing w:val="-11"/>
        </w:rPr>
        <w:t> </w:t>
      </w:r>
      <w:r>
        <w:rPr/>
        <w:t>(24-26)</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42"/>
        <w:ind w:left="102"/>
        <w:jc w:val="both"/>
      </w:pPr>
      <w:r>
        <w:rPr>
          <w:u w:val="single"/>
        </w:rPr>
        <w:t>MALFORMACIÓN ANORRECTAL</w:t>
      </w:r>
    </w:p>
    <w:p>
      <w:pPr>
        <w:pStyle w:val="BodyText"/>
        <w:spacing w:line="360" w:lineRule="auto" w:before="137"/>
        <w:ind w:left="102" w:right="114"/>
        <w:jc w:val="both"/>
      </w:pPr>
      <w:r>
        <w:rPr/>
        <w:t>Las malformaciones anorrectales son anomalías congénitas en las cuales el intestino   grueso   no   se   abre   en   la   posición   correcta   en   el   perineo,      o lo hace con un calibre</w:t>
      </w:r>
      <w:r>
        <w:rPr>
          <w:spacing w:val="-11"/>
        </w:rPr>
        <w:t> </w:t>
      </w:r>
      <w:r>
        <w:rPr/>
        <w:t>insuficiente.</w:t>
      </w:r>
    </w:p>
    <w:p>
      <w:pPr>
        <w:pStyle w:val="BodyText"/>
        <w:spacing w:line="360" w:lineRule="auto" w:before="204"/>
        <w:ind w:left="102" w:right="119"/>
        <w:jc w:val="both"/>
      </w:pPr>
      <w:r>
        <w:rPr/>
        <w:t>Están</w:t>
      </w:r>
      <w:r>
        <w:rPr>
          <w:spacing w:val="-8"/>
        </w:rPr>
        <w:t> </w:t>
      </w:r>
      <w:r>
        <w:rPr/>
        <w:t>presentes</w:t>
      </w:r>
      <w:r>
        <w:rPr>
          <w:spacing w:val="-9"/>
        </w:rPr>
        <w:t> </w:t>
      </w:r>
      <w:r>
        <w:rPr/>
        <w:t>alrededor</w:t>
      </w:r>
      <w:r>
        <w:rPr>
          <w:spacing w:val="-10"/>
        </w:rPr>
        <w:t> </w:t>
      </w:r>
      <w:r>
        <w:rPr/>
        <w:t>de</w:t>
      </w:r>
      <w:r>
        <w:rPr>
          <w:spacing w:val="-8"/>
        </w:rPr>
        <w:t> </w:t>
      </w:r>
      <w:r>
        <w:rPr/>
        <w:t>1</w:t>
      </w:r>
      <w:r>
        <w:rPr>
          <w:spacing w:val="-8"/>
        </w:rPr>
        <w:t> </w:t>
      </w:r>
      <w:r>
        <w:rPr/>
        <w:t>de</w:t>
      </w:r>
      <w:r>
        <w:rPr>
          <w:spacing w:val="-6"/>
        </w:rPr>
        <w:t> </w:t>
      </w:r>
      <w:r>
        <w:rPr/>
        <w:t>cada</w:t>
      </w:r>
      <w:r>
        <w:rPr>
          <w:spacing w:val="-8"/>
        </w:rPr>
        <w:t> </w:t>
      </w:r>
      <w:r>
        <w:rPr/>
        <w:t>5,000</w:t>
      </w:r>
      <w:r>
        <w:rPr>
          <w:spacing w:val="-6"/>
        </w:rPr>
        <w:t> </w:t>
      </w:r>
      <w:r>
        <w:rPr/>
        <w:t>nacidos</w:t>
      </w:r>
      <w:r>
        <w:rPr>
          <w:spacing w:val="-9"/>
        </w:rPr>
        <w:t> </w:t>
      </w:r>
      <w:r>
        <w:rPr/>
        <w:t>vivos</w:t>
      </w:r>
      <w:r>
        <w:rPr>
          <w:spacing w:val="-7"/>
        </w:rPr>
        <w:t> </w:t>
      </w:r>
      <w:r>
        <w:rPr/>
        <w:t>y</w:t>
      </w:r>
      <w:r>
        <w:rPr>
          <w:spacing w:val="-9"/>
        </w:rPr>
        <w:t> </w:t>
      </w:r>
      <w:r>
        <w:rPr/>
        <w:t>con</w:t>
      </w:r>
      <w:r>
        <w:rPr>
          <w:spacing w:val="-8"/>
        </w:rPr>
        <w:t> </w:t>
      </w:r>
      <w:r>
        <w:rPr/>
        <w:t>frecuencia</w:t>
      </w:r>
      <w:r>
        <w:rPr>
          <w:spacing w:val="-9"/>
        </w:rPr>
        <w:t> </w:t>
      </w:r>
      <w:r>
        <w:rPr/>
        <w:t>están asociados con otras anomalías congénitas, el diagnóstico antenatal suele ser poco común: sin embargo, la cloaca, el defecto más severo del espectro, a veces puede identificarse</w:t>
      </w:r>
    </w:p>
    <w:p>
      <w:pPr>
        <w:pStyle w:val="BodyText"/>
        <w:spacing w:line="360" w:lineRule="auto" w:before="202"/>
        <w:ind w:left="102" w:right="119"/>
        <w:jc w:val="both"/>
      </w:pPr>
      <w:r>
        <w:rPr/>
        <w:t>El diagnóstico oportuno y preciso de la malformación anorrectal, permite la planificación quirúrgica, orientación precisa al familiar y tratamiento óptimo a principios del período neonatal.</w:t>
      </w:r>
    </w:p>
    <w:p>
      <w:pPr>
        <w:pStyle w:val="BodyText"/>
        <w:spacing w:line="360" w:lineRule="auto" w:before="205"/>
        <w:ind w:left="102" w:right="118"/>
        <w:jc w:val="both"/>
      </w:pPr>
      <w:r>
        <w:rPr/>
        <w:t>El espectro de las malformaciones anorrectales en ambos géneros se agrupa en anormalidades altas y bajas. Una consideración clave es la posición de la abertura del intestino posterior, generalmente terminada en fístula. Para algunos pacientes la fístula acaba claramente en la superficie perianal.</w:t>
      </w:r>
    </w:p>
    <w:p>
      <w:pPr>
        <w:spacing w:after="0" w:line="360" w:lineRule="auto"/>
        <w:jc w:val="both"/>
        <w:sectPr>
          <w:pgSz w:w="12240" w:h="15840"/>
          <w:pgMar w:top="800" w:bottom="280" w:left="1600" w:right="1580"/>
        </w:sectPr>
      </w:pPr>
    </w:p>
    <w:p>
      <w:pPr>
        <w:pStyle w:val="BodyText"/>
        <w:spacing w:line="360" w:lineRule="auto" w:before="50"/>
        <w:ind w:left="102" w:right="123"/>
        <w:jc w:val="both"/>
      </w:pPr>
      <w:r>
        <w:rPr/>
        <w:t>La apertura por sí misma, puede ser anterior a su posición habitual o estar estenótica, lo cual requiere corrección quirúrgica. Estos pacientes son los que pueden</w:t>
      </w:r>
      <w:r>
        <w:rPr>
          <w:spacing w:val="-9"/>
        </w:rPr>
        <w:t> </w:t>
      </w:r>
      <w:r>
        <w:rPr/>
        <w:t>ser</w:t>
      </w:r>
      <w:r>
        <w:rPr>
          <w:spacing w:val="-11"/>
        </w:rPr>
        <w:t> </w:t>
      </w:r>
      <w:r>
        <w:rPr/>
        <w:t>operados</w:t>
      </w:r>
      <w:r>
        <w:rPr>
          <w:spacing w:val="-13"/>
        </w:rPr>
        <w:t> </w:t>
      </w:r>
      <w:r>
        <w:rPr/>
        <w:t>en</w:t>
      </w:r>
      <w:r>
        <w:rPr>
          <w:spacing w:val="-9"/>
        </w:rPr>
        <w:t> </w:t>
      </w:r>
      <w:r>
        <w:rPr/>
        <w:t>periodo</w:t>
      </w:r>
      <w:r>
        <w:rPr>
          <w:spacing w:val="-9"/>
        </w:rPr>
        <w:t> </w:t>
      </w:r>
      <w:r>
        <w:rPr/>
        <w:t>neonatal</w:t>
      </w:r>
      <w:r>
        <w:rPr>
          <w:spacing w:val="-11"/>
        </w:rPr>
        <w:t> </w:t>
      </w:r>
      <w:r>
        <w:rPr/>
        <w:t>sin</w:t>
      </w:r>
      <w:r>
        <w:rPr>
          <w:spacing w:val="-12"/>
        </w:rPr>
        <w:t> </w:t>
      </w:r>
      <w:r>
        <w:rPr/>
        <w:t>necesidad</w:t>
      </w:r>
      <w:r>
        <w:rPr>
          <w:spacing w:val="-9"/>
        </w:rPr>
        <w:t> </w:t>
      </w:r>
      <w:r>
        <w:rPr/>
        <w:t>de</w:t>
      </w:r>
      <w:r>
        <w:rPr>
          <w:spacing w:val="-9"/>
        </w:rPr>
        <w:t> </w:t>
      </w:r>
      <w:r>
        <w:rPr/>
        <w:t>realización</w:t>
      </w:r>
      <w:r>
        <w:rPr>
          <w:spacing w:val="-9"/>
        </w:rPr>
        <w:t> </w:t>
      </w:r>
      <w:r>
        <w:rPr/>
        <w:t>de</w:t>
      </w:r>
      <w:r>
        <w:rPr>
          <w:spacing w:val="-9"/>
        </w:rPr>
        <w:t> </w:t>
      </w:r>
      <w:r>
        <w:rPr/>
        <w:t>estomas, y se denominan malformaciones</w:t>
      </w:r>
      <w:r>
        <w:rPr>
          <w:spacing w:val="-12"/>
        </w:rPr>
        <w:t> </w:t>
      </w:r>
      <w:r>
        <w:rPr/>
        <w:t>bajas.</w:t>
      </w:r>
    </w:p>
    <w:p>
      <w:pPr>
        <w:pStyle w:val="BodyText"/>
        <w:spacing w:line="360" w:lineRule="auto" w:before="204"/>
        <w:ind w:left="102" w:right="116"/>
        <w:jc w:val="both"/>
      </w:pPr>
      <w:r>
        <w:rPr/>
        <w:t>En</w:t>
      </w:r>
      <w:r>
        <w:rPr>
          <w:spacing w:val="-12"/>
        </w:rPr>
        <w:t> </w:t>
      </w:r>
      <w:r>
        <w:rPr/>
        <w:t>otros</w:t>
      </w:r>
      <w:r>
        <w:rPr>
          <w:spacing w:val="-13"/>
        </w:rPr>
        <w:t> </w:t>
      </w:r>
      <w:r>
        <w:rPr/>
        <w:t>pacientes,</w:t>
      </w:r>
      <w:r>
        <w:rPr>
          <w:spacing w:val="-12"/>
        </w:rPr>
        <w:t> </w:t>
      </w:r>
      <w:r>
        <w:rPr/>
        <w:t>la</w:t>
      </w:r>
      <w:r>
        <w:rPr>
          <w:spacing w:val="-16"/>
        </w:rPr>
        <w:t> </w:t>
      </w:r>
      <w:r>
        <w:rPr/>
        <w:t>fístula</w:t>
      </w:r>
      <w:r>
        <w:rPr>
          <w:spacing w:val="-12"/>
        </w:rPr>
        <w:t> </w:t>
      </w:r>
      <w:r>
        <w:rPr/>
        <w:t>no</w:t>
      </w:r>
      <w:r>
        <w:rPr>
          <w:spacing w:val="-12"/>
        </w:rPr>
        <w:t> </w:t>
      </w:r>
      <w:r>
        <w:rPr/>
        <w:t>se</w:t>
      </w:r>
      <w:r>
        <w:rPr>
          <w:spacing w:val="-12"/>
        </w:rPr>
        <w:t> </w:t>
      </w:r>
      <w:r>
        <w:rPr/>
        <w:t>observa</w:t>
      </w:r>
      <w:r>
        <w:rPr>
          <w:spacing w:val="-12"/>
        </w:rPr>
        <w:t> </w:t>
      </w:r>
      <w:r>
        <w:rPr/>
        <w:t>y</w:t>
      </w:r>
      <w:r>
        <w:rPr>
          <w:spacing w:val="-14"/>
        </w:rPr>
        <w:t> </w:t>
      </w:r>
      <w:r>
        <w:rPr/>
        <w:t>se</w:t>
      </w:r>
      <w:r>
        <w:rPr>
          <w:spacing w:val="-12"/>
        </w:rPr>
        <w:t> </w:t>
      </w:r>
      <w:r>
        <w:rPr/>
        <w:t>desconoce</w:t>
      </w:r>
      <w:r>
        <w:rPr>
          <w:spacing w:val="-12"/>
        </w:rPr>
        <w:t> </w:t>
      </w:r>
      <w:r>
        <w:rPr/>
        <w:t>claramente</w:t>
      </w:r>
      <w:r>
        <w:rPr>
          <w:spacing w:val="-11"/>
        </w:rPr>
        <w:t> </w:t>
      </w:r>
      <w:r>
        <w:rPr/>
        <w:t>la</w:t>
      </w:r>
      <w:r>
        <w:rPr>
          <w:spacing w:val="-14"/>
        </w:rPr>
        <w:t> </w:t>
      </w:r>
      <w:r>
        <w:rPr/>
        <w:t>anatomía. Este grupo se denomina malformaciones altas. Para los hombres, la fístula quizá abra hacia uretra o cuello de la vejiga. Ocasionalmente en la atresia rectal pura no se presenta fístula pero la porción terminal, suele coincidir en alguna porción del tracto</w:t>
      </w:r>
      <w:r>
        <w:rPr>
          <w:spacing w:val="-4"/>
        </w:rPr>
        <w:t> </w:t>
      </w:r>
      <w:r>
        <w:rPr/>
        <w:t>urinario.</w:t>
      </w:r>
    </w:p>
    <w:p>
      <w:pPr>
        <w:pStyle w:val="BodyText"/>
        <w:spacing w:line="360" w:lineRule="auto" w:before="205"/>
        <w:ind w:left="102" w:right="121"/>
        <w:jc w:val="both"/>
      </w:pPr>
      <w:r>
        <w:rPr/>
        <w:t>En mujeres la variante más severa es la cloaca, donde se presenta un orificio perineal único que representa un canal común para el tracto genital, urinario y digestivo. La longitud del tracto se asocia con la severidad del defecto. (27)</w:t>
      </w:r>
    </w:p>
    <w:p>
      <w:pPr>
        <w:pStyle w:val="BodyText"/>
      </w:pPr>
    </w:p>
    <w:p>
      <w:pPr>
        <w:pStyle w:val="BodyText"/>
      </w:pPr>
    </w:p>
    <w:p>
      <w:pPr>
        <w:pStyle w:val="BodyText"/>
      </w:pPr>
    </w:p>
    <w:p>
      <w:pPr>
        <w:pStyle w:val="BodyText"/>
      </w:pPr>
    </w:p>
    <w:p>
      <w:pPr>
        <w:pStyle w:val="BodyText"/>
      </w:pPr>
    </w:p>
    <w:p>
      <w:pPr>
        <w:pStyle w:val="BodyText"/>
      </w:pPr>
    </w:p>
    <w:p>
      <w:pPr>
        <w:pStyle w:val="BodyText"/>
        <w:spacing w:before="9"/>
        <w:rPr>
          <w:sz w:val="33"/>
        </w:rPr>
      </w:pPr>
    </w:p>
    <w:p>
      <w:pPr>
        <w:pStyle w:val="BodyText"/>
        <w:spacing w:line="360" w:lineRule="auto" w:before="1"/>
        <w:ind w:left="102" w:right="115"/>
        <w:jc w:val="both"/>
      </w:pPr>
      <w:r>
        <w:rPr/>
        <w:t>Series recientes han demostrado que más del 50% de las malformaciones anorrectales pasan desapercibidas en la examinación neonatal. (28)</w:t>
      </w:r>
    </w:p>
    <w:p>
      <w:pPr>
        <w:pStyle w:val="BodyText"/>
        <w:spacing w:line="360" w:lineRule="auto" w:before="204"/>
        <w:ind w:left="102" w:right="116"/>
        <w:jc w:val="both"/>
      </w:pPr>
      <w:r>
        <w:rPr/>
        <w:t>La</w:t>
      </w:r>
      <w:r>
        <w:rPr>
          <w:spacing w:val="-11"/>
        </w:rPr>
        <w:t> </w:t>
      </w:r>
      <w:r>
        <w:rPr/>
        <w:t>presencia</w:t>
      </w:r>
      <w:r>
        <w:rPr>
          <w:spacing w:val="-11"/>
        </w:rPr>
        <w:t> </w:t>
      </w:r>
      <w:r>
        <w:rPr/>
        <w:t>de</w:t>
      </w:r>
      <w:r>
        <w:rPr>
          <w:spacing w:val="-11"/>
        </w:rPr>
        <w:t> </w:t>
      </w:r>
      <w:r>
        <w:rPr/>
        <w:t>meconio</w:t>
      </w:r>
      <w:r>
        <w:rPr>
          <w:spacing w:val="-11"/>
        </w:rPr>
        <w:t> </w:t>
      </w:r>
      <w:r>
        <w:rPr/>
        <w:t>en</w:t>
      </w:r>
      <w:r>
        <w:rPr>
          <w:spacing w:val="-11"/>
        </w:rPr>
        <w:t> </w:t>
      </w:r>
      <w:r>
        <w:rPr/>
        <w:t>la</w:t>
      </w:r>
      <w:r>
        <w:rPr>
          <w:spacing w:val="-11"/>
        </w:rPr>
        <w:t> </w:t>
      </w:r>
      <w:r>
        <w:rPr/>
        <w:t>orina,</w:t>
      </w:r>
      <w:r>
        <w:rPr>
          <w:spacing w:val="-11"/>
        </w:rPr>
        <w:t> </w:t>
      </w:r>
      <w:r>
        <w:rPr/>
        <w:t>podría</w:t>
      </w:r>
      <w:r>
        <w:rPr>
          <w:spacing w:val="-11"/>
        </w:rPr>
        <w:t> </w:t>
      </w:r>
      <w:r>
        <w:rPr/>
        <w:t>confirmar</w:t>
      </w:r>
      <w:r>
        <w:rPr>
          <w:spacing w:val="-5"/>
        </w:rPr>
        <w:t> </w:t>
      </w:r>
      <w:r>
        <w:rPr/>
        <w:t>la</w:t>
      </w:r>
      <w:r>
        <w:rPr>
          <w:spacing w:val="-11"/>
        </w:rPr>
        <w:t> </w:t>
      </w:r>
      <w:r>
        <w:rPr/>
        <w:t>presencia</w:t>
      </w:r>
      <w:r>
        <w:rPr>
          <w:spacing w:val="-13"/>
        </w:rPr>
        <w:t> </w:t>
      </w:r>
      <w:r>
        <w:rPr/>
        <w:t>de</w:t>
      </w:r>
      <w:r>
        <w:rPr>
          <w:spacing w:val="-11"/>
        </w:rPr>
        <w:t> </w:t>
      </w:r>
      <w:r>
        <w:rPr/>
        <w:t>una</w:t>
      </w:r>
      <w:r>
        <w:rPr>
          <w:spacing w:val="-11"/>
        </w:rPr>
        <w:t> </w:t>
      </w:r>
      <w:r>
        <w:rPr/>
        <w:t>fístula</w:t>
      </w:r>
      <w:r>
        <w:rPr>
          <w:spacing w:val="-11"/>
        </w:rPr>
        <w:t> </w:t>
      </w:r>
      <w:r>
        <w:rPr/>
        <w:t>en el tracto, sin embargo suele notarse alrededor de las primeras</w:t>
      </w:r>
      <w:r>
        <w:rPr>
          <w:spacing w:val="-25"/>
        </w:rPr>
        <w:t> </w:t>
      </w:r>
      <w:r>
        <w:rPr/>
        <w:t>24horas.</w:t>
      </w:r>
    </w:p>
    <w:p>
      <w:pPr>
        <w:pStyle w:val="BodyText"/>
        <w:spacing w:line="360" w:lineRule="auto" w:before="202"/>
        <w:ind w:left="102" w:right="125"/>
        <w:jc w:val="both"/>
      </w:pPr>
      <w:r>
        <w:rPr/>
        <w:t>Los neonatos con malformaciones bajas se consideran candidatos para la corrección quirúrgica primaria, los neonatos con malformaciones altas requieren la formación de un estoma y colostomía descendente, para posteriormente en un segundo evento quirúrgico realizarse una plastía sagital posterior. (29, 30)</w:t>
      </w:r>
    </w:p>
    <w:p>
      <w:pPr>
        <w:pStyle w:val="BodyText"/>
      </w:pPr>
    </w:p>
    <w:p>
      <w:pPr>
        <w:pStyle w:val="BodyText"/>
      </w:pPr>
    </w:p>
    <w:p>
      <w:pPr>
        <w:pStyle w:val="BodyText"/>
        <w:spacing w:before="2"/>
        <w:rPr>
          <w:sz w:val="23"/>
        </w:rPr>
      </w:pPr>
    </w:p>
    <w:p>
      <w:pPr>
        <w:pStyle w:val="BodyText"/>
        <w:spacing w:before="1"/>
        <w:ind w:left="102"/>
        <w:jc w:val="both"/>
      </w:pPr>
      <w:r>
        <w:rPr>
          <w:u w:val="single"/>
        </w:rPr>
        <w:t>DIVERTÍCULO DE MECKEL</w:t>
      </w:r>
    </w:p>
    <w:p>
      <w:pPr>
        <w:pStyle w:val="BodyText"/>
        <w:spacing w:before="2"/>
        <w:rPr>
          <w:sz w:val="23"/>
        </w:rPr>
      </w:pPr>
    </w:p>
    <w:p>
      <w:pPr>
        <w:pStyle w:val="BodyText"/>
        <w:spacing w:line="360" w:lineRule="auto" w:before="69"/>
        <w:ind w:left="102"/>
      </w:pPr>
      <w:r>
        <w:rPr/>
        <w:t>Es la malformación congénita gastrointestinal más común, afecta de 1 a 4% de la población. Generalmente permanece asintomática, pero las complicaciones a largo</w:t>
      </w:r>
    </w:p>
    <w:p>
      <w:pPr>
        <w:spacing w:after="0" w:line="360" w:lineRule="auto"/>
        <w:sectPr>
          <w:pgSz w:w="12240" w:h="15840"/>
          <w:pgMar w:top="800" w:bottom="280" w:left="1600" w:right="1580"/>
        </w:sectPr>
      </w:pPr>
    </w:p>
    <w:p>
      <w:pPr>
        <w:pStyle w:val="BodyText"/>
        <w:spacing w:line="360" w:lineRule="auto" w:before="50"/>
        <w:ind w:left="122" w:right="118"/>
        <w:jc w:val="both"/>
      </w:pPr>
      <w:r>
        <w:rPr/>
        <w:t>plazo</w:t>
      </w:r>
      <w:r>
        <w:rPr>
          <w:spacing w:val="-8"/>
        </w:rPr>
        <w:t> </w:t>
      </w:r>
      <w:r>
        <w:rPr/>
        <w:t>suelen</w:t>
      </w:r>
      <w:r>
        <w:rPr>
          <w:spacing w:val="-8"/>
        </w:rPr>
        <w:t> </w:t>
      </w:r>
      <w:r>
        <w:rPr/>
        <w:t>presentarse.</w:t>
      </w:r>
      <w:r>
        <w:rPr>
          <w:spacing w:val="-8"/>
        </w:rPr>
        <w:t> </w:t>
      </w:r>
      <w:r>
        <w:rPr/>
        <w:t>El</w:t>
      </w:r>
      <w:r>
        <w:rPr>
          <w:spacing w:val="-11"/>
        </w:rPr>
        <w:t> </w:t>
      </w:r>
      <w:r>
        <w:rPr/>
        <w:t>divertículo</w:t>
      </w:r>
      <w:r>
        <w:rPr>
          <w:spacing w:val="-8"/>
        </w:rPr>
        <w:t> </w:t>
      </w:r>
      <w:r>
        <w:rPr/>
        <w:t>de</w:t>
      </w:r>
      <w:r>
        <w:rPr>
          <w:spacing w:val="-8"/>
        </w:rPr>
        <w:t> </w:t>
      </w:r>
      <w:r>
        <w:rPr/>
        <w:t>Meckel</w:t>
      </w:r>
      <w:r>
        <w:rPr>
          <w:spacing w:val="-9"/>
        </w:rPr>
        <w:t> </w:t>
      </w:r>
      <w:r>
        <w:rPr/>
        <w:t>sintomático</w:t>
      </w:r>
      <w:r>
        <w:rPr>
          <w:spacing w:val="-10"/>
        </w:rPr>
        <w:t> </w:t>
      </w:r>
      <w:r>
        <w:rPr/>
        <w:t>más</w:t>
      </w:r>
      <w:r>
        <w:rPr>
          <w:spacing w:val="-11"/>
        </w:rPr>
        <w:t> </w:t>
      </w:r>
      <w:r>
        <w:rPr/>
        <w:t>frecuentemente en pacientes jóvenes del género masculino, los cuales suelen ser sangrado, ulceración</w:t>
      </w:r>
      <w:r>
        <w:rPr>
          <w:spacing w:val="-14"/>
        </w:rPr>
        <w:t> </w:t>
      </w:r>
      <w:r>
        <w:rPr/>
        <w:t>de</w:t>
      </w:r>
      <w:r>
        <w:rPr>
          <w:spacing w:val="-12"/>
        </w:rPr>
        <w:t> </w:t>
      </w:r>
      <w:r>
        <w:rPr/>
        <w:t>la</w:t>
      </w:r>
      <w:r>
        <w:rPr>
          <w:spacing w:val="-17"/>
        </w:rPr>
        <w:t> </w:t>
      </w:r>
      <w:r>
        <w:rPr/>
        <w:t>mucosa,</w:t>
      </w:r>
      <w:r>
        <w:rPr>
          <w:spacing w:val="-14"/>
        </w:rPr>
        <w:t> </w:t>
      </w:r>
      <w:r>
        <w:rPr/>
        <w:t>obstrucción</w:t>
      </w:r>
      <w:r>
        <w:rPr>
          <w:spacing w:val="-12"/>
        </w:rPr>
        <w:t> </w:t>
      </w:r>
      <w:r>
        <w:rPr/>
        <w:t>intestinal,</w:t>
      </w:r>
      <w:r>
        <w:rPr>
          <w:spacing w:val="-13"/>
        </w:rPr>
        <w:t> </w:t>
      </w:r>
      <w:r>
        <w:rPr/>
        <w:t>y</w:t>
      </w:r>
      <w:r>
        <w:rPr>
          <w:spacing w:val="-15"/>
        </w:rPr>
        <w:t> </w:t>
      </w:r>
      <w:r>
        <w:rPr/>
        <w:t>debe</w:t>
      </w:r>
      <w:r>
        <w:rPr>
          <w:spacing w:val="-12"/>
        </w:rPr>
        <w:t> </w:t>
      </w:r>
      <w:r>
        <w:rPr/>
        <w:t>ser</w:t>
      </w:r>
      <w:r>
        <w:rPr>
          <w:spacing w:val="-13"/>
        </w:rPr>
        <w:t> </w:t>
      </w:r>
      <w:r>
        <w:rPr/>
        <w:t>tratado</w:t>
      </w:r>
      <w:r>
        <w:rPr>
          <w:spacing w:val="-12"/>
        </w:rPr>
        <w:t> </w:t>
      </w:r>
      <w:r>
        <w:rPr/>
        <w:t>con</w:t>
      </w:r>
      <w:r>
        <w:rPr>
          <w:spacing w:val="-12"/>
        </w:rPr>
        <w:t> </w:t>
      </w:r>
      <w:r>
        <w:rPr/>
        <w:t>resección</w:t>
      </w:r>
      <w:r>
        <w:rPr>
          <w:spacing w:val="-14"/>
        </w:rPr>
        <w:t> </w:t>
      </w:r>
      <w:r>
        <w:rPr/>
        <w:t>del mismo.</w:t>
      </w:r>
    </w:p>
    <w:p>
      <w:pPr>
        <w:pStyle w:val="BodyText"/>
        <w:spacing w:line="360" w:lineRule="auto" w:before="204"/>
        <w:ind w:left="122" w:right="118"/>
        <w:jc w:val="both"/>
      </w:pPr>
      <w:r>
        <w:rPr/>
        <w:t>El</w:t>
      </w:r>
      <w:r>
        <w:rPr>
          <w:spacing w:val="-17"/>
        </w:rPr>
        <w:t> </w:t>
      </w:r>
      <w:r>
        <w:rPr/>
        <w:t>riesgo</w:t>
      </w:r>
      <w:r>
        <w:rPr>
          <w:spacing w:val="-16"/>
        </w:rPr>
        <w:t> </w:t>
      </w:r>
      <w:r>
        <w:rPr/>
        <w:t>de</w:t>
      </w:r>
      <w:r>
        <w:rPr>
          <w:spacing w:val="-18"/>
        </w:rPr>
        <w:t> </w:t>
      </w:r>
      <w:r>
        <w:rPr/>
        <w:t>complicaciones</w:t>
      </w:r>
      <w:r>
        <w:rPr>
          <w:spacing w:val="-19"/>
        </w:rPr>
        <w:t> </w:t>
      </w:r>
      <w:r>
        <w:rPr/>
        <w:t>asociadas</w:t>
      </w:r>
      <w:r>
        <w:rPr>
          <w:spacing w:val="-19"/>
        </w:rPr>
        <w:t> </w:t>
      </w:r>
      <w:r>
        <w:rPr/>
        <w:t>al</w:t>
      </w:r>
      <w:r>
        <w:rPr>
          <w:spacing w:val="-17"/>
        </w:rPr>
        <w:t> </w:t>
      </w:r>
      <w:r>
        <w:rPr/>
        <w:t>divertículo</w:t>
      </w:r>
      <w:r>
        <w:rPr>
          <w:spacing w:val="-16"/>
        </w:rPr>
        <w:t> </w:t>
      </w:r>
      <w:r>
        <w:rPr/>
        <w:t>varía</w:t>
      </w:r>
      <w:r>
        <w:rPr>
          <w:spacing w:val="-16"/>
        </w:rPr>
        <w:t> </w:t>
      </w:r>
      <w:r>
        <w:rPr/>
        <w:t>de</w:t>
      </w:r>
      <w:r>
        <w:rPr>
          <w:spacing w:val="-18"/>
        </w:rPr>
        <w:t> </w:t>
      </w:r>
      <w:r>
        <w:rPr/>
        <w:t>3</w:t>
      </w:r>
      <w:r>
        <w:rPr>
          <w:spacing w:val="-16"/>
        </w:rPr>
        <w:t> </w:t>
      </w:r>
      <w:r>
        <w:rPr/>
        <w:t>a</w:t>
      </w:r>
      <w:r>
        <w:rPr>
          <w:spacing w:val="-18"/>
        </w:rPr>
        <w:t> </w:t>
      </w:r>
      <w:r>
        <w:rPr/>
        <w:t>4%</w:t>
      </w:r>
      <w:r>
        <w:rPr>
          <w:spacing w:val="-20"/>
        </w:rPr>
        <w:t> </w:t>
      </w:r>
      <w:r>
        <w:rPr/>
        <w:t>y</w:t>
      </w:r>
      <w:r>
        <w:rPr>
          <w:spacing w:val="-19"/>
        </w:rPr>
        <w:t> </w:t>
      </w:r>
      <w:r>
        <w:rPr/>
        <w:t>se</w:t>
      </w:r>
      <w:r>
        <w:rPr>
          <w:spacing w:val="-16"/>
        </w:rPr>
        <w:t> </w:t>
      </w:r>
      <w:r>
        <w:rPr/>
        <w:t>incrementa con la edad.</w:t>
      </w:r>
      <w:r>
        <w:rPr>
          <w:spacing w:val="-6"/>
        </w:rPr>
        <w:t> </w:t>
      </w:r>
      <w:r>
        <w:rPr/>
        <w:t>(32)</w:t>
      </w:r>
    </w:p>
    <w:p>
      <w:pPr>
        <w:pStyle w:val="BodyText"/>
      </w:pPr>
    </w:p>
    <w:p>
      <w:pPr>
        <w:pStyle w:val="BodyText"/>
        <w:spacing w:before="10"/>
        <w:rPr>
          <w:sz w:val="29"/>
        </w:rPr>
      </w:pPr>
    </w:p>
    <w:p>
      <w:pPr>
        <w:pStyle w:val="BodyText"/>
        <w:tabs>
          <w:tab w:pos="2645" w:val="left" w:leader="none"/>
          <w:tab w:pos="5408" w:val="left" w:leader="none"/>
          <w:tab w:pos="6678" w:val="left" w:leader="none"/>
        </w:tabs>
        <w:spacing w:line="360" w:lineRule="auto"/>
        <w:ind w:left="122" w:right="121"/>
        <w:jc w:val="both"/>
      </w:pPr>
      <w:r>
        <w:rPr/>
        <w:pict>
          <v:line style="position:absolute;mso-position-horizontal-relative:page;mso-position-vertical-relative:paragraph;z-index:-37504" from="85.103996pt,12.995886pt" to="527.013996pt,12.995886pt" stroked="true" strokeweight=".84pt" strokecolor="#000000">
            <w10:wrap type="none"/>
          </v:line>
        </w:pict>
      </w:r>
      <w:r>
        <w:rPr/>
        <w:t>PRINCIPALES</w:t>
        <w:tab/>
        <w:t>ASOCIACIONES</w:t>
        <w:tab/>
        <w:t>DE</w:t>
        <w:tab/>
      </w:r>
      <w:r>
        <w:rPr>
          <w:spacing w:val="-1"/>
        </w:rPr>
        <w:t>MALFORMACIONES </w:t>
      </w:r>
      <w:r>
        <w:rPr>
          <w:u w:val="single"/>
        </w:rPr>
        <w:t>GASTROINTESTINALES</w:t>
      </w:r>
    </w:p>
    <w:p>
      <w:pPr>
        <w:pStyle w:val="BodyText"/>
        <w:spacing w:line="360" w:lineRule="auto" w:before="5"/>
        <w:ind w:left="122" w:right="116"/>
        <w:jc w:val="both"/>
      </w:pPr>
      <w:r>
        <w:rPr/>
        <w:t>Las</w:t>
      </w:r>
      <w:r>
        <w:rPr>
          <w:spacing w:val="-19"/>
        </w:rPr>
        <w:t> </w:t>
      </w:r>
      <w:r>
        <w:rPr/>
        <w:t>malformaciones</w:t>
      </w:r>
      <w:r>
        <w:rPr>
          <w:spacing w:val="-19"/>
        </w:rPr>
        <w:t> </w:t>
      </w:r>
      <w:r>
        <w:rPr/>
        <w:t>anorrectales</w:t>
      </w:r>
      <w:r>
        <w:rPr>
          <w:spacing w:val="-19"/>
        </w:rPr>
        <w:t> </w:t>
      </w:r>
      <w:r>
        <w:rPr/>
        <w:t>comúnmente</w:t>
      </w:r>
      <w:r>
        <w:rPr>
          <w:spacing w:val="-17"/>
        </w:rPr>
        <w:t> </w:t>
      </w:r>
      <w:r>
        <w:rPr/>
        <w:t>se</w:t>
      </w:r>
      <w:r>
        <w:rPr>
          <w:spacing w:val="-20"/>
        </w:rPr>
        <w:t> </w:t>
      </w:r>
      <w:r>
        <w:rPr/>
        <w:t>asocian</w:t>
      </w:r>
      <w:r>
        <w:rPr>
          <w:spacing w:val="-19"/>
        </w:rPr>
        <w:t> </w:t>
      </w:r>
      <w:r>
        <w:rPr/>
        <w:t>con</w:t>
      </w:r>
      <w:r>
        <w:rPr>
          <w:spacing w:val="-19"/>
        </w:rPr>
        <w:t> </w:t>
      </w:r>
      <w:r>
        <w:rPr/>
        <w:t>defectos</w:t>
      </w:r>
      <w:r>
        <w:rPr>
          <w:spacing w:val="-19"/>
        </w:rPr>
        <w:t> </w:t>
      </w:r>
      <w:r>
        <w:rPr/>
        <w:t>en</w:t>
      </w:r>
      <w:r>
        <w:rPr>
          <w:spacing w:val="-19"/>
        </w:rPr>
        <w:t> </w:t>
      </w:r>
      <w:r>
        <w:rPr/>
        <w:t>múltiples sistemas. La abreviatura VACTERL describe la principal asociación referida (vertebral, anorrectal, cardiaca, traqueoesofágica, renal y extremidades). (29). En otras ocasiones son asociaciones solo a tracto urogenital, o cardiovascular. Lo que se ha visto es que a mayor presencia de</w:t>
      </w:r>
      <w:r>
        <w:rPr>
          <w:spacing w:val="-14"/>
        </w:rPr>
        <w:t> </w:t>
      </w:r>
      <w:r>
        <w:rPr/>
        <w:t>múltiples</w:t>
      </w:r>
    </w:p>
    <w:p>
      <w:pPr>
        <w:pStyle w:val="BodyText"/>
      </w:pPr>
    </w:p>
    <w:p>
      <w:pPr>
        <w:pStyle w:val="BodyText"/>
      </w:pPr>
    </w:p>
    <w:p>
      <w:pPr>
        <w:pStyle w:val="BodyText"/>
      </w:pPr>
    </w:p>
    <w:p>
      <w:pPr>
        <w:pStyle w:val="BodyText"/>
      </w:pPr>
    </w:p>
    <w:p>
      <w:pPr>
        <w:pStyle w:val="BodyText"/>
        <w:spacing w:line="360" w:lineRule="auto" w:before="142"/>
        <w:ind w:left="122" w:right="124"/>
        <w:jc w:val="both"/>
      </w:pPr>
      <w:r>
        <w:rPr/>
        <w:t>malformaciones,</w:t>
      </w:r>
      <w:r>
        <w:rPr>
          <w:spacing w:val="-11"/>
        </w:rPr>
        <w:t> </w:t>
      </w:r>
      <w:r>
        <w:rPr/>
        <w:t>se</w:t>
      </w:r>
      <w:r>
        <w:rPr>
          <w:spacing w:val="-10"/>
        </w:rPr>
        <w:t> </w:t>
      </w:r>
      <w:r>
        <w:rPr/>
        <w:t>presenta</w:t>
      </w:r>
      <w:r>
        <w:rPr>
          <w:spacing w:val="-10"/>
        </w:rPr>
        <w:t> </w:t>
      </w:r>
      <w:r>
        <w:rPr/>
        <w:t>peor</w:t>
      </w:r>
      <w:r>
        <w:rPr>
          <w:spacing w:val="-11"/>
        </w:rPr>
        <w:t> </w:t>
      </w:r>
      <w:r>
        <w:rPr/>
        <w:t>pronóstico</w:t>
      </w:r>
      <w:r>
        <w:rPr>
          <w:spacing w:val="-10"/>
        </w:rPr>
        <w:t> </w:t>
      </w:r>
      <w:r>
        <w:rPr/>
        <w:t>en</w:t>
      </w:r>
      <w:r>
        <w:rPr>
          <w:spacing w:val="-10"/>
        </w:rPr>
        <w:t> </w:t>
      </w:r>
      <w:r>
        <w:rPr/>
        <w:t>etapa</w:t>
      </w:r>
      <w:r>
        <w:rPr>
          <w:spacing w:val="-10"/>
        </w:rPr>
        <w:t> </w:t>
      </w:r>
      <w:r>
        <w:rPr/>
        <w:t>prenatal,</w:t>
      </w:r>
      <w:r>
        <w:rPr>
          <w:spacing w:val="-9"/>
        </w:rPr>
        <w:t> </w:t>
      </w:r>
      <w:r>
        <w:rPr/>
        <w:t>incluso</w:t>
      </w:r>
      <w:r>
        <w:rPr>
          <w:spacing w:val="-8"/>
        </w:rPr>
        <w:t> </w:t>
      </w:r>
      <w:r>
        <w:rPr/>
        <w:t>requiriendo atención primaria el resto de las mismas. (34,</w:t>
      </w:r>
      <w:r>
        <w:rPr>
          <w:spacing w:val="-12"/>
        </w:rPr>
        <w:t> </w:t>
      </w:r>
      <w:r>
        <w:rPr/>
        <w:t>35)</w:t>
      </w:r>
    </w:p>
    <w:p>
      <w:pPr>
        <w:pStyle w:val="BodyText"/>
      </w:pPr>
    </w:p>
    <w:p>
      <w:pPr>
        <w:pStyle w:val="BodyText"/>
        <w:spacing w:line="360" w:lineRule="auto" w:before="142"/>
        <w:ind w:left="122" w:right="118"/>
        <w:jc w:val="both"/>
      </w:pPr>
      <w:r>
        <w:rPr/>
        <w:t>La asociación de malformaciones anorrectales con Enfermedad de Hirschprung es rara, la incidencia exacta se desconoce, pero se han reportado casos entre 2,3 a 3,4% de los pacientes portadores de una malformación anorrectal, la mayoría reportados como casos únicos. (36)</w:t>
      </w:r>
    </w:p>
    <w:p>
      <w:pPr>
        <w:pStyle w:val="BodyText"/>
      </w:pPr>
    </w:p>
    <w:p>
      <w:pPr>
        <w:pStyle w:val="BodyText"/>
        <w:spacing w:line="360" w:lineRule="auto" w:before="142"/>
        <w:ind w:left="122" w:right="116"/>
      </w:pPr>
      <w:r>
        <w:rPr/>
        <w:t>Más del 50% de los pacientes con atresia esofágica presentan anomalías asociadas, que van desde asociación VACTERL, que tiene mayor prevalencia, incluso en algunos casos, reportados en Europa, también con síndrome CHARGE y algunas anomalías cromosómicas. La atresia esofágica, rara vez se asocia a duplicación gástrica, (11, 37)</w:t>
      </w:r>
    </w:p>
    <w:p>
      <w:pPr>
        <w:spacing w:after="0" w:line="360" w:lineRule="auto"/>
        <w:sectPr>
          <w:pgSz w:w="12240" w:h="15840"/>
          <w:pgMar w:top="800" w:bottom="280" w:left="1580" w:right="1580"/>
        </w:sectPr>
      </w:pPr>
    </w:p>
    <w:p>
      <w:pPr>
        <w:pStyle w:val="BodyText"/>
        <w:spacing w:line="360" w:lineRule="auto" w:before="50"/>
        <w:ind w:left="102" w:right="116"/>
        <w:jc w:val="both"/>
      </w:pPr>
      <w:r>
        <w:rPr/>
        <w:t>La asociación de atresia intestinal suele presentarse con páncreas anular, atresia duodenal, malrotación intestinal o defectos congénitos. En algunas series se ha visto asociación con Síndrome de Down, atresia esofágica y cardiopatías congénitas. (18)</w:t>
      </w:r>
    </w:p>
    <w:p>
      <w:pPr>
        <w:pStyle w:val="BodyText"/>
      </w:pPr>
    </w:p>
    <w:p>
      <w:pPr>
        <w:pStyle w:val="BodyText"/>
        <w:spacing w:line="360" w:lineRule="auto" w:before="142"/>
        <w:ind w:left="102" w:right="115"/>
        <w:jc w:val="both"/>
      </w:pPr>
      <w:r>
        <w:rPr/>
        <w:t>Se siguen realizando estudios a nivel mundial para tratar de determinar las principales causas de estas malformaciones.</w:t>
      </w:r>
    </w:p>
    <w:p>
      <w:pPr>
        <w:pStyle w:val="BodyText"/>
      </w:pPr>
    </w:p>
    <w:p>
      <w:pPr>
        <w:pStyle w:val="BodyText"/>
        <w:spacing w:line="360" w:lineRule="auto" w:before="142"/>
        <w:ind w:left="102" w:right="114"/>
        <w:jc w:val="both"/>
      </w:pPr>
      <w:r>
        <w:rPr/>
        <w:t>Es</w:t>
      </w:r>
      <w:r>
        <w:rPr>
          <w:spacing w:val="-10"/>
        </w:rPr>
        <w:t> </w:t>
      </w:r>
      <w:r>
        <w:rPr/>
        <w:t>primordial</w:t>
      </w:r>
      <w:r>
        <w:rPr>
          <w:spacing w:val="-13"/>
        </w:rPr>
        <w:t> </w:t>
      </w:r>
      <w:r>
        <w:rPr/>
        <w:t>implantar</w:t>
      </w:r>
      <w:r>
        <w:rPr>
          <w:spacing w:val="-11"/>
        </w:rPr>
        <w:t> </w:t>
      </w:r>
      <w:r>
        <w:rPr/>
        <w:t>y</w:t>
      </w:r>
      <w:r>
        <w:rPr>
          <w:spacing w:val="-13"/>
        </w:rPr>
        <w:t> </w:t>
      </w:r>
      <w:r>
        <w:rPr/>
        <w:t>mantener</w:t>
      </w:r>
      <w:r>
        <w:rPr>
          <w:spacing w:val="-13"/>
        </w:rPr>
        <w:t> </w:t>
      </w:r>
      <w:r>
        <w:rPr/>
        <w:t>registros</w:t>
      </w:r>
      <w:r>
        <w:rPr>
          <w:spacing w:val="-10"/>
        </w:rPr>
        <w:t> </w:t>
      </w:r>
      <w:r>
        <w:rPr/>
        <w:t>locales,</w:t>
      </w:r>
      <w:r>
        <w:rPr>
          <w:spacing w:val="-12"/>
        </w:rPr>
        <w:t> </w:t>
      </w:r>
      <w:r>
        <w:rPr/>
        <w:t>que</w:t>
      </w:r>
      <w:r>
        <w:rPr>
          <w:spacing w:val="-12"/>
        </w:rPr>
        <w:t> </w:t>
      </w:r>
      <w:r>
        <w:rPr/>
        <w:t>a</w:t>
      </w:r>
      <w:r>
        <w:rPr>
          <w:spacing w:val="-12"/>
        </w:rPr>
        <w:t> </w:t>
      </w:r>
      <w:r>
        <w:rPr/>
        <w:t>su</w:t>
      </w:r>
      <w:r>
        <w:rPr>
          <w:spacing w:val="-12"/>
        </w:rPr>
        <w:t> </w:t>
      </w:r>
      <w:r>
        <w:rPr/>
        <w:t>vez</w:t>
      </w:r>
      <w:r>
        <w:rPr>
          <w:spacing w:val="-13"/>
        </w:rPr>
        <w:t> </w:t>
      </w:r>
      <w:r>
        <w:rPr/>
        <w:t>puedan</w:t>
      </w:r>
      <w:r>
        <w:rPr>
          <w:spacing w:val="-5"/>
        </w:rPr>
        <w:t> </w:t>
      </w:r>
      <w:r>
        <w:rPr/>
        <w:t>alimentar bases de datos regionales para tener un programa epidemiológico de las malformaciones y poder identificar cambios en el tiempo y factores de riesgo, para implementar programas de prevención si estos fueran</w:t>
      </w:r>
      <w:r>
        <w:rPr>
          <w:spacing w:val="-20"/>
        </w:rPr>
        <w:t> </w:t>
      </w:r>
      <w:r>
        <w:rPr/>
        <w:t>posibles.</w:t>
      </w:r>
    </w:p>
    <w:p>
      <w:pPr>
        <w:pStyle w:val="BodyText"/>
      </w:pPr>
    </w:p>
    <w:p>
      <w:pPr>
        <w:pStyle w:val="BodyText"/>
        <w:spacing w:line="360" w:lineRule="auto" w:before="142"/>
        <w:ind w:left="102" w:right="120"/>
        <w:jc w:val="both"/>
      </w:pPr>
      <w:r>
        <w:rPr/>
        <w:t>Hay que destacar que para la prevención, diagnóstico y tratamiento de cualquier malformación congénita, se requiere un equipo interdisciplinario de diferentes especialidades.</w:t>
      </w:r>
    </w:p>
    <w:p>
      <w:pPr>
        <w:pStyle w:val="BodyText"/>
      </w:pPr>
    </w:p>
    <w:p>
      <w:pPr>
        <w:pStyle w:val="BodyText"/>
      </w:pPr>
    </w:p>
    <w:p>
      <w:pPr>
        <w:pStyle w:val="BodyText"/>
      </w:pPr>
    </w:p>
    <w:p>
      <w:pPr>
        <w:pStyle w:val="BodyText"/>
      </w:pPr>
    </w:p>
    <w:p>
      <w:pPr>
        <w:pStyle w:val="Heading1"/>
        <w:numPr>
          <w:ilvl w:val="1"/>
          <w:numId w:val="3"/>
        </w:numPr>
        <w:tabs>
          <w:tab w:pos="372" w:val="left" w:leader="none"/>
        </w:tabs>
        <w:spacing w:line="240" w:lineRule="auto" w:before="142" w:after="0"/>
        <w:ind w:left="371" w:right="0" w:hanging="269"/>
        <w:jc w:val="both"/>
      </w:pPr>
      <w:r>
        <w:rPr/>
        <w:t>PLANTEAMIENTO DEL</w:t>
      </w:r>
      <w:r>
        <w:rPr>
          <w:spacing w:val="-9"/>
        </w:rPr>
        <w:t> </w:t>
      </w:r>
      <w:r>
        <w:rPr/>
        <w:t>PROBLEMA</w:t>
      </w:r>
    </w:p>
    <w:p>
      <w:pPr>
        <w:pStyle w:val="BodyText"/>
        <w:rPr>
          <w:b/>
        </w:rPr>
      </w:pPr>
    </w:p>
    <w:p>
      <w:pPr>
        <w:pStyle w:val="BodyText"/>
        <w:rPr>
          <w:b/>
        </w:rPr>
      </w:pPr>
    </w:p>
    <w:p>
      <w:pPr>
        <w:pStyle w:val="BodyText"/>
        <w:spacing w:line="360" w:lineRule="auto"/>
        <w:ind w:left="102" w:right="121"/>
        <w:jc w:val="both"/>
      </w:pPr>
      <w:r>
        <w:rPr/>
        <w:t>Las malformaciones congénitas (MC) abarcan una amplia variedad de alteraciones del desarrollo fetal. Afectan al 2-3% de los recién nacidos al momento del parto.</w:t>
      </w:r>
    </w:p>
    <w:p>
      <w:pPr>
        <w:pStyle w:val="BodyText"/>
      </w:pPr>
    </w:p>
    <w:p>
      <w:pPr>
        <w:pStyle w:val="BodyText"/>
        <w:spacing w:line="360" w:lineRule="auto" w:before="142"/>
        <w:ind w:left="102" w:right="117"/>
        <w:jc w:val="both"/>
      </w:pPr>
      <w:r>
        <w:rPr/>
        <w:t>La incidencia mundial de defectos congénitos oscila entre 25 y 62/1.000 al nacimiento, y las mayores tasas de mortalidad y morbilidad asociadas con las malformaciones congénitas afectan negativamente a los sistemas de salud y a las familias.</w:t>
      </w:r>
    </w:p>
    <w:p>
      <w:pPr>
        <w:pStyle w:val="BodyText"/>
      </w:pPr>
    </w:p>
    <w:p>
      <w:pPr>
        <w:pStyle w:val="BodyText"/>
        <w:spacing w:line="360" w:lineRule="auto" w:before="142"/>
        <w:ind w:left="102" w:right="119"/>
        <w:jc w:val="both"/>
      </w:pPr>
      <w:r>
        <w:rPr/>
        <w:t>Uno de los objetivos del milenio de nuestro país es abatir las tasas de mortalidad neonatal. Las mayores tasas de mortalidad y morbilidad neonatal se asocian a malformaciones</w:t>
      </w:r>
      <w:r>
        <w:rPr>
          <w:spacing w:val="-18"/>
        </w:rPr>
        <w:t> </w:t>
      </w:r>
      <w:r>
        <w:rPr/>
        <w:t>congénitas</w:t>
      </w:r>
      <w:r>
        <w:rPr>
          <w:spacing w:val="-15"/>
        </w:rPr>
        <w:t> </w:t>
      </w:r>
      <w:r>
        <w:rPr/>
        <w:t>principalmente</w:t>
      </w:r>
      <w:r>
        <w:rPr>
          <w:spacing w:val="-19"/>
        </w:rPr>
        <w:t> </w:t>
      </w:r>
      <w:r>
        <w:rPr/>
        <w:t>cardiacas</w:t>
      </w:r>
      <w:r>
        <w:rPr>
          <w:spacing w:val="-18"/>
        </w:rPr>
        <w:t> </w:t>
      </w:r>
      <w:r>
        <w:rPr/>
        <w:t>y</w:t>
      </w:r>
      <w:r>
        <w:rPr>
          <w:spacing w:val="-21"/>
        </w:rPr>
        <w:t> </w:t>
      </w:r>
      <w:r>
        <w:rPr/>
        <w:t>de</w:t>
      </w:r>
      <w:r>
        <w:rPr>
          <w:spacing w:val="-18"/>
        </w:rPr>
        <w:t> </w:t>
      </w:r>
      <w:r>
        <w:rPr/>
        <w:t>tubo</w:t>
      </w:r>
      <w:r>
        <w:rPr>
          <w:spacing w:val="-20"/>
        </w:rPr>
        <w:t> </w:t>
      </w:r>
      <w:r>
        <w:rPr/>
        <w:t>digestivo.</w:t>
      </w:r>
      <w:r>
        <w:rPr>
          <w:spacing w:val="-18"/>
        </w:rPr>
        <w:t> </w:t>
      </w:r>
      <w:r>
        <w:rPr/>
        <w:t>Requieren</w:t>
      </w:r>
    </w:p>
    <w:p>
      <w:pPr>
        <w:spacing w:after="0" w:line="360" w:lineRule="auto"/>
        <w:jc w:val="both"/>
        <w:sectPr>
          <w:pgSz w:w="12240" w:h="15840"/>
          <w:pgMar w:top="800" w:bottom="280" w:left="1600" w:right="1580"/>
        </w:sectPr>
      </w:pPr>
    </w:p>
    <w:p>
      <w:pPr>
        <w:pStyle w:val="BodyText"/>
        <w:spacing w:line="360" w:lineRule="auto" w:before="50"/>
        <w:ind w:left="102" w:right="126"/>
        <w:jc w:val="both"/>
      </w:pPr>
      <w:r>
        <w:rPr/>
        <w:t>tratamiento multidisciplinario en centros especializados, consumiendo una gran cantidad de recursos financieros.</w:t>
      </w:r>
    </w:p>
    <w:p>
      <w:pPr>
        <w:pStyle w:val="BodyText"/>
      </w:pPr>
    </w:p>
    <w:p>
      <w:pPr>
        <w:pStyle w:val="BodyText"/>
        <w:spacing w:before="9"/>
        <w:rPr>
          <w:sz w:val="22"/>
        </w:rPr>
      </w:pPr>
    </w:p>
    <w:p>
      <w:pPr>
        <w:pStyle w:val="BodyText"/>
        <w:spacing w:line="360" w:lineRule="auto"/>
        <w:ind w:left="102" w:right="117"/>
        <w:jc w:val="both"/>
      </w:pPr>
      <w:r>
        <w:rPr/>
        <w:t>El Hospital Materno Perinatal Mónica Pretelini Sáenz, es un centro de referencia para pacientes con alta probabilidad de presentar complicaciones o alteraciones asociadas al periodo perinatal, y dadas las características de nuestra población, es necesario realizar un diagnóstico y tratamiento oportuno de defectos congénitos</w:t>
      </w:r>
      <w:r>
        <w:rPr>
          <w:spacing w:val="-40"/>
        </w:rPr>
        <w:t> </w:t>
      </w:r>
      <w:r>
        <w:rPr/>
        <w:t>de tracto gastrointestinal que influyen en el pronóstico de estos pacientes, para disminuir o limitar las posibles complicaciones pre y </w:t>
      </w:r>
      <w:r>
        <w:rPr>
          <w:spacing w:val="2"/>
        </w:rPr>
        <w:t>pos </w:t>
      </w:r>
      <w:r>
        <w:rPr/>
        <w:t>quirúrgicas de estas patologías, por lo que surgió la siguiente pregunta de</w:t>
      </w:r>
      <w:r>
        <w:rPr>
          <w:spacing w:val="-23"/>
        </w:rPr>
        <w:t> </w:t>
      </w:r>
      <w:r>
        <w:rPr/>
        <w:t>investigación:</w:t>
      </w:r>
    </w:p>
    <w:p>
      <w:pPr>
        <w:pStyle w:val="BodyText"/>
      </w:pPr>
    </w:p>
    <w:p>
      <w:pPr>
        <w:pStyle w:val="BodyText"/>
        <w:spacing w:before="3"/>
        <w:rPr>
          <w:sz w:val="33"/>
        </w:rPr>
      </w:pPr>
    </w:p>
    <w:p>
      <w:pPr>
        <w:pStyle w:val="Heading1"/>
        <w:spacing w:line="360" w:lineRule="auto"/>
        <w:ind w:right="115"/>
        <w:jc w:val="both"/>
      </w:pPr>
      <w:r>
        <w:rPr/>
        <w:t>¿Cuál fue la prevalencia de malformaciones congénitas gastrointestinales en el Hospital Materno Perinatal “Mónica Pretelini Sáenz” en el periodo de</w:t>
      </w:r>
      <w:r>
        <w:rPr>
          <w:spacing w:val="-38"/>
        </w:rPr>
        <w:t> </w:t>
      </w:r>
      <w:r>
        <w:rPr/>
        <w:t>Enero de 2010 a Diciembre de</w:t>
      </w:r>
      <w:r>
        <w:rPr>
          <w:spacing w:val="-4"/>
        </w:rPr>
        <w:t> </w:t>
      </w:r>
      <w:r>
        <w:rPr/>
        <w:t>2015?</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9"/>
        <w:rPr>
          <w:b/>
          <w:sz w:val="22"/>
        </w:rPr>
      </w:pPr>
    </w:p>
    <w:p>
      <w:pPr>
        <w:pStyle w:val="ListParagraph"/>
        <w:numPr>
          <w:ilvl w:val="1"/>
          <w:numId w:val="3"/>
        </w:numPr>
        <w:tabs>
          <w:tab w:pos="464" w:val="left" w:leader="none"/>
        </w:tabs>
        <w:spacing w:line="240" w:lineRule="auto" w:before="0" w:after="0"/>
        <w:ind w:left="464" w:right="0" w:hanging="362"/>
        <w:jc w:val="both"/>
        <w:rPr>
          <w:b/>
          <w:sz w:val="24"/>
        </w:rPr>
      </w:pPr>
      <w:r>
        <w:rPr>
          <w:b/>
          <w:sz w:val="24"/>
        </w:rPr>
        <w:t>JUSTIFICACIONES</w:t>
      </w:r>
    </w:p>
    <w:p>
      <w:pPr>
        <w:pStyle w:val="BodyText"/>
        <w:rPr>
          <w:b/>
        </w:rPr>
      </w:pPr>
    </w:p>
    <w:p>
      <w:pPr>
        <w:pStyle w:val="BodyText"/>
        <w:rPr>
          <w:b/>
        </w:rPr>
      </w:pPr>
    </w:p>
    <w:p>
      <w:pPr>
        <w:pStyle w:val="BodyText"/>
        <w:spacing w:line="360" w:lineRule="auto"/>
        <w:ind w:left="102" w:right="117"/>
        <w:jc w:val="both"/>
      </w:pPr>
      <w:r>
        <w:rPr/>
        <w:t>CIENTÍFICO - ACADÉMICA: Si identificamos cuáles son las malformaciones congénitas gastrointestinales más frecuentes en el Hospital Materno Perinatal “Mónica Pretelini Sáenz” podrá prepararse al personal de salud para atender a los pacientes mejorando la calidad del diagnóstico y tratamiento.</w:t>
      </w:r>
    </w:p>
    <w:p>
      <w:pPr>
        <w:pStyle w:val="BodyText"/>
      </w:pPr>
    </w:p>
    <w:p>
      <w:pPr>
        <w:pStyle w:val="BodyText"/>
        <w:spacing w:line="360" w:lineRule="auto" w:before="142"/>
        <w:ind w:left="102" w:right="114"/>
        <w:jc w:val="both"/>
      </w:pPr>
      <w:r>
        <w:rPr/>
        <w:t>ADMINISTRATIVO - POLÍTICA: Realizar estudios epidemiológicos, en diferentes periodos de tiempo y espacio por la variabilidad que pueden tener distintas poblaciones como es la de este hospital. Además de que en el Hospital Materno Perinatal</w:t>
      </w:r>
      <w:r>
        <w:rPr>
          <w:spacing w:val="57"/>
        </w:rPr>
        <w:t> </w:t>
      </w:r>
      <w:r>
        <w:rPr/>
        <w:t>“Mónica</w:t>
      </w:r>
      <w:r>
        <w:rPr>
          <w:spacing w:val="58"/>
        </w:rPr>
        <w:t> </w:t>
      </w:r>
      <w:r>
        <w:rPr/>
        <w:t>Pretelini</w:t>
      </w:r>
      <w:r>
        <w:rPr>
          <w:spacing w:val="57"/>
        </w:rPr>
        <w:t> </w:t>
      </w:r>
      <w:r>
        <w:rPr/>
        <w:t>Sáenz”</w:t>
      </w:r>
      <w:r>
        <w:rPr>
          <w:spacing w:val="60"/>
        </w:rPr>
        <w:t> </w:t>
      </w:r>
      <w:r>
        <w:rPr/>
        <w:t>no</w:t>
      </w:r>
      <w:r>
        <w:rPr>
          <w:spacing w:val="58"/>
        </w:rPr>
        <w:t> </w:t>
      </w:r>
      <w:r>
        <w:rPr/>
        <w:t>se</w:t>
      </w:r>
      <w:r>
        <w:rPr>
          <w:spacing w:val="58"/>
        </w:rPr>
        <w:t> </w:t>
      </w:r>
      <w:r>
        <w:rPr/>
        <w:t>ha</w:t>
      </w:r>
      <w:r>
        <w:rPr>
          <w:spacing w:val="59"/>
        </w:rPr>
        <w:t> </w:t>
      </w:r>
      <w:r>
        <w:rPr/>
        <w:t>llevado</w:t>
      </w:r>
      <w:r>
        <w:rPr>
          <w:spacing w:val="58"/>
        </w:rPr>
        <w:t> </w:t>
      </w:r>
      <w:r>
        <w:rPr/>
        <w:t>a</w:t>
      </w:r>
      <w:r>
        <w:rPr>
          <w:spacing w:val="58"/>
        </w:rPr>
        <w:t> </w:t>
      </w:r>
      <w:r>
        <w:rPr/>
        <w:t>cabo</w:t>
      </w:r>
      <w:r>
        <w:rPr>
          <w:spacing w:val="58"/>
        </w:rPr>
        <w:t> </w:t>
      </w:r>
      <w:r>
        <w:rPr/>
        <w:t>ningún</w:t>
      </w:r>
      <w:r>
        <w:rPr>
          <w:spacing w:val="58"/>
        </w:rPr>
        <w:t> </w:t>
      </w:r>
      <w:r>
        <w:rPr/>
        <w:t>estudio</w:t>
      </w:r>
      <w:r>
        <w:rPr>
          <w:spacing w:val="62"/>
        </w:rPr>
        <w:t> </w:t>
      </w:r>
      <w:r>
        <w:rPr/>
        <w:t>al</w:t>
      </w:r>
    </w:p>
    <w:p>
      <w:pPr>
        <w:spacing w:after="0" w:line="360" w:lineRule="auto"/>
        <w:jc w:val="both"/>
        <w:sectPr>
          <w:pgSz w:w="12240" w:h="15840"/>
          <w:pgMar w:top="800" w:bottom="280" w:left="1600" w:right="1580"/>
        </w:sectPr>
      </w:pPr>
    </w:p>
    <w:p>
      <w:pPr>
        <w:pStyle w:val="BodyText"/>
        <w:spacing w:line="360" w:lineRule="auto" w:before="50"/>
        <w:ind w:left="102" w:right="125"/>
        <w:jc w:val="both"/>
      </w:pPr>
      <w:r>
        <w:rPr/>
        <w:t>respecto y desconocemos la situación que existe en cuanto al comportamiento de las malformaciones gastrointestinales en los neonatos.</w:t>
      </w:r>
    </w:p>
    <w:p>
      <w:pPr>
        <w:pStyle w:val="BodyText"/>
      </w:pPr>
    </w:p>
    <w:p>
      <w:pPr>
        <w:pStyle w:val="BodyText"/>
        <w:spacing w:line="360" w:lineRule="auto" w:before="142"/>
        <w:ind w:left="102" w:right="122"/>
        <w:jc w:val="both"/>
      </w:pPr>
      <w:r>
        <w:rPr/>
        <w:t>También son importantes los estudios epidemiológicos para planear estrategias futuras en cuanto a recursos y conductas operativas para disminuir la morbimortalidad de los pacientes, en este caso que cursen con malformaciones congénitas gastrointestinales.</w:t>
      </w:r>
    </w:p>
    <w:p>
      <w:pPr>
        <w:pStyle w:val="BodyText"/>
      </w:pPr>
    </w:p>
    <w:p>
      <w:pPr>
        <w:pStyle w:val="BodyText"/>
        <w:spacing w:line="360" w:lineRule="auto" w:before="142"/>
        <w:ind w:left="102" w:right="115"/>
        <w:jc w:val="both"/>
      </w:pPr>
      <w:r>
        <w:rPr/>
        <w:t>ECONÓMICAS:</w:t>
      </w:r>
      <w:r>
        <w:rPr>
          <w:spacing w:val="-5"/>
        </w:rPr>
        <w:t> </w:t>
      </w:r>
      <w:r>
        <w:rPr/>
        <w:t>Ya</w:t>
      </w:r>
      <w:r>
        <w:rPr>
          <w:spacing w:val="-6"/>
        </w:rPr>
        <w:t> </w:t>
      </w:r>
      <w:r>
        <w:rPr/>
        <w:t>que</w:t>
      </w:r>
      <w:r>
        <w:rPr>
          <w:spacing w:val="-6"/>
        </w:rPr>
        <w:t> </w:t>
      </w:r>
      <w:r>
        <w:rPr/>
        <w:t>las</w:t>
      </w:r>
      <w:r>
        <w:rPr>
          <w:spacing w:val="-6"/>
        </w:rPr>
        <w:t> </w:t>
      </w:r>
      <w:r>
        <w:rPr/>
        <w:t>malformaciones</w:t>
      </w:r>
      <w:r>
        <w:rPr>
          <w:spacing w:val="-6"/>
        </w:rPr>
        <w:t> </w:t>
      </w:r>
      <w:r>
        <w:rPr/>
        <w:t>congénitas</w:t>
      </w:r>
      <w:r>
        <w:rPr>
          <w:spacing w:val="-6"/>
        </w:rPr>
        <w:t> </w:t>
      </w:r>
      <w:r>
        <w:rPr/>
        <w:t>se</w:t>
      </w:r>
      <w:r>
        <w:rPr>
          <w:spacing w:val="-6"/>
        </w:rPr>
        <w:t> </w:t>
      </w:r>
      <w:r>
        <w:rPr/>
        <w:t>consideran</w:t>
      </w:r>
      <w:r>
        <w:rPr>
          <w:spacing w:val="-6"/>
        </w:rPr>
        <w:t> </w:t>
      </w:r>
      <w:r>
        <w:rPr/>
        <w:t>un</w:t>
      </w:r>
      <w:r>
        <w:rPr>
          <w:spacing w:val="-6"/>
        </w:rPr>
        <w:t> </w:t>
      </w:r>
      <w:r>
        <w:rPr/>
        <w:t>problema de salud pública a nivel mundial, y en este caso que las de tipo gastrointestinal requieres de manejos multidisciplinarios el conocer la prevalencia ayudará a las instituciones de salud a organizar los niveles de atención en cuanto a diagnóstico</w:t>
      </w:r>
      <w:r>
        <w:rPr>
          <w:spacing w:val="-29"/>
        </w:rPr>
        <w:t> </w:t>
      </w:r>
      <w:r>
        <w:rPr/>
        <w:t>y tratamiento para poder optimizar los recursos asignando el presupuesto necesario para su</w:t>
      </w:r>
      <w:r>
        <w:rPr>
          <w:spacing w:val="-5"/>
        </w:rPr>
        <w:t> </w:t>
      </w:r>
      <w:r>
        <w:rPr/>
        <w:t>atención.</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3"/>
      </w:pPr>
    </w:p>
    <w:p>
      <w:pPr>
        <w:pStyle w:val="Heading1"/>
        <w:numPr>
          <w:ilvl w:val="1"/>
          <w:numId w:val="3"/>
        </w:numPr>
        <w:tabs>
          <w:tab w:pos="398" w:val="left" w:leader="none"/>
        </w:tabs>
        <w:spacing w:line="240" w:lineRule="auto" w:before="0" w:after="0"/>
        <w:ind w:left="397" w:right="0" w:hanging="295"/>
        <w:jc w:val="both"/>
      </w:pPr>
      <w:r>
        <w:rPr/>
        <w:t>OBJETIVOS</w:t>
      </w:r>
    </w:p>
    <w:p>
      <w:pPr>
        <w:pStyle w:val="BodyText"/>
        <w:rPr>
          <w:b/>
        </w:rPr>
      </w:pPr>
    </w:p>
    <w:p>
      <w:pPr>
        <w:pStyle w:val="BodyText"/>
        <w:rPr>
          <w:b/>
        </w:rPr>
      </w:pPr>
    </w:p>
    <w:p>
      <w:pPr>
        <w:pStyle w:val="ListParagraph"/>
        <w:numPr>
          <w:ilvl w:val="0"/>
          <w:numId w:val="6"/>
        </w:numPr>
        <w:tabs>
          <w:tab w:pos="822" w:val="left" w:leader="none"/>
        </w:tabs>
        <w:spacing w:line="240" w:lineRule="auto" w:before="0" w:after="0"/>
        <w:ind w:left="822" w:right="0" w:hanging="360"/>
        <w:jc w:val="left"/>
        <w:rPr>
          <w:sz w:val="24"/>
        </w:rPr>
      </w:pPr>
      <w:r>
        <w:rPr>
          <w:sz w:val="24"/>
        </w:rPr>
        <w:t>General</w:t>
      </w:r>
    </w:p>
    <w:p>
      <w:pPr>
        <w:pStyle w:val="BodyText"/>
        <w:spacing w:line="360" w:lineRule="auto" w:before="139"/>
        <w:ind w:left="810" w:right="116"/>
        <w:jc w:val="both"/>
      </w:pPr>
      <w:r>
        <w:rPr/>
        <w:t>Se determinó la prevalencia de malformaciones gastrointestinales en recién nacidos</w:t>
      </w:r>
      <w:r>
        <w:rPr>
          <w:spacing w:val="-19"/>
        </w:rPr>
        <w:t> </w:t>
      </w:r>
      <w:r>
        <w:rPr/>
        <w:t>que</w:t>
      </w:r>
      <w:r>
        <w:rPr>
          <w:spacing w:val="-19"/>
        </w:rPr>
        <w:t> </w:t>
      </w:r>
      <w:r>
        <w:rPr/>
        <w:t>nacieron</w:t>
      </w:r>
      <w:r>
        <w:rPr>
          <w:spacing w:val="-17"/>
        </w:rPr>
        <w:t> </w:t>
      </w:r>
      <w:r>
        <w:rPr/>
        <w:t>en</w:t>
      </w:r>
      <w:r>
        <w:rPr>
          <w:spacing w:val="-17"/>
        </w:rPr>
        <w:t> </w:t>
      </w:r>
      <w:r>
        <w:rPr/>
        <w:t>el</w:t>
      </w:r>
      <w:r>
        <w:rPr>
          <w:spacing w:val="-19"/>
        </w:rPr>
        <w:t> </w:t>
      </w:r>
      <w:r>
        <w:rPr/>
        <w:t>Hospital</w:t>
      </w:r>
      <w:r>
        <w:rPr>
          <w:spacing w:val="-18"/>
        </w:rPr>
        <w:t> </w:t>
      </w:r>
      <w:r>
        <w:rPr/>
        <w:t>Materno</w:t>
      </w:r>
      <w:r>
        <w:rPr>
          <w:spacing w:val="-19"/>
        </w:rPr>
        <w:t> </w:t>
      </w:r>
      <w:r>
        <w:rPr/>
        <w:t>Perinatal</w:t>
      </w:r>
      <w:r>
        <w:rPr>
          <w:spacing w:val="-19"/>
        </w:rPr>
        <w:t> </w:t>
      </w:r>
      <w:r>
        <w:rPr/>
        <w:t>Mónica</w:t>
      </w:r>
      <w:r>
        <w:rPr>
          <w:spacing w:val="-19"/>
        </w:rPr>
        <w:t> </w:t>
      </w:r>
      <w:r>
        <w:rPr/>
        <w:t>Pretelini</w:t>
      </w:r>
      <w:r>
        <w:rPr>
          <w:spacing w:val="-18"/>
        </w:rPr>
        <w:t> </w:t>
      </w:r>
      <w:r>
        <w:rPr/>
        <w:t>Sáenz en el periodo comprendido de enero de 2010 a diciembre de</w:t>
      </w:r>
      <w:r>
        <w:rPr>
          <w:spacing w:val="-22"/>
        </w:rPr>
        <w:t> </w:t>
      </w:r>
      <w:r>
        <w:rPr/>
        <w:t>2015</w:t>
      </w:r>
    </w:p>
    <w:p>
      <w:pPr>
        <w:pStyle w:val="BodyText"/>
      </w:pPr>
    </w:p>
    <w:p>
      <w:pPr>
        <w:pStyle w:val="ListParagraph"/>
        <w:numPr>
          <w:ilvl w:val="0"/>
          <w:numId w:val="6"/>
        </w:numPr>
        <w:tabs>
          <w:tab w:pos="822" w:val="left" w:leader="none"/>
        </w:tabs>
        <w:spacing w:line="240" w:lineRule="auto" w:before="142" w:after="0"/>
        <w:ind w:left="822" w:right="0" w:hanging="360"/>
        <w:jc w:val="left"/>
        <w:rPr>
          <w:sz w:val="24"/>
        </w:rPr>
      </w:pPr>
      <w:r>
        <w:rPr>
          <w:sz w:val="24"/>
        </w:rPr>
        <w:t>Específicos</w:t>
      </w:r>
    </w:p>
    <w:p>
      <w:pPr>
        <w:pStyle w:val="ListParagraph"/>
        <w:numPr>
          <w:ilvl w:val="1"/>
          <w:numId w:val="6"/>
        </w:numPr>
        <w:tabs>
          <w:tab w:pos="1529" w:val="left" w:leader="none"/>
          <w:tab w:pos="1530" w:val="left" w:leader="none"/>
        </w:tabs>
        <w:spacing w:line="350" w:lineRule="auto" w:before="137" w:after="0"/>
        <w:ind w:left="1530" w:right="119" w:hanging="360"/>
        <w:jc w:val="left"/>
        <w:rPr>
          <w:sz w:val="24"/>
        </w:rPr>
      </w:pPr>
      <w:r>
        <w:rPr>
          <w:sz w:val="24"/>
        </w:rPr>
        <w:t>Identificar cual fue el género más afectado por cada tipo de malformación gastrointestinal</w:t>
      </w:r>
      <w:r>
        <w:rPr>
          <w:spacing w:val="-12"/>
          <w:sz w:val="24"/>
        </w:rPr>
        <w:t> </w:t>
      </w:r>
      <w:r>
        <w:rPr>
          <w:sz w:val="24"/>
        </w:rPr>
        <w:t>encontrada</w:t>
      </w:r>
    </w:p>
    <w:p>
      <w:pPr>
        <w:pStyle w:val="ListParagraph"/>
        <w:numPr>
          <w:ilvl w:val="1"/>
          <w:numId w:val="6"/>
        </w:numPr>
        <w:tabs>
          <w:tab w:pos="1529" w:val="left" w:leader="none"/>
          <w:tab w:pos="1530" w:val="left" w:leader="none"/>
        </w:tabs>
        <w:spacing w:line="240" w:lineRule="auto" w:before="16" w:after="0"/>
        <w:ind w:left="1530" w:right="0" w:hanging="360"/>
        <w:jc w:val="left"/>
        <w:rPr>
          <w:sz w:val="24"/>
        </w:rPr>
      </w:pPr>
      <w:r>
        <w:rPr>
          <w:sz w:val="24"/>
        </w:rPr>
        <w:t>Identificar qué malformación gastrointestinal fue la más</w:t>
      </w:r>
      <w:r>
        <w:rPr>
          <w:spacing w:val="-22"/>
          <w:sz w:val="24"/>
        </w:rPr>
        <w:t> </w:t>
      </w:r>
      <w:r>
        <w:rPr>
          <w:sz w:val="24"/>
        </w:rPr>
        <w:t>frecuente</w:t>
      </w:r>
    </w:p>
    <w:p>
      <w:pPr>
        <w:spacing w:after="0" w:line="240" w:lineRule="auto"/>
        <w:jc w:val="left"/>
        <w:rPr>
          <w:sz w:val="24"/>
        </w:rPr>
        <w:sectPr>
          <w:pgSz w:w="12240" w:h="15840"/>
          <w:pgMar w:top="800" w:bottom="280" w:left="1600" w:right="1580"/>
        </w:sectPr>
      </w:pPr>
    </w:p>
    <w:p>
      <w:pPr>
        <w:pStyle w:val="ListParagraph"/>
        <w:numPr>
          <w:ilvl w:val="2"/>
          <w:numId w:val="6"/>
        </w:numPr>
        <w:tabs>
          <w:tab w:pos="1890" w:val="left" w:leader="none"/>
        </w:tabs>
        <w:spacing w:line="350" w:lineRule="auto" w:before="30" w:after="0"/>
        <w:ind w:left="1890" w:right="741" w:hanging="360"/>
        <w:jc w:val="both"/>
        <w:rPr>
          <w:sz w:val="24"/>
        </w:rPr>
      </w:pPr>
      <w:r>
        <w:rPr>
          <w:sz w:val="24"/>
        </w:rPr>
        <w:t>Identificar si las malformaciones congénitas gastrointestinales se asociaron a otras malformaciones</w:t>
      </w:r>
      <w:r>
        <w:rPr>
          <w:spacing w:val="-18"/>
          <w:sz w:val="24"/>
        </w:rPr>
        <w:t> </w:t>
      </w:r>
      <w:r>
        <w:rPr>
          <w:sz w:val="24"/>
        </w:rPr>
        <w:t>congénitas</w:t>
      </w:r>
    </w:p>
    <w:p>
      <w:pPr>
        <w:pStyle w:val="ListParagraph"/>
        <w:numPr>
          <w:ilvl w:val="2"/>
          <w:numId w:val="6"/>
        </w:numPr>
        <w:tabs>
          <w:tab w:pos="1890" w:val="left" w:leader="none"/>
        </w:tabs>
        <w:spacing w:line="355" w:lineRule="auto" w:before="14" w:after="0"/>
        <w:ind w:left="1890" w:right="739" w:hanging="360"/>
        <w:jc w:val="both"/>
        <w:rPr>
          <w:sz w:val="24"/>
        </w:rPr>
      </w:pPr>
      <w:r>
        <w:rPr>
          <w:sz w:val="24"/>
        </w:rPr>
        <w:t>Comparar la frecuencia actual con la literatura en el Hospital Materno Perinatal Mónica Pretelini Sáenz en el periodo comprendido de 2010 a</w:t>
      </w:r>
      <w:r>
        <w:rPr>
          <w:spacing w:val="-2"/>
          <w:sz w:val="24"/>
        </w:rPr>
        <w:t> </w:t>
      </w:r>
      <w:r>
        <w:rPr>
          <w:sz w:val="24"/>
        </w:rPr>
        <w:t>2015</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Heading1"/>
        <w:numPr>
          <w:ilvl w:val="1"/>
          <w:numId w:val="3"/>
        </w:numPr>
        <w:tabs>
          <w:tab w:pos="825" w:val="left" w:leader="none"/>
        </w:tabs>
        <w:spacing w:line="240" w:lineRule="auto" w:before="149" w:after="0"/>
        <w:ind w:left="824" w:right="0" w:hanging="362"/>
        <w:jc w:val="left"/>
      </w:pPr>
      <w:r>
        <w:rPr/>
        <w:t>MÉTODO</w:t>
      </w:r>
    </w:p>
    <w:p>
      <w:pPr>
        <w:pStyle w:val="BodyText"/>
        <w:rPr>
          <w:b/>
        </w:rPr>
      </w:pPr>
    </w:p>
    <w:p>
      <w:pPr>
        <w:pStyle w:val="BodyText"/>
        <w:rPr>
          <w:b/>
        </w:rPr>
      </w:pPr>
    </w:p>
    <w:p>
      <w:pPr>
        <w:pStyle w:val="BodyText"/>
        <w:ind w:left="462"/>
      </w:pPr>
      <w:r>
        <w:rPr/>
        <w:t>DISEÑO Y TIPO DE ESTUDIO:</w:t>
      </w:r>
    </w:p>
    <w:p>
      <w:pPr>
        <w:pStyle w:val="ListParagraph"/>
        <w:numPr>
          <w:ilvl w:val="0"/>
          <w:numId w:val="7"/>
        </w:numPr>
        <w:tabs>
          <w:tab w:pos="1181" w:val="left" w:leader="none"/>
          <w:tab w:pos="1182" w:val="left" w:leader="none"/>
        </w:tabs>
        <w:spacing w:line="360" w:lineRule="auto" w:before="137" w:after="0"/>
        <w:ind w:left="462" w:right="3577" w:firstLine="360"/>
        <w:jc w:val="left"/>
        <w:rPr>
          <w:sz w:val="24"/>
        </w:rPr>
      </w:pPr>
      <w:r>
        <w:rPr>
          <w:sz w:val="24"/>
        </w:rPr>
        <w:t>Estudio observacional, transversal y</w:t>
      </w:r>
      <w:r>
        <w:rPr>
          <w:spacing w:val="-17"/>
          <w:sz w:val="24"/>
        </w:rPr>
        <w:t> </w:t>
      </w:r>
      <w:r>
        <w:rPr>
          <w:sz w:val="24"/>
        </w:rPr>
        <w:t>retrospectivo OPERACIONALIZACIÓN DE</w:t>
      </w:r>
      <w:r>
        <w:rPr>
          <w:spacing w:val="-8"/>
          <w:sz w:val="24"/>
        </w:rPr>
        <w:t> </w:t>
      </w:r>
      <w:r>
        <w:rPr>
          <w:sz w:val="24"/>
        </w:rPr>
        <w:t>VARIABLES</w:t>
      </w:r>
    </w:p>
    <w:p>
      <w:pPr>
        <w:pStyle w:val="BodyText"/>
        <w:rPr>
          <w:sz w:val="20"/>
        </w:rPr>
      </w:pPr>
    </w:p>
    <w:p>
      <w:pPr>
        <w:pStyle w:val="BodyText"/>
        <w:spacing w:before="6"/>
        <w:rPr>
          <w:sz w:val="16"/>
        </w:rPr>
      </w:pPr>
    </w:p>
    <w:tbl>
      <w:tblPr>
        <w:tblW w:w="0" w:type="auto"/>
        <w:jc w:val="left"/>
        <w:tblInd w:w="11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261"/>
        <w:gridCol w:w="1942"/>
        <w:gridCol w:w="2633"/>
        <w:gridCol w:w="1277"/>
        <w:gridCol w:w="1670"/>
      </w:tblGrid>
      <w:tr>
        <w:trPr>
          <w:trHeight w:val="494" w:hRule="exact"/>
        </w:trPr>
        <w:tc>
          <w:tcPr>
            <w:tcW w:w="2261" w:type="dxa"/>
          </w:tcPr>
          <w:p>
            <w:pPr>
              <w:pStyle w:val="TableParagraph"/>
              <w:spacing w:before="11"/>
              <w:ind w:left="69" w:right="152"/>
              <w:rPr>
                <w:sz w:val="20"/>
              </w:rPr>
            </w:pPr>
            <w:r>
              <w:rPr>
                <w:sz w:val="20"/>
              </w:rPr>
              <w:t>VARIABLE</w:t>
            </w:r>
          </w:p>
        </w:tc>
        <w:tc>
          <w:tcPr>
            <w:tcW w:w="1942" w:type="dxa"/>
          </w:tcPr>
          <w:p>
            <w:pPr>
              <w:pStyle w:val="TableParagraph"/>
              <w:spacing w:before="11"/>
              <w:ind w:left="69" w:right="467"/>
              <w:rPr>
                <w:sz w:val="20"/>
              </w:rPr>
            </w:pPr>
            <w:r>
              <w:rPr>
                <w:sz w:val="20"/>
              </w:rPr>
              <w:t>DEFICIÓN CONCEPTUAL</w:t>
            </w:r>
          </w:p>
        </w:tc>
        <w:tc>
          <w:tcPr>
            <w:tcW w:w="2633" w:type="dxa"/>
          </w:tcPr>
          <w:p>
            <w:pPr>
              <w:pStyle w:val="TableParagraph"/>
              <w:spacing w:before="11"/>
              <w:ind w:left="69" w:right="379"/>
              <w:rPr>
                <w:sz w:val="20"/>
              </w:rPr>
            </w:pPr>
            <w:r>
              <w:rPr>
                <w:sz w:val="20"/>
              </w:rPr>
              <w:t>DEFINICIÓN </w:t>
            </w:r>
            <w:r>
              <w:rPr>
                <w:w w:val="95"/>
                <w:sz w:val="20"/>
              </w:rPr>
              <w:t>OPERACIONAL</w:t>
            </w:r>
          </w:p>
        </w:tc>
        <w:tc>
          <w:tcPr>
            <w:tcW w:w="1277" w:type="dxa"/>
          </w:tcPr>
          <w:p>
            <w:pPr>
              <w:pStyle w:val="TableParagraph"/>
              <w:tabs>
                <w:tab w:pos="906" w:val="left" w:leader="none"/>
              </w:tabs>
              <w:spacing w:before="11"/>
              <w:ind w:left="69" w:right="72"/>
              <w:rPr>
                <w:sz w:val="20"/>
              </w:rPr>
            </w:pPr>
            <w:r>
              <w:rPr>
                <w:sz w:val="20"/>
              </w:rPr>
              <w:t>TIPO</w:t>
              <w:tab/>
              <w:t>DE VARIABLE</w:t>
            </w:r>
          </w:p>
        </w:tc>
        <w:tc>
          <w:tcPr>
            <w:tcW w:w="1670" w:type="dxa"/>
          </w:tcPr>
          <w:p>
            <w:pPr>
              <w:pStyle w:val="TableParagraph"/>
              <w:tabs>
                <w:tab w:pos="1300" w:val="left" w:leader="none"/>
              </w:tabs>
              <w:spacing w:before="11"/>
              <w:ind w:left="69" w:right="69"/>
              <w:rPr>
                <w:sz w:val="20"/>
              </w:rPr>
            </w:pPr>
            <w:r>
              <w:rPr>
                <w:sz w:val="20"/>
              </w:rPr>
              <w:t>ESCALA</w:t>
              <w:tab/>
              <w:t>DE MEDICIÓN</w:t>
            </w:r>
          </w:p>
        </w:tc>
      </w:tr>
      <w:tr>
        <w:trPr>
          <w:trHeight w:val="1416" w:hRule="exact"/>
        </w:trPr>
        <w:tc>
          <w:tcPr>
            <w:tcW w:w="2261" w:type="dxa"/>
          </w:tcPr>
          <w:p>
            <w:pPr>
              <w:pStyle w:val="TableParagraph"/>
              <w:spacing w:before="11"/>
              <w:ind w:left="69" w:right="152"/>
              <w:rPr>
                <w:sz w:val="20"/>
              </w:rPr>
            </w:pPr>
            <w:r>
              <w:rPr>
                <w:sz w:val="20"/>
              </w:rPr>
              <w:t>MALFORMACIÓN CONGÉNITA GASTROINTESTINAL</w:t>
            </w:r>
          </w:p>
        </w:tc>
        <w:tc>
          <w:tcPr>
            <w:tcW w:w="1942" w:type="dxa"/>
          </w:tcPr>
          <w:p>
            <w:pPr>
              <w:pStyle w:val="TableParagraph"/>
              <w:spacing w:before="11"/>
              <w:ind w:left="69" w:right="70"/>
              <w:jc w:val="both"/>
              <w:rPr>
                <w:sz w:val="20"/>
              </w:rPr>
            </w:pPr>
            <w:r>
              <w:rPr>
                <w:sz w:val="20"/>
              </w:rPr>
              <w:t>Defecto estructural primario de un órgano o parte de un órgano, el cual resulta de una anormalidad</w:t>
            </w:r>
          </w:p>
        </w:tc>
        <w:tc>
          <w:tcPr>
            <w:tcW w:w="2633" w:type="dxa"/>
          </w:tcPr>
          <w:p>
            <w:pPr>
              <w:pStyle w:val="TableParagraph"/>
              <w:spacing w:before="11"/>
              <w:ind w:left="69" w:right="70"/>
              <w:jc w:val="both"/>
              <w:rPr>
                <w:sz w:val="20"/>
              </w:rPr>
            </w:pPr>
            <w:r>
              <w:rPr>
                <w:sz w:val="20"/>
              </w:rPr>
              <w:t>Enumeración de las malformaciones congénitas gastrointestinales</w:t>
            </w:r>
          </w:p>
          <w:p>
            <w:pPr>
              <w:pStyle w:val="TableParagraph"/>
              <w:numPr>
                <w:ilvl w:val="0"/>
                <w:numId w:val="8"/>
              </w:numPr>
              <w:tabs>
                <w:tab w:pos="789" w:val="left" w:leader="none"/>
                <w:tab w:pos="790" w:val="left" w:leader="none"/>
              </w:tabs>
              <w:spacing w:line="228" w:lineRule="exact" w:before="20" w:after="0"/>
              <w:ind w:left="789" w:right="658" w:hanging="360"/>
              <w:jc w:val="left"/>
              <w:rPr>
                <w:sz w:val="20"/>
              </w:rPr>
            </w:pPr>
            <w:r>
              <w:rPr>
                <w:sz w:val="20"/>
              </w:rPr>
              <w:t>ATRESIA </w:t>
            </w:r>
            <w:r>
              <w:rPr>
                <w:w w:val="95"/>
                <w:sz w:val="20"/>
              </w:rPr>
              <w:t>ESOFÁGICA</w:t>
            </w:r>
          </w:p>
        </w:tc>
        <w:tc>
          <w:tcPr>
            <w:tcW w:w="1277" w:type="dxa"/>
          </w:tcPr>
          <w:p>
            <w:pPr>
              <w:pStyle w:val="TableParagraph"/>
              <w:spacing w:before="11"/>
              <w:ind w:left="69" w:right="200"/>
              <w:jc w:val="both"/>
              <w:rPr>
                <w:sz w:val="20"/>
              </w:rPr>
            </w:pPr>
            <w:r>
              <w:rPr>
                <w:w w:val="95"/>
                <w:sz w:val="20"/>
              </w:rPr>
              <w:t>Cualitativa, </w:t>
            </w:r>
            <w:r>
              <w:rPr>
                <w:sz w:val="20"/>
              </w:rPr>
              <w:t>dicotómica nominal</w:t>
            </w:r>
          </w:p>
        </w:tc>
        <w:tc>
          <w:tcPr>
            <w:tcW w:w="1670" w:type="dxa"/>
          </w:tcPr>
          <w:p>
            <w:pPr>
              <w:pStyle w:val="TableParagraph"/>
              <w:spacing w:before="11"/>
              <w:ind w:left="69" w:right="1306"/>
              <w:rPr>
                <w:sz w:val="20"/>
              </w:rPr>
            </w:pPr>
            <w:r>
              <w:rPr>
                <w:sz w:val="20"/>
              </w:rPr>
              <w:t>Si No</w:t>
            </w:r>
          </w:p>
        </w:tc>
      </w:tr>
    </w:tbl>
    <w:p>
      <w:pPr>
        <w:spacing w:after="0"/>
        <w:rPr>
          <w:sz w:val="20"/>
        </w:rPr>
        <w:sectPr>
          <w:pgSz w:w="12240" w:h="15840"/>
          <w:pgMar w:top="820" w:bottom="280" w:left="1240" w:right="960"/>
        </w:sectPr>
      </w:pPr>
    </w:p>
    <w:tbl>
      <w:tblPr>
        <w:tblW w:w="0" w:type="auto"/>
        <w:jc w:val="left"/>
        <w:tblInd w:w="11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261"/>
        <w:gridCol w:w="1942"/>
        <w:gridCol w:w="2633"/>
        <w:gridCol w:w="1277"/>
        <w:gridCol w:w="1670"/>
      </w:tblGrid>
      <w:tr>
        <w:trPr>
          <w:trHeight w:val="2400" w:hRule="exact"/>
        </w:trPr>
        <w:tc>
          <w:tcPr>
            <w:tcW w:w="2261" w:type="dxa"/>
          </w:tcPr>
          <w:p>
            <w:pPr/>
          </w:p>
        </w:tc>
        <w:tc>
          <w:tcPr>
            <w:tcW w:w="1942" w:type="dxa"/>
          </w:tcPr>
          <w:p>
            <w:pPr>
              <w:pStyle w:val="TableParagraph"/>
              <w:tabs>
                <w:tab w:pos="1210" w:val="left" w:leader="none"/>
                <w:tab w:pos="1637" w:val="left" w:leader="none"/>
                <w:tab w:pos="1694" w:val="left" w:leader="none"/>
              </w:tabs>
              <w:spacing w:before="3"/>
              <w:ind w:left="69" w:right="69"/>
              <w:rPr>
                <w:sz w:val="20"/>
              </w:rPr>
            </w:pPr>
            <w:r>
              <w:rPr>
                <w:sz w:val="20"/>
              </w:rPr>
              <w:t>inherente</w:t>
              <w:tab/>
              <w:t>a</w:t>
              <w:tab/>
              <w:t>su desarrollo</w:t>
              <w:tab/>
              <w:t>en</w:t>
              <w:tab/>
              <w:tab/>
              <w:t>el aparato gastrointestinal</w:t>
            </w:r>
          </w:p>
        </w:tc>
        <w:tc>
          <w:tcPr>
            <w:tcW w:w="2633" w:type="dxa"/>
          </w:tcPr>
          <w:p>
            <w:pPr>
              <w:pStyle w:val="TableParagraph"/>
              <w:numPr>
                <w:ilvl w:val="0"/>
                <w:numId w:val="9"/>
              </w:numPr>
              <w:tabs>
                <w:tab w:pos="789" w:val="left" w:leader="none"/>
                <w:tab w:pos="790" w:val="left" w:leader="none"/>
              </w:tabs>
              <w:spacing w:line="240" w:lineRule="auto" w:before="4" w:after="0"/>
              <w:ind w:left="789" w:right="667" w:hanging="360"/>
              <w:jc w:val="left"/>
              <w:rPr>
                <w:sz w:val="20"/>
              </w:rPr>
            </w:pPr>
            <w:r>
              <w:rPr>
                <w:sz w:val="20"/>
              </w:rPr>
              <w:t>ATRESIA INTESTINAL</w:t>
            </w:r>
          </w:p>
          <w:p>
            <w:pPr>
              <w:pStyle w:val="TableParagraph"/>
              <w:numPr>
                <w:ilvl w:val="0"/>
                <w:numId w:val="9"/>
              </w:numPr>
              <w:tabs>
                <w:tab w:pos="789" w:val="left" w:leader="none"/>
                <w:tab w:pos="790" w:val="left" w:leader="none"/>
              </w:tabs>
              <w:spacing w:line="240" w:lineRule="auto" w:before="0" w:after="0"/>
              <w:ind w:left="789" w:right="191" w:hanging="360"/>
              <w:jc w:val="left"/>
              <w:rPr>
                <w:sz w:val="20"/>
              </w:rPr>
            </w:pPr>
            <w:r>
              <w:rPr>
                <w:w w:val="95"/>
                <w:sz w:val="20"/>
              </w:rPr>
              <w:t>MALFORMACIÓN </w:t>
            </w:r>
            <w:r>
              <w:rPr>
                <w:sz w:val="20"/>
              </w:rPr>
              <w:t>ANORRECTAL</w:t>
            </w:r>
          </w:p>
          <w:p>
            <w:pPr>
              <w:pStyle w:val="TableParagraph"/>
              <w:numPr>
                <w:ilvl w:val="0"/>
                <w:numId w:val="9"/>
              </w:numPr>
              <w:tabs>
                <w:tab w:pos="789" w:val="left" w:leader="none"/>
                <w:tab w:pos="790" w:val="left" w:leader="none"/>
              </w:tabs>
              <w:spacing w:line="228" w:lineRule="exact" w:before="20" w:after="0"/>
              <w:ind w:left="789" w:right="356" w:hanging="360"/>
              <w:jc w:val="left"/>
              <w:rPr>
                <w:sz w:val="20"/>
              </w:rPr>
            </w:pPr>
            <w:r>
              <w:rPr>
                <w:sz w:val="20"/>
              </w:rPr>
              <w:t>MALROTACIÓN INTESTINAL</w:t>
            </w:r>
          </w:p>
          <w:p>
            <w:pPr>
              <w:pStyle w:val="TableParagraph"/>
              <w:numPr>
                <w:ilvl w:val="0"/>
                <w:numId w:val="9"/>
              </w:numPr>
              <w:tabs>
                <w:tab w:pos="789" w:val="left" w:leader="none"/>
                <w:tab w:pos="790" w:val="left" w:leader="none"/>
              </w:tabs>
              <w:spacing w:line="228" w:lineRule="exact" w:before="16" w:after="0"/>
              <w:ind w:left="789" w:right="457" w:hanging="360"/>
              <w:jc w:val="left"/>
              <w:rPr>
                <w:sz w:val="20"/>
              </w:rPr>
            </w:pPr>
            <w:r>
              <w:rPr>
                <w:w w:val="95"/>
                <w:sz w:val="20"/>
              </w:rPr>
              <w:t>DUPLICACIÓN </w:t>
            </w:r>
            <w:r>
              <w:rPr>
                <w:sz w:val="20"/>
              </w:rPr>
              <w:t>INTESTINAL</w:t>
            </w:r>
          </w:p>
          <w:p>
            <w:pPr>
              <w:pStyle w:val="TableParagraph"/>
              <w:numPr>
                <w:ilvl w:val="0"/>
                <w:numId w:val="9"/>
              </w:numPr>
              <w:tabs>
                <w:tab w:pos="789" w:val="left" w:leader="none"/>
                <w:tab w:pos="790" w:val="left" w:leader="none"/>
              </w:tabs>
              <w:spacing w:line="240" w:lineRule="auto" w:before="0" w:after="0"/>
              <w:ind w:left="789" w:right="72" w:hanging="360"/>
              <w:jc w:val="left"/>
              <w:rPr>
                <w:sz w:val="20"/>
              </w:rPr>
            </w:pPr>
            <w:r>
              <w:rPr>
                <w:sz w:val="20"/>
              </w:rPr>
              <w:t>DIVERTÍCULO DE MECKEL</w:t>
            </w:r>
          </w:p>
        </w:tc>
        <w:tc>
          <w:tcPr>
            <w:tcW w:w="1277" w:type="dxa"/>
          </w:tcPr>
          <w:p>
            <w:pPr/>
          </w:p>
        </w:tc>
        <w:tc>
          <w:tcPr>
            <w:tcW w:w="1670" w:type="dxa"/>
          </w:tcPr>
          <w:p>
            <w:pPr/>
          </w:p>
        </w:tc>
      </w:tr>
      <w:tr>
        <w:trPr>
          <w:trHeight w:val="2336" w:hRule="exact"/>
        </w:trPr>
        <w:tc>
          <w:tcPr>
            <w:tcW w:w="2261" w:type="dxa"/>
          </w:tcPr>
          <w:p>
            <w:pPr>
              <w:pStyle w:val="TableParagraph"/>
              <w:spacing w:before="6"/>
              <w:ind w:left="69" w:right="152"/>
              <w:rPr>
                <w:sz w:val="20"/>
              </w:rPr>
            </w:pPr>
            <w:r>
              <w:rPr>
                <w:sz w:val="20"/>
              </w:rPr>
              <w:t>GÉNERO</w:t>
            </w:r>
          </w:p>
        </w:tc>
        <w:tc>
          <w:tcPr>
            <w:tcW w:w="1942" w:type="dxa"/>
          </w:tcPr>
          <w:p>
            <w:pPr>
              <w:pStyle w:val="TableParagraph"/>
              <w:tabs>
                <w:tab w:pos="508" w:val="left" w:leader="none"/>
                <w:tab w:pos="827" w:val="left" w:leader="none"/>
                <w:tab w:pos="1393" w:val="left" w:leader="none"/>
                <w:tab w:pos="1515" w:val="left" w:leader="none"/>
                <w:tab w:pos="1753" w:val="left" w:leader="none"/>
              </w:tabs>
              <w:spacing w:before="6"/>
              <w:ind w:left="69" w:right="67"/>
              <w:rPr>
                <w:sz w:val="20"/>
              </w:rPr>
            </w:pPr>
            <w:r>
              <w:rPr>
                <w:sz w:val="20"/>
              </w:rPr>
              <w:t>Grupo</w:t>
              <w:tab/>
              <w:t>taxonómico de</w:t>
              <w:tab/>
              <w:t>especies</w:t>
              <w:tab/>
              <w:tab/>
              <w:t>que poseen uno o</w:t>
            </w:r>
            <w:r>
              <w:rPr>
                <w:spacing w:val="-26"/>
                <w:sz w:val="20"/>
              </w:rPr>
              <w:t> </w:t>
            </w:r>
            <w:r>
              <w:rPr>
                <w:sz w:val="20"/>
              </w:rPr>
              <w:t>varios caracteres comunes/ características fisiológicas que los diferencian</w:t>
              <w:tab/>
              <w:t>entre masculino</w:t>
              <w:tab/>
              <w:tab/>
              <w:tab/>
              <w:t>y femenino</w:t>
            </w:r>
          </w:p>
        </w:tc>
        <w:tc>
          <w:tcPr>
            <w:tcW w:w="2633" w:type="dxa"/>
          </w:tcPr>
          <w:p>
            <w:pPr>
              <w:pStyle w:val="TableParagraph"/>
              <w:spacing w:before="6"/>
              <w:ind w:left="69" w:right="379"/>
              <w:rPr>
                <w:sz w:val="20"/>
              </w:rPr>
            </w:pPr>
            <w:r>
              <w:rPr>
                <w:w w:val="95"/>
                <w:sz w:val="20"/>
              </w:rPr>
              <w:t>MASCULINO </w:t>
            </w:r>
            <w:r>
              <w:rPr>
                <w:sz w:val="20"/>
              </w:rPr>
              <w:t>FEMENINO</w:t>
            </w:r>
          </w:p>
        </w:tc>
        <w:tc>
          <w:tcPr>
            <w:tcW w:w="1277" w:type="dxa"/>
          </w:tcPr>
          <w:p>
            <w:pPr>
              <w:pStyle w:val="TableParagraph"/>
              <w:spacing w:before="6"/>
              <w:ind w:left="69" w:right="180"/>
              <w:rPr>
                <w:sz w:val="20"/>
              </w:rPr>
            </w:pPr>
            <w:r>
              <w:rPr>
                <w:sz w:val="20"/>
              </w:rPr>
              <w:t>Dicotómica nominal</w:t>
            </w:r>
          </w:p>
        </w:tc>
        <w:tc>
          <w:tcPr>
            <w:tcW w:w="1670" w:type="dxa"/>
          </w:tcPr>
          <w:p>
            <w:pPr>
              <w:pStyle w:val="TableParagraph"/>
              <w:tabs>
                <w:tab w:pos="1467" w:val="left" w:leader="none"/>
              </w:tabs>
              <w:spacing w:before="6"/>
              <w:ind w:left="69" w:right="70"/>
              <w:rPr>
                <w:sz w:val="20"/>
              </w:rPr>
            </w:pPr>
            <w:r>
              <w:rPr>
                <w:sz w:val="20"/>
              </w:rPr>
              <w:t>Femenino</w:t>
              <w:tab/>
              <w:t>o masculino</w:t>
            </w:r>
          </w:p>
        </w:tc>
      </w:tr>
      <w:tr>
        <w:trPr>
          <w:trHeight w:val="1877" w:hRule="exact"/>
        </w:trPr>
        <w:tc>
          <w:tcPr>
            <w:tcW w:w="2261" w:type="dxa"/>
          </w:tcPr>
          <w:p>
            <w:pPr>
              <w:pStyle w:val="TableParagraph"/>
              <w:spacing w:before="6"/>
              <w:ind w:left="69"/>
              <w:rPr>
                <w:sz w:val="20"/>
              </w:rPr>
            </w:pPr>
            <w:r>
              <w:rPr>
                <w:sz w:val="20"/>
              </w:rPr>
              <w:t>EDAD GESTACIONAL</w:t>
            </w:r>
          </w:p>
        </w:tc>
        <w:tc>
          <w:tcPr>
            <w:tcW w:w="1942" w:type="dxa"/>
          </w:tcPr>
          <w:p>
            <w:pPr>
              <w:pStyle w:val="TableParagraph"/>
              <w:spacing w:before="6"/>
              <w:ind w:left="69" w:right="70"/>
              <w:jc w:val="both"/>
              <w:rPr>
                <w:sz w:val="20"/>
              </w:rPr>
            </w:pPr>
            <w:r>
              <w:rPr>
                <w:sz w:val="20"/>
              </w:rPr>
              <w:t>Edad del recién nacido de acuerdo</w:t>
            </w:r>
            <w:r>
              <w:rPr>
                <w:spacing w:val="-38"/>
                <w:sz w:val="20"/>
              </w:rPr>
              <w:t> </w:t>
            </w:r>
            <w:r>
              <w:rPr>
                <w:sz w:val="20"/>
              </w:rPr>
              <w:t>a una valoración física, en el HMPS se</w:t>
            </w:r>
            <w:r>
              <w:rPr>
                <w:spacing w:val="-17"/>
                <w:sz w:val="20"/>
              </w:rPr>
              <w:t> </w:t>
            </w:r>
            <w:r>
              <w:rPr>
                <w:sz w:val="20"/>
              </w:rPr>
              <w:t>utilizan</w:t>
            </w:r>
            <w:r>
              <w:rPr>
                <w:spacing w:val="-15"/>
                <w:sz w:val="20"/>
              </w:rPr>
              <w:t> </w:t>
            </w:r>
            <w:r>
              <w:rPr>
                <w:sz w:val="20"/>
              </w:rPr>
              <w:t>el</w:t>
            </w:r>
            <w:r>
              <w:rPr>
                <w:spacing w:val="-15"/>
                <w:sz w:val="20"/>
              </w:rPr>
              <w:t> </w:t>
            </w:r>
            <w:r>
              <w:rPr>
                <w:sz w:val="20"/>
              </w:rPr>
              <w:t>método Ballard y Capurro para determinación de edad</w:t>
            </w:r>
            <w:r>
              <w:rPr>
                <w:spacing w:val="-15"/>
                <w:sz w:val="20"/>
              </w:rPr>
              <w:t> </w:t>
            </w:r>
            <w:r>
              <w:rPr>
                <w:sz w:val="20"/>
              </w:rPr>
              <w:t>gestacional</w:t>
            </w:r>
          </w:p>
        </w:tc>
        <w:tc>
          <w:tcPr>
            <w:tcW w:w="2633" w:type="dxa"/>
          </w:tcPr>
          <w:p>
            <w:pPr>
              <w:pStyle w:val="TableParagraph"/>
              <w:spacing w:before="6"/>
              <w:ind w:left="69" w:right="379"/>
              <w:rPr>
                <w:sz w:val="20"/>
              </w:rPr>
            </w:pPr>
            <w:r>
              <w:rPr>
                <w:sz w:val="20"/>
              </w:rPr>
              <w:t>Semanas de gestación</w:t>
            </w:r>
          </w:p>
        </w:tc>
        <w:tc>
          <w:tcPr>
            <w:tcW w:w="1277" w:type="dxa"/>
          </w:tcPr>
          <w:p>
            <w:pPr>
              <w:pStyle w:val="TableParagraph"/>
              <w:spacing w:before="6"/>
              <w:ind w:left="69"/>
              <w:rPr>
                <w:sz w:val="20"/>
              </w:rPr>
            </w:pPr>
            <w:r>
              <w:rPr>
                <w:w w:val="95"/>
                <w:sz w:val="20"/>
              </w:rPr>
              <w:t>Cuantitativa </w:t>
            </w:r>
            <w:r>
              <w:rPr>
                <w:sz w:val="20"/>
              </w:rPr>
              <w:t>discontinua</w:t>
            </w:r>
          </w:p>
        </w:tc>
        <w:tc>
          <w:tcPr>
            <w:tcW w:w="1670" w:type="dxa"/>
          </w:tcPr>
          <w:p>
            <w:pPr>
              <w:pStyle w:val="TableParagraph"/>
              <w:tabs>
                <w:tab w:pos="1357" w:val="left" w:leader="none"/>
              </w:tabs>
              <w:spacing w:before="6"/>
              <w:ind w:left="69" w:right="69"/>
              <w:rPr>
                <w:sz w:val="20"/>
              </w:rPr>
            </w:pPr>
            <w:r>
              <w:rPr>
                <w:sz w:val="20"/>
              </w:rPr>
              <w:t>Semanas</w:t>
              <w:tab/>
              <w:t>de gestación</w:t>
            </w: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9"/>
        </w:rPr>
      </w:pPr>
    </w:p>
    <w:p>
      <w:pPr>
        <w:pStyle w:val="BodyText"/>
        <w:spacing w:before="70"/>
        <w:ind w:left="462"/>
      </w:pPr>
      <w:r>
        <w:rPr/>
        <w:t>UNIVERSO DE TRABAJO</w:t>
      </w:r>
    </w:p>
    <w:p>
      <w:pPr>
        <w:pStyle w:val="ListParagraph"/>
        <w:numPr>
          <w:ilvl w:val="0"/>
          <w:numId w:val="7"/>
        </w:numPr>
        <w:tabs>
          <w:tab w:pos="1181" w:val="left" w:leader="none"/>
          <w:tab w:pos="1182" w:val="left" w:leader="none"/>
        </w:tabs>
        <w:spacing w:line="360" w:lineRule="auto" w:before="137" w:after="0"/>
        <w:ind w:left="1182" w:right="745" w:hanging="360"/>
        <w:jc w:val="left"/>
        <w:rPr>
          <w:sz w:val="24"/>
        </w:rPr>
      </w:pPr>
      <w:r>
        <w:rPr>
          <w:sz w:val="24"/>
        </w:rPr>
        <w:t>Los expedientes clínicos de pacientes recién nacidos vivos en los que se identificó alguna malformación gastrointestinal  en el periodo</w:t>
      </w:r>
      <w:r>
        <w:rPr>
          <w:spacing w:val="-25"/>
          <w:sz w:val="24"/>
        </w:rPr>
        <w:t> </w:t>
      </w:r>
      <w:r>
        <w:rPr>
          <w:sz w:val="24"/>
        </w:rPr>
        <w:t>establecido</w:t>
      </w:r>
    </w:p>
    <w:p>
      <w:pPr>
        <w:pStyle w:val="BodyText"/>
      </w:pPr>
    </w:p>
    <w:p>
      <w:pPr>
        <w:pStyle w:val="BodyText"/>
        <w:spacing w:before="142"/>
        <w:ind w:left="462"/>
      </w:pPr>
      <w:r>
        <w:rPr/>
        <w:t>TAMAÑO DE LA MUESTRA:</w:t>
      </w:r>
    </w:p>
    <w:p>
      <w:pPr>
        <w:pStyle w:val="ListParagraph"/>
        <w:numPr>
          <w:ilvl w:val="0"/>
          <w:numId w:val="7"/>
        </w:numPr>
        <w:tabs>
          <w:tab w:pos="1181" w:val="left" w:leader="none"/>
          <w:tab w:pos="1182" w:val="left" w:leader="none"/>
          <w:tab w:pos="1754" w:val="left" w:leader="none"/>
          <w:tab w:pos="3157" w:val="left" w:leader="none"/>
          <w:tab w:pos="3620" w:val="left" w:leader="none"/>
          <w:tab w:pos="4353" w:val="left" w:leader="none"/>
          <w:tab w:pos="4900" w:val="left" w:leader="none"/>
          <w:tab w:pos="5831" w:val="left" w:leader="none"/>
          <w:tab w:pos="6937" w:val="left" w:leader="none"/>
          <w:tab w:pos="7601" w:val="left" w:leader="none"/>
        </w:tabs>
        <w:spacing w:line="360" w:lineRule="auto" w:before="137" w:after="0"/>
        <w:ind w:left="1182" w:right="741" w:hanging="360"/>
        <w:jc w:val="left"/>
        <w:rPr>
          <w:sz w:val="24"/>
        </w:rPr>
      </w:pPr>
      <w:r>
        <w:rPr>
          <w:sz w:val="24"/>
        </w:rPr>
        <w:t>Se</w:t>
        <w:tab/>
        <w:t>estudiaron</w:t>
        <w:tab/>
        <w:t>el</w:t>
        <w:tab/>
        <w:t>total</w:t>
        <w:tab/>
        <w:t>de</w:t>
        <w:tab/>
        <w:t>recién</w:t>
        <w:tab/>
        <w:t>nacidos</w:t>
        <w:tab/>
        <w:t>con</w:t>
        <w:tab/>
        <w:t>malformaciones gastrointestinales</w:t>
      </w:r>
    </w:p>
    <w:p>
      <w:pPr>
        <w:pStyle w:val="BodyText"/>
      </w:pPr>
    </w:p>
    <w:p>
      <w:pPr>
        <w:pStyle w:val="BodyText"/>
        <w:spacing w:before="142"/>
        <w:ind w:left="462"/>
      </w:pPr>
      <w:r>
        <w:rPr/>
        <w:t>TIPO DE MUESTREO:</w:t>
      </w:r>
    </w:p>
    <w:p>
      <w:pPr>
        <w:pStyle w:val="ListParagraph"/>
        <w:numPr>
          <w:ilvl w:val="0"/>
          <w:numId w:val="7"/>
        </w:numPr>
        <w:tabs>
          <w:tab w:pos="1181" w:val="left" w:leader="none"/>
          <w:tab w:pos="1182" w:val="left" w:leader="none"/>
        </w:tabs>
        <w:spacing w:line="240" w:lineRule="auto" w:before="136" w:after="0"/>
        <w:ind w:left="1182" w:right="0" w:hanging="360"/>
        <w:jc w:val="left"/>
        <w:rPr>
          <w:sz w:val="24"/>
        </w:rPr>
      </w:pPr>
      <w:r>
        <w:rPr>
          <w:sz w:val="24"/>
        </w:rPr>
        <w:t>No</w:t>
      </w:r>
      <w:r>
        <w:rPr>
          <w:spacing w:val="-6"/>
          <w:sz w:val="24"/>
        </w:rPr>
        <w:t> </w:t>
      </w:r>
      <w:r>
        <w:rPr>
          <w:sz w:val="24"/>
        </w:rPr>
        <w:t>probabilístico</w:t>
      </w:r>
    </w:p>
    <w:p>
      <w:pPr>
        <w:spacing w:after="0" w:line="240" w:lineRule="auto"/>
        <w:jc w:val="left"/>
        <w:rPr>
          <w:sz w:val="24"/>
        </w:rPr>
        <w:sectPr>
          <w:pgSz w:w="12240" w:h="15840"/>
          <w:pgMar w:top="860" w:bottom="280" w:left="1240" w:right="960"/>
        </w:sectPr>
      </w:pPr>
    </w:p>
    <w:p>
      <w:pPr>
        <w:pStyle w:val="BodyText"/>
        <w:spacing w:before="50"/>
        <w:ind w:left="102" w:right="1363"/>
      </w:pPr>
      <w:r>
        <w:rPr/>
        <w:t>CRITERIOS DE INCLUSIÓN</w:t>
      </w:r>
    </w:p>
    <w:p>
      <w:pPr>
        <w:pStyle w:val="ListParagraph"/>
        <w:numPr>
          <w:ilvl w:val="1"/>
          <w:numId w:val="4"/>
        </w:numPr>
        <w:tabs>
          <w:tab w:pos="822" w:val="left" w:leader="none"/>
        </w:tabs>
        <w:spacing w:line="360" w:lineRule="auto" w:before="137" w:after="0"/>
        <w:ind w:left="822" w:right="125" w:hanging="360"/>
        <w:jc w:val="both"/>
        <w:rPr>
          <w:sz w:val="24"/>
        </w:rPr>
      </w:pPr>
      <w:r>
        <w:rPr>
          <w:sz w:val="24"/>
        </w:rPr>
        <w:t>Pacientes nacidos vivos en el Hospital Materno Perinatal Mónica Pretelini Sáenz dentro del periodo establecido con malformación congénita gastrointestinal</w:t>
      </w:r>
    </w:p>
    <w:p>
      <w:pPr>
        <w:pStyle w:val="BodyText"/>
      </w:pPr>
    </w:p>
    <w:p>
      <w:pPr>
        <w:pStyle w:val="BodyText"/>
        <w:spacing w:before="142"/>
        <w:ind w:left="102" w:right="1363"/>
      </w:pPr>
      <w:r>
        <w:rPr/>
        <w:t>CRITERIOS DE NO INCLUSIÓN</w:t>
      </w:r>
    </w:p>
    <w:p>
      <w:pPr>
        <w:pStyle w:val="ListParagraph"/>
        <w:numPr>
          <w:ilvl w:val="1"/>
          <w:numId w:val="4"/>
        </w:numPr>
        <w:tabs>
          <w:tab w:pos="822" w:val="left" w:leader="none"/>
        </w:tabs>
        <w:spacing w:line="360" w:lineRule="auto" w:before="137" w:after="0"/>
        <w:ind w:left="822" w:right="119" w:hanging="360"/>
        <w:jc w:val="both"/>
        <w:rPr>
          <w:sz w:val="24"/>
        </w:rPr>
      </w:pPr>
      <w:r>
        <w:rPr>
          <w:sz w:val="24"/>
        </w:rPr>
        <w:t>Pacientes recién nacidos con malformación congénita gastrointestinal que fueron referidos de otra</w:t>
      </w:r>
      <w:r>
        <w:rPr>
          <w:spacing w:val="-11"/>
          <w:sz w:val="24"/>
        </w:rPr>
        <w:t> </w:t>
      </w:r>
      <w:r>
        <w:rPr>
          <w:sz w:val="24"/>
        </w:rPr>
        <w:t>unidad</w:t>
      </w:r>
    </w:p>
    <w:p>
      <w:pPr>
        <w:pStyle w:val="ListParagraph"/>
        <w:numPr>
          <w:ilvl w:val="1"/>
          <w:numId w:val="4"/>
        </w:numPr>
        <w:tabs>
          <w:tab w:pos="821" w:val="left" w:leader="none"/>
          <w:tab w:pos="822" w:val="left" w:leader="none"/>
        </w:tabs>
        <w:spacing w:line="240" w:lineRule="auto" w:before="2" w:after="0"/>
        <w:ind w:left="822" w:right="0" w:hanging="360"/>
        <w:jc w:val="left"/>
        <w:rPr>
          <w:sz w:val="24"/>
        </w:rPr>
      </w:pPr>
      <w:r>
        <w:rPr>
          <w:sz w:val="24"/>
        </w:rPr>
        <w:t>Óbitos</w:t>
      </w:r>
    </w:p>
    <w:p>
      <w:pPr>
        <w:pStyle w:val="BodyText"/>
      </w:pPr>
    </w:p>
    <w:p>
      <w:pPr>
        <w:pStyle w:val="BodyText"/>
      </w:pPr>
    </w:p>
    <w:p>
      <w:pPr>
        <w:pStyle w:val="BodyText"/>
        <w:ind w:left="102" w:right="1363"/>
      </w:pPr>
      <w:r>
        <w:rPr/>
        <w:t>CRITERIOS DE EXCLUSIÓN</w:t>
      </w:r>
    </w:p>
    <w:p>
      <w:pPr>
        <w:pStyle w:val="ListParagraph"/>
        <w:numPr>
          <w:ilvl w:val="0"/>
          <w:numId w:val="10"/>
        </w:numPr>
        <w:tabs>
          <w:tab w:pos="822" w:val="left" w:leader="none"/>
        </w:tabs>
        <w:spacing w:line="350" w:lineRule="auto" w:before="140" w:after="0"/>
        <w:ind w:left="822" w:right="116" w:hanging="360"/>
        <w:jc w:val="both"/>
        <w:rPr>
          <w:sz w:val="24"/>
        </w:rPr>
      </w:pPr>
      <w:r>
        <w:rPr>
          <w:sz w:val="24"/>
        </w:rPr>
        <w:t>Pacientes con malformación gastrointestinal que no contaron con datos completos en el expediente para el análisis del</w:t>
      </w:r>
      <w:r>
        <w:rPr>
          <w:spacing w:val="-21"/>
          <w:sz w:val="24"/>
        </w:rPr>
        <w:t> </w:t>
      </w:r>
      <w:r>
        <w:rPr>
          <w:sz w:val="24"/>
        </w:rPr>
        <w:t>estudio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Heading1"/>
        <w:spacing w:before="153"/>
        <w:ind w:left="461" w:right="1363"/>
      </w:pPr>
      <w:r>
        <w:rPr/>
        <w:t>DESARROLLO DEL PROYECTO</w:t>
      </w:r>
    </w:p>
    <w:p>
      <w:pPr>
        <w:pStyle w:val="BodyText"/>
        <w:rPr>
          <w:b/>
        </w:rPr>
      </w:pPr>
    </w:p>
    <w:p>
      <w:pPr>
        <w:pStyle w:val="BodyText"/>
        <w:rPr>
          <w:b/>
        </w:rPr>
      </w:pPr>
    </w:p>
    <w:p>
      <w:pPr>
        <w:pStyle w:val="BodyText"/>
        <w:spacing w:line="360" w:lineRule="auto"/>
        <w:ind w:left="461" w:right="116"/>
        <w:jc w:val="both"/>
      </w:pPr>
      <w:r>
        <w:rPr/>
        <w:t>El estudio se realizó en el Hospital Materno Perinatal Mónica Pretelini Sáenz. Haciendo uso de la información contenida en el archivo de expedientes clínicos de los casos de malformación gastrointestinal, de donde se extrajo: tipo de malformación gastrointestinal, género, edad gestacional, registrando dichos datos</w:t>
      </w:r>
      <w:r>
        <w:rPr>
          <w:spacing w:val="-13"/>
        </w:rPr>
        <w:t> </w:t>
      </w:r>
      <w:r>
        <w:rPr/>
        <w:t>en</w:t>
      </w:r>
      <w:r>
        <w:rPr>
          <w:spacing w:val="-12"/>
        </w:rPr>
        <w:t> </w:t>
      </w:r>
      <w:r>
        <w:rPr/>
        <w:t>un</w:t>
      </w:r>
      <w:r>
        <w:rPr>
          <w:spacing w:val="-12"/>
        </w:rPr>
        <w:t> </w:t>
      </w:r>
      <w:r>
        <w:rPr/>
        <w:t>Formato</w:t>
      </w:r>
      <w:r>
        <w:rPr>
          <w:spacing w:val="-12"/>
        </w:rPr>
        <w:t> </w:t>
      </w:r>
      <w:r>
        <w:rPr/>
        <w:t>de</w:t>
      </w:r>
      <w:r>
        <w:rPr>
          <w:spacing w:val="-10"/>
        </w:rPr>
        <w:t> </w:t>
      </w:r>
      <w:r>
        <w:rPr/>
        <w:t>Recolección</w:t>
      </w:r>
      <w:r>
        <w:rPr>
          <w:spacing w:val="-12"/>
        </w:rPr>
        <w:t> </w:t>
      </w:r>
      <w:r>
        <w:rPr/>
        <w:t>de</w:t>
      </w:r>
      <w:r>
        <w:rPr>
          <w:spacing w:val="-10"/>
        </w:rPr>
        <w:t> </w:t>
      </w:r>
      <w:r>
        <w:rPr/>
        <w:t>Datos.</w:t>
      </w:r>
      <w:r>
        <w:rPr>
          <w:spacing w:val="-10"/>
        </w:rPr>
        <w:t> </w:t>
      </w:r>
      <w:r>
        <w:rPr/>
        <w:t>Se</w:t>
      </w:r>
      <w:r>
        <w:rPr>
          <w:spacing w:val="-10"/>
        </w:rPr>
        <w:t> </w:t>
      </w:r>
      <w:r>
        <w:rPr/>
        <w:t>solicitaron</w:t>
      </w:r>
      <w:r>
        <w:rPr>
          <w:spacing w:val="-9"/>
        </w:rPr>
        <w:t> </w:t>
      </w:r>
      <w:r>
        <w:rPr/>
        <w:t>en</w:t>
      </w:r>
      <w:r>
        <w:rPr>
          <w:spacing w:val="-12"/>
        </w:rPr>
        <w:t> </w:t>
      </w:r>
      <w:r>
        <w:rPr/>
        <w:t>los</w:t>
      </w:r>
      <w:r>
        <w:rPr>
          <w:spacing w:val="-12"/>
        </w:rPr>
        <w:t> </w:t>
      </w:r>
      <w:r>
        <w:rPr/>
        <w:t>registros</w:t>
      </w:r>
      <w:r>
        <w:rPr>
          <w:spacing w:val="-10"/>
        </w:rPr>
        <w:t> </w:t>
      </w:r>
      <w:r>
        <w:rPr/>
        <w:t>del HMPMPS el número total de nacidos vivos durante el periodo señalado para llevar a cabo el cálculo de</w:t>
      </w:r>
      <w:r>
        <w:rPr>
          <w:spacing w:val="-7"/>
        </w:rPr>
        <w:t> </w:t>
      </w:r>
      <w:r>
        <w:rPr/>
        <w:t>prevalencia.</w:t>
      </w:r>
    </w:p>
    <w:p>
      <w:pPr>
        <w:spacing w:after="0" w:line="360" w:lineRule="auto"/>
        <w:jc w:val="both"/>
        <w:sectPr>
          <w:pgSz w:w="12240" w:h="15840"/>
          <w:pgMar w:top="800" w:bottom="280" w:left="1600" w:right="1580"/>
        </w:sectPr>
      </w:pPr>
    </w:p>
    <w:p>
      <w:pPr>
        <w:pStyle w:val="BodyText"/>
        <w:spacing w:before="43"/>
        <w:ind w:left="341"/>
      </w:pPr>
      <w:r>
        <w:rPr/>
        <w:t>LÍMITE DE TIEMPO:</w:t>
      </w:r>
    </w:p>
    <w:p>
      <w:pPr>
        <w:pStyle w:val="BodyText"/>
      </w:pPr>
    </w:p>
    <w:p>
      <w:pPr>
        <w:pStyle w:val="BodyText"/>
      </w:pPr>
    </w:p>
    <w:p>
      <w:pPr>
        <w:pStyle w:val="ListParagraph"/>
        <w:numPr>
          <w:ilvl w:val="0"/>
          <w:numId w:val="11"/>
        </w:numPr>
        <w:tabs>
          <w:tab w:pos="701" w:val="left" w:leader="none"/>
          <w:tab w:pos="702" w:val="left" w:leader="none"/>
        </w:tabs>
        <w:spacing w:line="240" w:lineRule="auto" w:before="0" w:after="0"/>
        <w:ind w:left="702" w:right="0" w:hanging="360"/>
        <w:jc w:val="left"/>
        <w:rPr>
          <w:sz w:val="24"/>
        </w:rPr>
      </w:pPr>
      <w:r>
        <w:rPr>
          <w:sz w:val="24"/>
        </w:rPr>
        <w:t>Periodo de estudio: 01 enero 2010 a 31 diciembre</w:t>
      </w:r>
      <w:r>
        <w:rPr>
          <w:spacing w:val="-23"/>
          <w:sz w:val="24"/>
        </w:rPr>
        <w:t> </w:t>
      </w:r>
      <w:r>
        <w:rPr>
          <w:sz w:val="24"/>
        </w:rPr>
        <w:t>2015</w:t>
      </w:r>
    </w:p>
    <w:p>
      <w:pPr>
        <w:pStyle w:val="BodyText"/>
      </w:pPr>
    </w:p>
    <w:p>
      <w:pPr>
        <w:pStyle w:val="BodyText"/>
      </w:pPr>
    </w:p>
    <w:p>
      <w:pPr>
        <w:pStyle w:val="BodyText"/>
        <w:spacing w:before="10"/>
        <w:rPr>
          <w:sz w:val="35"/>
        </w:rPr>
      </w:pPr>
    </w:p>
    <w:p>
      <w:pPr>
        <w:pStyle w:val="BodyText"/>
        <w:ind w:left="341"/>
      </w:pPr>
      <w:r>
        <w:rPr/>
        <w:t>LÍMITE DE ESPACIO:</w:t>
      </w:r>
    </w:p>
    <w:p>
      <w:pPr>
        <w:pStyle w:val="BodyText"/>
      </w:pPr>
    </w:p>
    <w:p>
      <w:pPr>
        <w:pStyle w:val="BodyText"/>
      </w:pPr>
    </w:p>
    <w:p>
      <w:pPr>
        <w:pStyle w:val="ListParagraph"/>
        <w:numPr>
          <w:ilvl w:val="0"/>
          <w:numId w:val="11"/>
        </w:numPr>
        <w:tabs>
          <w:tab w:pos="701" w:val="left" w:leader="none"/>
          <w:tab w:pos="702" w:val="left" w:leader="none"/>
        </w:tabs>
        <w:spacing w:line="240" w:lineRule="auto" w:before="0" w:after="0"/>
        <w:ind w:left="702" w:right="0" w:hanging="360"/>
        <w:jc w:val="left"/>
        <w:rPr>
          <w:sz w:val="24"/>
        </w:rPr>
      </w:pPr>
      <w:r>
        <w:rPr>
          <w:sz w:val="24"/>
        </w:rPr>
        <w:t>Archivo clínico del  Hospital Materno Perinatal Mónica Pretelini</w:t>
      </w:r>
      <w:r>
        <w:rPr>
          <w:spacing w:val="-27"/>
          <w:sz w:val="24"/>
        </w:rPr>
        <w:t> </w:t>
      </w:r>
      <w:r>
        <w:rPr>
          <w:sz w:val="24"/>
        </w:rPr>
        <w:t>Sáenz</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pPr>
    </w:p>
    <w:p>
      <w:pPr>
        <w:pStyle w:val="Heading1"/>
        <w:ind w:left="341"/>
      </w:pPr>
      <w:r>
        <w:rPr/>
        <w:t>DISEÑO DE ANÁLISIS ESTADÍSTICO</w:t>
      </w:r>
    </w:p>
    <w:p>
      <w:pPr>
        <w:pStyle w:val="BodyText"/>
        <w:rPr>
          <w:b/>
        </w:rPr>
      </w:pPr>
    </w:p>
    <w:p>
      <w:pPr>
        <w:pStyle w:val="BodyText"/>
        <w:rPr>
          <w:b/>
        </w:rPr>
      </w:pPr>
    </w:p>
    <w:p>
      <w:pPr>
        <w:pStyle w:val="BodyText"/>
        <w:ind w:left="341"/>
      </w:pPr>
      <w:r>
        <w:rPr/>
        <w:t>Estadística  descriptiva, se utilizaron:</w:t>
      </w:r>
    </w:p>
    <w:p>
      <w:pPr>
        <w:pStyle w:val="BodyText"/>
      </w:pPr>
    </w:p>
    <w:p>
      <w:pPr>
        <w:pStyle w:val="BodyText"/>
      </w:pPr>
    </w:p>
    <w:p>
      <w:pPr>
        <w:pStyle w:val="ListParagraph"/>
        <w:numPr>
          <w:ilvl w:val="0"/>
          <w:numId w:val="11"/>
        </w:numPr>
        <w:tabs>
          <w:tab w:pos="677" w:val="left" w:leader="none"/>
          <w:tab w:pos="678" w:val="left" w:leader="none"/>
        </w:tabs>
        <w:spacing w:line="240" w:lineRule="auto" w:before="0" w:after="0"/>
        <w:ind w:left="678" w:right="0" w:hanging="356"/>
        <w:jc w:val="left"/>
        <w:rPr>
          <w:sz w:val="24"/>
        </w:rPr>
      </w:pPr>
      <w:r>
        <w:rPr>
          <w:sz w:val="24"/>
        </w:rPr>
        <w:t>Medidas de tendencia central y</w:t>
      </w:r>
      <w:r>
        <w:rPr>
          <w:spacing w:val="-14"/>
          <w:sz w:val="24"/>
        </w:rPr>
        <w:t> </w:t>
      </w:r>
      <w:r>
        <w:rPr>
          <w:sz w:val="24"/>
        </w:rPr>
        <w:t>dispersión</w:t>
      </w:r>
    </w:p>
    <w:p>
      <w:pPr>
        <w:pStyle w:val="ListParagraph"/>
        <w:numPr>
          <w:ilvl w:val="0"/>
          <w:numId w:val="11"/>
        </w:numPr>
        <w:tabs>
          <w:tab w:pos="677" w:val="left" w:leader="none"/>
          <w:tab w:pos="678" w:val="left" w:leader="none"/>
        </w:tabs>
        <w:spacing w:line="240" w:lineRule="auto" w:before="140" w:after="0"/>
        <w:ind w:left="678" w:right="0" w:hanging="356"/>
        <w:jc w:val="left"/>
        <w:rPr>
          <w:sz w:val="24"/>
        </w:rPr>
      </w:pPr>
      <w:r>
        <w:rPr>
          <w:sz w:val="24"/>
        </w:rPr>
        <w:t>Tasas y</w:t>
      </w:r>
      <w:r>
        <w:rPr>
          <w:spacing w:val="-7"/>
          <w:sz w:val="24"/>
        </w:rPr>
        <w:t> </w:t>
      </w:r>
      <w:r>
        <w:rPr>
          <w:sz w:val="24"/>
        </w:rPr>
        <w:t>frecuencias</w:t>
      </w:r>
    </w:p>
    <w:p>
      <w:pPr>
        <w:pStyle w:val="BodyText"/>
      </w:pPr>
    </w:p>
    <w:p>
      <w:pPr>
        <w:pStyle w:val="BodyText"/>
      </w:pPr>
    </w:p>
    <w:p>
      <w:pPr>
        <w:pStyle w:val="ListParagraph"/>
        <w:numPr>
          <w:ilvl w:val="0"/>
          <w:numId w:val="11"/>
        </w:numPr>
        <w:tabs>
          <w:tab w:pos="701" w:val="left" w:leader="none"/>
          <w:tab w:pos="702" w:val="left" w:leader="none"/>
        </w:tabs>
        <w:spacing w:line="360" w:lineRule="auto" w:before="0" w:after="0"/>
        <w:ind w:left="702" w:right="103" w:hanging="360"/>
        <w:jc w:val="left"/>
        <w:rPr>
          <w:sz w:val="24"/>
        </w:rPr>
      </w:pPr>
      <w:r>
        <w:rPr>
          <w:sz w:val="24"/>
        </w:rPr>
        <w:t>PREVALENCIA= (# casos en periodo de tiempo / recién nacidos vivos en el Hospital Materno Perinatal)</w:t>
      </w:r>
      <w:r>
        <w:rPr>
          <w:spacing w:val="-8"/>
          <w:sz w:val="24"/>
        </w:rPr>
        <w:t> </w:t>
      </w:r>
      <w:r>
        <w:rPr>
          <w:sz w:val="24"/>
        </w:rPr>
        <w:t>(10,000)</w:t>
      </w:r>
    </w:p>
    <w:p>
      <w:pPr>
        <w:spacing w:after="0" w:line="360" w:lineRule="auto"/>
        <w:jc w:val="left"/>
        <w:rPr>
          <w:sz w:val="24"/>
        </w:rPr>
        <w:sectPr>
          <w:pgSz w:w="12240" w:h="15840"/>
          <w:pgMar w:top="1220" w:bottom="280" w:left="1720" w:right="16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1"/>
        </w:rPr>
      </w:pPr>
    </w:p>
    <w:p>
      <w:pPr>
        <w:pStyle w:val="Heading1"/>
        <w:numPr>
          <w:ilvl w:val="1"/>
          <w:numId w:val="3"/>
        </w:numPr>
        <w:tabs>
          <w:tab w:pos="532" w:val="left" w:leader="none"/>
        </w:tabs>
        <w:spacing w:line="240" w:lineRule="auto" w:before="69" w:after="0"/>
        <w:ind w:left="531" w:right="0" w:hanging="429"/>
        <w:jc w:val="left"/>
      </w:pPr>
      <w:r>
        <w:rPr/>
        <w:t>IMPLICACIONES</w:t>
      </w:r>
      <w:r>
        <w:rPr>
          <w:spacing w:val="-12"/>
        </w:rPr>
        <w:t> </w:t>
      </w:r>
      <w:r>
        <w:rPr/>
        <w:t>ÉTICAS</w:t>
      </w:r>
    </w:p>
    <w:p>
      <w:pPr>
        <w:pStyle w:val="BodyText"/>
        <w:rPr>
          <w:b/>
        </w:rPr>
      </w:pPr>
    </w:p>
    <w:p>
      <w:pPr>
        <w:pStyle w:val="BodyText"/>
        <w:rPr>
          <w:b/>
        </w:rPr>
      </w:pPr>
    </w:p>
    <w:p>
      <w:pPr>
        <w:pStyle w:val="ListParagraph"/>
        <w:numPr>
          <w:ilvl w:val="1"/>
          <w:numId w:val="11"/>
        </w:numPr>
        <w:tabs>
          <w:tab w:pos="822" w:val="left" w:leader="none"/>
        </w:tabs>
        <w:spacing w:line="360" w:lineRule="auto" w:before="0" w:after="0"/>
        <w:ind w:left="822" w:right="116" w:hanging="360"/>
        <w:jc w:val="both"/>
        <w:rPr>
          <w:sz w:val="24"/>
        </w:rPr>
      </w:pPr>
      <w:r>
        <w:rPr>
          <w:sz w:val="24"/>
        </w:rPr>
        <w:t>La información para este protocolo se obtuvo de los expedientes clínicos de pacientes con diagnóstico de malformación gastrointestinal y no involucró intervenciones</w:t>
      </w:r>
    </w:p>
    <w:p>
      <w:pPr>
        <w:pStyle w:val="BodyText"/>
      </w:pPr>
    </w:p>
    <w:p>
      <w:pPr>
        <w:pStyle w:val="ListParagraph"/>
        <w:numPr>
          <w:ilvl w:val="1"/>
          <w:numId w:val="11"/>
        </w:numPr>
        <w:tabs>
          <w:tab w:pos="822" w:val="left" w:leader="none"/>
        </w:tabs>
        <w:spacing w:line="360" w:lineRule="auto" w:before="142" w:after="0"/>
        <w:ind w:left="822" w:right="122" w:hanging="360"/>
        <w:jc w:val="both"/>
        <w:rPr>
          <w:sz w:val="24"/>
        </w:rPr>
      </w:pPr>
      <w:r>
        <w:rPr>
          <w:sz w:val="24"/>
        </w:rPr>
        <w:t>Las normas del consejo de Organizaciones Internacionales de Ciencias Médicas (CIOMS) en colaboración con la Organización Mundial de la Salud (OMS) en 1993, Ginebra,</w:t>
      </w:r>
      <w:r>
        <w:rPr>
          <w:spacing w:val="-11"/>
          <w:sz w:val="24"/>
        </w:rPr>
        <w:t> </w:t>
      </w:r>
      <w:r>
        <w:rPr>
          <w:sz w:val="24"/>
        </w:rPr>
        <w:t>Suiza</w:t>
      </w:r>
    </w:p>
    <w:p>
      <w:pPr>
        <w:pStyle w:val="BodyText"/>
      </w:pPr>
    </w:p>
    <w:p>
      <w:pPr>
        <w:pStyle w:val="ListParagraph"/>
        <w:numPr>
          <w:ilvl w:val="1"/>
          <w:numId w:val="11"/>
        </w:numPr>
        <w:tabs>
          <w:tab w:pos="821" w:val="left" w:leader="none"/>
          <w:tab w:pos="822" w:val="left" w:leader="none"/>
        </w:tabs>
        <w:spacing w:line="240" w:lineRule="auto" w:before="142" w:after="0"/>
        <w:ind w:left="822" w:right="0" w:hanging="360"/>
        <w:jc w:val="left"/>
        <w:rPr>
          <w:sz w:val="24"/>
        </w:rPr>
      </w:pPr>
      <w:r>
        <w:rPr>
          <w:sz w:val="24"/>
        </w:rPr>
        <w:t>Código</w:t>
      </w:r>
      <w:r>
        <w:rPr>
          <w:spacing w:val="-3"/>
          <w:sz w:val="24"/>
        </w:rPr>
        <w:t> </w:t>
      </w:r>
      <w:r>
        <w:rPr>
          <w:sz w:val="24"/>
        </w:rPr>
        <w:t>Helsinki</w:t>
      </w:r>
    </w:p>
    <w:p>
      <w:pPr>
        <w:pStyle w:val="BodyText"/>
      </w:pPr>
    </w:p>
    <w:p>
      <w:pPr>
        <w:pStyle w:val="BodyText"/>
        <w:spacing w:before="11"/>
        <w:rPr>
          <w:sz w:val="23"/>
        </w:rPr>
      </w:pPr>
    </w:p>
    <w:p>
      <w:pPr>
        <w:pStyle w:val="ListParagraph"/>
        <w:numPr>
          <w:ilvl w:val="1"/>
          <w:numId w:val="11"/>
        </w:numPr>
        <w:tabs>
          <w:tab w:pos="822" w:val="left" w:leader="none"/>
        </w:tabs>
        <w:spacing w:line="360" w:lineRule="auto" w:before="0" w:after="0"/>
        <w:ind w:left="822" w:right="126" w:hanging="360"/>
        <w:jc w:val="both"/>
        <w:rPr>
          <w:sz w:val="24"/>
        </w:rPr>
      </w:pPr>
      <w:r>
        <w:rPr>
          <w:sz w:val="24"/>
        </w:rPr>
        <w:t>Reglamento de la ley general de salud artículo 17, apartado 1, investigación sin</w:t>
      </w:r>
      <w:r>
        <w:rPr>
          <w:spacing w:val="-5"/>
          <w:sz w:val="24"/>
        </w:rPr>
        <w:t> </w:t>
      </w:r>
      <w:r>
        <w:rPr>
          <w:sz w:val="24"/>
        </w:rPr>
        <w:t>riesgo</w:t>
      </w:r>
    </w:p>
    <w:p>
      <w:pPr>
        <w:spacing w:after="0" w:line="360" w:lineRule="auto"/>
        <w:jc w:val="both"/>
        <w:rPr>
          <w:sz w:val="24"/>
        </w:rPr>
        <w:sectPr>
          <w:pgSz w:w="12240" w:h="15840"/>
          <w:pgMar w:top="1500" w:bottom="280" w:left="1600" w:right="1580"/>
        </w:sectPr>
      </w:pPr>
    </w:p>
    <w:p>
      <w:pPr>
        <w:pStyle w:val="ListParagraph"/>
        <w:numPr>
          <w:ilvl w:val="1"/>
          <w:numId w:val="11"/>
        </w:numPr>
        <w:tabs>
          <w:tab w:pos="821" w:val="left" w:leader="none"/>
          <w:tab w:pos="822" w:val="left" w:leader="none"/>
        </w:tabs>
        <w:spacing w:line="240" w:lineRule="auto" w:before="43" w:after="0"/>
        <w:ind w:left="822" w:right="0" w:hanging="360"/>
        <w:jc w:val="left"/>
        <w:rPr>
          <w:sz w:val="24"/>
        </w:rPr>
      </w:pPr>
      <w:r>
        <w:rPr>
          <w:sz w:val="24"/>
        </w:rPr>
        <w:t>Ley federal de acceso a la información</w:t>
      </w:r>
      <w:r>
        <w:rPr>
          <w:spacing w:val="-24"/>
          <w:sz w:val="24"/>
        </w:rPr>
        <w:t> </w:t>
      </w:r>
      <w:r>
        <w:rPr>
          <w:sz w:val="24"/>
        </w:rPr>
        <w:t>pública</w:t>
      </w:r>
    </w:p>
    <w:p>
      <w:pPr>
        <w:pStyle w:val="BodyText"/>
      </w:pPr>
    </w:p>
    <w:p>
      <w:pPr>
        <w:pStyle w:val="BodyText"/>
      </w:pPr>
    </w:p>
    <w:p>
      <w:pPr>
        <w:pStyle w:val="ListParagraph"/>
        <w:numPr>
          <w:ilvl w:val="1"/>
          <w:numId w:val="11"/>
        </w:numPr>
        <w:tabs>
          <w:tab w:pos="821" w:val="left" w:leader="none"/>
          <w:tab w:pos="822" w:val="left" w:leader="none"/>
        </w:tabs>
        <w:spacing w:line="240" w:lineRule="auto" w:before="0" w:after="0"/>
        <w:ind w:left="822" w:right="0" w:hanging="360"/>
        <w:jc w:val="left"/>
        <w:rPr>
          <w:sz w:val="24"/>
        </w:rPr>
      </w:pPr>
      <w:r>
        <w:rPr>
          <w:sz w:val="24"/>
        </w:rPr>
        <w:t>Comité de ética del Hospital Materno Perinatal Mónica Pretelini</w:t>
      </w:r>
      <w:r>
        <w:rPr>
          <w:spacing w:val="-27"/>
          <w:sz w:val="24"/>
        </w:rPr>
        <w:t> </w:t>
      </w:r>
      <w:r>
        <w:rPr>
          <w:sz w:val="24"/>
        </w:rPr>
        <w:t>Sáenz</w:t>
      </w:r>
    </w:p>
    <w:p>
      <w:pPr>
        <w:pStyle w:val="BodyText"/>
      </w:pPr>
    </w:p>
    <w:p>
      <w:pPr>
        <w:pStyle w:val="BodyText"/>
      </w:pPr>
    </w:p>
    <w:p>
      <w:pPr>
        <w:pStyle w:val="ListParagraph"/>
        <w:numPr>
          <w:ilvl w:val="1"/>
          <w:numId w:val="11"/>
        </w:numPr>
        <w:tabs>
          <w:tab w:pos="822" w:val="left" w:leader="none"/>
        </w:tabs>
        <w:spacing w:line="360" w:lineRule="auto" w:before="0" w:after="0"/>
        <w:ind w:left="822" w:right="122" w:hanging="360"/>
        <w:jc w:val="both"/>
        <w:rPr>
          <w:sz w:val="24"/>
        </w:rPr>
      </w:pPr>
      <w:r>
        <w:rPr>
          <w:sz w:val="24"/>
        </w:rPr>
        <w:t>Comité de investigación del Hospital Materno Perinatal Mónica Pretelini Sáenz</w:t>
      </w:r>
    </w:p>
    <w:p>
      <w:pPr>
        <w:pStyle w:val="BodyText"/>
      </w:pPr>
    </w:p>
    <w:p>
      <w:pPr>
        <w:pStyle w:val="ListParagraph"/>
        <w:numPr>
          <w:ilvl w:val="1"/>
          <w:numId w:val="11"/>
        </w:numPr>
        <w:tabs>
          <w:tab w:pos="822" w:val="left" w:leader="none"/>
        </w:tabs>
        <w:spacing w:line="360" w:lineRule="auto" w:before="142" w:after="0"/>
        <w:ind w:left="822" w:right="119" w:hanging="360"/>
        <w:jc w:val="both"/>
        <w:rPr>
          <w:sz w:val="24"/>
        </w:rPr>
      </w:pPr>
      <w:r>
        <w:rPr>
          <w:sz w:val="24"/>
        </w:rPr>
        <w:t>Se</w:t>
      </w:r>
      <w:r>
        <w:rPr>
          <w:spacing w:val="-14"/>
          <w:sz w:val="24"/>
        </w:rPr>
        <w:t> </w:t>
      </w:r>
      <w:r>
        <w:rPr>
          <w:sz w:val="24"/>
        </w:rPr>
        <w:t>respeta</w:t>
      </w:r>
      <w:r>
        <w:rPr>
          <w:spacing w:val="-17"/>
          <w:sz w:val="24"/>
        </w:rPr>
        <w:t> </w:t>
      </w:r>
      <w:r>
        <w:rPr>
          <w:sz w:val="24"/>
        </w:rPr>
        <w:t>el</w:t>
      </w:r>
      <w:r>
        <w:rPr>
          <w:spacing w:val="-15"/>
          <w:sz w:val="24"/>
        </w:rPr>
        <w:t> </w:t>
      </w:r>
      <w:r>
        <w:rPr>
          <w:sz w:val="24"/>
        </w:rPr>
        <w:t>principio</w:t>
      </w:r>
      <w:r>
        <w:rPr>
          <w:spacing w:val="-17"/>
          <w:sz w:val="24"/>
        </w:rPr>
        <w:t> </w:t>
      </w:r>
      <w:r>
        <w:rPr>
          <w:sz w:val="24"/>
        </w:rPr>
        <w:t>de</w:t>
      </w:r>
      <w:r>
        <w:rPr>
          <w:spacing w:val="-14"/>
          <w:sz w:val="24"/>
        </w:rPr>
        <w:t> </w:t>
      </w:r>
      <w:r>
        <w:rPr>
          <w:sz w:val="24"/>
        </w:rPr>
        <w:t>confidencialidad,</w:t>
      </w:r>
      <w:r>
        <w:rPr>
          <w:spacing w:val="-15"/>
          <w:sz w:val="24"/>
        </w:rPr>
        <w:t> </w:t>
      </w:r>
      <w:r>
        <w:rPr>
          <w:sz w:val="24"/>
        </w:rPr>
        <w:t>dado</w:t>
      </w:r>
      <w:r>
        <w:rPr>
          <w:spacing w:val="-14"/>
          <w:sz w:val="24"/>
        </w:rPr>
        <w:t> </w:t>
      </w:r>
      <w:r>
        <w:rPr>
          <w:sz w:val="24"/>
        </w:rPr>
        <w:t>que</w:t>
      </w:r>
      <w:r>
        <w:rPr>
          <w:spacing w:val="-16"/>
          <w:sz w:val="24"/>
        </w:rPr>
        <w:t> </w:t>
      </w:r>
      <w:r>
        <w:rPr>
          <w:sz w:val="24"/>
        </w:rPr>
        <w:t>sólo</w:t>
      </w:r>
      <w:r>
        <w:rPr>
          <w:spacing w:val="-14"/>
          <w:sz w:val="24"/>
        </w:rPr>
        <w:t> </w:t>
      </w:r>
      <w:r>
        <w:rPr>
          <w:sz w:val="24"/>
        </w:rPr>
        <w:t>se</w:t>
      </w:r>
      <w:r>
        <w:rPr>
          <w:spacing w:val="-16"/>
          <w:sz w:val="24"/>
        </w:rPr>
        <w:t> </w:t>
      </w:r>
      <w:r>
        <w:rPr>
          <w:sz w:val="24"/>
        </w:rPr>
        <w:t>utilizó</w:t>
      </w:r>
      <w:r>
        <w:rPr>
          <w:spacing w:val="-14"/>
          <w:sz w:val="24"/>
        </w:rPr>
        <w:t> </w:t>
      </w:r>
      <w:r>
        <w:rPr>
          <w:sz w:val="24"/>
        </w:rPr>
        <w:t>el</w:t>
      </w:r>
      <w:r>
        <w:rPr>
          <w:spacing w:val="-15"/>
          <w:sz w:val="24"/>
        </w:rPr>
        <w:t> </w:t>
      </w:r>
      <w:r>
        <w:rPr>
          <w:sz w:val="24"/>
        </w:rPr>
        <w:t>número de expediente y no el nombre o apellidos de los recién</w:t>
      </w:r>
      <w:r>
        <w:rPr>
          <w:spacing w:val="-20"/>
          <w:sz w:val="24"/>
        </w:rPr>
        <w:t> </w:t>
      </w:r>
      <w:r>
        <w:rPr>
          <w:sz w:val="24"/>
        </w:rPr>
        <w:t>nacidos</w:t>
      </w:r>
    </w:p>
    <w:p>
      <w:pPr>
        <w:pStyle w:val="BodyText"/>
      </w:pPr>
    </w:p>
    <w:p>
      <w:pPr>
        <w:pStyle w:val="BodyText"/>
        <w:spacing w:before="4"/>
        <w:rPr>
          <w:sz w:val="21"/>
        </w:rPr>
      </w:pPr>
    </w:p>
    <w:p>
      <w:pPr>
        <w:pStyle w:val="ListParagraph"/>
        <w:numPr>
          <w:ilvl w:val="1"/>
          <w:numId w:val="11"/>
        </w:numPr>
        <w:tabs>
          <w:tab w:pos="822" w:val="left" w:leader="none"/>
        </w:tabs>
        <w:spacing w:line="360" w:lineRule="auto" w:before="0" w:after="0"/>
        <w:ind w:left="822" w:right="123" w:hanging="360"/>
        <w:jc w:val="both"/>
        <w:rPr>
          <w:sz w:val="24"/>
        </w:rPr>
      </w:pPr>
      <w:r>
        <w:rPr>
          <w:sz w:val="24"/>
        </w:rPr>
        <w:t>Se respeta el principio de justicia, dado que dicho estudio no tiene intervención médica alguna y las conclusiones que conllevan al mismo podrían</w:t>
      </w:r>
      <w:r>
        <w:rPr>
          <w:spacing w:val="-19"/>
          <w:sz w:val="24"/>
        </w:rPr>
        <w:t> </w:t>
      </w:r>
      <w:r>
        <w:rPr>
          <w:sz w:val="24"/>
        </w:rPr>
        <w:t>mejorar</w:t>
      </w:r>
      <w:r>
        <w:rPr>
          <w:spacing w:val="-18"/>
          <w:sz w:val="24"/>
        </w:rPr>
        <w:t> </w:t>
      </w:r>
      <w:r>
        <w:rPr>
          <w:sz w:val="24"/>
        </w:rPr>
        <w:t>el</w:t>
      </w:r>
      <w:r>
        <w:rPr>
          <w:spacing w:val="-20"/>
          <w:sz w:val="24"/>
        </w:rPr>
        <w:t> </w:t>
      </w:r>
      <w:r>
        <w:rPr>
          <w:sz w:val="24"/>
        </w:rPr>
        <w:t>pronóstico</w:t>
      </w:r>
      <w:r>
        <w:rPr>
          <w:spacing w:val="-19"/>
          <w:sz w:val="24"/>
        </w:rPr>
        <w:t> </w:t>
      </w:r>
      <w:r>
        <w:rPr>
          <w:sz w:val="24"/>
        </w:rPr>
        <w:t>de</w:t>
      </w:r>
      <w:r>
        <w:rPr>
          <w:spacing w:val="-19"/>
          <w:sz w:val="24"/>
        </w:rPr>
        <w:t> </w:t>
      </w:r>
      <w:r>
        <w:rPr>
          <w:sz w:val="24"/>
        </w:rPr>
        <w:t>vida</w:t>
      </w:r>
      <w:r>
        <w:rPr>
          <w:spacing w:val="-16"/>
          <w:sz w:val="24"/>
        </w:rPr>
        <w:t> </w:t>
      </w:r>
      <w:r>
        <w:rPr>
          <w:sz w:val="24"/>
        </w:rPr>
        <w:t>a</w:t>
      </w:r>
      <w:r>
        <w:rPr>
          <w:spacing w:val="-21"/>
          <w:sz w:val="24"/>
        </w:rPr>
        <w:t> </w:t>
      </w:r>
      <w:r>
        <w:rPr>
          <w:sz w:val="24"/>
        </w:rPr>
        <w:t>futuros</w:t>
      </w:r>
      <w:r>
        <w:rPr>
          <w:spacing w:val="-20"/>
          <w:sz w:val="24"/>
        </w:rPr>
        <w:t> </w:t>
      </w:r>
      <w:r>
        <w:rPr>
          <w:sz w:val="24"/>
        </w:rPr>
        <w:t>pacientes</w:t>
      </w:r>
      <w:r>
        <w:rPr>
          <w:spacing w:val="-20"/>
          <w:sz w:val="24"/>
        </w:rPr>
        <w:t> </w:t>
      </w:r>
      <w:r>
        <w:rPr>
          <w:sz w:val="24"/>
        </w:rPr>
        <w:t>con</w:t>
      </w:r>
      <w:r>
        <w:rPr>
          <w:spacing w:val="-19"/>
          <w:sz w:val="24"/>
        </w:rPr>
        <w:t> </w:t>
      </w:r>
      <w:r>
        <w:rPr>
          <w:sz w:val="24"/>
        </w:rPr>
        <w:t>malformaciones congénitas</w:t>
      </w:r>
      <w:r>
        <w:rPr>
          <w:spacing w:val="-10"/>
          <w:sz w:val="24"/>
        </w:rPr>
        <w:t> </w:t>
      </w:r>
      <w:r>
        <w:rPr>
          <w:sz w:val="24"/>
        </w:rPr>
        <w:t>gastrointestinales</w:t>
      </w:r>
    </w:p>
    <w:p>
      <w:pPr>
        <w:pStyle w:val="BodyText"/>
      </w:pPr>
    </w:p>
    <w:p>
      <w:pPr>
        <w:pStyle w:val="ListParagraph"/>
        <w:numPr>
          <w:ilvl w:val="0"/>
          <w:numId w:val="12"/>
        </w:numPr>
        <w:tabs>
          <w:tab w:pos="462" w:val="left" w:leader="none"/>
        </w:tabs>
        <w:spacing w:line="360" w:lineRule="auto" w:before="142" w:after="0"/>
        <w:ind w:left="462" w:right="117" w:hanging="360"/>
        <w:jc w:val="both"/>
        <w:rPr>
          <w:sz w:val="24"/>
        </w:rPr>
      </w:pPr>
      <w:r>
        <w:rPr>
          <w:sz w:val="24"/>
        </w:rPr>
        <w:t>Así mismo se realiza bajo el valor ético de la Beneficencia – No Maleficencia dado que este estudio tiene como fin objetar la prevalencia de malformaciones congénitas</w:t>
      </w:r>
      <w:r>
        <w:rPr>
          <w:spacing w:val="-10"/>
          <w:sz w:val="24"/>
        </w:rPr>
        <w:t> </w:t>
      </w:r>
      <w:r>
        <w:rPr>
          <w:sz w:val="24"/>
        </w:rPr>
        <w:t>gastrointestinales</w:t>
      </w:r>
    </w:p>
    <w:p>
      <w:pPr>
        <w:pStyle w:val="BodyText"/>
      </w:pPr>
    </w:p>
    <w:p>
      <w:pPr>
        <w:pStyle w:val="BodyText"/>
      </w:pPr>
    </w:p>
    <w:p>
      <w:pPr>
        <w:pStyle w:val="BodyText"/>
      </w:pPr>
    </w:p>
    <w:p>
      <w:pPr>
        <w:pStyle w:val="BodyText"/>
      </w:pPr>
    </w:p>
    <w:p>
      <w:pPr>
        <w:pStyle w:val="Heading1"/>
        <w:numPr>
          <w:ilvl w:val="1"/>
          <w:numId w:val="3"/>
        </w:numPr>
        <w:tabs>
          <w:tab w:pos="598" w:val="left" w:leader="none"/>
        </w:tabs>
        <w:spacing w:line="240" w:lineRule="auto" w:before="142" w:after="0"/>
        <w:ind w:left="597" w:right="0" w:hanging="495"/>
        <w:jc w:val="both"/>
      </w:pPr>
      <w:r>
        <w:rPr/>
        <w:t>RESULTADOS</w:t>
      </w:r>
    </w:p>
    <w:p>
      <w:pPr>
        <w:pStyle w:val="BodyText"/>
        <w:rPr>
          <w:b/>
        </w:rPr>
      </w:pPr>
    </w:p>
    <w:p>
      <w:pPr>
        <w:pStyle w:val="BodyText"/>
        <w:rPr>
          <w:b/>
        </w:rPr>
      </w:pPr>
    </w:p>
    <w:p>
      <w:pPr>
        <w:pStyle w:val="BodyText"/>
        <w:spacing w:line="360" w:lineRule="auto"/>
        <w:ind w:left="102" w:right="116"/>
        <w:jc w:val="both"/>
      </w:pPr>
      <w:r>
        <w:rPr/>
        <w:t>Se realizó un estudio retrospectivo en el que se analizaron los expedientes de pacientes en un periodo de 6 años comprendido del 01 de enero de 2010 al 31 de diciembre</w:t>
      </w:r>
      <w:r>
        <w:rPr>
          <w:spacing w:val="-21"/>
        </w:rPr>
        <w:t> </w:t>
      </w:r>
      <w:r>
        <w:rPr/>
        <w:t>de</w:t>
      </w:r>
      <w:r>
        <w:rPr>
          <w:spacing w:val="-20"/>
        </w:rPr>
        <w:t> </w:t>
      </w:r>
      <w:r>
        <w:rPr/>
        <w:t>2015,</w:t>
      </w:r>
      <w:r>
        <w:rPr>
          <w:spacing w:val="-21"/>
        </w:rPr>
        <w:t> </w:t>
      </w:r>
      <w:r>
        <w:rPr/>
        <w:t>en</w:t>
      </w:r>
      <w:r>
        <w:rPr>
          <w:spacing w:val="-20"/>
        </w:rPr>
        <w:t> </w:t>
      </w:r>
      <w:r>
        <w:rPr/>
        <w:t>el</w:t>
      </w:r>
      <w:r>
        <w:rPr>
          <w:spacing w:val="-19"/>
        </w:rPr>
        <w:t> </w:t>
      </w:r>
      <w:r>
        <w:rPr/>
        <w:t>que</w:t>
      </w:r>
      <w:r>
        <w:rPr>
          <w:spacing w:val="-18"/>
        </w:rPr>
        <w:t> </w:t>
      </w:r>
      <w:r>
        <w:rPr/>
        <w:t>se</w:t>
      </w:r>
      <w:r>
        <w:rPr>
          <w:spacing w:val="-18"/>
        </w:rPr>
        <w:t> </w:t>
      </w:r>
      <w:r>
        <w:rPr/>
        <w:t>registró</w:t>
      </w:r>
      <w:r>
        <w:rPr>
          <w:spacing w:val="-16"/>
        </w:rPr>
        <w:t> </w:t>
      </w:r>
      <w:r>
        <w:rPr/>
        <w:t>un</w:t>
      </w:r>
      <w:r>
        <w:rPr>
          <w:spacing w:val="-20"/>
        </w:rPr>
        <w:t> </w:t>
      </w:r>
      <w:r>
        <w:rPr/>
        <w:t>total</w:t>
      </w:r>
      <w:r>
        <w:rPr>
          <w:spacing w:val="-19"/>
        </w:rPr>
        <w:t> </w:t>
      </w:r>
      <w:r>
        <w:rPr/>
        <w:t>de</w:t>
      </w:r>
      <w:r>
        <w:rPr>
          <w:spacing w:val="-18"/>
        </w:rPr>
        <w:t> </w:t>
      </w:r>
      <w:r>
        <w:rPr/>
        <w:t>45,886</w:t>
      </w:r>
      <w:r>
        <w:rPr>
          <w:spacing w:val="-20"/>
        </w:rPr>
        <w:t> </w:t>
      </w:r>
      <w:r>
        <w:rPr/>
        <w:t>nacimientos</w:t>
      </w:r>
      <w:r>
        <w:rPr>
          <w:spacing w:val="-17"/>
        </w:rPr>
        <w:t> </w:t>
      </w:r>
      <w:r>
        <w:rPr/>
        <w:t>de</w:t>
      </w:r>
      <w:r>
        <w:rPr>
          <w:spacing w:val="-18"/>
        </w:rPr>
        <w:t> </w:t>
      </w:r>
      <w:r>
        <w:rPr/>
        <w:t>los</w:t>
      </w:r>
      <w:r>
        <w:rPr>
          <w:spacing w:val="-21"/>
        </w:rPr>
        <w:t> </w:t>
      </w:r>
      <w:r>
        <w:rPr/>
        <w:t>cuales</w:t>
      </w:r>
    </w:p>
    <w:p>
      <w:pPr>
        <w:pStyle w:val="BodyText"/>
        <w:spacing w:line="360" w:lineRule="auto" w:before="5"/>
        <w:ind w:left="102" w:right="116"/>
        <w:jc w:val="both"/>
      </w:pPr>
      <w:r>
        <w:rPr/>
        <w:t>94 pacientes tuvieron alguna malformación gastrointestinal, con una tasa de prevalencia puntual de 6 años del 20.8 por cada 10,000 nacidos vivos.</w:t>
      </w:r>
    </w:p>
    <w:p>
      <w:pPr>
        <w:spacing w:after="0" w:line="360" w:lineRule="auto"/>
        <w:jc w:val="both"/>
        <w:sectPr>
          <w:pgSz w:w="12240" w:h="15840"/>
          <w:pgMar w:top="1220" w:bottom="280" w:left="1600" w:right="1580"/>
        </w:sectPr>
      </w:pPr>
    </w:p>
    <w:p>
      <w:pPr>
        <w:pStyle w:val="BodyText"/>
        <w:ind w:left="102"/>
        <w:rPr>
          <w:sz w:val="20"/>
        </w:rPr>
      </w:pPr>
      <w:r>
        <w:rPr>
          <w:sz w:val="20"/>
        </w:rPr>
        <w:pict>
          <v:group style="width:458.05pt;height:266.9pt;mso-position-horizontal-relative:char;mso-position-vertical-relative:line" coordorigin="0,0" coordsize="9161,5338">
            <v:shape style="position:absolute;left:12;top:0;width:9149;height:5338" type="#_x0000_t75" stroked="false">
              <v:imagedata r:id="rId7" o:title=""/>
            </v:shape>
            <v:shapetype id="_x0000_t202" o:spt="202" coordsize="21600,21600" path="m,l,21600r21600,l21600,xe">
              <v:stroke joinstyle="miter"/>
              <v:path gradientshapeok="t" o:connecttype="rect"/>
            </v:shapetype>
            <v:shape style="position:absolute;left:0;top:2127;width:8838;height:1481" type="#_x0000_t202" filled="false" stroked="false">
              <v:textbox inset="0,0,0,0">
                <w:txbxContent>
                  <w:p>
                    <w:pPr>
                      <w:spacing w:line="245" w:lineRule="exact" w:before="0"/>
                      <w:ind w:left="0" w:right="0" w:firstLine="0"/>
                      <w:jc w:val="left"/>
                      <w:rPr>
                        <w:sz w:val="24"/>
                      </w:rPr>
                    </w:pPr>
                    <w:r>
                      <w:rPr>
                        <w:sz w:val="24"/>
                      </w:rPr>
                      <w:t>El año con mayor número de nacimientos fue el 2014 con un total de 8260, sin</w:t>
                    </w:r>
                  </w:p>
                  <w:p>
                    <w:pPr>
                      <w:spacing w:before="137"/>
                      <w:ind w:left="0" w:right="0" w:firstLine="0"/>
                      <w:jc w:val="left"/>
                      <w:rPr>
                        <w:sz w:val="24"/>
                      </w:rPr>
                    </w:pPr>
                    <w:r>
                      <w:rPr>
                        <w:sz w:val="24"/>
                      </w:rPr>
                      <w:t>embargo el año con mayor número de malformaciones gastrointestinales fue 2015</w:t>
                    </w:r>
                  </w:p>
                  <w:p>
                    <w:pPr>
                      <w:spacing w:line="410" w:lineRule="atLeast" w:before="5"/>
                      <w:ind w:left="0" w:right="0" w:firstLine="0"/>
                      <w:jc w:val="left"/>
                      <w:rPr>
                        <w:sz w:val="24"/>
                      </w:rPr>
                    </w:pPr>
                    <w:r>
                      <w:rPr>
                        <w:sz w:val="24"/>
                      </w:rPr>
                      <w:t>con 24 pacientes, seguido del año 2014 con 21 pacientes y posteriormente el año 2010 con 20 pacientes (gráfico 1).</w:t>
                    </w:r>
                  </w:p>
                </w:txbxContent>
              </v:textbox>
              <w10:wrap type="none"/>
            </v:shape>
            <v:shape style="position:absolute;left:0;top:4203;width:8837;height:656" type="#_x0000_t202" filled="false" stroked="false">
              <v:textbox inset="0,0,0,0">
                <w:txbxContent>
                  <w:p>
                    <w:pPr>
                      <w:spacing w:line="245" w:lineRule="exact" w:before="0"/>
                      <w:ind w:left="0" w:right="0" w:firstLine="0"/>
                      <w:jc w:val="left"/>
                      <w:rPr>
                        <w:sz w:val="24"/>
                      </w:rPr>
                    </w:pPr>
                    <w:r>
                      <w:rPr>
                        <w:sz w:val="24"/>
                      </w:rPr>
                      <w:t>De acuerdo al género, se encontró al género masculino como el más afectado   en</w:t>
                    </w:r>
                  </w:p>
                  <w:p>
                    <w:pPr>
                      <w:spacing w:line="271" w:lineRule="exact" w:before="139"/>
                      <w:ind w:left="0" w:right="0" w:firstLine="0"/>
                      <w:jc w:val="left"/>
                      <w:rPr>
                        <w:sz w:val="24"/>
                      </w:rPr>
                    </w:pPr>
                    <w:r>
                      <w:rPr>
                        <w:sz w:val="24"/>
                      </w:rPr>
                      <w:t>un 59.6% con una relación hombre:mujer de 1.47:1.</w:t>
                    </w:r>
                  </w:p>
                </w:txbxContent>
              </v:textbox>
              <w10:wrap type="none"/>
            </v:shape>
          </v:group>
        </w:pict>
      </w:r>
      <w:r>
        <w:rPr>
          <w:sz w:val="20"/>
        </w:rPr>
      </w:r>
    </w:p>
    <w:p>
      <w:pPr>
        <w:pStyle w:val="BodyText"/>
        <w:spacing w:before="2"/>
        <w:rPr>
          <w:sz w:val="14"/>
        </w:rPr>
      </w:pPr>
    </w:p>
    <w:p>
      <w:pPr>
        <w:spacing w:before="56"/>
        <w:ind w:left="922" w:right="158" w:firstLine="0"/>
        <w:jc w:val="left"/>
        <w:rPr>
          <w:rFonts w:ascii="Calibri" w:hAnsi="Calibri"/>
          <w:sz w:val="22"/>
        </w:rPr>
      </w:pPr>
      <w:r>
        <w:rPr>
          <w:rFonts w:ascii="Calibri" w:hAnsi="Calibri"/>
          <w:sz w:val="22"/>
        </w:rPr>
        <w:t>Fuente: Archivo clínico del Hospital Materno Perinatal “Mónica Pretelini Sáenz”</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line="362" w:lineRule="auto" w:before="70"/>
        <w:ind w:left="102" w:right="158"/>
      </w:pPr>
      <w:r>
        <w:rPr/>
        <w:t>De acuerdo al género, se encontró que el género masculino fue el más afectado en un 59.6% con una relación hombre mujer de 1.47:1.</w:t>
      </w:r>
    </w:p>
    <w:p>
      <w:pPr>
        <w:spacing w:after="0" w:line="362" w:lineRule="auto"/>
        <w:sectPr>
          <w:pgSz w:w="12240" w:h="15840"/>
          <w:pgMar w:top="860" w:bottom="280" w:left="1600" w:right="1260"/>
        </w:sectPr>
      </w:pPr>
    </w:p>
    <w:p>
      <w:pPr>
        <w:pStyle w:val="BodyText"/>
        <w:ind w:left="192"/>
        <w:rPr>
          <w:sz w:val="20"/>
        </w:rPr>
      </w:pPr>
      <w:r>
        <w:rPr>
          <w:sz w:val="20"/>
        </w:rPr>
        <w:pict>
          <v:group style="width:432.75pt;height:275.45pt;mso-position-horizontal-relative:char;mso-position-vertical-relative:line" coordorigin="0,0" coordsize="8655,5509">
            <v:rect style="position:absolute;left:7541;top:2727;width:986;height:674" filled="true" fillcolor="#f1f1f1" stroked="false">
              <v:fill opacity="25443f" type="solid"/>
            </v:rect>
            <v:rect style="position:absolute;left:7635;top:2844;width:101;height:101" filled="true" fillcolor="#ec7c30" stroked="false">
              <v:fill type="solid"/>
            </v:rect>
            <v:rect style="position:absolute;left:7635;top:3183;width:101;height:98" filled="true" fillcolor="#ffc000" stroked="false">
              <v:fill type="solid"/>
            </v:rect>
            <v:shape style="position:absolute;left:7541;top:2727;width:987;height:675" type="#_x0000_t202" filled="false" stroked="false">
              <v:textbox inset="0,0,0,0">
                <w:txbxContent>
                  <w:p>
                    <w:pPr>
                      <w:spacing w:before="47"/>
                      <w:ind w:left="237" w:right="0" w:firstLine="0"/>
                      <w:jc w:val="left"/>
                      <w:rPr>
                        <w:rFonts w:ascii="Calibri"/>
                        <w:sz w:val="18"/>
                      </w:rPr>
                    </w:pPr>
                    <w:r>
                      <w:rPr>
                        <w:rFonts w:ascii="Calibri"/>
                        <w:color w:val="404040"/>
                        <w:sz w:val="18"/>
                      </w:rPr>
                      <w:t>HOMBRE</w:t>
                    </w:r>
                  </w:p>
                  <w:p>
                    <w:pPr>
                      <w:spacing w:before="118"/>
                      <w:ind w:left="237" w:right="0" w:firstLine="0"/>
                      <w:jc w:val="left"/>
                      <w:rPr>
                        <w:rFonts w:ascii="Calibri"/>
                        <w:sz w:val="18"/>
                      </w:rPr>
                    </w:pPr>
                    <w:r>
                      <w:rPr>
                        <w:rFonts w:ascii="Calibri"/>
                        <w:color w:val="404040"/>
                        <w:sz w:val="18"/>
                      </w:rPr>
                      <w:t>MUJER</w:t>
                    </w:r>
                  </w:p>
                </w:txbxContent>
              </v:textbox>
              <w10:wrap type="none"/>
            </v:shape>
            <v:shape style="position:absolute;left:8;top:8;width:8640;height:5494" type="#_x0000_t202" filled="false" stroked="true" strokeweight=".72pt" strokecolor="#bebebe">
              <v:textbox inset="0,0,0,0">
                <w:txbxContent>
                  <w:p>
                    <w:pPr>
                      <w:spacing w:before="142"/>
                      <w:ind w:left="1380" w:right="0" w:firstLine="0"/>
                      <w:jc w:val="left"/>
                      <w:rPr>
                        <w:rFonts w:ascii="Calibri" w:hAnsi="Calibri"/>
                        <w:b/>
                        <w:sz w:val="36"/>
                      </w:rPr>
                    </w:pPr>
                    <w:r>
                      <w:rPr>
                        <w:rFonts w:ascii="Calibri" w:hAnsi="Calibri"/>
                        <w:b/>
                        <w:color w:val="404040"/>
                        <w:sz w:val="36"/>
                      </w:rPr>
                      <w:t>GRÁFICO 2. RELACIÓN HOMBRE MUJER</w:t>
                    </w:r>
                  </w:p>
                  <w:p>
                    <w:pPr>
                      <w:spacing w:line="240" w:lineRule="auto" w:before="0"/>
                      <w:rPr>
                        <w:sz w:val="36"/>
                      </w:rPr>
                    </w:pPr>
                  </w:p>
                  <w:p>
                    <w:pPr>
                      <w:spacing w:line="240" w:lineRule="auto" w:before="0"/>
                      <w:rPr>
                        <w:sz w:val="36"/>
                      </w:rPr>
                    </w:pPr>
                  </w:p>
                  <w:p>
                    <w:pPr>
                      <w:spacing w:line="240" w:lineRule="auto" w:before="0"/>
                      <w:rPr>
                        <w:sz w:val="36"/>
                      </w:rPr>
                    </w:pPr>
                  </w:p>
                  <w:p>
                    <w:pPr>
                      <w:spacing w:line="240" w:lineRule="auto" w:before="0"/>
                      <w:rPr>
                        <w:sz w:val="39"/>
                      </w:rPr>
                    </w:pPr>
                  </w:p>
                  <w:p>
                    <w:pPr>
                      <w:spacing w:before="0"/>
                      <w:ind w:left="-1" w:right="2112" w:firstLine="0"/>
                      <w:jc w:val="center"/>
                      <w:rPr>
                        <w:rFonts w:ascii="Calibri"/>
                        <w:b/>
                        <w:sz w:val="20"/>
                      </w:rPr>
                    </w:pPr>
                    <w:r>
                      <w:rPr>
                        <w:rFonts w:ascii="Calibri"/>
                        <w:b/>
                        <w:color w:val="FFFFFF"/>
                        <w:spacing w:val="14"/>
                        <w:w w:val="99"/>
                        <w:sz w:val="20"/>
                      </w:rPr>
                      <w:t> </w:t>
                    </w:r>
                    <w:r>
                      <w:rPr>
                        <w:rFonts w:ascii="Calibri"/>
                        <w:b/>
                        <w:color w:val="FFFFFF"/>
                        <w:sz w:val="20"/>
                      </w:rPr>
                      <w:t>40.4%</w:t>
                    </w:r>
                    <w:r>
                      <w:rPr>
                        <w:rFonts w:ascii="Calibri"/>
                        <w:b/>
                        <w:color w:val="FFFFFF"/>
                        <w:spacing w:val="16"/>
                        <w:sz w:val="20"/>
                      </w:rPr>
                      <w:t> </w:t>
                    </w:r>
                  </w:p>
                  <w:p>
                    <w:pPr>
                      <w:spacing w:line="240" w:lineRule="auto" w:before="0"/>
                      <w:rPr>
                        <w:sz w:val="20"/>
                      </w:rPr>
                    </w:pPr>
                  </w:p>
                  <w:p>
                    <w:pPr>
                      <w:spacing w:line="240" w:lineRule="auto" w:before="0"/>
                      <w:rPr>
                        <w:sz w:val="20"/>
                      </w:rPr>
                    </w:pPr>
                  </w:p>
                  <w:p>
                    <w:pPr>
                      <w:spacing w:before="115"/>
                      <w:ind w:left="5587" w:right="0" w:firstLine="0"/>
                      <w:jc w:val="left"/>
                      <w:rPr>
                        <w:rFonts w:ascii="Calibri"/>
                        <w:b/>
                        <w:sz w:val="20"/>
                      </w:rPr>
                    </w:pPr>
                    <w:r>
                      <w:rPr>
                        <w:rFonts w:ascii="Calibri"/>
                        <w:b/>
                        <w:color w:val="FFFFFF"/>
                        <w:w w:val="99"/>
                        <w:sz w:val="20"/>
                      </w:rPr>
                      <w:t> </w:t>
                    </w:r>
                    <w:r>
                      <w:rPr>
                        <w:rFonts w:ascii="Calibri"/>
                        <w:b/>
                        <w:color w:val="FFFFFF"/>
                        <w:sz w:val="20"/>
                      </w:rPr>
                      <w:t>59.6% </w:t>
                    </w:r>
                  </w:p>
                </w:txbxContent>
              </v:textbox>
              <w10:wrap type="none"/>
            </v:shape>
          </v:group>
        </w:pict>
      </w:r>
      <w:r>
        <w:rPr>
          <w:sz w:val="20"/>
        </w:rPr>
      </w:r>
    </w:p>
    <w:p>
      <w:pPr>
        <w:pStyle w:val="BodyText"/>
        <w:spacing w:before="9"/>
        <w:rPr>
          <w:sz w:val="18"/>
        </w:rPr>
      </w:pPr>
    </w:p>
    <w:p>
      <w:pPr>
        <w:spacing w:before="56"/>
        <w:ind w:left="920" w:right="39" w:firstLine="0"/>
        <w:jc w:val="left"/>
        <w:rPr>
          <w:rFonts w:ascii="Calibri" w:hAnsi="Calibri"/>
          <w:sz w:val="22"/>
        </w:rPr>
      </w:pPr>
      <w:r>
        <w:rPr/>
        <w:pict>
          <v:group style="position:absolute;margin-left:205.919998pt;margin-top:-260.856384pt;width:227.2pt;height:228.5pt;mso-position-horizontal-relative:page;mso-position-vertical-relative:paragraph;z-index:-37288" coordorigin="4118,-5217" coordsize="4544,4570">
            <v:shape style="position:absolute;left:4908;top:-5217;width:3754;height:4570" type="#_x0000_t75" stroked="false">
              <v:imagedata r:id="rId8" o:title=""/>
            </v:shape>
            <v:shape style="position:absolute;left:4118;top:-5215;width:2688;height:4238" type="#_x0000_t75" stroked="false">
              <v:imagedata r:id="rId9" o:title=""/>
            </v:shape>
            <v:shape style="position:absolute;left:5340;top:-4777;width:2889;height:3689" coordorigin="5340,-4777" coordsize="2889,3689" path="m5862,-2173l5340,-1412,5407,-1368,5475,-1328,5545,-1290,5616,-1256,5689,-1224,5763,-1196,5838,-1171,5913,-1149,5990,-1131,6068,-1116,6146,-1104,6225,-1095,6304,-1090,6384,-1088,6460,-1090,6535,-1094,6610,-1102,6683,-1112,6756,-1126,6827,-1142,6898,-1161,6967,-1182,7035,-1207,7102,-1233,7167,-1263,7232,-1294,7294,-1328,7356,-1365,7415,-1403,7473,-1444,7530,-1487,7584,-1532,7637,-1579,7688,-1629,7737,-1680,7784,-1732,7830,-1787,7873,-1843,7913,-1902,7952,-1961,7982,-2011,6412,-2011,6341,-2011,6270,-2017,6199,-2029,6129,-2046,6060,-2069,5992,-2098,5926,-2132,5862,-2173xm6384,-4777l6384,-3855,6464,-3852,6542,-3841,6619,-3825,6695,-3801,6768,-3771,6839,-3735,6906,-3693,6967,-3648,7022,-3599,7074,-3546,7120,-3489,7161,-3430,7197,-3368,7228,-3304,7254,-3238,7275,-3170,7291,-3101,7301,-3031,7306,-2961,7305,-2890,7299,-2819,7288,-2748,7271,-2678,7248,-2609,7219,-2541,7185,-2475,7144,-2411,7099,-2350,7050,-2294,6997,-2243,6941,-2197,6881,-2156,6820,-2120,6755,-2089,6689,-2063,6622,-2042,6553,-2026,6482,-2016,6412,-2011,7982,-2011,7988,-2022,8023,-2085,8054,-2149,8083,-2215,8110,-2282,8134,-2350,8156,-2419,8175,-2490,8191,-2561,8204,-2634,8215,-2707,8222,-2781,8227,-2857,8228,-2933,8227,-3009,8222,-3084,8215,-3158,8204,-3232,8191,-3304,8175,-3376,8156,-3446,8134,-3516,8110,-3584,8083,-3651,8054,-3716,8023,-3780,7988,-3843,7952,-3904,7913,-3964,7873,-4022,7830,-4079,7784,-4133,7737,-4186,7688,-4237,7637,-4286,7584,-4333,7530,-4378,7473,-4421,7415,-4462,7356,-4501,7294,-4537,7232,-4571,7167,-4603,7102,-4632,7035,-4659,6967,-4683,6898,-4705,6827,-4724,6756,-4740,6683,-4753,6610,-4764,6535,-4771,6460,-4776,6384,-4777xe" filled="true" fillcolor="#ec7c30" stroked="false">
              <v:path arrowok="t"/>
              <v:fill type="solid"/>
            </v:shape>
            <v:shape style="position:absolute;left:4539;top:-4777;width:1845;height:3366" coordorigin="4539,-4777" coordsize="1845,3366" path="m6384,-4777l6305,-4776,6226,-4771,6149,-4762,6071,-4751,5995,-4736,5920,-4718,5845,-4697,5772,-4673,5700,-4646,5629,-4615,5559,-4582,5491,-4547,5424,-4508,5359,-4466,5296,-4422,5235,-4375,5175,-4326,5118,-4274,5062,-4219,5009,-4162,4958,-4103,4910,-4041,4863,-3977,4822,-3913,4783,-3849,4747,-3783,4714,-3716,4684,-3649,4657,-3581,4632,-3512,4611,-3443,4592,-3373,4577,-3303,4564,-3232,4553,-3161,4546,-3090,4541,-3019,4539,-2948,4540,-2877,4544,-2806,4550,-2736,4559,-2666,4571,-2596,4585,-2526,4602,-2458,4621,-2389,4643,-2322,4668,-2256,4695,-2190,4725,-2125,4758,-2062,4793,-1999,4830,-1938,4870,-1878,4913,-1820,4958,-1763,5005,-1707,5055,-1653,5107,-1601,5162,-1551,5219,-1503,5278,-1456,5340,-1412,5862,-2173,5801,-2218,5745,-2267,5694,-2321,5647,-2379,5605,-2439,5568,-2503,5536,-2570,5510,-2639,5489,-2710,5474,-2783,5465,-2857,5462,-2933,5465,-3008,5474,-3082,5489,-3154,5509,-3224,5534,-3292,5565,-3357,5600,-3419,5640,-3477,5684,-3533,5732,-3585,5784,-3633,5839,-3677,5898,-3717,5960,-3752,6025,-3783,6092,-3808,6162,-3828,6234,-3843,6308,-3852,6384,-3855,6384,-4777xe" filled="true" fillcolor="#ffc000" stroked="false">
              <v:path arrowok="t"/>
              <v:fill type="solid"/>
            </v:shape>
            <v:shape style="position:absolute;left:7354;top:-2716;width:790;height:473" type="#_x0000_t75" stroked="false">
              <v:imagedata r:id="rId10" o:title=""/>
            </v:shape>
            <v:shape style="position:absolute;left:4711;top:-3535;width:790;height:470" type="#_x0000_t75" stroked="false">
              <v:imagedata r:id="rId11" o:title=""/>
            </v:shape>
            <w10:wrap type="none"/>
          </v:group>
        </w:pict>
      </w:r>
      <w:r>
        <w:rPr>
          <w:rFonts w:ascii="Calibri" w:hAnsi="Calibri"/>
          <w:sz w:val="22"/>
        </w:rPr>
        <w:t>Fuente: Archivo clínico del Hospital Materno Perinatal “Mónica Pretelini Sáenz”</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3"/>
        <w:rPr>
          <w:rFonts w:ascii="Calibri"/>
          <w:sz w:val="20"/>
        </w:rPr>
      </w:pPr>
    </w:p>
    <w:p>
      <w:pPr>
        <w:pStyle w:val="BodyText"/>
        <w:ind w:left="102" w:right="39"/>
      </w:pPr>
      <w:r>
        <w:rPr/>
        <w:t>La edad gestacional mínima fue de 30 semanas y la máxima de 40 con una   edad</w:t>
      </w:r>
    </w:p>
    <w:p>
      <w:pPr>
        <w:pStyle w:val="BodyText"/>
        <w:tabs>
          <w:tab w:pos="2216" w:val="left" w:leader="none"/>
        </w:tabs>
        <w:spacing w:before="139"/>
        <w:ind w:left="102" w:right="39"/>
      </w:pPr>
      <w:r>
        <w:rPr/>
        <w:pict>
          <v:group style="position:absolute;margin-left:177.979996pt;margin-top:7.405857pt;width:12.25pt;height:14.4pt;mso-position-horizontal-relative:page;mso-position-vertical-relative:paragraph;z-index:-37312" coordorigin="3560,148" coordsize="245,288">
            <v:shape style="position:absolute;left:3560;top:148;width:245;height:288" type="#_x0000_t75" stroked="false">
              <v:imagedata r:id="rId12" o:title=""/>
            </v:shape>
            <v:shape style="position:absolute;left:3560;top:148;width:245;height:288" type="#_x0000_t202" filled="false" stroked="false">
              <v:textbox inset="0,0,0,0">
                <w:txbxContent>
                  <w:p>
                    <w:pPr>
                      <w:spacing w:line="267" w:lineRule="exact" w:before="0"/>
                      <w:ind w:left="122" w:right="-12" w:firstLine="0"/>
                      <w:jc w:val="left"/>
                      <w:rPr>
                        <w:sz w:val="24"/>
                      </w:rPr>
                    </w:pPr>
                    <w:r>
                      <w:rPr>
                        <w:w w:val="99"/>
                        <w:sz w:val="24"/>
                      </w:rPr>
                      <w:t>2</w:t>
                    </w:r>
                  </w:p>
                </w:txbxContent>
              </v:textbox>
              <w10:wrap type="none"/>
            </v:shape>
            <w10:wrap type="none"/>
          </v:group>
        </w:pict>
      </w:r>
      <w:r>
        <w:rPr/>
        <w:t>media de</w:t>
      </w:r>
      <w:r>
        <w:rPr>
          <w:spacing w:val="65"/>
        </w:rPr>
        <w:t> </w:t>
      </w:r>
      <w:r>
        <w:rPr/>
        <w:t>38</w:t>
      </w:r>
      <w:r>
        <w:rPr>
          <w:spacing w:val="-1"/>
        </w:rPr>
        <w:t> </w:t>
      </w:r>
      <w:r>
        <w:rPr/>
        <w:t>DE</w:t>
        <w:tab/>
        <w:t>.1  semanas de gestación al momento del</w:t>
      </w:r>
      <w:r>
        <w:rPr>
          <w:spacing w:val="-16"/>
        </w:rPr>
        <w:t> </w:t>
      </w:r>
      <w:r>
        <w:rPr/>
        <w:t>nacimiento.</w:t>
      </w:r>
    </w:p>
    <w:p>
      <w:pPr>
        <w:spacing w:after="0"/>
        <w:sectPr>
          <w:pgSz w:w="12240" w:h="15840"/>
          <w:pgMar w:top="840" w:bottom="280" w:left="1600" w:right="1600"/>
        </w:sectPr>
      </w:pPr>
    </w:p>
    <w:p>
      <w:pPr>
        <w:pStyle w:val="BodyText"/>
        <w:rPr>
          <w:rFonts w:ascii="Times New Roman"/>
          <w:sz w:val="15"/>
        </w:rPr>
      </w:pPr>
    </w:p>
    <w:p>
      <w:pPr>
        <w:pStyle w:val="BodyText"/>
        <w:ind w:left="114"/>
        <w:rPr>
          <w:rFonts w:ascii="Times New Roman"/>
          <w:sz w:val="20"/>
        </w:rPr>
      </w:pPr>
      <w:r>
        <w:rPr>
          <w:rFonts w:ascii="Times New Roman"/>
          <w:sz w:val="20"/>
        </w:rPr>
        <w:pict>
          <v:group style="width:431.2pt;height:251.55pt;mso-position-horizontal-relative:char;mso-position-vertical-relative:line" coordorigin="0,0" coordsize="8624,5031">
            <v:line style="position:absolute" from="485,3456" to="8350,3456" stroked="true" strokeweight=".72pt" strokecolor="#d9d9d9"/>
            <v:line style="position:absolute" from="485,3118" to="8350,3118" stroked="true" strokeweight=".72pt" strokecolor="#d9d9d9"/>
            <v:line style="position:absolute" from="485,2780" to="8350,2780" stroked="true" strokeweight=".72pt" strokecolor="#d9d9d9"/>
            <v:line style="position:absolute" from="485,2441" to="8350,2441" stroked="true" strokeweight=".72pt" strokecolor="#d9d9d9"/>
            <v:line style="position:absolute" from="485,2103" to="8350,2103" stroked="true" strokeweight=".72pt" strokecolor="#d9d9d9"/>
            <v:line style="position:absolute" from="485,1764" to="8350,1764" stroked="true" strokeweight=".72pt" strokecolor="#d9d9d9"/>
            <v:line style="position:absolute" from="485,1426" to="8350,1426" stroked="true" strokeweight=".72pt" strokecolor="#d9d9d9"/>
            <v:line style="position:absolute" from="485,1088" to="8350,1088" stroked="true" strokeweight=".72pt" strokecolor="#d9d9d9"/>
            <v:shape style="position:absolute;left:528;top:1018;width:7781;height:747" coordorigin="528,1018" coordsize="7781,747" path="m528,1222l610,1289,694,1018,776,1155,860,1088,941,1088,1025,1088,1107,1188,1191,1088,1272,1088,1356,1222,1438,1222,1522,1155,1604,1155,1688,1155,1769,1155,1853,1426,1935,1356,2019,1088,2100,1289,2184,1155,2266,1088,2350,1222,2432,1289,2513,1318,2597,1088,2679,1155,2763,1155,2844,1628,2928,1088,3010,1155,3094,1426,3176,1059,3260,1764,3341,1330,3425,1208,3507,1155,3591,1412,3672,1628,3756,1289,3838,1222,3922,1356,4004,1222,4088,1289,4169,1088,4253,1148,4335,1140,4419,1527,4500,1222,4584,1263,4666,1155,4750,1222,4832,1140,4916,1282,4997,1356,5081,1088,5163,1392,5247,1356,5328,1289,5412,1330,5494,1289,5578,1222,5660,1527,5744,1222,5825,1289,5909,1018,5991,1155,6075,1088,6156,1088,6240,1088,6322,1188,6406,1088,6488,1088,6569,1222,6653,1222,6735,1155,6819,1155,6900,1155,6984,1155,7066,1426,7150,1356,7232,1088,7316,1289,7397,1155,7481,1088,7563,1222,7647,1289,7728,1318,7812,1088,7894,1155,7978,1155,8060,1628,8144,1088,8225,1155,8309,1426e" filled="false" stroked="true" strokeweight="2.16pt" strokecolor="#6fac46">
              <v:path arrowok="t"/>
            </v:shape>
            <v:shape style="position:absolute;left:528;top:1227;width:7781;height:2" coordorigin="528,1227" coordsize="7781,0" path="m528,1227l528,1227,8225,1227,8309,1227e" filled="false" stroked="true" strokeweight="2.16pt" strokecolor="#4471c4">
              <v:path arrowok="t"/>
            </v:shape>
            <v:shape style="position:absolute;left:528;top:1085;width:7781;height:2" coordorigin="528,1085" coordsize="7781,0" path="m528,1085l528,1085,8225,1085,8309,1085e" filled="false" stroked="true" strokeweight="2.16pt" strokecolor="#ffc000">
              <v:path arrowok="t"/>
            </v:shape>
            <v:shape style="position:absolute;left:528;top:1376;width:7781;height:2" coordorigin="528,1376" coordsize="7781,0" path="m528,1376l528,1376,8225,1376,8309,1376e" filled="false" stroked="true" strokeweight="2.16pt" strokecolor="#43682b">
              <v:path arrowok="t"/>
            </v:shape>
            <v:line style="position:absolute" from="485,749" to="8350,749" stroked="true" strokeweight=".72pt" strokecolor="#d9d9d9"/>
            <v:line style="position:absolute" from="485,3795" to="8350,3795" stroked="true" strokeweight=".72pt" strokecolor="#d9d9d9"/>
            <v:line style="position:absolute" from="1738,4428" to="2122,4428" stroked="true" strokeweight="2.16pt" strokecolor="#6fac46"/>
            <v:line style="position:absolute" from="4375,4428" to="4759,4428" stroked="true" strokeweight="2.16pt" strokecolor="#4471c4"/>
            <v:line style="position:absolute" from="1738,4764" to="2122,4764" stroked="true" strokeweight="2.16pt" strokecolor="#ffc000"/>
            <v:line style="position:absolute" from="4375,4764" to="4759,4764" stroked="true" strokeweight="2.16pt" strokecolor="#43682b"/>
            <v:rect style="position:absolute;left:8;top:8;width:8609;height:5016" filled="false" stroked="true" strokeweight=".72pt" strokecolor="#d9d9d9"/>
            <v:shape style="position:absolute;left:2489;top:213;width:3645;height:281" type="#_x0000_t202" filled="false" stroked="false">
              <v:textbox inset="0,0,0,0">
                <w:txbxContent>
                  <w:p>
                    <w:pPr>
                      <w:spacing w:line="281" w:lineRule="exact" w:before="0"/>
                      <w:ind w:left="0" w:right="-19" w:firstLine="0"/>
                      <w:jc w:val="left"/>
                      <w:rPr>
                        <w:rFonts w:ascii="Calibri" w:hAnsi="Calibri"/>
                        <w:sz w:val="28"/>
                      </w:rPr>
                    </w:pPr>
                    <w:r>
                      <w:rPr>
                        <w:rFonts w:ascii="Calibri" w:hAnsi="Calibri"/>
                        <w:color w:val="585858"/>
                        <w:sz w:val="28"/>
                      </w:rPr>
                      <w:t>GRÁFICO 3. EDAD </w:t>
                    </w:r>
                    <w:r>
                      <w:rPr>
                        <w:rFonts w:ascii="Calibri" w:hAnsi="Calibri"/>
                        <w:color w:val="585858"/>
                        <w:spacing w:val="-3"/>
                        <w:sz w:val="28"/>
                      </w:rPr>
                      <w:t>GESTACIONAL</w:t>
                    </w:r>
                  </w:p>
                </w:txbxContent>
              </v:textbox>
              <w10:wrap type="none"/>
            </v:shape>
            <v:shape style="position:absolute;left:137;top:664;width:183;height:3227" type="#_x0000_t202" filled="false" stroked="false">
              <v:textbox inset="0,0,0,0">
                <w:txbxContent>
                  <w:p>
                    <w:pPr>
                      <w:spacing w:line="183" w:lineRule="exact" w:before="0"/>
                      <w:ind w:left="0" w:right="-20" w:firstLine="0"/>
                      <w:jc w:val="left"/>
                      <w:rPr>
                        <w:rFonts w:ascii="Calibri"/>
                        <w:sz w:val="18"/>
                      </w:rPr>
                    </w:pPr>
                    <w:r>
                      <w:rPr>
                        <w:rFonts w:ascii="Calibri"/>
                        <w:color w:val="585858"/>
                        <w:sz w:val="18"/>
                      </w:rPr>
                      <w:t>45</w:t>
                    </w:r>
                  </w:p>
                  <w:p>
                    <w:pPr>
                      <w:spacing w:before="119"/>
                      <w:ind w:left="0" w:right="-20" w:firstLine="0"/>
                      <w:jc w:val="left"/>
                      <w:rPr>
                        <w:rFonts w:ascii="Calibri"/>
                        <w:sz w:val="18"/>
                      </w:rPr>
                    </w:pPr>
                    <w:r>
                      <w:rPr>
                        <w:rFonts w:ascii="Calibri"/>
                        <w:color w:val="585858"/>
                        <w:sz w:val="18"/>
                      </w:rPr>
                      <w:t>40</w:t>
                    </w:r>
                  </w:p>
                  <w:p>
                    <w:pPr>
                      <w:spacing w:before="118"/>
                      <w:ind w:left="0" w:right="-20" w:firstLine="0"/>
                      <w:jc w:val="left"/>
                      <w:rPr>
                        <w:rFonts w:ascii="Calibri"/>
                        <w:sz w:val="18"/>
                      </w:rPr>
                    </w:pPr>
                    <w:r>
                      <w:rPr>
                        <w:rFonts w:ascii="Calibri"/>
                        <w:color w:val="585858"/>
                        <w:sz w:val="18"/>
                      </w:rPr>
                      <w:t>35</w:t>
                    </w:r>
                  </w:p>
                  <w:p>
                    <w:pPr>
                      <w:spacing w:before="118"/>
                      <w:ind w:left="0" w:right="-20" w:firstLine="0"/>
                      <w:jc w:val="left"/>
                      <w:rPr>
                        <w:rFonts w:ascii="Calibri"/>
                        <w:sz w:val="18"/>
                      </w:rPr>
                    </w:pPr>
                    <w:r>
                      <w:rPr>
                        <w:rFonts w:ascii="Calibri"/>
                        <w:color w:val="585858"/>
                        <w:sz w:val="18"/>
                      </w:rPr>
                      <w:t>30</w:t>
                    </w:r>
                  </w:p>
                  <w:p>
                    <w:pPr>
                      <w:spacing w:before="118"/>
                      <w:ind w:left="0" w:right="-20" w:firstLine="0"/>
                      <w:jc w:val="left"/>
                      <w:rPr>
                        <w:rFonts w:ascii="Calibri"/>
                        <w:sz w:val="18"/>
                      </w:rPr>
                    </w:pPr>
                    <w:r>
                      <w:rPr>
                        <w:rFonts w:ascii="Calibri"/>
                        <w:color w:val="585858"/>
                        <w:sz w:val="18"/>
                      </w:rPr>
                      <w:t>25</w:t>
                    </w:r>
                  </w:p>
                  <w:p>
                    <w:pPr>
                      <w:spacing w:before="119"/>
                      <w:ind w:left="0" w:right="-20" w:firstLine="0"/>
                      <w:jc w:val="left"/>
                      <w:rPr>
                        <w:rFonts w:ascii="Calibri"/>
                        <w:sz w:val="18"/>
                      </w:rPr>
                    </w:pPr>
                    <w:r>
                      <w:rPr>
                        <w:rFonts w:ascii="Calibri"/>
                        <w:color w:val="585858"/>
                        <w:sz w:val="18"/>
                      </w:rPr>
                      <w:t>20</w:t>
                    </w:r>
                  </w:p>
                  <w:p>
                    <w:pPr>
                      <w:spacing w:before="118"/>
                      <w:ind w:left="0" w:right="-20" w:firstLine="0"/>
                      <w:jc w:val="left"/>
                      <w:rPr>
                        <w:rFonts w:ascii="Calibri"/>
                        <w:sz w:val="18"/>
                      </w:rPr>
                    </w:pPr>
                    <w:r>
                      <w:rPr>
                        <w:rFonts w:ascii="Calibri"/>
                        <w:color w:val="585858"/>
                        <w:sz w:val="18"/>
                      </w:rPr>
                      <w:t>15</w:t>
                    </w:r>
                  </w:p>
                  <w:p>
                    <w:pPr>
                      <w:spacing w:before="118"/>
                      <w:ind w:left="0" w:right="-20" w:firstLine="0"/>
                      <w:jc w:val="left"/>
                      <w:rPr>
                        <w:rFonts w:ascii="Calibri"/>
                        <w:sz w:val="18"/>
                      </w:rPr>
                    </w:pPr>
                    <w:r>
                      <w:rPr>
                        <w:rFonts w:ascii="Calibri"/>
                        <w:color w:val="585858"/>
                        <w:sz w:val="18"/>
                      </w:rPr>
                      <w:t>10</w:t>
                    </w:r>
                  </w:p>
                  <w:p>
                    <w:pPr>
                      <w:spacing w:before="118"/>
                      <w:ind w:left="91" w:right="0" w:firstLine="0"/>
                      <w:jc w:val="left"/>
                      <w:rPr>
                        <w:rFonts w:ascii="Calibri"/>
                        <w:sz w:val="18"/>
                      </w:rPr>
                    </w:pPr>
                    <w:r>
                      <w:rPr>
                        <w:rFonts w:ascii="Calibri"/>
                        <w:color w:val="585858"/>
                        <w:sz w:val="18"/>
                      </w:rPr>
                      <w:t>5</w:t>
                    </w:r>
                  </w:p>
                  <w:p>
                    <w:pPr>
                      <w:spacing w:line="216" w:lineRule="exact" w:before="119"/>
                      <w:ind w:left="91" w:right="0" w:firstLine="0"/>
                      <w:jc w:val="left"/>
                      <w:rPr>
                        <w:rFonts w:ascii="Calibri"/>
                        <w:sz w:val="18"/>
                      </w:rPr>
                    </w:pPr>
                    <w:r>
                      <w:rPr>
                        <w:rFonts w:ascii="Calibri"/>
                        <w:color w:val="585858"/>
                        <w:sz w:val="18"/>
                      </w:rPr>
                      <w:t>0</w:t>
                    </w:r>
                  </w:p>
                </w:txbxContent>
              </v:textbox>
              <w10:wrap type="none"/>
            </v:shape>
            <v:shape style="position:absolute;left:483;top:3945;width:7836;height:180" type="#_x0000_t202" filled="false" stroked="false">
              <v:textbox inset="0,0,0,0">
                <w:txbxContent>
                  <w:p>
                    <w:pPr>
                      <w:spacing w:line="180" w:lineRule="exact" w:before="0"/>
                      <w:ind w:left="0" w:right="0" w:firstLine="0"/>
                      <w:jc w:val="left"/>
                      <w:rPr>
                        <w:rFonts w:ascii="Calibri"/>
                        <w:sz w:val="18"/>
                      </w:rPr>
                    </w:pPr>
                    <w:r>
                      <w:rPr>
                        <w:rFonts w:ascii="Calibri"/>
                        <w:color w:val="585858"/>
                        <w:sz w:val="18"/>
                      </w:rPr>
                      <w:t>1   4   7  10 13 16 19 22 25 28 31 34 37 40 43 46 49 52 55 58 61 64 67 70 73 76 79 82 85 88 91 94</w:t>
                    </w:r>
                  </w:p>
                </w:txbxContent>
              </v:textbox>
              <w10:wrap type="none"/>
            </v:shape>
            <v:shape style="position:absolute;left:2163;top:4344;width:2155;height:518" type="#_x0000_t202" filled="false" stroked="false">
              <v:textbox inset="0,0,0,0">
                <w:txbxContent>
                  <w:p>
                    <w:pPr>
                      <w:spacing w:line="183" w:lineRule="exact" w:before="0"/>
                      <w:ind w:left="0" w:right="-9" w:firstLine="0"/>
                      <w:jc w:val="left"/>
                      <w:rPr>
                        <w:rFonts w:ascii="Calibri"/>
                        <w:sz w:val="18"/>
                      </w:rPr>
                    </w:pPr>
                    <w:r>
                      <w:rPr>
                        <w:rFonts w:ascii="Calibri"/>
                        <w:color w:val="585858"/>
                        <w:sz w:val="18"/>
                      </w:rPr>
                      <w:t>EDAD GESTACIONAL</w:t>
                    </w:r>
                  </w:p>
                  <w:p>
                    <w:pPr>
                      <w:spacing w:line="216" w:lineRule="exact" w:before="117"/>
                      <w:ind w:left="0" w:right="-9" w:firstLine="0"/>
                      <w:jc w:val="left"/>
                      <w:rPr>
                        <w:rFonts w:ascii="Calibri" w:hAnsi="Calibri"/>
                        <w:sz w:val="18"/>
                      </w:rPr>
                    </w:pPr>
                    <w:r>
                      <w:rPr>
                        <w:rFonts w:ascii="Calibri" w:hAnsi="Calibri"/>
                        <w:color w:val="585858"/>
                        <w:sz w:val="18"/>
                      </w:rPr>
                      <w:t>LÍMITE MÁXIMO</w:t>
                    </w:r>
                    <w:r>
                      <w:rPr>
                        <w:rFonts w:ascii="Calibri" w:hAnsi="Calibri"/>
                        <w:color w:val="585858"/>
                        <w:spacing w:val="-13"/>
                        <w:sz w:val="18"/>
                      </w:rPr>
                      <w:t> </w:t>
                    </w:r>
                    <w:r>
                      <w:rPr>
                        <w:rFonts w:ascii="Calibri" w:hAnsi="Calibri"/>
                        <w:color w:val="585858"/>
                        <w:sz w:val="18"/>
                      </w:rPr>
                      <w:t>DESVIACIÓN</w:t>
                    </w:r>
                  </w:p>
                </w:txbxContent>
              </v:textbox>
              <w10:wrap type="none"/>
            </v:shape>
            <v:shape style="position:absolute;left:4801;top:4344;width:2119;height:518" type="#_x0000_t202" filled="false" stroked="false">
              <v:textbox inset="0,0,0,0">
                <w:txbxContent>
                  <w:p>
                    <w:pPr>
                      <w:spacing w:line="183" w:lineRule="exact" w:before="0"/>
                      <w:ind w:left="0" w:right="-10" w:firstLine="0"/>
                      <w:jc w:val="left"/>
                      <w:rPr>
                        <w:rFonts w:ascii="Calibri"/>
                        <w:sz w:val="18"/>
                      </w:rPr>
                    </w:pPr>
                    <w:r>
                      <w:rPr>
                        <w:rFonts w:ascii="Calibri"/>
                        <w:color w:val="585858"/>
                        <w:sz w:val="18"/>
                      </w:rPr>
                      <w:t>MEDIA</w:t>
                    </w:r>
                  </w:p>
                  <w:p>
                    <w:pPr>
                      <w:spacing w:line="216" w:lineRule="exact" w:before="117"/>
                      <w:ind w:left="0" w:right="-10" w:firstLine="0"/>
                      <w:jc w:val="left"/>
                      <w:rPr>
                        <w:rFonts w:ascii="Calibri" w:hAnsi="Calibri"/>
                        <w:sz w:val="18"/>
                      </w:rPr>
                    </w:pPr>
                    <w:r>
                      <w:rPr>
                        <w:rFonts w:ascii="Calibri" w:hAnsi="Calibri"/>
                        <w:color w:val="585858"/>
                        <w:sz w:val="18"/>
                      </w:rPr>
                      <w:t>LÍMITE MÍNIMO</w:t>
                    </w:r>
                    <w:r>
                      <w:rPr>
                        <w:rFonts w:ascii="Calibri" w:hAnsi="Calibri"/>
                        <w:color w:val="585858"/>
                        <w:spacing w:val="-12"/>
                        <w:sz w:val="18"/>
                      </w:rPr>
                      <w:t> </w:t>
                    </w:r>
                    <w:r>
                      <w:rPr>
                        <w:rFonts w:ascii="Calibri" w:hAnsi="Calibri"/>
                        <w:color w:val="585858"/>
                        <w:sz w:val="18"/>
                      </w:rPr>
                      <w:t>DESVIACIÓN</w:t>
                    </w:r>
                  </w:p>
                </w:txbxContent>
              </v:textbox>
              <w10:wrap type="none"/>
            </v:shape>
          </v:group>
        </w:pict>
      </w:r>
      <w:r>
        <w:rPr>
          <w:rFonts w:ascii="Times New Roman"/>
          <w:sz w:val="20"/>
        </w:rPr>
      </w:r>
    </w:p>
    <w:p>
      <w:pPr>
        <w:spacing w:after="0"/>
        <w:rPr>
          <w:rFonts w:ascii="Times New Roman"/>
          <w:sz w:val="20"/>
        </w:rPr>
        <w:sectPr>
          <w:pgSz w:w="12240" w:h="15840"/>
          <w:pgMar w:top="1500" w:bottom="280" w:left="1580" w:right="1720"/>
        </w:sectPr>
      </w:pPr>
    </w:p>
    <w:p>
      <w:pPr>
        <w:pStyle w:val="BodyText"/>
        <w:spacing w:before="50"/>
        <w:ind w:left="122"/>
      </w:pPr>
      <w:r>
        <w:rPr/>
        <w:t>La edad materna mínima fue de 14 años y la máxima de 42 con una edad media de</w:t>
      </w:r>
    </w:p>
    <w:p>
      <w:pPr>
        <w:pStyle w:val="ListParagraph"/>
        <w:numPr>
          <w:ilvl w:val="1"/>
          <w:numId w:val="13"/>
        </w:numPr>
        <w:tabs>
          <w:tab w:pos="658" w:val="left" w:leader="none"/>
          <w:tab w:pos="1240" w:val="left" w:leader="none"/>
        </w:tabs>
        <w:spacing w:line="240" w:lineRule="auto" w:before="139" w:after="0"/>
        <w:ind w:left="657" w:right="0" w:hanging="535"/>
        <w:jc w:val="left"/>
        <w:rPr>
          <w:sz w:val="24"/>
        </w:rPr>
      </w:pPr>
      <w:r>
        <w:rPr/>
        <w:drawing>
          <wp:anchor distT="0" distB="0" distL="0" distR="0" allowOverlap="1" layoutInCell="1" locked="0" behindDoc="1" simplePos="0" relativeHeight="268398527">
            <wp:simplePos x="0" y="0"/>
            <wp:positionH relativeFrom="page">
              <wp:posOffset>1675129</wp:posOffset>
            </wp:positionH>
            <wp:positionV relativeFrom="paragraph">
              <wp:posOffset>94054</wp:posOffset>
            </wp:positionV>
            <wp:extent cx="173736" cy="182879"/>
            <wp:effectExtent l="0" t="0" r="0" b="0"/>
            <wp:wrapNone/>
            <wp:docPr id="5" name="image9.png" descr=""/>
            <wp:cNvGraphicFramePr>
              <a:graphicFrameLocks noChangeAspect="1"/>
            </wp:cNvGraphicFramePr>
            <a:graphic>
              <a:graphicData uri="http://schemas.openxmlformats.org/drawingml/2006/picture">
                <pic:pic>
                  <pic:nvPicPr>
                    <pic:cNvPr id="6" name="image9.png"/>
                    <pic:cNvPicPr/>
                  </pic:nvPicPr>
                  <pic:blipFill>
                    <a:blip r:embed="rId13" cstate="print"/>
                    <a:stretch>
                      <a:fillRect/>
                    </a:stretch>
                  </pic:blipFill>
                  <pic:spPr>
                    <a:xfrm>
                      <a:off x="0" y="0"/>
                      <a:ext cx="173736" cy="182879"/>
                    </a:xfrm>
                    <a:prstGeom prst="rect">
                      <a:avLst/>
                    </a:prstGeom>
                  </pic:spPr>
                </pic:pic>
              </a:graphicData>
            </a:graphic>
          </wp:anchor>
        </w:drawing>
      </w:r>
      <w:r>
        <w:rPr>
          <w:sz w:val="24"/>
        </w:rPr>
        <w:t>DE</w:t>
        <w:tab/>
        <w:t>6.7 años al momento del</w:t>
      </w:r>
      <w:r>
        <w:rPr>
          <w:spacing w:val="-17"/>
          <w:sz w:val="24"/>
        </w:rPr>
        <w:t> </w:t>
      </w:r>
      <w:r>
        <w:rPr>
          <w:sz w:val="24"/>
        </w:rPr>
        <w:t>nacimiento.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4"/>
        </w:rPr>
      </w:pPr>
      <w:r>
        <w:rPr/>
        <w:pict>
          <v:group style="position:absolute;margin-left:84.705002pt;margin-top:10.188848pt;width:442.6pt;height:237.55pt;mso-position-horizontal-relative:page;mso-position-vertical-relative:paragraph;z-index:1600;mso-wrap-distance-left:0;mso-wrap-distance-right:0" coordorigin="1694,204" coordsize="8852,4751">
            <v:line style="position:absolute" from="2179,3689" to="10274,3689" stroked="true" strokeweight=".72pt" strokecolor="#d9d9d9"/>
            <v:line style="position:absolute" from="2179,3353" to="10274,3353" stroked="true" strokeweight=".72pt" strokecolor="#d9d9d9"/>
            <v:line style="position:absolute" from="2179,1001" to="10274,1001" stroked="true" strokeweight=".72pt" strokecolor="#d9d9d9"/>
            <v:line style="position:absolute" from="2179,4025" to="10274,4025" stroked="true" strokeweight=".96pt" strokecolor="#d9d9d9"/>
            <v:shape style="position:absolute;left:2172;top:1114;width:8114;height:2122" type="#_x0000_t75" stroked="false">
              <v:imagedata r:id="rId14" o:title=""/>
            </v:shape>
            <v:shape style="position:absolute;left:2179;top:2374;width:8107;height:240" type="#_x0000_t75" stroked="false">
              <v:imagedata r:id="rId15" o:title=""/>
            </v:shape>
            <v:shape style="position:absolute;left:2179;top:1922;width:8107;height:240" type="#_x0000_t75" stroked="false">
              <v:imagedata r:id="rId15" o:title=""/>
            </v:shape>
            <v:shape style="position:absolute;left:2179;top:2825;width:8107;height:240" type="#_x0000_t75" stroked="false">
              <v:imagedata r:id="rId15" o:title=""/>
            </v:shape>
            <v:shape style="position:absolute;left:2224;top:1204;width:8007;height:1882" coordorigin="2224,1204" coordsize="8007,1882" path="m2224,1405l2308,2951,2394,2346,2478,2144,2564,2682,2648,2212,2735,2884,2819,1876,2905,2615,2989,2749,3076,2816,3160,2816,3246,2413,3330,2279,3416,2010,3500,2413,3587,1876,3671,1472,3757,2346,3841,2951,3928,2212,4012,2279,4098,2615,4182,2816,4268,2548,4352,2279,4439,2212,4523,2346,4609,2816,4693,2346,4780,2346,4864,2816,4950,2548,5034,2749,5120,2884,5204,2480,5291,1271,5375,2010,5461,1405,5545,1338,5632,2615,5716,2682,5802,2144,5886,2548,5972,2615,6056,3085,6143,2884,6227,2951,6313,3018,6397,2682,6481,2212,6568,2816,6652,2749,6738,1204,6822,2682,6908,3085,6992,2816,7079,2548,7163,2548,7249,2413,7333,1338,7420,2615,7504,2010,7590,1405,7674,2951,7760,2346,7844,2144,7931,2682,8015,2212,8101,2884,8185,1876,8272,2615,8356,2749,8442,2816,8526,2816,8612,2413,8696,2279,8783,2010,8867,2413,8953,1876,9037,1472,9124,2346,9208,2951,9294,2212,9378,2279,9464,2615,9548,2816,9635,2548,9719,2279,9805,2212,9889,2346,9976,2816,10060,2346,10146,2346,10230,2816e" filled="false" stroked="true" strokeweight="2.76pt" strokecolor="#5b9bd4">
              <v:path arrowok="t"/>
            </v:shape>
            <v:shape style="position:absolute;left:2224;top:2464;width:8007;height:2" coordorigin="2224,2464" coordsize="8007,0" path="m2224,2464l2224,2464,10146,2464,10230,2464e" filled="false" stroked="true" strokeweight="2.76pt" strokecolor="#ec7c30">
              <v:path arrowok="t"/>
            </v:shape>
            <v:shape style="position:absolute;left:2224;top:2012;width:8007;height:2" coordorigin="2224,2012" coordsize="8007,0" path="m2224,2012l2224,2012,10146,2012,10230,2012e" filled="false" stroked="true" strokeweight="2.76pt" strokecolor="#a4a4a4">
              <v:path arrowok="t"/>
            </v:shape>
            <v:shape style="position:absolute;left:2224;top:2915;width:8007;height:2" coordorigin="2224,2915" coordsize="8007,0" path="m2224,2915l2224,2915,10146,2915,10230,2915e" filled="false" stroked="true" strokeweight="2.76pt" strokecolor="#ffc000">
              <v:path arrowok="t"/>
            </v:shape>
            <v:line style="position:absolute" from="2208,4658" to="2592,4658" stroked="true" strokeweight="2.64pt" strokecolor="#5b9bd4"/>
            <v:line style="position:absolute" from="3936,4658" to="4320,4658" stroked="true" strokeweight="2.64pt" strokecolor="#ec7c30"/>
            <v:line style="position:absolute" from="4920,4658" to="5304,4658" stroked="true" strokeweight="2.64pt" strokecolor="#a4a4a4"/>
            <v:line style="position:absolute" from="7558,4658" to="7942,4658" stroked="true" strokeweight="2.64pt" strokecolor="#ffc000"/>
            <v:rect style="position:absolute;left:1702;top:211;width:8837;height:4735" filled="false" stroked="true" strokeweight=".72pt" strokecolor="#d9d9d9"/>
            <v:shape style="position:absolute;left:4244;top:427;width:3751;height:320" type="#_x0000_t202" filled="false" stroked="false">
              <v:textbox inset="0,0,0,0">
                <w:txbxContent>
                  <w:p>
                    <w:pPr>
                      <w:spacing w:line="319" w:lineRule="exact" w:before="0"/>
                      <w:ind w:left="0" w:right="-9" w:firstLine="0"/>
                      <w:jc w:val="left"/>
                      <w:rPr>
                        <w:rFonts w:ascii="Calibri" w:hAnsi="Calibri"/>
                        <w:b/>
                        <w:sz w:val="32"/>
                      </w:rPr>
                    </w:pPr>
                    <w:r>
                      <w:rPr>
                        <w:rFonts w:ascii="Calibri" w:hAnsi="Calibri"/>
                        <w:b/>
                        <w:color w:val="585858"/>
                        <w:sz w:val="32"/>
                      </w:rPr>
                      <w:t>GRÁFICO 4. EDAD</w:t>
                    </w:r>
                    <w:r>
                      <w:rPr>
                        <w:rFonts w:ascii="Calibri" w:hAnsi="Calibri"/>
                        <w:b/>
                        <w:color w:val="585858"/>
                        <w:spacing w:val="-20"/>
                        <w:sz w:val="32"/>
                      </w:rPr>
                      <w:t> </w:t>
                    </w:r>
                    <w:r>
                      <w:rPr>
                        <w:rFonts w:ascii="Calibri" w:hAnsi="Calibri"/>
                        <w:b/>
                        <w:color w:val="585858"/>
                        <w:spacing w:val="-4"/>
                        <w:sz w:val="32"/>
                      </w:rPr>
                      <w:t>MATERNA</w:t>
                    </w:r>
                  </w:p>
                </w:txbxContent>
              </v:textbox>
              <w10:wrap type="none"/>
            </v:shape>
            <v:shape style="position:absolute;left:1831;top:918;width:183;height:3205" type="#_x0000_t202" filled="false" stroked="false">
              <v:textbox inset="0,0,0,0">
                <w:txbxContent>
                  <w:p>
                    <w:pPr>
                      <w:spacing w:line="183" w:lineRule="exact" w:before="0"/>
                      <w:ind w:left="0" w:right="-20" w:firstLine="0"/>
                      <w:jc w:val="left"/>
                      <w:rPr>
                        <w:rFonts w:ascii="Calibri"/>
                        <w:sz w:val="18"/>
                      </w:rPr>
                    </w:pPr>
                    <w:r>
                      <w:rPr>
                        <w:rFonts w:ascii="Calibri"/>
                        <w:color w:val="585858"/>
                        <w:sz w:val="18"/>
                      </w:rPr>
                      <w:t>45</w:t>
                    </w:r>
                  </w:p>
                  <w:p>
                    <w:pPr>
                      <w:spacing w:before="116"/>
                      <w:ind w:left="0" w:right="-20" w:firstLine="0"/>
                      <w:jc w:val="left"/>
                      <w:rPr>
                        <w:rFonts w:ascii="Calibri"/>
                        <w:sz w:val="18"/>
                      </w:rPr>
                    </w:pPr>
                    <w:r>
                      <w:rPr>
                        <w:rFonts w:ascii="Calibri"/>
                        <w:color w:val="585858"/>
                        <w:sz w:val="18"/>
                      </w:rPr>
                      <w:t>40</w:t>
                    </w:r>
                  </w:p>
                  <w:p>
                    <w:pPr>
                      <w:spacing w:before="116"/>
                      <w:ind w:left="0" w:right="-20" w:firstLine="0"/>
                      <w:jc w:val="left"/>
                      <w:rPr>
                        <w:rFonts w:ascii="Calibri"/>
                        <w:sz w:val="18"/>
                      </w:rPr>
                    </w:pPr>
                    <w:r>
                      <w:rPr>
                        <w:rFonts w:ascii="Calibri"/>
                        <w:color w:val="585858"/>
                        <w:sz w:val="18"/>
                      </w:rPr>
                      <w:t>35</w:t>
                    </w:r>
                  </w:p>
                  <w:p>
                    <w:pPr>
                      <w:spacing w:before="116"/>
                      <w:ind w:left="0" w:right="-20" w:firstLine="0"/>
                      <w:jc w:val="left"/>
                      <w:rPr>
                        <w:rFonts w:ascii="Calibri"/>
                        <w:sz w:val="18"/>
                      </w:rPr>
                    </w:pPr>
                    <w:r>
                      <w:rPr>
                        <w:rFonts w:ascii="Calibri"/>
                        <w:color w:val="585858"/>
                        <w:sz w:val="18"/>
                      </w:rPr>
                      <w:t>30</w:t>
                    </w:r>
                  </w:p>
                  <w:p>
                    <w:pPr>
                      <w:spacing w:before="116"/>
                      <w:ind w:left="0" w:right="-20" w:firstLine="0"/>
                      <w:jc w:val="left"/>
                      <w:rPr>
                        <w:rFonts w:ascii="Calibri"/>
                        <w:sz w:val="18"/>
                      </w:rPr>
                    </w:pPr>
                    <w:r>
                      <w:rPr>
                        <w:rFonts w:ascii="Calibri"/>
                        <w:color w:val="585858"/>
                        <w:sz w:val="18"/>
                      </w:rPr>
                      <w:t>25</w:t>
                    </w:r>
                  </w:p>
                  <w:p>
                    <w:pPr>
                      <w:spacing w:before="116"/>
                      <w:ind w:left="0" w:right="-20" w:firstLine="0"/>
                      <w:jc w:val="left"/>
                      <w:rPr>
                        <w:rFonts w:ascii="Calibri"/>
                        <w:sz w:val="18"/>
                      </w:rPr>
                    </w:pPr>
                    <w:r>
                      <w:rPr>
                        <w:rFonts w:ascii="Calibri"/>
                        <w:color w:val="585858"/>
                        <w:sz w:val="18"/>
                      </w:rPr>
                      <w:t>20</w:t>
                    </w:r>
                  </w:p>
                  <w:p>
                    <w:pPr>
                      <w:spacing w:before="116"/>
                      <w:ind w:left="0" w:right="-20" w:firstLine="0"/>
                      <w:jc w:val="left"/>
                      <w:rPr>
                        <w:rFonts w:ascii="Calibri"/>
                        <w:sz w:val="18"/>
                      </w:rPr>
                    </w:pPr>
                    <w:r>
                      <w:rPr>
                        <w:rFonts w:ascii="Calibri"/>
                        <w:color w:val="585858"/>
                        <w:sz w:val="18"/>
                      </w:rPr>
                      <w:t>15</w:t>
                    </w:r>
                  </w:p>
                  <w:p>
                    <w:pPr>
                      <w:spacing w:before="116"/>
                      <w:ind w:left="0" w:right="-20" w:firstLine="0"/>
                      <w:jc w:val="left"/>
                      <w:rPr>
                        <w:rFonts w:ascii="Calibri"/>
                        <w:sz w:val="18"/>
                      </w:rPr>
                    </w:pPr>
                    <w:r>
                      <w:rPr>
                        <w:rFonts w:ascii="Calibri"/>
                        <w:color w:val="585858"/>
                        <w:sz w:val="18"/>
                      </w:rPr>
                      <w:t>10</w:t>
                    </w:r>
                  </w:p>
                  <w:p>
                    <w:pPr>
                      <w:spacing w:before="116"/>
                      <w:ind w:left="91" w:right="0" w:firstLine="0"/>
                      <w:jc w:val="left"/>
                      <w:rPr>
                        <w:rFonts w:ascii="Calibri"/>
                        <w:sz w:val="18"/>
                      </w:rPr>
                    </w:pPr>
                    <w:r>
                      <w:rPr>
                        <w:rFonts w:ascii="Calibri"/>
                        <w:color w:val="585858"/>
                        <w:sz w:val="18"/>
                      </w:rPr>
                      <w:t>5</w:t>
                    </w:r>
                  </w:p>
                  <w:p>
                    <w:pPr>
                      <w:spacing w:line="216" w:lineRule="exact" w:before="116"/>
                      <w:ind w:left="91" w:right="0" w:firstLine="0"/>
                      <w:jc w:val="left"/>
                      <w:rPr>
                        <w:rFonts w:ascii="Calibri"/>
                        <w:sz w:val="18"/>
                      </w:rPr>
                    </w:pPr>
                    <w:r>
                      <w:rPr>
                        <w:rFonts w:ascii="Calibri"/>
                        <w:color w:val="585858"/>
                        <w:sz w:val="18"/>
                      </w:rPr>
                      <w:t>0</w:t>
                    </w:r>
                  </w:p>
                </w:txbxContent>
              </v:textbox>
              <w10:wrap type="none"/>
            </v:shape>
            <v:shape style="position:absolute;left:2178;top:4176;width:8061;height:180" type="#_x0000_t202" filled="false" stroked="false">
              <v:textbox inset="0,0,0,0">
                <w:txbxContent>
                  <w:p>
                    <w:pPr>
                      <w:spacing w:line="180" w:lineRule="exact" w:before="0"/>
                      <w:ind w:left="0" w:right="0" w:firstLine="0"/>
                      <w:jc w:val="left"/>
                      <w:rPr>
                        <w:rFonts w:ascii="Calibri"/>
                        <w:sz w:val="18"/>
                      </w:rPr>
                    </w:pPr>
                    <w:r>
                      <w:rPr>
                        <w:rFonts w:ascii="Calibri"/>
                        <w:color w:val="585858"/>
                        <w:sz w:val="18"/>
                      </w:rPr>
                      <w:t>1   4   7  10 13 16 19 22 25 28 31 34 37 40 43 46 49 52 55 58 61 64 67 70 73 76 79 82 85 88 91 94</w:t>
                    </w:r>
                  </w:p>
                </w:txbxContent>
              </v:textbox>
              <w10:wrap type="none"/>
            </v:shape>
            <v:shape style="position:absolute;left:2632;top:4575;width:1206;height:180" type="#_x0000_t202" filled="false" stroked="false">
              <v:textbox inset="0,0,0,0">
                <w:txbxContent>
                  <w:p>
                    <w:pPr>
                      <w:spacing w:line="180" w:lineRule="exact" w:before="0"/>
                      <w:ind w:left="0" w:right="-20" w:firstLine="0"/>
                      <w:jc w:val="left"/>
                      <w:rPr>
                        <w:rFonts w:ascii="Calibri"/>
                        <w:sz w:val="18"/>
                      </w:rPr>
                    </w:pPr>
                    <w:r>
                      <w:rPr>
                        <w:rFonts w:ascii="Calibri"/>
                        <w:color w:val="585858"/>
                        <w:sz w:val="18"/>
                      </w:rPr>
                      <w:t>EDAD MATERNA</w:t>
                    </w:r>
                  </w:p>
                </w:txbxContent>
              </v:textbox>
              <w10:wrap type="none"/>
            </v:shape>
            <v:shape style="position:absolute;left:4361;top:4575;width:503;height:180" type="#_x0000_t202" filled="false" stroked="false">
              <v:textbox inset="0,0,0,0">
                <w:txbxContent>
                  <w:p>
                    <w:pPr>
                      <w:spacing w:line="180" w:lineRule="exact" w:before="0"/>
                      <w:ind w:left="0" w:right="-20" w:firstLine="0"/>
                      <w:jc w:val="left"/>
                      <w:rPr>
                        <w:rFonts w:ascii="Calibri"/>
                        <w:sz w:val="18"/>
                      </w:rPr>
                    </w:pPr>
                    <w:r>
                      <w:rPr>
                        <w:rFonts w:ascii="Calibri"/>
                        <w:color w:val="585858"/>
                        <w:sz w:val="18"/>
                      </w:rPr>
                      <w:t>MEDIA</w:t>
                    </w:r>
                  </w:p>
                </w:txbxContent>
              </v:textbox>
              <w10:wrap type="none"/>
            </v:shape>
            <v:shape style="position:absolute;left:5344;top:4575;width:2155;height:180" type="#_x0000_t202" filled="false" stroked="false">
              <v:textbox inset="0,0,0,0">
                <w:txbxContent>
                  <w:p>
                    <w:pPr>
                      <w:spacing w:line="180" w:lineRule="exact" w:before="0"/>
                      <w:ind w:left="0" w:right="-9" w:firstLine="0"/>
                      <w:jc w:val="left"/>
                      <w:rPr>
                        <w:rFonts w:ascii="Calibri" w:hAnsi="Calibri"/>
                        <w:sz w:val="18"/>
                      </w:rPr>
                    </w:pPr>
                    <w:r>
                      <w:rPr>
                        <w:rFonts w:ascii="Calibri" w:hAnsi="Calibri"/>
                        <w:color w:val="585858"/>
                        <w:sz w:val="18"/>
                      </w:rPr>
                      <w:t>LÍMITE MÁXIMO</w:t>
                    </w:r>
                    <w:r>
                      <w:rPr>
                        <w:rFonts w:ascii="Calibri" w:hAnsi="Calibri"/>
                        <w:color w:val="585858"/>
                        <w:spacing w:val="-13"/>
                        <w:sz w:val="18"/>
                      </w:rPr>
                      <w:t> </w:t>
                    </w:r>
                    <w:r>
                      <w:rPr>
                        <w:rFonts w:ascii="Calibri" w:hAnsi="Calibri"/>
                        <w:color w:val="585858"/>
                        <w:sz w:val="18"/>
                      </w:rPr>
                      <w:t>DESVIACIÓN</w:t>
                    </w:r>
                  </w:p>
                </w:txbxContent>
              </v:textbox>
              <w10:wrap type="none"/>
            </v:shape>
            <v:shape style="position:absolute;left:7983;top:4575;width:2119;height:180" type="#_x0000_t202" filled="false" stroked="false">
              <v:textbox inset="0,0,0,0">
                <w:txbxContent>
                  <w:p>
                    <w:pPr>
                      <w:spacing w:line="180" w:lineRule="exact" w:before="0"/>
                      <w:ind w:left="0" w:right="-10" w:firstLine="0"/>
                      <w:jc w:val="left"/>
                      <w:rPr>
                        <w:rFonts w:ascii="Calibri" w:hAnsi="Calibri"/>
                        <w:sz w:val="18"/>
                      </w:rPr>
                    </w:pPr>
                    <w:r>
                      <w:rPr>
                        <w:rFonts w:ascii="Calibri" w:hAnsi="Calibri"/>
                        <w:color w:val="585858"/>
                        <w:sz w:val="18"/>
                      </w:rPr>
                      <w:t>LÍMITE MÍNIMO</w:t>
                    </w:r>
                    <w:r>
                      <w:rPr>
                        <w:rFonts w:ascii="Calibri" w:hAnsi="Calibri"/>
                        <w:color w:val="585858"/>
                        <w:spacing w:val="-12"/>
                        <w:sz w:val="18"/>
                      </w:rPr>
                      <w:t> </w:t>
                    </w:r>
                    <w:r>
                      <w:rPr>
                        <w:rFonts w:ascii="Calibri" w:hAnsi="Calibri"/>
                        <w:color w:val="585858"/>
                        <w:sz w:val="18"/>
                      </w:rPr>
                      <w:t>DESVIACIÓN</w:t>
                    </w:r>
                  </w:p>
                </w:txbxContent>
              </v:textbox>
              <w10:wrap type="none"/>
            </v:shape>
            <w10:wrap type="topAndBottom"/>
          </v:group>
        </w:pict>
      </w:r>
    </w:p>
    <w:p>
      <w:pPr>
        <w:spacing w:after="0"/>
        <w:rPr>
          <w:sz w:val="14"/>
        </w:rPr>
        <w:sectPr>
          <w:pgSz w:w="12240" w:h="15840"/>
          <w:pgMar w:top="800" w:bottom="280" w:left="1580" w:right="1580"/>
        </w:sectPr>
      </w:pPr>
    </w:p>
    <w:p>
      <w:pPr>
        <w:pStyle w:val="BodyText"/>
        <w:spacing w:line="360" w:lineRule="auto" w:before="50"/>
        <w:ind w:left="102" w:right="1318"/>
        <w:jc w:val="both"/>
      </w:pPr>
      <w:r>
        <w:rPr/>
        <w:t>De acuerdo al tipo de malformación congénita gastrointestinal se encontró que la más frecuente fue la atresia intestinal (n=40) y en segundo lugar la malformación anorrectal (n=38), 50% con presencia de algún tipo de fístula y 50% sin fístula; la menos frecuente fue la duplicación intestinal (n=1) (gráfico 5).</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0"/>
        </w:rPr>
      </w:pPr>
      <w:r>
        <w:rPr/>
        <w:drawing>
          <wp:anchor distT="0" distB="0" distL="0" distR="0" allowOverlap="1" layoutInCell="1" locked="0" behindDoc="0" simplePos="0" relativeHeight="1648">
            <wp:simplePos x="0" y="0"/>
            <wp:positionH relativeFrom="page">
              <wp:posOffset>1080516</wp:posOffset>
            </wp:positionH>
            <wp:positionV relativeFrom="paragraph">
              <wp:posOffset>178050</wp:posOffset>
            </wp:positionV>
            <wp:extent cx="6382511" cy="3291840"/>
            <wp:effectExtent l="0" t="0" r="0" b="0"/>
            <wp:wrapTopAndBottom/>
            <wp:docPr id="7" name="image12.png" descr=""/>
            <wp:cNvGraphicFramePr>
              <a:graphicFrameLocks noChangeAspect="1"/>
            </wp:cNvGraphicFramePr>
            <a:graphic>
              <a:graphicData uri="http://schemas.openxmlformats.org/drawingml/2006/picture">
                <pic:pic>
                  <pic:nvPicPr>
                    <pic:cNvPr id="8" name="image12.png"/>
                    <pic:cNvPicPr/>
                  </pic:nvPicPr>
                  <pic:blipFill>
                    <a:blip r:embed="rId16" cstate="print"/>
                    <a:stretch>
                      <a:fillRect/>
                    </a:stretch>
                  </pic:blipFill>
                  <pic:spPr>
                    <a:xfrm>
                      <a:off x="0" y="0"/>
                      <a:ext cx="6382511" cy="3291840"/>
                    </a:xfrm>
                    <a:prstGeom prst="rect">
                      <a:avLst/>
                    </a:prstGeom>
                  </pic:spPr>
                </pic:pic>
              </a:graphicData>
            </a:graphic>
          </wp:anchor>
        </w:drawing>
      </w:r>
    </w:p>
    <w:p>
      <w:pPr>
        <w:pStyle w:val="BodyText"/>
        <w:spacing w:before="2"/>
      </w:pPr>
    </w:p>
    <w:p>
      <w:pPr>
        <w:spacing w:before="56"/>
        <w:ind w:left="901" w:right="0" w:firstLine="0"/>
        <w:jc w:val="left"/>
        <w:rPr>
          <w:rFonts w:ascii="Calibri" w:hAnsi="Calibri"/>
          <w:sz w:val="22"/>
        </w:rPr>
      </w:pPr>
      <w:r>
        <w:rPr>
          <w:rFonts w:ascii="Calibri" w:hAnsi="Calibri"/>
          <w:sz w:val="22"/>
        </w:rPr>
        <w:t>Fuente: Archivo clínico del Hospital Materno Perinatal “Mónica Pretelini Sáenz”</w:t>
      </w:r>
    </w:p>
    <w:p>
      <w:pPr>
        <w:spacing w:after="0"/>
        <w:jc w:val="left"/>
        <w:rPr>
          <w:rFonts w:ascii="Calibri" w:hAnsi="Calibri"/>
          <w:sz w:val="22"/>
        </w:rPr>
        <w:sectPr>
          <w:pgSz w:w="12240" w:h="15840"/>
          <w:pgMar w:top="800" w:bottom="280" w:left="1600" w:right="380"/>
        </w:sectPr>
      </w:pPr>
    </w:p>
    <w:p>
      <w:pPr>
        <w:pStyle w:val="BodyText"/>
        <w:spacing w:before="11"/>
        <w:rPr>
          <w:rFonts w:ascii="Calibri"/>
          <w:sz w:val="8"/>
        </w:rPr>
      </w:pPr>
    </w:p>
    <w:p>
      <w:pPr>
        <w:pStyle w:val="BodyText"/>
        <w:spacing w:line="360" w:lineRule="auto" w:before="70"/>
        <w:ind w:left="102" w:right="905"/>
        <w:jc w:val="both"/>
      </w:pPr>
      <w:r>
        <w:rPr/>
        <w:t>De acuerdo al tipo de intervención quirúrgica realizada la más frecuente fue la anastomosis de algún segmento de intestino en 32% y la esofagoplastía en 13% (gráfico 6).</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6"/>
        </w:rPr>
      </w:pPr>
      <w:r>
        <w:rPr/>
        <w:pict>
          <v:group style="position:absolute;margin-left:85.103996pt;margin-top:11.421701pt;width:481.3pt;height:274.7pt;mso-position-horizontal-relative:page;mso-position-vertical-relative:paragraph;z-index:1744;mso-wrap-distance-left:0;mso-wrap-distance-right:0" coordorigin="1702,228" coordsize="9626,5494">
            <v:shape style="position:absolute;left:1706;top:228;width:9622;height:5494" type="#_x0000_t75" stroked="false">
              <v:imagedata r:id="rId17" o:title=""/>
            </v:shape>
            <v:shape style="position:absolute;left:2520;top:861;width:7097;height:221" type="#_x0000_t202" filled="false" stroked="false">
              <v:textbox inset="0,0,0,0">
                <w:txbxContent>
                  <w:p>
                    <w:pPr>
                      <w:spacing w:line="221" w:lineRule="exact" w:before="0"/>
                      <w:ind w:left="0" w:right="-20" w:firstLine="0"/>
                      <w:jc w:val="left"/>
                      <w:rPr>
                        <w:rFonts w:ascii="Calibri" w:hAnsi="Calibri"/>
                        <w:sz w:val="22"/>
                      </w:rPr>
                    </w:pPr>
                    <w:r>
                      <w:rPr>
                        <w:rFonts w:ascii="Calibri" w:hAnsi="Calibri"/>
                        <w:sz w:val="22"/>
                      </w:rPr>
                      <w:t>Fuente: Archivo clínico del Hospital Materno Perinatal “Mónica Pretelini Sáenz”</w:t>
                    </w:r>
                  </w:p>
                </w:txbxContent>
              </v:textbox>
              <w10:wrap type="none"/>
            </v:shape>
            <v:shape style="position:absolute;left:1702;top:2334;width:8833;height:653" type="#_x0000_t202" filled="false" stroked="false">
              <v:textbox inset="0,0,0,0">
                <w:txbxContent>
                  <w:p>
                    <w:pPr>
                      <w:spacing w:line="245" w:lineRule="exact" w:before="0"/>
                      <w:ind w:left="0" w:right="0" w:firstLine="0"/>
                      <w:jc w:val="left"/>
                      <w:rPr>
                        <w:sz w:val="24"/>
                      </w:rPr>
                    </w:pPr>
                    <w:r>
                      <w:rPr>
                        <w:sz w:val="24"/>
                      </w:rPr>
                      <w:t>De</w:t>
                    </w:r>
                    <w:r>
                      <w:rPr>
                        <w:spacing w:val="-13"/>
                        <w:sz w:val="24"/>
                      </w:rPr>
                      <w:t> </w:t>
                    </w:r>
                    <w:r>
                      <w:rPr>
                        <w:sz w:val="24"/>
                      </w:rPr>
                      <w:t>los</w:t>
                    </w:r>
                    <w:r>
                      <w:rPr>
                        <w:spacing w:val="-13"/>
                        <w:sz w:val="24"/>
                      </w:rPr>
                      <w:t> </w:t>
                    </w:r>
                    <w:r>
                      <w:rPr>
                        <w:sz w:val="24"/>
                      </w:rPr>
                      <w:t>94</w:t>
                    </w:r>
                    <w:r>
                      <w:rPr>
                        <w:spacing w:val="-13"/>
                        <w:sz w:val="24"/>
                      </w:rPr>
                      <w:t> </w:t>
                    </w:r>
                    <w:r>
                      <w:rPr>
                        <w:sz w:val="24"/>
                      </w:rPr>
                      <w:t>pacientes</w:t>
                    </w:r>
                    <w:r>
                      <w:rPr>
                        <w:spacing w:val="-14"/>
                        <w:sz w:val="24"/>
                      </w:rPr>
                      <w:t> </w:t>
                    </w:r>
                    <w:r>
                      <w:rPr>
                        <w:sz w:val="24"/>
                      </w:rPr>
                      <w:t>con</w:t>
                    </w:r>
                    <w:r>
                      <w:rPr>
                        <w:spacing w:val="-13"/>
                        <w:sz w:val="24"/>
                      </w:rPr>
                      <w:t> </w:t>
                    </w:r>
                    <w:r>
                      <w:rPr>
                        <w:sz w:val="24"/>
                      </w:rPr>
                      <w:t>malformación</w:t>
                    </w:r>
                    <w:r>
                      <w:rPr>
                        <w:spacing w:val="-13"/>
                        <w:sz w:val="24"/>
                      </w:rPr>
                      <w:t> </w:t>
                    </w:r>
                    <w:r>
                      <w:rPr>
                        <w:sz w:val="24"/>
                      </w:rPr>
                      <w:t>congénita</w:t>
                    </w:r>
                    <w:r>
                      <w:rPr>
                        <w:spacing w:val="-13"/>
                        <w:sz w:val="24"/>
                      </w:rPr>
                      <w:t> </w:t>
                    </w:r>
                    <w:r>
                      <w:rPr>
                        <w:sz w:val="24"/>
                      </w:rPr>
                      <w:t>gastrointestinal</w:t>
                    </w:r>
                    <w:r>
                      <w:rPr>
                        <w:spacing w:val="-14"/>
                        <w:sz w:val="24"/>
                      </w:rPr>
                      <w:t> </w:t>
                    </w:r>
                    <w:r>
                      <w:rPr>
                        <w:sz w:val="24"/>
                      </w:rPr>
                      <w:t>en</w:t>
                    </w:r>
                    <w:r>
                      <w:rPr>
                        <w:spacing w:val="-16"/>
                        <w:sz w:val="24"/>
                      </w:rPr>
                      <w:t> </w:t>
                    </w:r>
                    <w:r>
                      <w:rPr>
                        <w:sz w:val="24"/>
                      </w:rPr>
                      <w:t>el</w:t>
                    </w:r>
                    <w:r>
                      <w:rPr>
                        <w:spacing w:val="-14"/>
                        <w:sz w:val="24"/>
                      </w:rPr>
                      <w:t> </w:t>
                    </w:r>
                    <w:r>
                      <w:rPr>
                        <w:sz w:val="24"/>
                      </w:rPr>
                      <w:t>36.1%</w:t>
                    </w:r>
                    <w:r>
                      <w:rPr>
                        <w:spacing w:val="-14"/>
                        <w:sz w:val="24"/>
                      </w:rPr>
                      <w:t> </w:t>
                    </w:r>
                    <w:r>
                      <w:rPr>
                        <w:sz w:val="24"/>
                      </w:rPr>
                      <w:t>(n=34)</w:t>
                    </w:r>
                  </w:p>
                  <w:p>
                    <w:pPr>
                      <w:spacing w:line="271" w:lineRule="exact" w:before="137"/>
                      <w:ind w:left="0" w:right="0" w:firstLine="0"/>
                      <w:jc w:val="left"/>
                      <w:rPr>
                        <w:sz w:val="24"/>
                      </w:rPr>
                    </w:pPr>
                    <w:r>
                      <w:rPr>
                        <w:sz w:val="24"/>
                      </w:rPr>
                      <w:t>se encontró al menos una malformación asociada (gráfico 6).</w:t>
                    </w:r>
                  </w:p>
                </w:txbxContent>
              </v:textbox>
              <w10:wrap type="none"/>
            </v:shape>
            <v:shape style="position:absolute;left:2520;top:4783;width:7097;height:221" type="#_x0000_t202" filled="false" stroked="false">
              <v:textbox inset="0,0,0,0">
                <w:txbxContent>
                  <w:p>
                    <w:pPr>
                      <w:spacing w:line="221" w:lineRule="exact" w:before="0"/>
                      <w:ind w:left="0" w:right="-20" w:firstLine="0"/>
                      <w:jc w:val="left"/>
                      <w:rPr>
                        <w:rFonts w:ascii="Calibri" w:hAnsi="Calibri"/>
                        <w:sz w:val="22"/>
                      </w:rPr>
                    </w:pPr>
                    <w:r>
                      <w:rPr>
                        <w:rFonts w:ascii="Calibri" w:hAnsi="Calibri"/>
                        <w:sz w:val="22"/>
                      </w:rPr>
                      <w:t>Fuente: Archivo clínico del Hospital Materno Perinatal “Mónica Pretelini Sáenz”</w:t>
                    </w:r>
                  </w:p>
                </w:txbxContent>
              </v:textbox>
              <w10:wrap type="none"/>
            </v:shape>
            <w10:wrap type="topAndBottom"/>
          </v:group>
        </w:pict>
      </w:r>
    </w:p>
    <w:p>
      <w:pPr>
        <w:pStyle w:val="BodyText"/>
        <w:spacing w:before="8"/>
        <w:rPr>
          <w:sz w:val="8"/>
        </w:rPr>
      </w:pPr>
    </w:p>
    <w:p>
      <w:pPr>
        <w:spacing w:before="56"/>
        <w:ind w:left="1553" w:right="0" w:firstLine="0"/>
        <w:jc w:val="left"/>
        <w:rPr>
          <w:rFonts w:ascii="Calibri" w:hAnsi="Calibri"/>
          <w:sz w:val="22"/>
        </w:rPr>
      </w:pPr>
      <w:r>
        <w:rPr>
          <w:rFonts w:ascii="Calibri" w:hAnsi="Calibri"/>
          <w:sz w:val="22"/>
        </w:rPr>
        <w:t>Fuente: Archivo clínico del Hospital Materno Perinatal “Mónica Pretelini Sáenz”</w:t>
      </w:r>
    </w:p>
    <w:p>
      <w:pPr>
        <w:spacing w:after="0"/>
        <w:jc w:val="left"/>
        <w:rPr>
          <w:rFonts w:ascii="Calibri" w:hAnsi="Calibri"/>
          <w:sz w:val="22"/>
        </w:rPr>
        <w:sectPr>
          <w:pgSz w:w="12240" w:h="15840"/>
          <w:pgMar w:top="1500" w:bottom="280" w:left="1600" w:right="800"/>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9"/>
        <w:rPr>
          <w:rFonts w:ascii="Calibri"/>
          <w:sz w:val="16"/>
        </w:rPr>
      </w:pPr>
    </w:p>
    <w:p>
      <w:pPr>
        <w:pStyle w:val="BodyText"/>
        <w:spacing w:line="360" w:lineRule="auto" w:before="69"/>
        <w:ind w:left="102" w:right="39"/>
      </w:pPr>
      <w:r>
        <w:rPr/>
        <w:t>De los 94 pacientes con malfomación congénita gastrointestinal en el 36.1% (n=34) se encontró al menos una malformación asociada (gráfico 7).</w:t>
      </w:r>
    </w:p>
    <w:p>
      <w:pPr>
        <w:pStyle w:val="BodyText"/>
        <w:rPr>
          <w:sz w:val="20"/>
        </w:rPr>
      </w:pPr>
    </w:p>
    <w:p>
      <w:pPr>
        <w:pStyle w:val="BodyText"/>
        <w:rPr>
          <w:sz w:val="20"/>
        </w:rPr>
      </w:pPr>
    </w:p>
    <w:p>
      <w:pPr>
        <w:pStyle w:val="BodyText"/>
        <w:spacing w:before="11"/>
        <w:rPr>
          <w:sz w:val="28"/>
        </w:rPr>
      </w:pPr>
      <w:r>
        <w:rPr/>
        <w:drawing>
          <wp:anchor distT="0" distB="0" distL="0" distR="0" allowOverlap="1" layoutInCell="1" locked="0" behindDoc="0" simplePos="0" relativeHeight="1768">
            <wp:simplePos x="0" y="0"/>
            <wp:positionH relativeFrom="page">
              <wp:posOffset>1365503</wp:posOffset>
            </wp:positionH>
            <wp:positionV relativeFrom="paragraph">
              <wp:posOffset>236421</wp:posOffset>
            </wp:positionV>
            <wp:extent cx="5038852" cy="3023616"/>
            <wp:effectExtent l="0" t="0" r="0" b="0"/>
            <wp:wrapTopAndBottom/>
            <wp:docPr id="9" name="image14.png" descr=""/>
            <wp:cNvGraphicFramePr>
              <a:graphicFrameLocks noChangeAspect="1"/>
            </wp:cNvGraphicFramePr>
            <a:graphic>
              <a:graphicData uri="http://schemas.openxmlformats.org/drawingml/2006/picture">
                <pic:pic>
                  <pic:nvPicPr>
                    <pic:cNvPr id="10" name="image14.png"/>
                    <pic:cNvPicPr/>
                  </pic:nvPicPr>
                  <pic:blipFill>
                    <a:blip r:embed="rId18" cstate="print"/>
                    <a:stretch>
                      <a:fillRect/>
                    </a:stretch>
                  </pic:blipFill>
                  <pic:spPr>
                    <a:xfrm>
                      <a:off x="0" y="0"/>
                      <a:ext cx="5038852" cy="3023616"/>
                    </a:xfrm>
                    <a:prstGeom prst="rect">
                      <a:avLst/>
                    </a:prstGeom>
                  </pic:spPr>
                </pic:pic>
              </a:graphicData>
            </a:graphic>
          </wp:anchor>
        </w:drawing>
      </w:r>
    </w:p>
    <w:p>
      <w:pPr>
        <w:pStyle w:val="BodyText"/>
        <w:rPr>
          <w:sz w:val="20"/>
        </w:rPr>
      </w:pPr>
    </w:p>
    <w:p>
      <w:pPr>
        <w:pStyle w:val="BodyText"/>
        <w:spacing w:before="6"/>
        <w:rPr>
          <w:sz w:val="27"/>
        </w:rPr>
      </w:pPr>
    </w:p>
    <w:p>
      <w:pPr>
        <w:spacing w:before="56"/>
        <w:ind w:left="925" w:right="39" w:firstLine="0"/>
        <w:jc w:val="left"/>
        <w:rPr>
          <w:rFonts w:ascii="Calibri" w:hAnsi="Calibri"/>
          <w:sz w:val="22"/>
        </w:rPr>
      </w:pPr>
      <w:r>
        <w:rPr>
          <w:rFonts w:ascii="Calibri" w:hAnsi="Calibri"/>
          <w:sz w:val="22"/>
        </w:rPr>
        <w:t>Fuente: Archivo clínico del Hospital Materno Perinatal “Mónica Pretelini Sáenz”</w:t>
      </w:r>
    </w:p>
    <w:p>
      <w:pPr>
        <w:spacing w:after="0"/>
        <w:jc w:val="left"/>
        <w:rPr>
          <w:rFonts w:ascii="Calibri" w:hAnsi="Calibri"/>
          <w:sz w:val="22"/>
        </w:rPr>
        <w:sectPr>
          <w:pgSz w:w="12240" w:h="15840"/>
          <w:pgMar w:top="1500" w:bottom="280" w:left="1600" w:right="1600"/>
        </w:sectPr>
      </w:pPr>
    </w:p>
    <w:p>
      <w:pPr>
        <w:pStyle w:val="BodyText"/>
        <w:rPr>
          <w:rFonts w:ascii="Calibri"/>
          <w:sz w:val="20"/>
        </w:rPr>
      </w:pPr>
    </w:p>
    <w:p>
      <w:pPr>
        <w:pStyle w:val="BodyText"/>
        <w:spacing w:before="9"/>
        <w:rPr>
          <w:rFonts w:ascii="Calibri"/>
          <w:sz w:val="22"/>
        </w:rPr>
      </w:pPr>
    </w:p>
    <w:p>
      <w:pPr>
        <w:pStyle w:val="BodyText"/>
        <w:spacing w:line="360" w:lineRule="auto" w:before="69"/>
        <w:ind w:left="102" w:right="1567"/>
      </w:pPr>
      <w:r>
        <w:rPr/>
        <w:t>Siendo</w:t>
      </w:r>
      <w:r>
        <w:rPr>
          <w:spacing w:val="-9"/>
        </w:rPr>
        <w:t> </w:t>
      </w:r>
      <w:r>
        <w:rPr/>
        <w:t>de</w:t>
      </w:r>
      <w:r>
        <w:rPr>
          <w:spacing w:val="-12"/>
        </w:rPr>
        <w:t> </w:t>
      </w:r>
      <w:r>
        <w:rPr/>
        <w:t>éstas</w:t>
      </w:r>
      <w:r>
        <w:rPr>
          <w:spacing w:val="-13"/>
        </w:rPr>
        <w:t> </w:t>
      </w:r>
      <w:r>
        <w:rPr/>
        <w:t>la</w:t>
      </w:r>
      <w:r>
        <w:rPr>
          <w:spacing w:val="-10"/>
        </w:rPr>
        <w:t> </w:t>
      </w:r>
      <w:r>
        <w:rPr/>
        <w:t>cardiopatía</w:t>
      </w:r>
      <w:r>
        <w:rPr>
          <w:spacing w:val="-9"/>
        </w:rPr>
        <w:t> </w:t>
      </w:r>
      <w:r>
        <w:rPr/>
        <w:t>congénita</w:t>
      </w:r>
      <w:r>
        <w:rPr>
          <w:spacing w:val="-9"/>
        </w:rPr>
        <w:t> </w:t>
      </w:r>
      <w:r>
        <w:rPr/>
        <w:t>la</w:t>
      </w:r>
      <w:r>
        <w:rPr>
          <w:spacing w:val="-12"/>
        </w:rPr>
        <w:t> </w:t>
      </w:r>
      <w:r>
        <w:rPr/>
        <w:t>más</w:t>
      </w:r>
      <w:r>
        <w:rPr>
          <w:spacing w:val="-15"/>
        </w:rPr>
        <w:t> </w:t>
      </w:r>
      <w:r>
        <w:rPr/>
        <w:t>frecuente</w:t>
      </w:r>
      <w:r>
        <w:rPr>
          <w:spacing w:val="-9"/>
        </w:rPr>
        <w:t> </w:t>
      </w:r>
      <w:r>
        <w:rPr/>
        <w:t>(n=13),</w:t>
      </w:r>
      <w:r>
        <w:rPr>
          <w:spacing w:val="-13"/>
        </w:rPr>
        <w:t> </w:t>
      </w:r>
      <w:r>
        <w:rPr/>
        <w:t>en</w:t>
      </w:r>
      <w:r>
        <w:rPr>
          <w:spacing w:val="-9"/>
        </w:rPr>
        <w:t> </w:t>
      </w:r>
      <w:r>
        <w:rPr/>
        <w:t>segundo</w:t>
      </w:r>
      <w:r>
        <w:rPr>
          <w:spacing w:val="-9"/>
        </w:rPr>
        <w:t> </w:t>
      </w:r>
      <w:r>
        <w:rPr/>
        <w:t>lugar la gastrosquisis (n=8), y en último lugar la trisomía 21 (n=3) (gráfico</w:t>
      </w:r>
      <w:r>
        <w:rPr>
          <w:spacing w:val="-21"/>
        </w:rPr>
        <w:t> </w:t>
      </w:r>
      <w:r>
        <w:rPr/>
        <w:t>8)</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pPr>
      <w:r>
        <w:rPr/>
        <w:drawing>
          <wp:anchor distT="0" distB="0" distL="0" distR="0" allowOverlap="1" layoutInCell="1" locked="0" behindDoc="0" simplePos="0" relativeHeight="1792">
            <wp:simplePos x="0" y="0"/>
            <wp:positionH relativeFrom="page">
              <wp:posOffset>1080516</wp:posOffset>
            </wp:positionH>
            <wp:positionV relativeFrom="paragraph">
              <wp:posOffset>206474</wp:posOffset>
            </wp:positionV>
            <wp:extent cx="6616940" cy="3041904"/>
            <wp:effectExtent l="0" t="0" r="0" b="0"/>
            <wp:wrapTopAndBottom/>
            <wp:docPr id="11" name="image15.png" descr=""/>
            <wp:cNvGraphicFramePr>
              <a:graphicFrameLocks noChangeAspect="1"/>
            </wp:cNvGraphicFramePr>
            <a:graphic>
              <a:graphicData uri="http://schemas.openxmlformats.org/drawingml/2006/picture">
                <pic:pic>
                  <pic:nvPicPr>
                    <pic:cNvPr id="12" name="image15.png"/>
                    <pic:cNvPicPr/>
                  </pic:nvPicPr>
                  <pic:blipFill>
                    <a:blip r:embed="rId19" cstate="print"/>
                    <a:stretch>
                      <a:fillRect/>
                    </a:stretch>
                  </pic:blipFill>
                  <pic:spPr>
                    <a:xfrm>
                      <a:off x="0" y="0"/>
                      <a:ext cx="6616940" cy="3041904"/>
                    </a:xfrm>
                    <a:prstGeom prst="rect">
                      <a:avLst/>
                    </a:prstGeom>
                  </pic:spPr>
                </pic:pic>
              </a:graphicData>
            </a:graphic>
          </wp:anchor>
        </w:drawing>
      </w:r>
    </w:p>
    <w:p>
      <w:pPr>
        <w:pStyle w:val="BodyText"/>
        <w:spacing w:before="4"/>
      </w:pPr>
    </w:p>
    <w:p>
      <w:pPr>
        <w:spacing w:before="56"/>
        <w:ind w:left="956" w:right="1567" w:firstLine="0"/>
        <w:jc w:val="left"/>
        <w:rPr>
          <w:rFonts w:ascii="Calibri" w:hAnsi="Calibri"/>
          <w:sz w:val="22"/>
        </w:rPr>
      </w:pPr>
      <w:r>
        <w:rPr>
          <w:rFonts w:ascii="Calibri" w:hAnsi="Calibri"/>
          <w:sz w:val="22"/>
        </w:rPr>
        <w:t>Fuente: Archivo clínico del Hospital Materno Perinatal “Mónica Pretelini Sáenz”</w:t>
      </w:r>
    </w:p>
    <w:p>
      <w:pPr>
        <w:spacing w:after="0"/>
        <w:jc w:val="left"/>
        <w:rPr>
          <w:rFonts w:ascii="Calibri" w:hAnsi="Calibri"/>
          <w:sz w:val="22"/>
        </w:rPr>
        <w:sectPr>
          <w:pgSz w:w="12240" w:h="15840"/>
          <w:pgMar w:top="1500" w:bottom="280" w:left="1600" w:right="0"/>
        </w:sectPr>
      </w:pPr>
    </w:p>
    <w:p>
      <w:pPr>
        <w:pStyle w:val="Heading1"/>
        <w:numPr>
          <w:ilvl w:val="1"/>
          <w:numId w:val="3"/>
        </w:numPr>
        <w:tabs>
          <w:tab w:pos="464" w:val="left" w:leader="none"/>
        </w:tabs>
        <w:spacing w:line="240" w:lineRule="auto" w:before="50" w:after="0"/>
        <w:ind w:left="464" w:right="0" w:hanging="362"/>
        <w:jc w:val="left"/>
      </w:pPr>
      <w:r>
        <w:rPr/>
        <w:t>DISCUSIÓN Y</w:t>
      </w:r>
      <w:r>
        <w:rPr>
          <w:spacing w:val="-12"/>
        </w:rPr>
        <w:t> </w:t>
      </w:r>
      <w:r>
        <w:rPr/>
        <w:t>ANÁLISIS</w:t>
      </w:r>
    </w:p>
    <w:p>
      <w:pPr>
        <w:pStyle w:val="BodyText"/>
        <w:rPr>
          <w:b/>
          <w:sz w:val="20"/>
        </w:rPr>
      </w:pPr>
    </w:p>
    <w:p>
      <w:pPr>
        <w:pStyle w:val="BodyText"/>
        <w:spacing w:before="2"/>
        <w:rPr>
          <w:b/>
          <w:sz w:val="28"/>
        </w:rPr>
      </w:pPr>
    </w:p>
    <w:tbl>
      <w:tblPr>
        <w:tblW w:w="0" w:type="auto"/>
        <w:jc w:val="left"/>
        <w:tblInd w:w="102" w:type="dxa"/>
        <w:tblBorders>
          <w:top w:val="single" w:sz="4" w:space="0" w:color="FFE499"/>
          <w:left w:val="single" w:sz="4" w:space="0" w:color="FFE499"/>
          <w:bottom w:val="single" w:sz="4" w:space="0" w:color="FFE499"/>
          <w:right w:val="single" w:sz="4" w:space="0" w:color="FFE499"/>
          <w:insideH w:val="single" w:sz="4" w:space="0" w:color="FFE499"/>
          <w:insideV w:val="single" w:sz="4" w:space="0" w:color="FFE499"/>
        </w:tblBorders>
        <w:tblLayout w:type="fixed"/>
        <w:tblCellMar>
          <w:top w:w="0" w:type="dxa"/>
          <w:left w:w="0" w:type="dxa"/>
          <w:bottom w:w="0" w:type="dxa"/>
          <w:right w:w="0" w:type="dxa"/>
        </w:tblCellMar>
        <w:tblLook w:val="01E0"/>
      </w:tblPr>
      <w:tblGrid>
        <w:gridCol w:w="3087"/>
        <w:gridCol w:w="3118"/>
        <w:gridCol w:w="2132"/>
      </w:tblGrid>
      <w:tr>
        <w:trPr>
          <w:trHeight w:val="1462" w:hRule="exact"/>
        </w:trPr>
        <w:tc>
          <w:tcPr>
            <w:tcW w:w="8337" w:type="dxa"/>
            <w:gridSpan w:val="3"/>
            <w:tcBorders>
              <w:bottom w:val="single" w:sz="12" w:space="0" w:color="FFD966"/>
            </w:tcBorders>
          </w:tcPr>
          <w:p>
            <w:pPr>
              <w:pStyle w:val="TableParagraph"/>
              <w:spacing w:line="360" w:lineRule="auto"/>
              <w:ind w:left="103" w:right="107"/>
              <w:jc w:val="both"/>
              <w:rPr>
                <w:b/>
                <w:sz w:val="24"/>
              </w:rPr>
            </w:pPr>
            <w:r>
              <w:rPr>
                <w:b/>
                <w:sz w:val="24"/>
              </w:rPr>
              <w:t>Tabla 1. Comparación de la prevalencia de malformaciones gastrointestinales</w:t>
            </w:r>
            <w:r>
              <w:rPr>
                <w:b/>
                <w:spacing w:val="-19"/>
                <w:sz w:val="24"/>
              </w:rPr>
              <w:t> </w:t>
            </w:r>
            <w:r>
              <w:rPr>
                <w:b/>
                <w:sz w:val="24"/>
              </w:rPr>
              <w:t>del</w:t>
            </w:r>
            <w:r>
              <w:rPr>
                <w:b/>
                <w:spacing w:val="-22"/>
                <w:sz w:val="24"/>
              </w:rPr>
              <w:t> </w:t>
            </w:r>
            <w:r>
              <w:rPr>
                <w:b/>
                <w:sz w:val="24"/>
              </w:rPr>
              <w:t>Hospital</w:t>
            </w:r>
            <w:r>
              <w:rPr>
                <w:b/>
                <w:spacing w:val="-19"/>
                <w:sz w:val="24"/>
              </w:rPr>
              <w:t> </w:t>
            </w:r>
            <w:r>
              <w:rPr>
                <w:b/>
                <w:sz w:val="24"/>
              </w:rPr>
              <w:t>Materno</w:t>
            </w:r>
            <w:r>
              <w:rPr>
                <w:b/>
                <w:spacing w:val="-20"/>
                <w:sz w:val="24"/>
              </w:rPr>
              <w:t> </w:t>
            </w:r>
            <w:r>
              <w:rPr>
                <w:b/>
                <w:sz w:val="24"/>
              </w:rPr>
              <w:t>Perinatal</w:t>
            </w:r>
            <w:r>
              <w:rPr>
                <w:b/>
                <w:spacing w:val="-19"/>
                <w:sz w:val="24"/>
              </w:rPr>
              <w:t> </w:t>
            </w:r>
            <w:r>
              <w:rPr>
                <w:b/>
                <w:sz w:val="24"/>
              </w:rPr>
              <w:t>Mónica</w:t>
            </w:r>
            <w:r>
              <w:rPr>
                <w:b/>
                <w:spacing w:val="-19"/>
                <w:sz w:val="24"/>
              </w:rPr>
              <w:t> </w:t>
            </w:r>
            <w:r>
              <w:rPr>
                <w:b/>
                <w:sz w:val="24"/>
              </w:rPr>
              <w:t>Pretelini</w:t>
            </w:r>
            <w:r>
              <w:rPr>
                <w:b/>
                <w:spacing w:val="-19"/>
                <w:sz w:val="24"/>
              </w:rPr>
              <w:t> </w:t>
            </w:r>
            <w:r>
              <w:rPr>
                <w:b/>
                <w:sz w:val="24"/>
              </w:rPr>
              <w:t>Sáenz con otros</w:t>
            </w:r>
            <w:r>
              <w:rPr>
                <w:b/>
                <w:spacing w:val="-2"/>
                <w:sz w:val="24"/>
              </w:rPr>
              <w:t> </w:t>
            </w:r>
            <w:r>
              <w:rPr>
                <w:b/>
                <w:sz w:val="24"/>
              </w:rPr>
              <w:t>estudios</w:t>
            </w:r>
          </w:p>
        </w:tc>
      </w:tr>
      <w:tr>
        <w:trPr>
          <w:trHeight w:val="1046" w:hRule="exact"/>
        </w:trPr>
        <w:tc>
          <w:tcPr>
            <w:tcW w:w="3087" w:type="dxa"/>
            <w:tcBorders>
              <w:top w:val="single" w:sz="12" w:space="0" w:color="FFD966"/>
            </w:tcBorders>
          </w:tcPr>
          <w:p>
            <w:pPr>
              <w:pStyle w:val="TableParagraph"/>
              <w:spacing w:line="274" w:lineRule="exact"/>
              <w:ind w:left="103" w:right="104"/>
              <w:rPr>
                <w:b/>
                <w:sz w:val="24"/>
              </w:rPr>
            </w:pPr>
            <w:r>
              <w:rPr>
                <w:b/>
                <w:sz w:val="24"/>
              </w:rPr>
              <w:t>ESTUDIO</w:t>
            </w:r>
          </w:p>
        </w:tc>
        <w:tc>
          <w:tcPr>
            <w:tcW w:w="3118" w:type="dxa"/>
            <w:tcBorders>
              <w:top w:val="single" w:sz="12" w:space="0" w:color="FFD966"/>
            </w:tcBorders>
          </w:tcPr>
          <w:p>
            <w:pPr>
              <w:pStyle w:val="TableParagraph"/>
              <w:spacing w:line="274" w:lineRule="exact"/>
              <w:ind w:left="100"/>
              <w:rPr>
                <w:sz w:val="24"/>
              </w:rPr>
            </w:pPr>
            <w:r>
              <w:rPr>
                <w:sz w:val="24"/>
              </w:rPr>
              <w:t>AUTORES</w:t>
            </w:r>
          </w:p>
        </w:tc>
        <w:tc>
          <w:tcPr>
            <w:tcW w:w="2132" w:type="dxa"/>
            <w:tcBorders>
              <w:top w:val="single" w:sz="12" w:space="0" w:color="FFD966"/>
            </w:tcBorders>
          </w:tcPr>
          <w:p>
            <w:pPr>
              <w:pStyle w:val="TableParagraph"/>
              <w:tabs>
                <w:tab w:pos="1684" w:val="left" w:leader="none"/>
              </w:tabs>
              <w:spacing w:line="274" w:lineRule="exact"/>
              <w:ind w:left="103"/>
              <w:rPr>
                <w:sz w:val="24"/>
              </w:rPr>
            </w:pPr>
            <w:r>
              <w:rPr>
                <w:sz w:val="24"/>
              </w:rPr>
              <w:t>%</w:t>
              <w:tab/>
              <w:t>DE</w:t>
            </w:r>
          </w:p>
          <w:p>
            <w:pPr>
              <w:pStyle w:val="TableParagraph"/>
              <w:spacing w:before="137"/>
              <w:ind w:left="103"/>
              <w:rPr>
                <w:sz w:val="24"/>
              </w:rPr>
            </w:pPr>
            <w:r>
              <w:rPr>
                <w:sz w:val="24"/>
              </w:rPr>
              <w:t>PREVALENCIA</w:t>
            </w:r>
          </w:p>
        </w:tc>
      </w:tr>
      <w:tr>
        <w:trPr>
          <w:trHeight w:val="1040" w:hRule="exact"/>
        </w:trPr>
        <w:tc>
          <w:tcPr>
            <w:tcW w:w="3087" w:type="dxa"/>
          </w:tcPr>
          <w:p>
            <w:pPr>
              <w:pStyle w:val="TableParagraph"/>
              <w:tabs>
                <w:tab w:pos="738" w:val="left" w:leader="none"/>
                <w:tab w:pos="1468" w:val="left" w:leader="none"/>
                <w:tab w:pos="2317" w:val="left" w:leader="none"/>
              </w:tabs>
              <w:spacing w:line="357" w:lineRule="auto"/>
              <w:ind w:left="103" w:right="104"/>
              <w:rPr>
                <w:b/>
                <w:sz w:val="16"/>
              </w:rPr>
            </w:pPr>
            <w:r>
              <w:rPr>
                <w:b/>
                <w:sz w:val="24"/>
              </w:rPr>
              <w:t>Bol</w:t>
              <w:tab/>
              <w:t>Med</w:t>
              <w:tab/>
              <w:t>Hosp</w:t>
              <w:tab/>
              <w:t>Infant Mex</w:t>
            </w:r>
            <w:r>
              <w:rPr>
                <w:b/>
                <w:position w:val="8"/>
                <w:sz w:val="16"/>
              </w:rPr>
              <w:t>7</w:t>
            </w:r>
          </w:p>
        </w:tc>
        <w:tc>
          <w:tcPr>
            <w:tcW w:w="3118" w:type="dxa"/>
          </w:tcPr>
          <w:p>
            <w:pPr>
              <w:pStyle w:val="TableParagraph"/>
              <w:spacing w:line="274" w:lineRule="exact"/>
              <w:ind w:left="100"/>
              <w:rPr>
                <w:sz w:val="24"/>
              </w:rPr>
            </w:pPr>
            <w:r>
              <w:rPr>
                <w:sz w:val="24"/>
              </w:rPr>
              <w:t>Navarrete-Hernández et al</w:t>
            </w:r>
          </w:p>
        </w:tc>
        <w:tc>
          <w:tcPr>
            <w:tcW w:w="2132" w:type="dxa"/>
          </w:tcPr>
          <w:p>
            <w:pPr>
              <w:pStyle w:val="TableParagraph"/>
              <w:spacing w:line="274" w:lineRule="exact"/>
              <w:ind w:left="326" w:right="327"/>
              <w:jc w:val="center"/>
              <w:rPr>
                <w:sz w:val="24"/>
              </w:rPr>
            </w:pPr>
            <w:r>
              <w:rPr>
                <w:sz w:val="24"/>
              </w:rPr>
              <w:t>0.32 x 1000”*</w:t>
            </w:r>
          </w:p>
        </w:tc>
      </w:tr>
      <w:tr>
        <w:trPr>
          <w:trHeight w:val="624" w:hRule="exact"/>
        </w:trPr>
        <w:tc>
          <w:tcPr>
            <w:tcW w:w="3087" w:type="dxa"/>
          </w:tcPr>
          <w:p>
            <w:pPr>
              <w:pStyle w:val="TableParagraph"/>
              <w:spacing w:line="274" w:lineRule="exact"/>
              <w:ind w:left="103" w:right="104"/>
              <w:rPr>
                <w:b/>
                <w:sz w:val="16"/>
              </w:rPr>
            </w:pPr>
            <w:r>
              <w:rPr>
                <w:b/>
                <w:sz w:val="24"/>
              </w:rPr>
              <w:t>Acta Pediatr Mex </w:t>
            </w:r>
            <w:r>
              <w:rPr>
                <w:b/>
                <w:position w:val="8"/>
                <w:sz w:val="16"/>
              </w:rPr>
              <w:t>2</w:t>
            </w:r>
          </w:p>
        </w:tc>
        <w:tc>
          <w:tcPr>
            <w:tcW w:w="3118" w:type="dxa"/>
          </w:tcPr>
          <w:p>
            <w:pPr>
              <w:pStyle w:val="TableParagraph"/>
              <w:spacing w:line="274" w:lineRule="exact"/>
              <w:ind w:left="100"/>
              <w:rPr>
                <w:sz w:val="24"/>
              </w:rPr>
            </w:pPr>
            <w:r>
              <w:rPr>
                <w:sz w:val="24"/>
              </w:rPr>
              <w:t>Flores-Nava et al</w:t>
            </w:r>
          </w:p>
        </w:tc>
        <w:tc>
          <w:tcPr>
            <w:tcW w:w="2132" w:type="dxa"/>
          </w:tcPr>
          <w:p>
            <w:pPr>
              <w:pStyle w:val="TableParagraph"/>
              <w:spacing w:line="274" w:lineRule="exact"/>
              <w:ind w:left="325" w:right="327"/>
              <w:jc w:val="center"/>
              <w:rPr>
                <w:sz w:val="24"/>
              </w:rPr>
            </w:pPr>
            <w:r>
              <w:rPr>
                <w:sz w:val="24"/>
              </w:rPr>
              <w:t>2.9 x 1000*</w:t>
            </w:r>
          </w:p>
        </w:tc>
      </w:tr>
      <w:tr>
        <w:trPr>
          <w:trHeight w:val="624" w:hRule="exact"/>
        </w:trPr>
        <w:tc>
          <w:tcPr>
            <w:tcW w:w="3087" w:type="dxa"/>
          </w:tcPr>
          <w:p>
            <w:pPr>
              <w:pStyle w:val="TableParagraph"/>
              <w:spacing w:line="274" w:lineRule="exact"/>
              <w:ind w:left="103" w:right="104"/>
              <w:rPr>
                <w:b/>
                <w:sz w:val="16"/>
              </w:rPr>
            </w:pPr>
            <w:r>
              <w:rPr>
                <w:b/>
                <w:sz w:val="24"/>
              </w:rPr>
              <w:t>Arch Salud Sin</w:t>
            </w:r>
            <w:r>
              <w:rPr>
                <w:b/>
                <w:position w:val="8"/>
                <w:sz w:val="16"/>
              </w:rPr>
              <w:t>3</w:t>
            </w:r>
          </w:p>
        </w:tc>
        <w:tc>
          <w:tcPr>
            <w:tcW w:w="3118" w:type="dxa"/>
          </w:tcPr>
          <w:p>
            <w:pPr>
              <w:pStyle w:val="TableParagraph"/>
              <w:spacing w:line="274" w:lineRule="exact"/>
              <w:ind w:left="100"/>
              <w:rPr>
                <w:sz w:val="24"/>
              </w:rPr>
            </w:pPr>
            <w:r>
              <w:rPr>
                <w:sz w:val="24"/>
              </w:rPr>
              <w:t>Ramos y Cols</w:t>
            </w:r>
          </w:p>
        </w:tc>
        <w:tc>
          <w:tcPr>
            <w:tcW w:w="2132" w:type="dxa"/>
          </w:tcPr>
          <w:p>
            <w:pPr>
              <w:pStyle w:val="TableParagraph"/>
              <w:spacing w:line="274" w:lineRule="exact"/>
              <w:ind w:left="325" w:right="327"/>
              <w:jc w:val="center"/>
              <w:rPr>
                <w:sz w:val="24"/>
              </w:rPr>
            </w:pPr>
            <w:r>
              <w:rPr>
                <w:sz w:val="24"/>
              </w:rPr>
              <w:t>5.5 x 1000*</w:t>
            </w:r>
          </w:p>
        </w:tc>
      </w:tr>
    </w:tbl>
    <w:p>
      <w:pPr>
        <w:pStyle w:val="BodyText"/>
        <w:spacing w:line="274" w:lineRule="exact"/>
        <w:ind w:left="821" w:right="1363"/>
      </w:pPr>
      <w:r>
        <w:rPr/>
        <w:t>2 x 1000 prevalencia HMPMPS</w:t>
      </w:r>
    </w:p>
    <w:p>
      <w:pPr>
        <w:pStyle w:val="BodyText"/>
        <w:spacing w:before="137"/>
        <w:ind w:left="821" w:right="1363"/>
      </w:pPr>
      <w:r>
        <w:rPr/>
        <w:t>*Comparación por porcentaje</w:t>
      </w:r>
    </w:p>
    <w:p>
      <w:pPr>
        <w:pStyle w:val="BodyText"/>
        <w:tabs>
          <w:tab w:pos="1388" w:val="left" w:leader="none"/>
        </w:tabs>
        <w:spacing w:before="141"/>
        <w:ind w:left="821" w:right="1363"/>
      </w:pPr>
      <w:r>
        <w:rPr/>
        <w:pict>
          <v:group style="position:absolute;margin-left:136.460007pt;margin-top:7.505858pt;width:12.5pt;height:14.4pt;mso-position-horizontal-relative:page;mso-position-vertical-relative:paragraph;z-index:-36712" coordorigin="2729,150" coordsize="250,288">
            <v:shape style="position:absolute;left:2729;top:150;width:250;height:288" type="#_x0000_t75" stroked="false">
              <v:imagedata r:id="rId20" o:title=""/>
            </v:shape>
            <v:shape style="position:absolute;left:2729;top:150;width:250;height:288" type="#_x0000_t202" filled="false" stroked="false">
              <v:textbox inset="0,0,0,0">
                <w:txbxContent>
                  <w:p>
                    <w:pPr>
                      <w:spacing w:line="267" w:lineRule="exact" w:before="0"/>
                      <w:ind w:left="124" w:right="-9" w:firstLine="0"/>
                      <w:jc w:val="left"/>
                      <w:rPr>
                        <w:sz w:val="24"/>
                      </w:rPr>
                    </w:pPr>
                    <w:r>
                      <w:rPr>
                        <w:w w:val="99"/>
                        <w:sz w:val="24"/>
                      </w:rPr>
                      <w:t>0</w:t>
                    </w:r>
                  </w:p>
                </w:txbxContent>
              </v:textbox>
              <w10:wrap type="none"/>
            </v:shape>
            <w10:wrap type="none"/>
          </v:group>
        </w:pict>
      </w:r>
      <w:r>
        <w:rPr/>
        <w:t>¨P</w:t>
        <w:tab/>
        <w:t>.05</w:t>
      </w:r>
    </w:p>
    <w:p>
      <w:pPr>
        <w:pStyle w:val="BodyText"/>
        <w:rPr>
          <w:sz w:val="20"/>
        </w:rPr>
      </w:pPr>
    </w:p>
    <w:p>
      <w:pPr>
        <w:pStyle w:val="BodyText"/>
        <w:rPr>
          <w:sz w:val="20"/>
        </w:rPr>
      </w:pPr>
    </w:p>
    <w:p>
      <w:pPr>
        <w:pStyle w:val="BodyText"/>
        <w:rPr>
          <w:sz w:val="20"/>
        </w:rPr>
      </w:pPr>
    </w:p>
    <w:p>
      <w:pPr>
        <w:pStyle w:val="BodyText"/>
        <w:spacing w:before="2"/>
        <w:rPr>
          <w:sz w:val="20"/>
        </w:rPr>
      </w:pPr>
    </w:p>
    <w:p>
      <w:pPr>
        <w:pStyle w:val="BodyText"/>
        <w:spacing w:line="360" w:lineRule="auto" w:before="69"/>
        <w:ind w:left="821" w:right="116"/>
        <w:jc w:val="both"/>
      </w:pPr>
      <w:r>
        <w:rPr/>
        <w:t>La investigación realizada detectó que en el Hospital Materno Perinatal “Mónica Pretelini Sáenz” y de acuerdo a los nacimientos ocurridos en un transcurso de 6 años una prevalencia de malformaciones congénitas gastrointestinales de 2 x 1,000 nacimientos, se realizó una comparación</w:t>
      </w:r>
      <w:r>
        <w:rPr>
          <w:spacing w:val="-31"/>
        </w:rPr>
        <w:t> </w:t>
      </w:r>
      <w:r>
        <w:rPr/>
        <w:t>con tres artículos principalmente en donde de acuerdo a los datos que proporcionan</w:t>
      </w:r>
      <w:r>
        <w:rPr>
          <w:spacing w:val="-8"/>
        </w:rPr>
        <w:t> </w:t>
      </w:r>
      <w:r>
        <w:rPr/>
        <w:t>de</w:t>
      </w:r>
      <w:r>
        <w:rPr>
          <w:spacing w:val="-9"/>
        </w:rPr>
        <w:t> </w:t>
      </w:r>
      <w:r>
        <w:rPr/>
        <w:t>recién</w:t>
      </w:r>
      <w:r>
        <w:rPr>
          <w:spacing w:val="-9"/>
        </w:rPr>
        <w:t> </w:t>
      </w:r>
      <w:r>
        <w:rPr/>
        <w:t>nacidos</w:t>
      </w:r>
      <w:r>
        <w:rPr>
          <w:spacing w:val="-8"/>
        </w:rPr>
        <w:t> </w:t>
      </w:r>
      <w:r>
        <w:rPr/>
        <w:t>vivos</w:t>
      </w:r>
      <w:r>
        <w:rPr>
          <w:spacing w:val="-6"/>
        </w:rPr>
        <w:t> </w:t>
      </w:r>
      <w:r>
        <w:rPr/>
        <w:t>se</w:t>
      </w:r>
      <w:r>
        <w:rPr>
          <w:spacing w:val="-7"/>
        </w:rPr>
        <w:t> </w:t>
      </w:r>
      <w:r>
        <w:rPr/>
        <w:t>calculó</w:t>
      </w:r>
      <w:r>
        <w:rPr>
          <w:spacing w:val="-7"/>
        </w:rPr>
        <w:t> </w:t>
      </w:r>
      <w:r>
        <w:rPr/>
        <w:t>la</w:t>
      </w:r>
      <w:r>
        <w:rPr>
          <w:spacing w:val="-6"/>
        </w:rPr>
        <w:t> </w:t>
      </w:r>
      <w:r>
        <w:rPr/>
        <w:t>prevalencia,</w:t>
      </w:r>
      <w:r>
        <w:rPr>
          <w:spacing w:val="-10"/>
        </w:rPr>
        <w:t> </w:t>
      </w:r>
      <w:r>
        <w:rPr/>
        <w:t>mostrándose la comparación en la tabla 1, donde su puede observar que existe</w:t>
      </w:r>
      <w:r>
        <w:rPr>
          <w:spacing w:val="-31"/>
        </w:rPr>
        <w:t> </w:t>
      </w:r>
      <w:r>
        <w:rPr/>
        <w:t>diferencia significativa a lo reportado por estos grupos de autores acercándose más a lo estudiado por el grupo del Hospital General Manuel Gea González en donde la prevalencia fue de 2.9 x 1000 nacimientos, la más alta obtenida es la del grupo del estado de Sinaloa con 5.5 x 1000 nacimientos y la más baja fue</w:t>
      </w:r>
      <w:r>
        <w:rPr>
          <w:spacing w:val="-15"/>
        </w:rPr>
        <w:t> </w:t>
      </w:r>
      <w:r>
        <w:rPr/>
        <w:t>la</w:t>
      </w:r>
      <w:r>
        <w:rPr>
          <w:spacing w:val="-16"/>
        </w:rPr>
        <w:t> </w:t>
      </w:r>
      <w:r>
        <w:rPr/>
        <w:t>publicada</w:t>
      </w:r>
      <w:r>
        <w:rPr>
          <w:spacing w:val="-15"/>
        </w:rPr>
        <w:t> </w:t>
      </w:r>
      <w:r>
        <w:rPr/>
        <w:t>por</w:t>
      </w:r>
      <w:r>
        <w:rPr>
          <w:spacing w:val="-17"/>
        </w:rPr>
        <w:t> </w:t>
      </w:r>
      <w:r>
        <w:rPr/>
        <w:t>Navarrete</w:t>
      </w:r>
      <w:r>
        <w:rPr>
          <w:spacing w:val="-13"/>
        </w:rPr>
        <w:t> </w:t>
      </w:r>
      <w:r>
        <w:rPr/>
        <w:t>y</w:t>
      </w:r>
      <w:r>
        <w:rPr>
          <w:spacing w:val="-16"/>
        </w:rPr>
        <w:t> </w:t>
      </w:r>
      <w:r>
        <w:rPr/>
        <w:t>Cols</w:t>
      </w:r>
      <w:r>
        <w:rPr>
          <w:spacing w:val="-14"/>
        </w:rPr>
        <w:t> </w:t>
      </w:r>
      <w:r>
        <w:rPr/>
        <w:t>en</w:t>
      </w:r>
      <w:r>
        <w:rPr>
          <w:spacing w:val="-15"/>
        </w:rPr>
        <w:t> </w:t>
      </w:r>
      <w:r>
        <w:rPr/>
        <w:t>el</w:t>
      </w:r>
      <w:r>
        <w:rPr>
          <w:spacing w:val="-17"/>
        </w:rPr>
        <w:t> </w:t>
      </w:r>
      <w:r>
        <w:rPr/>
        <w:t>Boletín</w:t>
      </w:r>
      <w:r>
        <w:rPr>
          <w:spacing w:val="-13"/>
        </w:rPr>
        <w:t> </w:t>
      </w:r>
      <w:r>
        <w:rPr/>
        <w:t>Médico</w:t>
      </w:r>
      <w:r>
        <w:rPr>
          <w:spacing w:val="-16"/>
        </w:rPr>
        <w:t> </w:t>
      </w:r>
      <w:r>
        <w:rPr/>
        <w:t>del</w:t>
      </w:r>
      <w:r>
        <w:rPr>
          <w:spacing w:val="-14"/>
        </w:rPr>
        <w:t> </w:t>
      </w:r>
      <w:r>
        <w:rPr/>
        <w:t>Hospital</w:t>
      </w:r>
      <w:r>
        <w:rPr>
          <w:spacing w:val="-14"/>
        </w:rPr>
        <w:t> </w:t>
      </w:r>
      <w:r>
        <w:rPr/>
        <w:t>Infantil de México, observándose que en</w:t>
      </w:r>
      <w:r>
        <w:rPr>
          <w:spacing w:val="-15"/>
        </w:rPr>
        <w:t> </w:t>
      </w:r>
      <w:r>
        <w:rPr/>
        <w:t>esta</w:t>
      </w:r>
    </w:p>
    <w:p>
      <w:pPr>
        <w:spacing w:after="0" w:line="360" w:lineRule="auto"/>
        <w:jc w:val="both"/>
        <w:sectPr>
          <w:pgSz w:w="12240" w:h="15840"/>
          <w:pgMar w:top="800" w:bottom="280" w:left="1600" w:right="1580"/>
        </w:sectPr>
      </w:pPr>
    </w:p>
    <w:p>
      <w:pPr>
        <w:pStyle w:val="BodyText"/>
        <w:rPr>
          <w:sz w:val="20"/>
        </w:rPr>
      </w:pPr>
    </w:p>
    <w:p>
      <w:pPr>
        <w:pStyle w:val="BodyText"/>
        <w:spacing w:before="4"/>
        <w:rPr>
          <w:sz w:val="25"/>
        </w:rPr>
      </w:pPr>
    </w:p>
    <w:p>
      <w:pPr>
        <w:pStyle w:val="BodyText"/>
        <w:spacing w:line="360" w:lineRule="auto" w:before="70"/>
        <w:ind w:left="701" w:right="114"/>
        <w:jc w:val="both"/>
      </w:pPr>
      <w:r>
        <w:rPr/>
        <w:t>publicación se da una prevalencia prácticamente 10 veces menor a la del Hospital Materno Perinatal “Mónica Pretelini Sáenz” pero esto podría explicarse</w:t>
      </w:r>
      <w:r>
        <w:rPr>
          <w:spacing w:val="-12"/>
        </w:rPr>
        <w:t> </w:t>
      </w:r>
      <w:r>
        <w:rPr/>
        <w:t>porque</w:t>
      </w:r>
      <w:r>
        <w:rPr>
          <w:spacing w:val="-12"/>
        </w:rPr>
        <w:t> </w:t>
      </w:r>
      <w:r>
        <w:rPr/>
        <w:t>el</w:t>
      </w:r>
      <w:r>
        <w:rPr>
          <w:spacing w:val="-13"/>
        </w:rPr>
        <w:t> </w:t>
      </w:r>
      <w:r>
        <w:rPr/>
        <w:t>estudio</w:t>
      </w:r>
      <w:r>
        <w:rPr>
          <w:spacing w:val="-12"/>
        </w:rPr>
        <w:t> </w:t>
      </w:r>
      <w:r>
        <w:rPr/>
        <w:t>se</w:t>
      </w:r>
      <w:r>
        <w:rPr>
          <w:spacing w:val="-12"/>
        </w:rPr>
        <w:t> </w:t>
      </w:r>
      <w:r>
        <w:rPr/>
        <w:t>hizo</w:t>
      </w:r>
      <w:r>
        <w:rPr>
          <w:spacing w:val="-12"/>
        </w:rPr>
        <w:t> </w:t>
      </w:r>
      <w:r>
        <w:rPr/>
        <w:t>con</w:t>
      </w:r>
      <w:r>
        <w:rPr>
          <w:spacing w:val="-14"/>
        </w:rPr>
        <w:t> </w:t>
      </w:r>
      <w:r>
        <w:rPr/>
        <w:t>base</w:t>
      </w:r>
      <w:r>
        <w:rPr>
          <w:spacing w:val="-14"/>
        </w:rPr>
        <w:t> </w:t>
      </w:r>
      <w:r>
        <w:rPr/>
        <w:t>a</w:t>
      </w:r>
      <w:r>
        <w:rPr>
          <w:spacing w:val="-12"/>
        </w:rPr>
        <w:t> </w:t>
      </w:r>
      <w:r>
        <w:rPr/>
        <w:t>la</w:t>
      </w:r>
      <w:r>
        <w:rPr>
          <w:spacing w:val="-12"/>
        </w:rPr>
        <w:t> </w:t>
      </w:r>
      <w:r>
        <w:rPr/>
        <w:t>población</w:t>
      </w:r>
      <w:r>
        <w:rPr>
          <w:spacing w:val="-12"/>
        </w:rPr>
        <w:t> </w:t>
      </w:r>
      <w:r>
        <w:rPr/>
        <w:t>general</w:t>
      </w:r>
      <w:r>
        <w:rPr>
          <w:spacing w:val="-13"/>
        </w:rPr>
        <w:t> </w:t>
      </w:r>
      <w:r>
        <w:rPr/>
        <w:t>nacional de acuerdo a lo reportado en certificados de nacimiento y las otras prevalencias incluyendo la de este estudio son de hospitales de concentración a donde se derivan en general los productos de embarazos a los cuales se les detecta cualquier tipo de malformación</w:t>
      </w:r>
      <w:r>
        <w:rPr>
          <w:spacing w:val="-24"/>
        </w:rPr>
        <w:t> </w:t>
      </w:r>
      <w:r>
        <w:rPr/>
        <w:t>grave.</w:t>
      </w:r>
    </w:p>
    <w:p>
      <w:pPr>
        <w:pStyle w:val="BodyText"/>
        <w:spacing w:line="360" w:lineRule="auto" w:before="3"/>
        <w:ind w:left="701" w:right="124"/>
        <w:jc w:val="both"/>
      </w:pPr>
      <w:r>
        <w:rPr/>
        <w:t>Se necesitarán en el futuro más estudios por regiones de diversas malformaciones congénitas incluyendo por supuesto el Estado de México.</w:t>
      </w:r>
    </w:p>
    <w:p>
      <w:pPr>
        <w:pStyle w:val="BodyText"/>
      </w:pPr>
    </w:p>
    <w:p>
      <w:pPr>
        <w:pStyle w:val="BodyText"/>
        <w:spacing w:line="360" w:lineRule="auto" w:before="142"/>
        <w:ind w:left="701" w:right="116"/>
        <w:jc w:val="both"/>
      </w:pPr>
      <w:r>
        <w:rPr/>
        <w:t>En cuanto a las malformaciones más frecuentes de este estudio se encuentran en primer lugar la atresia intestinal (42.5%) y posteriormente las malformaciones anorrectales (40.4%) casi en la misma proporción y sin diferencia significativa. En tercer lugar se encuentran las atresias</w:t>
      </w:r>
      <w:r>
        <w:rPr>
          <w:spacing w:val="-46"/>
        </w:rPr>
        <w:t> </w:t>
      </w:r>
      <w:r>
        <w:rPr/>
        <w:t>esofágicas las cuales tuvieron una proporción de 12.7% lo cual marca una diferencia significativa con las dos anteriormente mencionadas. Se ha mencionado en algunos artículos que el divertículo de Meckel es la malformación congénita más frecuente del tracto gastrointestinal, pero en neonatos es difícilmente detectable ya que no da manifestaciones tempranas y eso explicaría que en este estudio no se haya tenido ningún paciente con divertículo de</w:t>
      </w:r>
      <w:r>
        <w:rPr>
          <w:spacing w:val="-22"/>
        </w:rPr>
        <w:t> </w:t>
      </w:r>
      <w:r>
        <w:rPr/>
        <w:t>Meckel.</w:t>
      </w:r>
    </w:p>
    <w:p>
      <w:pPr>
        <w:pStyle w:val="BodyText"/>
      </w:pPr>
    </w:p>
    <w:p>
      <w:pPr>
        <w:pStyle w:val="BodyText"/>
        <w:spacing w:line="360" w:lineRule="auto" w:before="142"/>
        <w:ind w:left="701" w:right="118"/>
        <w:jc w:val="both"/>
      </w:pPr>
      <w:r>
        <w:rPr/>
        <w:t>El género afectado predominantemente fue el masculino con una diferencia de hasta un 20% lo cual es significativo para el total de malformaciones congénitas gastrointestinales que observamos. Esto concuerda con el reporte de Garriga Cortés</w:t>
      </w:r>
      <w:r>
        <w:rPr>
          <w:position w:val="8"/>
          <w:sz w:val="16"/>
        </w:rPr>
        <w:t>10 </w:t>
      </w:r>
      <w:r>
        <w:rPr/>
        <w:t>et al en donde encontraron que los varones se afectaban por malformaciones gastrointestinales congénitas hasta en un 65.5% lo cual difiere significativamente de las mujeres recién nacidas, pero estadísticamente sus hallazgos son similares a los de este estudio.</w:t>
      </w:r>
    </w:p>
    <w:p>
      <w:pPr>
        <w:spacing w:after="0" w:line="360" w:lineRule="auto"/>
        <w:jc w:val="both"/>
        <w:sectPr>
          <w:pgSz w:w="12240" w:h="15840"/>
          <w:pgMar w:top="1500" w:bottom="280" w:left="1720" w:right="1580"/>
        </w:sectPr>
      </w:pPr>
    </w:p>
    <w:p>
      <w:pPr>
        <w:pStyle w:val="BodyText"/>
        <w:spacing w:before="5"/>
        <w:rPr>
          <w:sz w:val="9"/>
        </w:rPr>
      </w:pPr>
    </w:p>
    <w:p>
      <w:pPr>
        <w:pStyle w:val="Heading1"/>
        <w:numPr>
          <w:ilvl w:val="1"/>
          <w:numId w:val="3"/>
        </w:numPr>
        <w:tabs>
          <w:tab w:pos="397" w:val="left" w:leader="none"/>
        </w:tabs>
        <w:spacing w:line="240" w:lineRule="auto" w:before="70" w:after="0"/>
        <w:ind w:left="396" w:right="0" w:hanging="294"/>
        <w:jc w:val="left"/>
      </w:pPr>
      <w:r>
        <w:rPr/>
        <w:t>CONCLUSIONES</w:t>
      </w:r>
    </w:p>
    <w:p>
      <w:pPr>
        <w:pStyle w:val="BodyText"/>
        <w:rPr>
          <w:b/>
        </w:rPr>
      </w:pPr>
    </w:p>
    <w:p>
      <w:pPr>
        <w:pStyle w:val="BodyText"/>
        <w:rPr>
          <w:b/>
        </w:rPr>
      </w:pPr>
    </w:p>
    <w:p>
      <w:pPr>
        <w:pStyle w:val="ListParagraph"/>
        <w:numPr>
          <w:ilvl w:val="2"/>
          <w:numId w:val="13"/>
        </w:numPr>
        <w:tabs>
          <w:tab w:pos="822" w:val="left" w:leader="none"/>
        </w:tabs>
        <w:spacing w:line="360" w:lineRule="auto" w:before="0" w:after="0"/>
        <w:ind w:left="822" w:right="115" w:hanging="360"/>
        <w:jc w:val="both"/>
        <w:rPr>
          <w:sz w:val="24"/>
        </w:rPr>
      </w:pPr>
      <w:r>
        <w:rPr>
          <w:sz w:val="24"/>
        </w:rPr>
        <w:t>El</w:t>
      </w:r>
      <w:r>
        <w:rPr>
          <w:spacing w:val="-18"/>
          <w:sz w:val="24"/>
        </w:rPr>
        <w:t> </w:t>
      </w:r>
      <w:r>
        <w:rPr>
          <w:sz w:val="24"/>
        </w:rPr>
        <w:t>estudio</w:t>
      </w:r>
      <w:r>
        <w:rPr>
          <w:spacing w:val="-17"/>
          <w:sz w:val="24"/>
        </w:rPr>
        <w:t> </w:t>
      </w:r>
      <w:r>
        <w:rPr>
          <w:sz w:val="24"/>
        </w:rPr>
        <w:t>realizado</w:t>
      </w:r>
      <w:r>
        <w:rPr>
          <w:spacing w:val="-17"/>
          <w:sz w:val="24"/>
        </w:rPr>
        <w:t> </w:t>
      </w:r>
      <w:r>
        <w:rPr>
          <w:sz w:val="24"/>
        </w:rPr>
        <w:t>en</w:t>
      </w:r>
      <w:r>
        <w:rPr>
          <w:spacing w:val="-19"/>
          <w:sz w:val="24"/>
        </w:rPr>
        <w:t> </w:t>
      </w:r>
      <w:r>
        <w:rPr>
          <w:sz w:val="24"/>
        </w:rPr>
        <w:t>el</w:t>
      </w:r>
      <w:r>
        <w:rPr>
          <w:spacing w:val="-18"/>
          <w:sz w:val="24"/>
        </w:rPr>
        <w:t> </w:t>
      </w:r>
      <w:r>
        <w:rPr>
          <w:sz w:val="24"/>
        </w:rPr>
        <w:t>Hospital</w:t>
      </w:r>
      <w:r>
        <w:rPr>
          <w:spacing w:val="-18"/>
          <w:sz w:val="24"/>
        </w:rPr>
        <w:t> </w:t>
      </w:r>
      <w:r>
        <w:rPr>
          <w:sz w:val="24"/>
        </w:rPr>
        <w:t>Materno</w:t>
      </w:r>
      <w:r>
        <w:rPr>
          <w:spacing w:val="-16"/>
          <w:sz w:val="24"/>
        </w:rPr>
        <w:t> </w:t>
      </w:r>
      <w:r>
        <w:rPr>
          <w:sz w:val="24"/>
        </w:rPr>
        <w:t>Perinatal</w:t>
      </w:r>
      <w:r>
        <w:rPr>
          <w:spacing w:val="-18"/>
          <w:sz w:val="24"/>
        </w:rPr>
        <w:t> </w:t>
      </w:r>
      <w:r>
        <w:rPr>
          <w:sz w:val="24"/>
        </w:rPr>
        <w:t>“Mónica</w:t>
      </w:r>
      <w:r>
        <w:rPr>
          <w:spacing w:val="-17"/>
          <w:sz w:val="24"/>
        </w:rPr>
        <w:t> </w:t>
      </w:r>
      <w:r>
        <w:rPr>
          <w:sz w:val="24"/>
        </w:rPr>
        <w:t>Pretelini</w:t>
      </w:r>
      <w:r>
        <w:rPr>
          <w:spacing w:val="-18"/>
          <w:sz w:val="24"/>
        </w:rPr>
        <w:t> </w:t>
      </w:r>
      <w:r>
        <w:rPr>
          <w:sz w:val="24"/>
        </w:rPr>
        <w:t>Saénz” demuestra que la prevalencia en cuanto a malformaciones congénitas gastrointestinales fue alta en los hospitales de concentración y tercer nivel y tiene diferencia con la casuística de la población general en donde dicha prevalencia es mucho</w:t>
      </w:r>
      <w:r>
        <w:rPr>
          <w:spacing w:val="-10"/>
          <w:sz w:val="24"/>
        </w:rPr>
        <w:t> </w:t>
      </w:r>
      <w:r>
        <w:rPr>
          <w:sz w:val="24"/>
        </w:rPr>
        <w:t>menor.</w:t>
      </w:r>
    </w:p>
    <w:p>
      <w:pPr>
        <w:pStyle w:val="BodyText"/>
      </w:pPr>
    </w:p>
    <w:p>
      <w:pPr>
        <w:pStyle w:val="ListParagraph"/>
        <w:numPr>
          <w:ilvl w:val="2"/>
          <w:numId w:val="13"/>
        </w:numPr>
        <w:tabs>
          <w:tab w:pos="822" w:val="left" w:leader="none"/>
        </w:tabs>
        <w:spacing w:line="360" w:lineRule="auto" w:before="142" w:after="0"/>
        <w:ind w:left="822" w:right="116" w:hanging="360"/>
        <w:jc w:val="both"/>
        <w:rPr>
          <w:sz w:val="24"/>
        </w:rPr>
      </w:pPr>
      <w:r>
        <w:rPr>
          <w:sz w:val="24"/>
        </w:rPr>
        <w:t>Las principales malformaciones congénitas encontradas en este grupo de pacientes fueron la atresia intestinal y la malformación anorrectal igual</w:t>
      </w:r>
      <w:r>
        <w:rPr>
          <w:spacing w:val="-46"/>
          <w:sz w:val="24"/>
        </w:rPr>
        <w:t> </w:t>
      </w:r>
      <w:r>
        <w:rPr>
          <w:sz w:val="24"/>
        </w:rPr>
        <w:t>como se menciona en otros grupos; el divertículo de Meckel que es la más encontrada</w:t>
      </w:r>
      <w:r>
        <w:rPr>
          <w:spacing w:val="-12"/>
          <w:sz w:val="24"/>
        </w:rPr>
        <w:t> </w:t>
      </w:r>
      <w:r>
        <w:rPr>
          <w:sz w:val="24"/>
        </w:rPr>
        <w:t>en</w:t>
      </w:r>
      <w:r>
        <w:rPr>
          <w:spacing w:val="-14"/>
          <w:sz w:val="24"/>
        </w:rPr>
        <w:t> </w:t>
      </w:r>
      <w:r>
        <w:rPr>
          <w:sz w:val="24"/>
        </w:rPr>
        <w:t>edades</w:t>
      </w:r>
      <w:r>
        <w:rPr>
          <w:spacing w:val="-14"/>
          <w:sz w:val="24"/>
        </w:rPr>
        <w:t> </w:t>
      </w:r>
      <w:r>
        <w:rPr>
          <w:sz w:val="24"/>
        </w:rPr>
        <w:t>posteriores</w:t>
      </w:r>
      <w:r>
        <w:rPr>
          <w:spacing w:val="-14"/>
          <w:sz w:val="24"/>
        </w:rPr>
        <w:t> </w:t>
      </w:r>
      <w:r>
        <w:rPr>
          <w:sz w:val="24"/>
        </w:rPr>
        <w:t>no</w:t>
      </w:r>
      <w:r>
        <w:rPr>
          <w:spacing w:val="-15"/>
          <w:sz w:val="24"/>
        </w:rPr>
        <w:t> </w:t>
      </w:r>
      <w:r>
        <w:rPr>
          <w:sz w:val="24"/>
        </w:rPr>
        <w:t>fue</w:t>
      </w:r>
      <w:r>
        <w:rPr>
          <w:spacing w:val="-14"/>
          <w:sz w:val="24"/>
        </w:rPr>
        <w:t> </w:t>
      </w:r>
      <w:r>
        <w:rPr>
          <w:sz w:val="24"/>
        </w:rPr>
        <w:t>hallada</w:t>
      </w:r>
      <w:r>
        <w:rPr>
          <w:spacing w:val="-14"/>
          <w:sz w:val="24"/>
        </w:rPr>
        <w:t> </w:t>
      </w:r>
      <w:r>
        <w:rPr>
          <w:sz w:val="24"/>
        </w:rPr>
        <w:t>en</w:t>
      </w:r>
      <w:r>
        <w:rPr>
          <w:spacing w:val="-14"/>
          <w:sz w:val="24"/>
        </w:rPr>
        <w:t> </w:t>
      </w:r>
      <w:r>
        <w:rPr>
          <w:sz w:val="24"/>
        </w:rPr>
        <w:t>nuestros</w:t>
      </w:r>
      <w:r>
        <w:rPr>
          <w:spacing w:val="-14"/>
          <w:sz w:val="24"/>
        </w:rPr>
        <w:t> </w:t>
      </w:r>
      <w:r>
        <w:rPr>
          <w:sz w:val="24"/>
        </w:rPr>
        <w:t>recién</w:t>
      </w:r>
      <w:r>
        <w:rPr>
          <w:spacing w:val="-14"/>
          <w:sz w:val="24"/>
        </w:rPr>
        <w:t> </w:t>
      </w:r>
      <w:r>
        <w:rPr>
          <w:sz w:val="24"/>
        </w:rPr>
        <w:t>nacidos.</w:t>
      </w:r>
    </w:p>
    <w:p>
      <w:pPr>
        <w:pStyle w:val="BodyText"/>
      </w:pPr>
    </w:p>
    <w:p>
      <w:pPr>
        <w:pStyle w:val="ListParagraph"/>
        <w:numPr>
          <w:ilvl w:val="2"/>
          <w:numId w:val="13"/>
        </w:numPr>
        <w:tabs>
          <w:tab w:pos="822" w:val="left" w:leader="none"/>
        </w:tabs>
        <w:spacing w:line="360" w:lineRule="auto" w:before="142" w:after="0"/>
        <w:ind w:left="822" w:right="121" w:hanging="360"/>
        <w:jc w:val="both"/>
        <w:rPr>
          <w:sz w:val="24"/>
        </w:rPr>
      </w:pPr>
      <w:r>
        <w:rPr>
          <w:sz w:val="24"/>
        </w:rPr>
        <w:t>El género masculino es el más afectado y la diferencia es muy significativa en relación con pacientes del sexo femenino, acorde con otros</w:t>
      </w:r>
      <w:r>
        <w:rPr>
          <w:spacing w:val="-14"/>
          <w:sz w:val="24"/>
        </w:rPr>
        <w:t> </w:t>
      </w:r>
      <w:r>
        <w:rPr>
          <w:sz w:val="24"/>
        </w:rPr>
        <w:t>reportes.</w:t>
      </w:r>
    </w:p>
    <w:p>
      <w:pPr>
        <w:pStyle w:val="BodyText"/>
      </w:pPr>
    </w:p>
    <w:p>
      <w:pPr>
        <w:pStyle w:val="ListParagraph"/>
        <w:numPr>
          <w:ilvl w:val="2"/>
          <w:numId w:val="13"/>
        </w:numPr>
        <w:tabs>
          <w:tab w:pos="822" w:val="left" w:leader="none"/>
        </w:tabs>
        <w:spacing w:line="360" w:lineRule="auto" w:before="142" w:after="0"/>
        <w:ind w:left="822" w:right="122" w:hanging="360"/>
        <w:jc w:val="both"/>
        <w:rPr>
          <w:sz w:val="24"/>
        </w:rPr>
      </w:pPr>
      <w:r>
        <w:rPr>
          <w:sz w:val="24"/>
        </w:rPr>
        <w:t>Los estudios epidemiológicos son importantes de hacer en diferentes periodos de tiempo y espacio por la variabilidad que pueden tener distintas poblaciones como se demostró con este estudio, y también son de utilidad para planear estrategias futuras en cuanto a recursos y estrategias operativas</w:t>
      </w:r>
      <w:r>
        <w:rPr>
          <w:spacing w:val="-10"/>
          <w:sz w:val="24"/>
        </w:rPr>
        <w:t> </w:t>
      </w:r>
      <w:r>
        <w:rPr>
          <w:sz w:val="24"/>
        </w:rPr>
        <w:t>para</w:t>
      </w:r>
      <w:r>
        <w:rPr>
          <w:spacing w:val="-10"/>
          <w:sz w:val="24"/>
        </w:rPr>
        <w:t> </w:t>
      </w:r>
      <w:r>
        <w:rPr>
          <w:sz w:val="24"/>
        </w:rPr>
        <w:t>disminuir</w:t>
      </w:r>
      <w:r>
        <w:rPr>
          <w:spacing w:val="-11"/>
          <w:sz w:val="24"/>
        </w:rPr>
        <w:t> </w:t>
      </w:r>
      <w:r>
        <w:rPr>
          <w:sz w:val="24"/>
        </w:rPr>
        <w:t>en</w:t>
      </w:r>
      <w:r>
        <w:rPr>
          <w:spacing w:val="-9"/>
          <w:sz w:val="24"/>
        </w:rPr>
        <w:t> </w:t>
      </w:r>
      <w:r>
        <w:rPr>
          <w:sz w:val="24"/>
        </w:rPr>
        <w:t>un</w:t>
      </w:r>
      <w:r>
        <w:rPr>
          <w:spacing w:val="-12"/>
          <w:sz w:val="24"/>
        </w:rPr>
        <w:t> </w:t>
      </w:r>
      <w:r>
        <w:rPr>
          <w:sz w:val="24"/>
        </w:rPr>
        <w:t>futuro</w:t>
      </w:r>
      <w:r>
        <w:rPr>
          <w:spacing w:val="-12"/>
          <w:sz w:val="24"/>
        </w:rPr>
        <w:t> </w:t>
      </w:r>
      <w:r>
        <w:rPr>
          <w:sz w:val="24"/>
        </w:rPr>
        <w:t>la</w:t>
      </w:r>
      <w:r>
        <w:rPr>
          <w:spacing w:val="-12"/>
          <w:sz w:val="24"/>
        </w:rPr>
        <w:t> </w:t>
      </w:r>
      <w:r>
        <w:rPr>
          <w:sz w:val="24"/>
        </w:rPr>
        <w:t>morbimortalidad</w:t>
      </w:r>
      <w:r>
        <w:rPr>
          <w:spacing w:val="-9"/>
          <w:sz w:val="24"/>
        </w:rPr>
        <w:t> </w:t>
      </w:r>
      <w:r>
        <w:rPr>
          <w:sz w:val="24"/>
        </w:rPr>
        <w:t>en</w:t>
      </w:r>
      <w:r>
        <w:rPr>
          <w:spacing w:val="-9"/>
          <w:sz w:val="24"/>
        </w:rPr>
        <w:t> </w:t>
      </w:r>
      <w:r>
        <w:rPr>
          <w:sz w:val="24"/>
        </w:rPr>
        <w:t>este</w:t>
      </w:r>
      <w:r>
        <w:rPr>
          <w:spacing w:val="-9"/>
          <w:sz w:val="24"/>
        </w:rPr>
        <w:t> </w:t>
      </w:r>
      <w:r>
        <w:rPr>
          <w:sz w:val="24"/>
        </w:rPr>
        <w:t>caso</w:t>
      </w:r>
      <w:r>
        <w:rPr>
          <w:spacing w:val="-9"/>
          <w:sz w:val="24"/>
        </w:rPr>
        <w:t> </w:t>
      </w:r>
      <w:r>
        <w:rPr>
          <w:sz w:val="24"/>
        </w:rPr>
        <w:t>de</w:t>
      </w:r>
      <w:r>
        <w:rPr>
          <w:spacing w:val="-12"/>
          <w:sz w:val="24"/>
        </w:rPr>
        <w:t> </w:t>
      </w:r>
      <w:r>
        <w:rPr>
          <w:sz w:val="24"/>
        </w:rPr>
        <w:t>las malformaciones congénitas</w:t>
      </w:r>
      <w:r>
        <w:rPr>
          <w:spacing w:val="-19"/>
          <w:sz w:val="24"/>
        </w:rPr>
        <w:t> </w:t>
      </w:r>
      <w:r>
        <w:rPr>
          <w:sz w:val="24"/>
        </w:rPr>
        <w:t>gastrointestinales.</w:t>
      </w:r>
    </w:p>
    <w:p>
      <w:pPr>
        <w:spacing w:after="0" w:line="360" w:lineRule="auto"/>
        <w:jc w:val="both"/>
        <w:rPr>
          <w:sz w:val="24"/>
        </w:rPr>
        <w:sectPr>
          <w:pgSz w:w="12240" w:h="15840"/>
          <w:pgMar w:top="1500" w:bottom="280" w:left="1600" w:right="1580"/>
        </w:sectPr>
      </w:pPr>
    </w:p>
    <w:p>
      <w:pPr>
        <w:pStyle w:val="Heading1"/>
        <w:numPr>
          <w:ilvl w:val="1"/>
          <w:numId w:val="3"/>
        </w:numPr>
        <w:tabs>
          <w:tab w:pos="464" w:val="left" w:leader="none"/>
        </w:tabs>
        <w:spacing w:line="240" w:lineRule="auto" w:before="43" w:after="0"/>
        <w:ind w:left="463" w:right="0" w:hanging="361"/>
        <w:jc w:val="left"/>
      </w:pPr>
      <w:r>
        <w:rPr/>
        <w:t>BIBLIOGRAFÍA</w:t>
      </w:r>
    </w:p>
    <w:p>
      <w:pPr>
        <w:pStyle w:val="BodyText"/>
        <w:rPr>
          <w:b/>
        </w:rPr>
      </w:pPr>
    </w:p>
    <w:p>
      <w:pPr>
        <w:pStyle w:val="ListParagraph"/>
        <w:numPr>
          <w:ilvl w:val="0"/>
          <w:numId w:val="14"/>
        </w:numPr>
        <w:tabs>
          <w:tab w:pos="462" w:val="left" w:leader="none"/>
        </w:tabs>
        <w:spacing w:line="360" w:lineRule="auto" w:before="144" w:after="0"/>
        <w:ind w:left="462" w:right="122" w:hanging="360"/>
        <w:jc w:val="both"/>
        <w:rPr>
          <w:sz w:val="24"/>
        </w:rPr>
      </w:pPr>
      <w:r>
        <w:rPr>
          <w:sz w:val="24"/>
        </w:rPr>
        <w:t>Stevenson RE, Hall JG, Goodman RM. Human malformations and related anomalies. Oxford monographs on medical genetics Oxford University Press, New York 1993. Vol</w:t>
      </w:r>
      <w:r>
        <w:rPr>
          <w:spacing w:val="-8"/>
          <w:sz w:val="24"/>
        </w:rPr>
        <w:t> </w:t>
      </w:r>
      <w:r>
        <w:rPr>
          <w:sz w:val="24"/>
        </w:rPr>
        <w:t>1.</w:t>
      </w:r>
    </w:p>
    <w:p>
      <w:pPr>
        <w:pStyle w:val="ListParagraph"/>
        <w:numPr>
          <w:ilvl w:val="0"/>
          <w:numId w:val="14"/>
        </w:numPr>
        <w:tabs>
          <w:tab w:pos="462" w:val="left" w:leader="none"/>
        </w:tabs>
        <w:spacing w:line="360" w:lineRule="auto" w:before="5" w:after="0"/>
        <w:ind w:left="462" w:right="116" w:hanging="360"/>
        <w:jc w:val="both"/>
        <w:rPr>
          <w:sz w:val="24"/>
        </w:rPr>
      </w:pPr>
      <w:r>
        <w:rPr>
          <w:sz w:val="24"/>
        </w:rPr>
        <w:t>Flores-Nava G, Pérez-Aguilera T, Pérez–Bernabe M. Malformaciones congénitas</w:t>
      </w:r>
      <w:r>
        <w:rPr>
          <w:spacing w:val="-15"/>
          <w:sz w:val="24"/>
        </w:rPr>
        <w:t> </w:t>
      </w:r>
      <w:r>
        <w:rPr>
          <w:sz w:val="24"/>
        </w:rPr>
        <w:t>diagnosticadas</w:t>
      </w:r>
      <w:r>
        <w:rPr>
          <w:spacing w:val="-15"/>
          <w:sz w:val="24"/>
        </w:rPr>
        <w:t> </w:t>
      </w:r>
      <w:r>
        <w:rPr>
          <w:sz w:val="24"/>
        </w:rPr>
        <w:t>en</w:t>
      </w:r>
      <w:r>
        <w:rPr>
          <w:spacing w:val="-14"/>
          <w:sz w:val="24"/>
        </w:rPr>
        <w:t> </w:t>
      </w:r>
      <w:r>
        <w:rPr>
          <w:sz w:val="24"/>
        </w:rPr>
        <w:t>un</w:t>
      </w:r>
      <w:r>
        <w:rPr>
          <w:spacing w:val="-14"/>
          <w:sz w:val="24"/>
        </w:rPr>
        <w:t> </w:t>
      </w:r>
      <w:r>
        <w:rPr>
          <w:sz w:val="24"/>
        </w:rPr>
        <w:t>hospital</w:t>
      </w:r>
      <w:r>
        <w:rPr>
          <w:spacing w:val="-13"/>
          <w:sz w:val="24"/>
        </w:rPr>
        <w:t> </w:t>
      </w:r>
      <w:r>
        <w:rPr>
          <w:sz w:val="24"/>
        </w:rPr>
        <w:t>general.</w:t>
      </w:r>
      <w:r>
        <w:rPr>
          <w:spacing w:val="-12"/>
          <w:sz w:val="24"/>
        </w:rPr>
        <w:t> </w:t>
      </w:r>
      <w:r>
        <w:rPr>
          <w:sz w:val="24"/>
        </w:rPr>
        <w:t>Revisión</w:t>
      </w:r>
      <w:r>
        <w:rPr>
          <w:spacing w:val="-12"/>
          <w:sz w:val="24"/>
        </w:rPr>
        <w:t> </w:t>
      </w:r>
      <w:r>
        <w:rPr>
          <w:sz w:val="24"/>
        </w:rPr>
        <w:t>de</w:t>
      </w:r>
      <w:r>
        <w:rPr>
          <w:spacing w:val="-12"/>
          <w:sz w:val="24"/>
        </w:rPr>
        <w:t> </w:t>
      </w:r>
      <w:r>
        <w:rPr>
          <w:sz w:val="24"/>
        </w:rPr>
        <w:t>cuatro</w:t>
      </w:r>
      <w:r>
        <w:rPr>
          <w:spacing w:val="-12"/>
          <w:sz w:val="24"/>
        </w:rPr>
        <w:t> </w:t>
      </w:r>
      <w:r>
        <w:rPr>
          <w:sz w:val="24"/>
        </w:rPr>
        <w:t>años.</w:t>
      </w:r>
      <w:r>
        <w:rPr>
          <w:spacing w:val="-8"/>
          <w:sz w:val="24"/>
        </w:rPr>
        <w:t> </w:t>
      </w:r>
      <w:r>
        <w:rPr>
          <w:sz w:val="24"/>
        </w:rPr>
        <w:t>Acta Pediatric Mex</w:t>
      </w:r>
      <w:r>
        <w:rPr>
          <w:spacing w:val="-11"/>
          <w:sz w:val="24"/>
        </w:rPr>
        <w:t> </w:t>
      </w:r>
      <w:r>
        <w:rPr>
          <w:sz w:val="24"/>
        </w:rPr>
        <w:t>2011;32(2):101-106</w:t>
      </w:r>
    </w:p>
    <w:p>
      <w:pPr>
        <w:pStyle w:val="ListParagraph"/>
        <w:numPr>
          <w:ilvl w:val="0"/>
          <w:numId w:val="14"/>
        </w:numPr>
        <w:tabs>
          <w:tab w:pos="462" w:val="left" w:leader="none"/>
        </w:tabs>
        <w:spacing w:line="360" w:lineRule="auto" w:before="2" w:after="0"/>
        <w:ind w:left="462" w:right="118" w:hanging="360"/>
        <w:jc w:val="both"/>
        <w:rPr>
          <w:sz w:val="24"/>
        </w:rPr>
      </w:pPr>
      <w:r>
        <w:rPr>
          <w:sz w:val="24"/>
        </w:rPr>
        <w:t>Ramos-Parra E, Monzón-Ruelas A, Dautt-Leyva JG. Frecuencia de Malformaciones Congénitas en Recién Nacidos del Hospital de la Mujer. Arch Salud Sin Vol. 5 No. 4 (2011). Pag</w:t>
      </w:r>
      <w:r>
        <w:rPr>
          <w:spacing w:val="-15"/>
          <w:sz w:val="24"/>
        </w:rPr>
        <w:t> </w:t>
      </w:r>
      <w:r>
        <w:rPr>
          <w:sz w:val="24"/>
        </w:rPr>
        <w:t>101-105</w:t>
      </w:r>
    </w:p>
    <w:p>
      <w:pPr>
        <w:pStyle w:val="ListParagraph"/>
        <w:numPr>
          <w:ilvl w:val="0"/>
          <w:numId w:val="14"/>
        </w:numPr>
        <w:tabs>
          <w:tab w:pos="462" w:val="left" w:leader="none"/>
        </w:tabs>
        <w:spacing w:line="360" w:lineRule="auto" w:before="5" w:after="0"/>
        <w:ind w:left="462" w:right="116" w:hanging="360"/>
        <w:jc w:val="both"/>
        <w:rPr>
          <w:sz w:val="24"/>
        </w:rPr>
      </w:pPr>
      <w:r>
        <w:rPr>
          <w:sz w:val="24"/>
        </w:rPr>
        <w:t>Organización</w:t>
      </w:r>
      <w:r>
        <w:rPr>
          <w:spacing w:val="-7"/>
          <w:sz w:val="24"/>
        </w:rPr>
        <w:t> </w:t>
      </w:r>
      <w:r>
        <w:rPr>
          <w:sz w:val="24"/>
        </w:rPr>
        <w:t>Mundial</w:t>
      </w:r>
      <w:r>
        <w:rPr>
          <w:spacing w:val="-13"/>
          <w:sz w:val="24"/>
        </w:rPr>
        <w:t> </w:t>
      </w:r>
      <w:r>
        <w:rPr>
          <w:sz w:val="24"/>
        </w:rPr>
        <w:t>de</w:t>
      </w:r>
      <w:r>
        <w:rPr>
          <w:spacing w:val="-7"/>
          <w:sz w:val="24"/>
        </w:rPr>
        <w:t> </w:t>
      </w:r>
      <w:r>
        <w:rPr>
          <w:sz w:val="24"/>
        </w:rPr>
        <w:t>la</w:t>
      </w:r>
      <w:r>
        <w:rPr>
          <w:spacing w:val="-7"/>
          <w:sz w:val="24"/>
        </w:rPr>
        <w:t> </w:t>
      </w:r>
      <w:r>
        <w:rPr>
          <w:sz w:val="24"/>
        </w:rPr>
        <w:t>Salud.</w:t>
      </w:r>
      <w:r>
        <w:rPr>
          <w:spacing w:val="-6"/>
          <w:sz w:val="24"/>
        </w:rPr>
        <w:t> </w:t>
      </w:r>
      <w:r>
        <w:rPr>
          <w:sz w:val="24"/>
        </w:rPr>
        <w:t>63ª</w:t>
      </w:r>
      <w:r>
        <w:rPr>
          <w:spacing w:val="-10"/>
          <w:sz w:val="24"/>
        </w:rPr>
        <w:t> </w:t>
      </w:r>
      <w:r>
        <w:rPr>
          <w:sz w:val="24"/>
        </w:rPr>
        <w:t>Asamblea</w:t>
      </w:r>
      <w:r>
        <w:rPr>
          <w:spacing w:val="-9"/>
          <w:sz w:val="24"/>
        </w:rPr>
        <w:t> </w:t>
      </w:r>
      <w:r>
        <w:rPr>
          <w:sz w:val="24"/>
        </w:rPr>
        <w:t>Mundial</w:t>
      </w:r>
      <w:r>
        <w:rPr>
          <w:spacing w:val="-8"/>
          <w:sz w:val="24"/>
        </w:rPr>
        <w:t> </w:t>
      </w:r>
      <w:r>
        <w:rPr>
          <w:sz w:val="24"/>
        </w:rPr>
        <w:t>de</w:t>
      </w:r>
      <w:r>
        <w:rPr>
          <w:spacing w:val="-7"/>
          <w:sz w:val="24"/>
        </w:rPr>
        <w:t> </w:t>
      </w:r>
      <w:r>
        <w:rPr>
          <w:sz w:val="24"/>
        </w:rPr>
        <w:t>la</w:t>
      </w:r>
      <w:r>
        <w:rPr>
          <w:spacing w:val="-7"/>
          <w:sz w:val="24"/>
        </w:rPr>
        <w:t> </w:t>
      </w:r>
      <w:r>
        <w:rPr>
          <w:sz w:val="24"/>
        </w:rPr>
        <w:t>Salud.</w:t>
      </w:r>
      <w:r>
        <w:rPr>
          <w:spacing w:val="-10"/>
          <w:sz w:val="24"/>
        </w:rPr>
        <w:t> </w:t>
      </w:r>
      <w:r>
        <w:rPr>
          <w:sz w:val="24"/>
        </w:rPr>
        <w:t>A63/10.</w:t>
      </w:r>
      <w:r>
        <w:rPr>
          <w:spacing w:val="-10"/>
          <w:sz w:val="24"/>
        </w:rPr>
        <w:t> </w:t>
      </w:r>
      <w:r>
        <w:rPr>
          <w:sz w:val="24"/>
        </w:rPr>
        <w:t>1 de abril de</w:t>
      </w:r>
      <w:r>
        <w:rPr>
          <w:spacing w:val="-8"/>
          <w:sz w:val="24"/>
        </w:rPr>
        <w:t> </w:t>
      </w:r>
      <w:r>
        <w:rPr>
          <w:sz w:val="24"/>
        </w:rPr>
        <w:t>2010</w:t>
      </w:r>
    </w:p>
    <w:p>
      <w:pPr>
        <w:pStyle w:val="ListParagraph"/>
        <w:numPr>
          <w:ilvl w:val="0"/>
          <w:numId w:val="14"/>
        </w:numPr>
        <w:tabs>
          <w:tab w:pos="462" w:val="left" w:leader="none"/>
        </w:tabs>
        <w:spacing w:line="360" w:lineRule="auto" w:before="5" w:after="0"/>
        <w:ind w:left="462" w:right="115" w:hanging="360"/>
        <w:jc w:val="both"/>
        <w:rPr>
          <w:sz w:val="24"/>
        </w:rPr>
      </w:pPr>
      <w:r>
        <w:rPr>
          <w:sz w:val="24"/>
        </w:rPr>
        <w:t>Aguilera C. A. B., Robles G. L., Trinchet S. R., Rojas M. Y. F., Aguilera F. P. L. Malformaciones</w:t>
      </w:r>
      <w:r>
        <w:rPr>
          <w:spacing w:val="-7"/>
          <w:sz w:val="24"/>
        </w:rPr>
        <w:t> </w:t>
      </w:r>
      <w:r>
        <w:rPr>
          <w:sz w:val="24"/>
        </w:rPr>
        <w:t>congénitas</w:t>
      </w:r>
      <w:r>
        <w:rPr>
          <w:spacing w:val="-9"/>
          <w:sz w:val="24"/>
        </w:rPr>
        <w:t> </w:t>
      </w:r>
      <w:r>
        <w:rPr>
          <w:sz w:val="24"/>
        </w:rPr>
        <w:t>digestivas</w:t>
      </w:r>
      <w:r>
        <w:rPr>
          <w:spacing w:val="-9"/>
          <w:sz w:val="24"/>
        </w:rPr>
        <w:t> </w:t>
      </w:r>
      <w:r>
        <w:rPr>
          <w:sz w:val="24"/>
        </w:rPr>
        <w:t>y</w:t>
      </w:r>
      <w:r>
        <w:rPr>
          <w:spacing w:val="-12"/>
          <w:sz w:val="24"/>
        </w:rPr>
        <w:t> </w:t>
      </w:r>
      <w:r>
        <w:rPr>
          <w:sz w:val="24"/>
        </w:rPr>
        <w:t>factores</w:t>
      </w:r>
      <w:r>
        <w:rPr>
          <w:spacing w:val="-9"/>
          <w:sz w:val="24"/>
        </w:rPr>
        <w:t> </w:t>
      </w:r>
      <w:r>
        <w:rPr>
          <w:sz w:val="24"/>
        </w:rPr>
        <w:t>de</w:t>
      </w:r>
      <w:r>
        <w:rPr>
          <w:spacing w:val="-8"/>
          <w:sz w:val="24"/>
        </w:rPr>
        <w:t> </w:t>
      </w:r>
      <w:r>
        <w:rPr>
          <w:sz w:val="24"/>
        </w:rPr>
        <w:t>riesgo</w:t>
      </w:r>
      <w:r>
        <w:rPr>
          <w:spacing w:val="-8"/>
          <w:sz w:val="24"/>
        </w:rPr>
        <w:t> </w:t>
      </w:r>
      <w:r>
        <w:rPr>
          <w:sz w:val="24"/>
        </w:rPr>
        <w:t>maternos</w:t>
      </w:r>
      <w:r>
        <w:rPr>
          <w:spacing w:val="-12"/>
          <w:sz w:val="24"/>
        </w:rPr>
        <w:t> </w:t>
      </w:r>
      <w:r>
        <w:rPr>
          <w:sz w:val="24"/>
        </w:rPr>
        <w:t>y</w:t>
      </w:r>
      <w:r>
        <w:rPr>
          <w:spacing w:val="-12"/>
          <w:sz w:val="24"/>
        </w:rPr>
        <w:t> </w:t>
      </w:r>
      <w:r>
        <w:rPr>
          <w:sz w:val="24"/>
        </w:rPr>
        <w:t>paternos, Holguín 2012-2014. Primer congreso virtual de ciencias morfológicas. Primera jornada científica de la cátedra de Santiago Ramón y Cajal.</w:t>
      </w:r>
      <w:r>
        <w:rPr>
          <w:spacing w:val="-21"/>
          <w:sz w:val="24"/>
        </w:rPr>
        <w:t> </w:t>
      </w:r>
      <w:r>
        <w:rPr>
          <w:sz w:val="24"/>
        </w:rPr>
        <w:t>2012-2014.</w:t>
      </w:r>
    </w:p>
    <w:p>
      <w:pPr>
        <w:pStyle w:val="ListParagraph"/>
        <w:numPr>
          <w:ilvl w:val="0"/>
          <w:numId w:val="14"/>
        </w:numPr>
        <w:tabs>
          <w:tab w:pos="462" w:val="left" w:leader="none"/>
        </w:tabs>
        <w:spacing w:line="240" w:lineRule="auto" w:before="5" w:after="0"/>
        <w:ind w:left="462" w:right="0" w:hanging="360"/>
        <w:jc w:val="left"/>
        <w:rPr>
          <w:sz w:val="24"/>
        </w:rPr>
      </w:pPr>
      <w:r>
        <w:rPr>
          <w:sz w:val="24"/>
        </w:rPr>
        <w:t>Instituto Nacional de Estadística y Geografía</w:t>
      </w:r>
      <w:r>
        <w:rPr>
          <w:spacing w:val="-11"/>
          <w:sz w:val="24"/>
        </w:rPr>
        <w:t> </w:t>
      </w:r>
      <w:r>
        <w:rPr>
          <w:sz w:val="24"/>
        </w:rPr>
        <w:t>INEGI</w:t>
      </w:r>
    </w:p>
    <w:p>
      <w:pPr>
        <w:pStyle w:val="ListParagraph"/>
        <w:numPr>
          <w:ilvl w:val="0"/>
          <w:numId w:val="14"/>
        </w:numPr>
        <w:tabs>
          <w:tab w:pos="462" w:val="left" w:leader="none"/>
        </w:tabs>
        <w:spacing w:line="360" w:lineRule="auto" w:before="137" w:after="0"/>
        <w:ind w:left="462" w:right="114" w:hanging="360"/>
        <w:jc w:val="both"/>
        <w:rPr>
          <w:sz w:val="24"/>
        </w:rPr>
      </w:pPr>
      <w:r>
        <w:rPr>
          <w:sz w:val="24"/>
        </w:rPr>
        <w:t>Navarrete</w:t>
      </w:r>
      <w:r>
        <w:rPr>
          <w:spacing w:val="-12"/>
          <w:sz w:val="24"/>
        </w:rPr>
        <w:t> </w:t>
      </w:r>
      <w:r>
        <w:rPr>
          <w:sz w:val="24"/>
        </w:rPr>
        <w:t>H.</w:t>
      </w:r>
      <w:r>
        <w:rPr>
          <w:spacing w:val="-13"/>
          <w:sz w:val="24"/>
        </w:rPr>
        <w:t> </w:t>
      </w:r>
      <w:r>
        <w:rPr>
          <w:sz w:val="24"/>
        </w:rPr>
        <w:t>E.,</w:t>
      </w:r>
      <w:r>
        <w:rPr>
          <w:spacing w:val="-12"/>
          <w:sz w:val="24"/>
        </w:rPr>
        <w:t> </w:t>
      </w:r>
      <w:r>
        <w:rPr>
          <w:sz w:val="24"/>
        </w:rPr>
        <w:t>Canún</w:t>
      </w:r>
      <w:r>
        <w:rPr>
          <w:spacing w:val="-12"/>
          <w:sz w:val="24"/>
        </w:rPr>
        <w:t> </w:t>
      </w:r>
      <w:r>
        <w:rPr>
          <w:sz w:val="24"/>
        </w:rPr>
        <w:t>S.</w:t>
      </w:r>
      <w:r>
        <w:rPr>
          <w:spacing w:val="-12"/>
          <w:sz w:val="24"/>
        </w:rPr>
        <w:t> </w:t>
      </w:r>
      <w:r>
        <w:rPr>
          <w:sz w:val="24"/>
        </w:rPr>
        <w:t>S.,</w:t>
      </w:r>
      <w:r>
        <w:rPr>
          <w:spacing w:val="-12"/>
          <w:sz w:val="24"/>
        </w:rPr>
        <w:t> </w:t>
      </w:r>
      <w:r>
        <w:rPr>
          <w:sz w:val="24"/>
        </w:rPr>
        <w:t>Reyes</w:t>
      </w:r>
      <w:r>
        <w:rPr>
          <w:spacing w:val="-13"/>
          <w:sz w:val="24"/>
        </w:rPr>
        <w:t> </w:t>
      </w:r>
      <w:r>
        <w:rPr>
          <w:sz w:val="24"/>
        </w:rPr>
        <w:t>P.</w:t>
      </w:r>
      <w:r>
        <w:rPr>
          <w:spacing w:val="-12"/>
          <w:sz w:val="24"/>
        </w:rPr>
        <w:t> </w:t>
      </w:r>
      <w:r>
        <w:rPr>
          <w:sz w:val="24"/>
        </w:rPr>
        <w:t>A.,</w:t>
      </w:r>
      <w:r>
        <w:rPr>
          <w:spacing w:val="-15"/>
          <w:sz w:val="24"/>
        </w:rPr>
        <w:t> </w:t>
      </w:r>
      <w:r>
        <w:rPr>
          <w:sz w:val="24"/>
        </w:rPr>
        <w:t>Sierra</w:t>
      </w:r>
      <w:r>
        <w:rPr>
          <w:spacing w:val="-12"/>
          <w:sz w:val="24"/>
        </w:rPr>
        <w:t> </w:t>
      </w:r>
      <w:r>
        <w:rPr>
          <w:sz w:val="24"/>
        </w:rPr>
        <w:t>R.</w:t>
      </w:r>
      <w:r>
        <w:rPr>
          <w:spacing w:val="-13"/>
          <w:sz w:val="24"/>
        </w:rPr>
        <w:t> </w:t>
      </w:r>
      <w:r>
        <w:rPr>
          <w:sz w:val="24"/>
        </w:rPr>
        <w:t>M.,</w:t>
      </w:r>
      <w:r>
        <w:rPr>
          <w:spacing w:val="-12"/>
          <w:sz w:val="24"/>
        </w:rPr>
        <w:t> </w:t>
      </w:r>
      <w:r>
        <w:rPr>
          <w:sz w:val="24"/>
        </w:rPr>
        <w:t>Valdés</w:t>
      </w:r>
      <w:r>
        <w:rPr>
          <w:spacing w:val="-13"/>
          <w:sz w:val="24"/>
        </w:rPr>
        <w:t> </w:t>
      </w:r>
      <w:r>
        <w:rPr>
          <w:sz w:val="24"/>
        </w:rPr>
        <w:t>H.</w:t>
      </w:r>
      <w:r>
        <w:rPr>
          <w:spacing w:val="-13"/>
          <w:sz w:val="24"/>
        </w:rPr>
        <w:t> </w:t>
      </w:r>
      <w:r>
        <w:rPr>
          <w:sz w:val="24"/>
        </w:rPr>
        <w:t>J.</w:t>
      </w:r>
      <w:r>
        <w:rPr>
          <w:spacing w:val="-15"/>
          <w:sz w:val="24"/>
        </w:rPr>
        <w:t> </w:t>
      </w:r>
      <w:r>
        <w:rPr>
          <w:sz w:val="24"/>
        </w:rPr>
        <w:t>Prevalencia de malformaciones congénitas registradas en el certificado de nacimiento y de muerte fetal, México, 2009 a 2010. Bol Med Hosp Infant Mex 2013; 70(6): </w:t>
      </w:r>
      <w:r>
        <w:rPr>
          <w:spacing w:val="2"/>
          <w:sz w:val="24"/>
        </w:rPr>
        <w:t>499- </w:t>
      </w:r>
      <w:r>
        <w:rPr>
          <w:sz w:val="24"/>
        </w:rPr>
        <w:t>505</w:t>
      </w:r>
    </w:p>
    <w:p>
      <w:pPr>
        <w:pStyle w:val="ListParagraph"/>
        <w:numPr>
          <w:ilvl w:val="0"/>
          <w:numId w:val="14"/>
        </w:numPr>
        <w:tabs>
          <w:tab w:pos="462" w:val="left" w:leader="none"/>
        </w:tabs>
        <w:spacing w:line="360" w:lineRule="auto" w:before="5" w:after="0"/>
        <w:ind w:left="462" w:right="117" w:hanging="360"/>
        <w:jc w:val="both"/>
        <w:rPr>
          <w:sz w:val="24"/>
        </w:rPr>
      </w:pPr>
      <w:r>
        <w:rPr>
          <w:sz w:val="24"/>
        </w:rPr>
        <w:t>Florence </w:t>
      </w:r>
      <w:r>
        <w:rPr>
          <w:spacing w:val="4"/>
          <w:sz w:val="24"/>
        </w:rPr>
        <w:t>W. </w:t>
      </w:r>
      <w:r>
        <w:rPr>
          <w:sz w:val="24"/>
        </w:rPr>
        <w:t>T. V, Hanneke I, et al. Screening and Surveillance in Esophageal Atresia</w:t>
      </w:r>
      <w:r>
        <w:rPr>
          <w:spacing w:val="-19"/>
          <w:sz w:val="24"/>
        </w:rPr>
        <w:t> </w:t>
      </w:r>
      <w:r>
        <w:rPr>
          <w:sz w:val="24"/>
        </w:rPr>
        <w:t>Patients:</w:t>
      </w:r>
      <w:r>
        <w:rPr>
          <w:spacing w:val="-19"/>
          <w:sz w:val="24"/>
        </w:rPr>
        <w:t> </w:t>
      </w:r>
      <w:r>
        <w:rPr>
          <w:sz w:val="24"/>
        </w:rPr>
        <w:t>Current</w:t>
      </w:r>
      <w:r>
        <w:rPr>
          <w:spacing w:val="-17"/>
          <w:sz w:val="24"/>
        </w:rPr>
        <w:t> </w:t>
      </w:r>
      <w:r>
        <w:rPr>
          <w:sz w:val="24"/>
        </w:rPr>
        <w:t>Knowledge</w:t>
      </w:r>
      <w:r>
        <w:rPr>
          <w:spacing w:val="-17"/>
          <w:sz w:val="24"/>
        </w:rPr>
        <w:t> </w:t>
      </w:r>
      <w:r>
        <w:rPr>
          <w:sz w:val="24"/>
        </w:rPr>
        <w:t>and</w:t>
      </w:r>
      <w:r>
        <w:rPr>
          <w:spacing w:val="-19"/>
          <w:sz w:val="24"/>
        </w:rPr>
        <w:t> </w:t>
      </w:r>
      <w:r>
        <w:rPr>
          <w:sz w:val="24"/>
        </w:rPr>
        <w:t>Future</w:t>
      </w:r>
      <w:r>
        <w:rPr>
          <w:spacing w:val="-17"/>
          <w:sz w:val="24"/>
        </w:rPr>
        <w:t> </w:t>
      </w:r>
      <w:r>
        <w:rPr>
          <w:sz w:val="24"/>
        </w:rPr>
        <w:t>Perspectives.</w:t>
      </w:r>
      <w:r>
        <w:rPr>
          <w:spacing w:val="-17"/>
          <w:sz w:val="24"/>
        </w:rPr>
        <w:t> </w:t>
      </w:r>
      <w:r>
        <w:rPr>
          <w:sz w:val="24"/>
        </w:rPr>
        <w:t>Eur</w:t>
      </w:r>
      <w:r>
        <w:rPr>
          <w:spacing w:val="-18"/>
          <w:sz w:val="24"/>
        </w:rPr>
        <w:t> </w:t>
      </w:r>
      <w:r>
        <w:rPr>
          <w:sz w:val="24"/>
        </w:rPr>
        <w:t>J</w:t>
      </w:r>
      <w:r>
        <w:rPr>
          <w:spacing w:val="-21"/>
          <w:sz w:val="24"/>
        </w:rPr>
        <w:t> </w:t>
      </w:r>
      <w:r>
        <w:rPr>
          <w:sz w:val="24"/>
        </w:rPr>
        <w:t>Pediatr</w:t>
      </w:r>
      <w:r>
        <w:rPr>
          <w:spacing w:val="-19"/>
          <w:sz w:val="24"/>
        </w:rPr>
        <w:t> </w:t>
      </w:r>
      <w:r>
        <w:rPr>
          <w:sz w:val="24"/>
        </w:rPr>
        <w:t>Surg 2015;25:345–352.</w:t>
      </w:r>
    </w:p>
    <w:p>
      <w:pPr>
        <w:pStyle w:val="ListParagraph"/>
        <w:numPr>
          <w:ilvl w:val="0"/>
          <w:numId w:val="14"/>
        </w:numPr>
        <w:tabs>
          <w:tab w:pos="462" w:val="left" w:leader="none"/>
        </w:tabs>
        <w:spacing w:line="360" w:lineRule="auto" w:before="2" w:after="0"/>
        <w:ind w:left="462" w:right="112" w:hanging="360"/>
        <w:jc w:val="both"/>
        <w:rPr>
          <w:sz w:val="24"/>
        </w:rPr>
      </w:pPr>
      <w:r>
        <w:rPr>
          <w:sz w:val="24"/>
        </w:rPr>
        <w:t>Marseglia</w:t>
      </w:r>
      <w:r>
        <w:rPr>
          <w:spacing w:val="-5"/>
          <w:sz w:val="24"/>
        </w:rPr>
        <w:t> </w:t>
      </w:r>
      <w:r>
        <w:rPr>
          <w:sz w:val="24"/>
        </w:rPr>
        <w:t>L,</w:t>
      </w:r>
      <w:r>
        <w:rPr>
          <w:spacing w:val="-5"/>
          <w:sz w:val="24"/>
        </w:rPr>
        <w:t> </w:t>
      </w:r>
      <w:r>
        <w:rPr>
          <w:sz w:val="24"/>
        </w:rPr>
        <w:t>Manti</w:t>
      </w:r>
      <w:r>
        <w:rPr>
          <w:spacing w:val="-5"/>
          <w:sz w:val="24"/>
        </w:rPr>
        <w:t> </w:t>
      </w:r>
      <w:r>
        <w:rPr>
          <w:sz w:val="24"/>
        </w:rPr>
        <w:t>S,</w:t>
      </w:r>
      <w:r>
        <w:rPr>
          <w:spacing w:val="-10"/>
          <w:sz w:val="24"/>
        </w:rPr>
        <w:t> </w:t>
      </w:r>
      <w:r>
        <w:rPr>
          <w:sz w:val="24"/>
        </w:rPr>
        <w:t>D’Angelo</w:t>
      </w:r>
      <w:r>
        <w:rPr>
          <w:spacing w:val="-5"/>
          <w:sz w:val="24"/>
        </w:rPr>
        <w:t> </w:t>
      </w:r>
      <w:r>
        <w:rPr>
          <w:sz w:val="24"/>
        </w:rPr>
        <w:t>G,</w:t>
      </w:r>
      <w:r>
        <w:rPr>
          <w:spacing w:val="-7"/>
          <w:sz w:val="24"/>
        </w:rPr>
        <w:t> </w:t>
      </w:r>
      <w:r>
        <w:rPr>
          <w:sz w:val="24"/>
        </w:rPr>
        <w:t>et</w:t>
      </w:r>
      <w:r>
        <w:rPr>
          <w:spacing w:val="-7"/>
          <w:sz w:val="24"/>
        </w:rPr>
        <w:t> </w:t>
      </w:r>
      <w:r>
        <w:rPr>
          <w:sz w:val="24"/>
        </w:rPr>
        <w:t>al.</w:t>
      </w:r>
      <w:r>
        <w:rPr>
          <w:spacing w:val="-5"/>
          <w:sz w:val="24"/>
        </w:rPr>
        <w:t> </w:t>
      </w:r>
      <w:r>
        <w:rPr>
          <w:sz w:val="24"/>
        </w:rPr>
        <w:t>Gastroesophageal</w:t>
      </w:r>
      <w:r>
        <w:rPr>
          <w:spacing w:val="-4"/>
          <w:sz w:val="24"/>
        </w:rPr>
        <w:t> </w:t>
      </w:r>
      <w:r>
        <w:rPr>
          <w:sz w:val="24"/>
        </w:rPr>
        <w:t>reflux</w:t>
      </w:r>
      <w:r>
        <w:rPr>
          <w:spacing w:val="-8"/>
          <w:sz w:val="24"/>
        </w:rPr>
        <w:t> </w:t>
      </w:r>
      <w:r>
        <w:rPr>
          <w:sz w:val="24"/>
        </w:rPr>
        <w:t>and</w:t>
      </w:r>
      <w:r>
        <w:rPr>
          <w:spacing w:val="-5"/>
          <w:sz w:val="24"/>
        </w:rPr>
        <w:t> </w:t>
      </w:r>
      <w:r>
        <w:rPr>
          <w:sz w:val="24"/>
        </w:rPr>
        <w:t>congenital gastrointestinal malformations. World Gastroenterol 2015 July 28; 21(28): 8508- 8515</w:t>
      </w:r>
    </w:p>
    <w:p>
      <w:pPr>
        <w:spacing w:after="0" w:line="360" w:lineRule="auto"/>
        <w:jc w:val="both"/>
        <w:rPr>
          <w:sz w:val="24"/>
        </w:rPr>
        <w:sectPr>
          <w:pgSz w:w="12240" w:h="15840"/>
          <w:pgMar w:top="1220" w:bottom="280" w:left="1600" w:right="1580"/>
        </w:sectPr>
      </w:pPr>
    </w:p>
    <w:p>
      <w:pPr>
        <w:pStyle w:val="ListParagraph"/>
        <w:numPr>
          <w:ilvl w:val="0"/>
          <w:numId w:val="14"/>
        </w:numPr>
        <w:tabs>
          <w:tab w:pos="462" w:val="left" w:leader="none"/>
        </w:tabs>
        <w:spacing w:line="360" w:lineRule="auto" w:before="44" w:after="0"/>
        <w:ind w:left="462" w:right="116" w:hanging="360"/>
        <w:jc w:val="both"/>
        <w:rPr>
          <w:sz w:val="24"/>
        </w:rPr>
      </w:pPr>
      <w:r>
        <w:rPr>
          <w:sz w:val="24"/>
        </w:rPr>
        <w:t>Garriga-Cortes</w:t>
      </w:r>
      <w:r>
        <w:rPr>
          <w:spacing w:val="-12"/>
          <w:sz w:val="24"/>
        </w:rPr>
        <w:t> </w:t>
      </w:r>
      <w:r>
        <w:rPr>
          <w:sz w:val="24"/>
        </w:rPr>
        <w:t>M.,</w:t>
      </w:r>
      <w:r>
        <w:rPr>
          <w:spacing w:val="-11"/>
          <w:sz w:val="24"/>
        </w:rPr>
        <w:t> </w:t>
      </w:r>
      <w:r>
        <w:rPr>
          <w:sz w:val="24"/>
        </w:rPr>
        <w:t>Joa-Mesa</w:t>
      </w:r>
      <w:r>
        <w:rPr>
          <w:spacing w:val="-11"/>
          <w:sz w:val="24"/>
        </w:rPr>
        <w:t> </w:t>
      </w:r>
      <w:r>
        <w:rPr>
          <w:sz w:val="24"/>
        </w:rPr>
        <w:t>T.,</w:t>
      </w:r>
      <w:r>
        <w:rPr>
          <w:spacing w:val="-11"/>
          <w:sz w:val="24"/>
        </w:rPr>
        <w:t> </w:t>
      </w:r>
      <w:r>
        <w:rPr>
          <w:sz w:val="24"/>
        </w:rPr>
        <w:t>Dager-Haber</w:t>
      </w:r>
      <w:r>
        <w:rPr>
          <w:spacing w:val="-15"/>
          <w:sz w:val="24"/>
        </w:rPr>
        <w:t> </w:t>
      </w:r>
      <w:r>
        <w:rPr>
          <w:sz w:val="24"/>
        </w:rPr>
        <w:t>A,</w:t>
      </w:r>
      <w:r>
        <w:rPr>
          <w:spacing w:val="-13"/>
          <w:sz w:val="24"/>
        </w:rPr>
        <w:t> </w:t>
      </w:r>
      <w:r>
        <w:rPr>
          <w:sz w:val="24"/>
        </w:rPr>
        <w:t>et</w:t>
      </w:r>
      <w:r>
        <w:rPr>
          <w:spacing w:val="-11"/>
          <w:sz w:val="24"/>
        </w:rPr>
        <w:t> </w:t>
      </w:r>
      <w:r>
        <w:rPr>
          <w:sz w:val="24"/>
        </w:rPr>
        <w:t>al.</w:t>
      </w:r>
      <w:r>
        <w:rPr>
          <w:spacing w:val="-14"/>
          <w:sz w:val="24"/>
        </w:rPr>
        <w:t> </w:t>
      </w:r>
      <w:r>
        <w:rPr>
          <w:sz w:val="24"/>
        </w:rPr>
        <w:t>Caracterización</w:t>
      </w:r>
      <w:r>
        <w:rPr>
          <w:spacing w:val="-10"/>
          <w:sz w:val="24"/>
        </w:rPr>
        <w:t> </w:t>
      </w:r>
      <w:r>
        <w:rPr>
          <w:sz w:val="24"/>
        </w:rPr>
        <w:t>de</w:t>
      </w:r>
      <w:r>
        <w:rPr>
          <w:spacing w:val="-13"/>
          <w:sz w:val="24"/>
        </w:rPr>
        <w:t> </w:t>
      </w:r>
      <w:r>
        <w:rPr>
          <w:sz w:val="24"/>
        </w:rPr>
        <w:t>recién nacidos</w:t>
      </w:r>
      <w:r>
        <w:rPr>
          <w:spacing w:val="-15"/>
          <w:sz w:val="24"/>
        </w:rPr>
        <w:t> </w:t>
      </w:r>
      <w:r>
        <w:rPr>
          <w:sz w:val="24"/>
        </w:rPr>
        <w:t>operados</w:t>
      </w:r>
      <w:r>
        <w:rPr>
          <w:spacing w:val="-15"/>
          <w:sz w:val="24"/>
        </w:rPr>
        <w:t> </w:t>
      </w:r>
      <w:r>
        <w:rPr>
          <w:sz w:val="24"/>
        </w:rPr>
        <w:t>a</w:t>
      </w:r>
      <w:r>
        <w:rPr>
          <w:spacing w:val="-12"/>
          <w:sz w:val="24"/>
        </w:rPr>
        <w:t> </w:t>
      </w:r>
      <w:r>
        <w:rPr>
          <w:sz w:val="24"/>
        </w:rPr>
        <w:t>causa</w:t>
      </w:r>
      <w:r>
        <w:rPr>
          <w:spacing w:val="-12"/>
          <w:sz w:val="24"/>
        </w:rPr>
        <w:t> </w:t>
      </w:r>
      <w:r>
        <w:rPr>
          <w:sz w:val="24"/>
        </w:rPr>
        <w:t>de</w:t>
      </w:r>
      <w:r>
        <w:rPr>
          <w:spacing w:val="-12"/>
          <w:sz w:val="24"/>
        </w:rPr>
        <w:t> </w:t>
      </w:r>
      <w:r>
        <w:rPr>
          <w:sz w:val="24"/>
        </w:rPr>
        <w:t>malformaciones</w:t>
      </w:r>
      <w:r>
        <w:rPr>
          <w:spacing w:val="-13"/>
          <w:sz w:val="24"/>
        </w:rPr>
        <w:t> </w:t>
      </w:r>
      <w:r>
        <w:rPr>
          <w:sz w:val="24"/>
        </w:rPr>
        <w:t>digestivas.</w:t>
      </w:r>
      <w:r>
        <w:rPr>
          <w:spacing w:val="-7"/>
          <w:sz w:val="24"/>
        </w:rPr>
        <w:t> </w:t>
      </w:r>
      <w:r>
        <w:rPr>
          <w:sz w:val="24"/>
        </w:rPr>
        <w:t>MEDISAN</w:t>
      </w:r>
      <w:r>
        <w:rPr>
          <w:spacing w:val="-12"/>
          <w:sz w:val="24"/>
        </w:rPr>
        <w:t> </w:t>
      </w:r>
      <w:r>
        <w:rPr>
          <w:sz w:val="24"/>
        </w:rPr>
        <w:t>2011;15(2): 215-221.</w:t>
      </w:r>
    </w:p>
    <w:p>
      <w:pPr>
        <w:pStyle w:val="ListParagraph"/>
        <w:numPr>
          <w:ilvl w:val="0"/>
          <w:numId w:val="14"/>
        </w:numPr>
        <w:tabs>
          <w:tab w:pos="462" w:val="left" w:leader="none"/>
        </w:tabs>
        <w:spacing w:line="360" w:lineRule="auto" w:before="2" w:after="0"/>
        <w:ind w:left="462" w:right="115" w:hanging="360"/>
        <w:jc w:val="both"/>
        <w:rPr>
          <w:sz w:val="24"/>
        </w:rPr>
      </w:pPr>
      <w:r>
        <w:rPr>
          <w:sz w:val="24"/>
        </w:rPr>
        <w:t>Connor M. J., Springford L. R., Kepatanakis V.V., et al. Esophageal atresia and transitional care- step 1: a systematic review and meta-analysis of the literature to define the prevalence of chronic long-term problems. The American Journal of Surgery  (2015) 209,</w:t>
      </w:r>
      <w:r>
        <w:rPr>
          <w:spacing w:val="-11"/>
          <w:sz w:val="24"/>
        </w:rPr>
        <w:t> </w:t>
      </w:r>
      <w:r>
        <w:rPr>
          <w:sz w:val="24"/>
        </w:rPr>
        <w:t>747-759</w:t>
      </w:r>
    </w:p>
    <w:p>
      <w:pPr>
        <w:pStyle w:val="ListParagraph"/>
        <w:numPr>
          <w:ilvl w:val="0"/>
          <w:numId w:val="14"/>
        </w:numPr>
        <w:tabs>
          <w:tab w:pos="462" w:val="left" w:leader="none"/>
        </w:tabs>
        <w:spacing w:line="360" w:lineRule="auto" w:before="2" w:after="0"/>
        <w:ind w:left="462" w:right="115" w:hanging="360"/>
        <w:jc w:val="both"/>
        <w:rPr>
          <w:sz w:val="24"/>
        </w:rPr>
      </w:pPr>
      <w:r>
        <w:rPr>
          <w:sz w:val="24"/>
        </w:rPr>
        <w:t>Pini-Prato</w:t>
      </w:r>
      <w:r>
        <w:rPr>
          <w:spacing w:val="-10"/>
          <w:sz w:val="24"/>
        </w:rPr>
        <w:t> </w:t>
      </w:r>
      <w:r>
        <w:rPr>
          <w:sz w:val="24"/>
        </w:rPr>
        <w:t>P.,</w:t>
      </w:r>
      <w:r>
        <w:rPr>
          <w:spacing w:val="-11"/>
          <w:sz w:val="24"/>
        </w:rPr>
        <w:t> </w:t>
      </w:r>
      <w:r>
        <w:rPr>
          <w:sz w:val="24"/>
        </w:rPr>
        <w:t>Carlucci</w:t>
      </w:r>
      <w:r>
        <w:rPr>
          <w:spacing w:val="-14"/>
          <w:sz w:val="24"/>
        </w:rPr>
        <w:t> </w:t>
      </w:r>
      <w:r>
        <w:rPr>
          <w:sz w:val="24"/>
        </w:rPr>
        <w:t>M.,</w:t>
      </w:r>
      <w:r>
        <w:rPr>
          <w:spacing w:val="-11"/>
          <w:sz w:val="24"/>
        </w:rPr>
        <w:t> </w:t>
      </w:r>
      <w:r>
        <w:rPr>
          <w:sz w:val="24"/>
        </w:rPr>
        <w:t>Bagolan</w:t>
      </w:r>
      <w:r>
        <w:rPr>
          <w:spacing w:val="-13"/>
          <w:sz w:val="24"/>
        </w:rPr>
        <w:t> </w:t>
      </w:r>
      <w:r>
        <w:rPr>
          <w:sz w:val="24"/>
        </w:rPr>
        <w:t>P.,</w:t>
      </w:r>
      <w:r>
        <w:rPr>
          <w:spacing w:val="-13"/>
          <w:sz w:val="24"/>
        </w:rPr>
        <w:t> </w:t>
      </w:r>
      <w:r>
        <w:rPr>
          <w:sz w:val="24"/>
        </w:rPr>
        <w:t>et</w:t>
      </w:r>
      <w:r>
        <w:rPr>
          <w:spacing w:val="-11"/>
          <w:sz w:val="24"/>
        </w:rPr>
        <w:t> </w:t>
      </w:r>
      <w:r>
        <w:rPr>
          <w:sz w:val="24"/>
        </w:rPr>
        <w:t>al.</w:t>
      </w:r>
      <w:r>
        <w:rPr>
          <w:spacing w:val="44"/>
          <w:sz w:val="24"/>
        </w:rPr>
        <w:t> </w:t>
      </w:r>
      <w:r>
        <w:rPr>
          <w:sz w:val="24"/>
        </w:rPr>
        <w:t>A</w:t>
      </w:r>
      <w:r>
        <w:rPr>
          <w:spacing w:val="-11"/>
          <w:sz w:val="24"/>
        </w:rPr>
        <w:t> </w:t>
      </w:r>
      <w:r>
        <w:rPr>
          <w:sz w:val="24"/>
        </w:rPr>
        <w:t>cross-sectional</w:t>
      </w:r>
      <w:r>
        <w:rPr>
          <w:spacing w:val="-12"/>
          <w:sz w:val="24"/>
        </w:rPr>
        <w:t> </w:t>
      </w:r>
      <w:r>
        <w:rPr>
          <w:sz w:val="24"/>
        </w:rPr>
        <w:t>nationwide</w:t>
      </w:r>
      <w:r>
        <w:rPr>
          <w:spacing w:val="-11"/>
          <w:sz w:val="24"/>
        </w:rPr>
        <w:t> </w:t>
      </w:r>
      <w:r>
        <w:rPr>
          <w:sz w:val="24"/>
        </w:rPr>
        <w:t>survey on esophageal atresia and tracheoesophageal fistula. Journal of pediatric Surgery 50(2015)</w:t>
      </w:r>
      <w:r>
        <w:rPr>
          <w:spacing w:val="-11"/>
          <w:sz w:val="24"/>
        </w:rPr>
        <w:t> </w:t>
      </w:r>
      <w:r>
        <w:rPr>
          <w:sz w:val="24"/>
        </w:rPr>
        <w:t>1441-1456.</w:t>
      </w:r>
    </w:p>
    <w:p>
      <w:pPr>
        <w:pStyle w:val="ListParagraph"/>
        <w:numPr>
          <w:ilvl w:val="0"/>
          <w:numId w:val="14"/>
        </w:numPr>
        <w:tabs>
          <w:tab w:pos="462" w:val="left" w:leader="none"/>
        </w:tabs>
        <w:spacing w:line="360" w:lineRule="auto" w:before="5" w:after="0"/>
        <w:ind w:left="462" w:right="119" w:hanging="360"/>
        <w:jc w:val="both"/>
        <w:rPr>
          <w:sz w:val="24"/>
        </w:rPr>
      </w:pPr>
      <w:r>
        <w:rPr>
          <w:sz w:val="24"/>
        </w:rPr>
        <w:t>Nassar N., Leoncini E., Amar E. Prevalence of Esophageal Atresia among 18 International Birth Defects Surveillance Programs. 2012 Wiley Periodicals, Inc. Birth Defects Research (Part A</w:t>
      </w:r>
      <w:r>
        <w:rPr>
          <w:spacing w:val="-10"/>
          <w:sz w:val="24"/>
        </w:rPr>
        <w:t> </w:t>
      </w:r>
      <w:r>
        <w:rPr>
          <w:sz w:val="24"/>
        </w:rPr>
        <w:t>(2012)</w:t>
      </w:r>
    </w:p>
    <w:p>
      <w:pPr>
        <w:pStyle w:val="ListParagraph"/>
        <w:numPr>
          <w:ilvl w:val="0"/>
          <w:numId w:val="14"/>
        </w:numPr>
        <w:tabs>
          <w:tab w:pos="462" w:val="left" w:leader="none"/>
        </w:tabs>
        <w:spacing w:line="360" w:lineRule="auto" w:before="2" w:after="0"/>
        <w:ind w:left="462" w:right="122" w:hanging="360"/>
        <w:jc w:val="both"/>
        <w:rPr>
          <w:sz w:val="24"/>
        </w:rPr>
      </w:pPr>
      <w:r>
        <w:rPr>
          <w:sz w:val="24"/>
        </w:rPr>
        <w:t>García H., Gutiérrez M.F., Manejo multidisciplinario de los pacientes con</w:t>
      </w:r>
      <w:r>
        <w:rPr>
          <w:spacing w:val="-31"/>
          <w:sz w:val="24"/>
        </w:rPr>
        <w:t> </w:t>
      </w:r>
      <w:r>
        <w:rPr>
          <w:sz w:val="24"/>
        </w:rPr>
        <w:t>atresia de esófago. Bol Med Hosp Infant Mex</w:t>
      </w:r>
      <w:r>
        <w:rPr>
          <w:spacing w:val="-19"/>
          <w:sz w:val="24"/>
        </w:rPr>
        <w:t> </w:t>
      </w:r>
      <w:r>
        <w:rPr>
          <w:sz w:val="24"/>
        </w:rPr>
        <w:t>2011;68(6):467-475</w:t>
      </w:r>
    </w:p>
    <w:p>
      <w:pPr>
        <w:pStyle w:val="ListParagraph"/>
        <w:numPr>
          <w:ilvl w:val="0"/>
          <w:numId w:val="14"/>
        </w:numPr>
        <w:tabs>
          <w:tab w:pos="462" w:val="left" w:leader="none"/>
        </w:tabs>
        <w:spacing w:line="360" w:lineRule="auto" w:before="2" w:after="0"/>
        <w:ind w:left="462" w:right="118" w:hanging="360"/>
        <w:jc w:val="both"/>
        <w:rPr>
          <w:sz w:val="24"/>
        </w:rPr>
      </w:pPr>
      <w:r>
        <w:rPr>
          <w:sz w:val="24"/>
        </w:rPr>
        <w:t>Sadreameli</w:t>
      </w:r>
      <w:r>
        <w:rPr>
          <w:spacing w:val="-17"/>
          <w:sz w:val="24"/>
        </w:rPr>
        <w:t> </w:t>
      </w:r>
      <w:r>
        <w:rPr>
          <w:sz w:val="24"/>
        </w:rPr>
        <w:t>S.</w:t>
      </w:r>
      <w:r>
        <w:rPr>
          <w:spacing w:val="-18"/>
          <w:sz w:val="24"/>
        </w:rPr>
        <w:t> </w:t>
      </w:r>
      <w:r>
        <w:rPr>
          <w:sz w:val="24"/>
        </w:rPr>
        <w:t>C.,</w:t>
      </w:r>
      <w:r>
        <w:rPr>
          <w:spacing w:val="-18"/>
          <w:sz w:val="24"/>
        </w:rPr>
        <w:t> </w:t>
      </w:r>
      <w:r>
        <w:rPr>
          <w:sz w:val="24"/>
        </w:rPr>
        <w:t>McGrath-Marrow</w:t>
      </w:r>
      <w:r>
        <w:rPr>
          <w:spacing w:val="-19"/>
          <w:sz w:val="24"/>
        </w:rPr>
        <w:t> </w:t>
      </w:r>
      <w:r>
        <w:rPr>
          <w:sz w:val="24"/>
        </w:rPr>
        <w:t>S.A.</w:t>
      </w:r>
      <w:r>
        <w:rPr>
          <w:spacing w:val="-17"/>
          <w:sz w:val="24"/>
        </w:rPr>
        <w:t> </w:t>
      </w:r>
      <w:r>
        <w:rPr>
          <w:sz w:val="24"/>
        </w:rPr>
        <w:t>Respiratory</w:t>
      </w:r>
      <w:r>
        <w:rPr>
          <w:spacing w:val="-19"/>
          <w:sz w:val="24"/>
        </w:rPr>
        <w:t> </w:t>
      </w:r>
      <w:r>
        <w:rPr>
          <w:sz w:val="24"/>
        </w:rPr>
        <w:t>Care</w:t>
      </w:r>
      <w:r>
        <w:rPr>
          <w:spacing w:val="-17"/>
          <w:sz w:val="24"/>
        </w:rPr>
        <w:t> </w:t>
      </w:r>
      <w:r>
        <w:rPr>
          <w:sz w:val="24"/>
        </w:rPr>
        <w:t>of</w:t>
      </w:r>
      <w:r>
        <w:rPr>
          <w:spacing w:val="-17"/>
          <w:sz w:val="24"/>
        </w:rPr>
        <w:t> </w:t>
      </w:r>
      <w:r>
        <w:rPr>
          <w:sz w:val="24"/>
        </w:rPr>
        <w:t>Infants</w:t>
      </w:r>
      <w:r>
        <w:rPr>
          <w:spacing w:val="-18"/>
          <w:sz w:val="24"/>
        </w:rPr>
        <w:t> </w:t>
      </w:r>
      <w:r>
        <w:rPr>
          <w:sz w:val="24"/>
        </w:rPr>
        <w:t>and</w:t>
      </w:r>
      <w:r>
        <w:rPr>
          <w:spacing w:val="-17"/>
          <w:sz w:val="24"/>
        </w:rPr>
        <w:t> </w:t>
      </w:r>
      <w:r>
        <w:rPr>
          <w:sz w:val="24"/>
        </w:rPr>
        <w:t>Children with Congenital Tracheo-Oesophageal fistula and Oesophageal atresia. Paediatr. Respir. Rev. (2015),</w:t>
      </w:r>
      <w:r>
        <w:rPr>
          <w:spacing w:val="37"/>
          <w:sz w:val="24"/>
        </w:rPr>
        <w:t> </w:t>
      </w:r>
      <w:hyperlink r:id="rId21">
        <w:r>
          <w:rPr>
            <w:color w:val="0462C1"/>
            <w:sz w:val="24"/>
            <w:u w:val="single" w:color="0462C1"/>
          </w:rPr>
          <w:t>http://dx.doi.org/10.1016/j.prrv.2015.02.005</w:t>
        </w:r>
      </w:hyperlink>
    </w:p>
    <w:p>
      <w:pPr>
        <w:pStyle w:val="ListParagraph"/>
        <w:numPr>
          <w:ilvl w:val="0"/>
          <w:numId w:val="14"/>
        </w:numPr>
        <w:tabs>
          <w:tab w:pos="462" w:val="left" w:leader="none"/>
        </w:tabs>
        <w:spacing w:line="360" w:lineRule="auto" w:before="2" w:after="0"/>
        <w:ind w:left="462" w:right="122" w:hanging="360"/>
        <w:jc w:val="both"/>
        <w:rPr>
          <w:sz w:val="24"/>
        </w:rPr>
      </w:pPr>
      <w:r>
        <w:rPr>
          <w:sz w:val="24"/>
        </w:rPr>
        <w:t>Lian</w:t>
      </w:r>
      <w:r>
        <w:rPr>
          <w:spacing w:val="-2"/>
          <w:sz w:val="24"/>
        </w:rPr>
        <w:t> </w:t>
      </w:r>
      <w:r>
        <w:rPr>
          <w:sz w:val="24"/>
        </w:rPr>
        <w:t>D.,</w:t>
      </w:r>
      <w:r>
        <w:rPr>
          <w:spacing w:val="-3"/>
          <w:sz w:val="24"/>
        </w:rPr>
        <w:t> </w:t>
      </w:r>
      <w:r>
        <w:rPr>
          <w:sz w:val="24"/>
        </w:rPr>
        <w:t>Lam</w:t>
      </w:r>
      <w:r>
        <w:rPr>
          <w:spacing w:val="-2"/>
          <w:sz w:val="24"/>
        </w:rPr>
        <w:t> </w:t>
      </w:r>
      <w:r>
        <w:rPr>
          <w:sz w:val="24"/>
        </w:rPr>
        <w:t>J.,</w:t>
      </w:r>
      <w:r>
        <w:rPr>
          <w:spacing w:val="-12"/>
          <w:sz w:val="24"/>
        </w:rPr>
        <w:t> </w:t>
      </w:r>
      <w:r>
        <w:rPr>
          <w:sz w:val="24"/>
        </w:rPr>
        <w:t>Win</w:t>
      </w:r>
      <w:r>
        <w:rPr>
          <w:spacing w:val="-3"/>
          <w:sz w:val="24"/>
        </w:rPr>
        <w:t> </w:t>
      </w:r>
      <w:r>
        <w:rPr>
          <w:sz w:val="24"/>
        </w:rPr>
        <w:t>A.</w:t>
      </w:r>
      <w:r>
        <w:rPr>
          <w:spacing w:val="-4"/>
          <w:sz w:val="24"/>
        </w:rPr>
        <w:t> </w:t>
      </w:r>
      <w:r>
        <w:rPr>
          <w:sz w:val="24"/>
        </w:rPr>
        <w:t>l.</w:t>
      </w:r>
      <w:r>
        <w:rPr>
          <w:spacing w:val="-3"/>
          <w:sz w:val="24"/>
        </w:rPr>
        <w:t> </w:t>
      </w:r>
      <w:r>
        <w:rPr>
          <w:sz w:val="24"/>
        </w:rPr>
        <w:t>C,</w:t>
      </w:r>
      <w:r>
        <w:rPr>
          <w:spacing w:val="-6"/>
          <w:sz w:val="24"/>
        </w:rPr>
        <w:t> </w:t>
      </w:r>
      <w:r>
        <w:rPr>
          <w:sz w:val="24"/>
        </w:rPr>
        <w:t>et</w:t>
      </w:r>
      <w:r>
        <w:rPr>
          <w:spacing w:val="-5"/>
          <w:sz w:val="24"/>
        </w:rPr>
        <w:t> </w:t>
      </w:r>
      <w:r>
        <w:rPr>
          <w:sz w:val="24"/>
        </w:rPr>
        <w:t>al.</w:t>
      </w:r>
      <w:r>
        <w:rPr>
          <w:spacing w:val="-6"/>
          <w:sz w:val="24"/>
        </w:rPr>
        <w:t> </w:t>
      </w:r>
      <w:r>
        <w:rPr>
          <w:sz w:val="24"/>
        </w:rPr>
        <w:t>Intestinal</w:t>
      </w:r>
      <w:r>
        <w:rPr>
          <w:spacing w:val="-6"/>
          <w:sz w:val="24"/>
        </w:rPr>
        <w:t> </w:t>
      </w:r>
      <w:r>
        <w:rPr>
          <w:sz w:val="24"/>
        </w:rPr>
        <w:t>Atresia</w:t>
      </w:r>
      <w:r>
        <w:rPr>
          <w:spacing w:val="-3"/>
          <w:sz w:val="24"/>
        </w:rPr>
        <w:t> </w:t>
      </w:r>
      <w:r>
        <w:rPr>
          <w:sz w:val="24"/>
        </w:rPr>
        <w:t>Occurring</w:t>
      </w:r>
      <w:r>
        <w:rPr>
          <w:spacing w:val="-4"/>
          <w:sz w:val="24"/>
        </w:rPr>
        <w:t> </w:t>
      </w:r>
      <w:r>
        <w:rPr>
          <w:sz w:val="24"/>
        </w:rPr>
        <w:t>in</w:t>
      </w:r>
      <w:r>
        <w:rPr>
          <w:spacing w:val="-5"/>
          <w:sz w:val="24"/>
        </w:rPr>
        <w:t> </w:t>
      </w:r>
      <w:r>
        <w:rPr>
          <w:sz w:val="24"/>
        </w:rPr>
        <w:t>Association</w:t>
      </w:r>
      <w:r>
        <w:rPr>
          <w:spacing w:val="-4"/>
          <w:sz w:val="24"/>
        </w:rPr>
        <w:t> </w:t>
      </w:r>
      <w:r>
        <w:rPr>
          <w:sz w:val="24"/>
        </w:rPr>
        <w:t>with Placental</w:t>
      </w:r>
      <w:r>
        <w:rPr>
          <w:spacing w:val="-13"/>
          <w:sz w:val="24"/>
        </w:rPr>
        <w:t> </w:t>
      </w:r>
      <w:r>
        <w:rPr>
          <w:sz w:val="24"/>
        </w:rPr>
        <w:t>Fetal</w:t>
      </w:r>
      <w:r>
        <w:rPr>
          <w:spacing w:val="-15"/>
          <w:sz w:val="24"/>
        </w:rPr>
        <w:t> </w:t>
      </w:r>
      <w:r>
        <w:rPr>
          <w:sz w:val="24"/>
        </w:rPr>
        <w:t>Thrombotic</w:t>
      </w:r>
      <w:r>
        <w:rPr>
          <w:spacing w:val="-13"/>
          <w:sz w:val="24"/>
        </w:rPr>
        <w:t> </w:t>
      </w:r>
      <w:r>
        <w:rPr>
          <w:sz w:val="24"/>
        </w:rPr>
        <w:t>Vasculopathy:</w:t>
      </w:r>
      <w:r>
        <w:rPr>
          <w:spacing w:val="-12"/>
          <w:sz w:val="24"/>
        </w:rPr>
        <w:t> </w:t>
      </w:r>
      <w:r>
        <w:rPr>
          <w:sz w:val="24"/>
        </w:rPr>
        <w:t>A</w:t>
      </w:r>
      <w:r>
        <w:rPr>
          <w:spacing w:val="-12"/>
          <w:sz w:val="24"/>
        </w:rPr>
        <w:t> </w:t>
      </w:r>
      <w:r>
        <w:rPr>
          <w:sz w:val="24"/>
        </w:rPr>
        <w:t>Case</w:t>
      </w:r>
      <w:r>
        <w:rPr>
          <w:spacing w:val="-12"/>
          <w:sz w:val="24"/>
        </w:rPr>
        <w:t> </w:t>
      </w:r>
      <w:r>
        <w:rPr>
          <w:sz w:val="24"/>
        </w:rPr>
        <w:t>Report</w:t>
      </w:r>
      <w:r>
        <w:rPr>
          <w:spacing w:val="-13"/>
          <w:sz w:val="24"/>
        </w:rPr>
        <w:t> </w:t>
      </w:r>
      <w:r>
        <w:rPr>
          <w:sz w:val="24"/>
        </w:rPr>
        <w:t>with</w:t>
      </w:r>
      <w:r>
        <w:rPr>
          <w:spacing w:val="-12"/>
          <w:sz w:val="24"/>
        </w:rPr>
        <w:t> </w:t>
      </w:r>
      <w:r>
        <w:rPr>
          <w:sz w:val="24"/>
        </w:rPr>
        <w:t>Literature</w:t>
      </w:r>
      <w:r>
        <w:rPr>
          <w:spacing w:val="-12"/>
          <w:sz w:val="24"/>
        </w:rPr>
        <w:t> </w:t>
      </w:r>
      <w:r>
        <w:rPr>
          <w:sz w:val="24"/>
        </w:rPr>
        <w:t>Review. Pediatric and Developmental Pathology 16, 28–31,</w:t>
      </w:r>
      <w:r>
        <w:rPr>
          <w:spacing w:val="-18"/>
          <w:sz w:val="24"/>
        </w:rPr>
        <w:t> </w:t>
      </w:r>
      <w:r>
        <w:rPr>
          <w:sz w:val="24"/>
        </w:rPr>
        <w:t>2013</w:t>
      </w:r>
    </w:p>
    <w:p>
      <w:pPr>
        <w:pStyle w:val="ListParagraph"/>
        <w:numPr>
          <w:ilvl w:val="0"/>
          <w:numId w:val="14"/>
        </w:numPr>
        <w:tabs>
          <w:tab w:pos="462" w:val="left" w:leader="none"/>
        </w:tabs>
        <w:spacing w:line="360" w:lineRule="auto" w:before="5" w:after="0"/>
        <w:ind w:left="462" w:right="121" w:hanging="360"/>
        <w:jc w:val="both"/>
        <w:rPr>
          <w:sz w:val="24"/>
        </w:rPr>
      </w:pPr>
      <w:r>
        <w:rPr>
          <w:sz w:val="24"/>
        </w:rPr>
        <w:t>Rodríguez-García R. Rodríguez-García FR. Diagnóstico prenatal de atresia intestinal múltiple. Rev Mex Pediatr2005; 72(4);</w:t>
      </w:r>
      <w:r>
        <w:rPr>
          <w:spacing w:val="-13"/>
          <w:sz w:val="24"/>
        </w:rPr>
        <w:t> </w:t>
      </w:r>
      <w:r>
        <w:rPr>
          <w:sz w:val="24"/>
        </w:rPr>
        <w:t>179-181</w:t>
      </w:r>
    </w:p>
    <w:p>
      <w:pPr>
        <w:pStyle w:val="ListParagraph"/>
        <w:numPr>
          <w:ilvl w:val="0"/>
          <w:numId w:val="14"/>
        </w:numPr>
        <w:tabs>
          <w:tab w:pos="462" w:val="left" w:leader="none"/>
        </w:tabs>
        <w:spacing w:line="360" w:lineRule="auto" w:before="5" w:after="0"/>
        <w:ind w:left="462" w:right="119" w:hanging="360"/>
        <w:jc w:val="both"/>
        <w:rPr>
          <w:sz w:val="24"/>
        </w:rPr>
      </w:pPr>
      <w:r>
        <w:rPr>
          <w:sz w:val="24"/>
        </w:rPr>
        <w:t>Cano S. A., Tovar P. L., Atresia Yeyunal TIpo III B o en Cáscara de Manzana. Reporte de Caso Clínico. Revista Facultad Ciencias de la Salud. Junio 2012 Vol.9 No.1</w:t>
      </w:r>
      <w:r>
        <w:rPr>
          <w:spacing w:val="-4"/>
          <w:sz w:val="24"/>
        </w:rPr>
        <w:t> </w:t>
      </w:r>
      <w:r>
        <w:rPr>
          <w:sz w:val="24"/>
        </w:rPr>
        <w:t>68-71</w:t>
      </w:r>
    </w:p>
    <w:p>
      <w:pPr>
        <w:pStyle w:val="ListParagraph"/>
        <w:numPr>
          <w:ilvl w:val="0"/>
          <w:numId w:val="14"/>
        </w:numPr>
        <w:tabs>
          <w:tab w:pos="530" w:val="left" w:leader="none"/>
        </w:tabs>
        <w:spacing w:line="360" w:lineRule="auto" w:before="2" w:after="0"/>
        <w:ind w:left="462" w:right="113" w:hanging="360"/>
        <w:jc w:val="both"/>
        <w:rPr>
          <w:sz w:val="24"/>
        </w:rPr>
      </w:pPr>
      <w:r>
        <w:rPr>
          <w:sz w:val="24"/>
        </w:rPr>
        <w:t>Adams SD, Stanton MP, Malrotation and intestinal atresias. Early Hum Dev (2014),</w:t>
      </w:r>
      <w:r>
        <w:rPr>
          <w:spacing w:val="-28"/>
          <w:sz w:val="24"/>
        </w:rPr>
        <w:t> </w:t>
      </w:r>
      <w:hyperlink r:id="rId22">
        <w:r>
          <w:rPr>
            <w:sz w:val="24"/>
          </w:rPr>
          <w:t>http://dx.doi.org/10.1016/j.earlhumdev.2014.09.017</w:t>
        </w:r>
      </w:hyperlink>
    </w:p>
    <w:p>
      <w:pPr>
        <w:spacing w:after="0" w:line="360" w:lineRule="auto"/>
        <w:jc w:val="both"/>
        <w:rPr>
          <w:sz w:val="24"/>
        </w:rPr>
        <w:sectPr>
          <w:pgSz w:w="12240" w:h="15840"/>
          <w:pgMar w:top="1500" w:bottom="280" w:left="1600" w:right="1580"/>
        </w:sectPr>
      </w:pPr>
    </w:p>
    <w:p>
      <w:pPr>
        <w:pStyle w:val="ListParagraph"/>
        <w:numPr>
          <w:ilvl w:val="0"/>
          <w:numId w:val="14"/>
        </w:numPr>
        <w:tabs>
          <w:tab w:pos="530" w:val="left" w:leader="none"/>
        </w:tabs>
        <w:spacing w:line="360" w:lineRule="auto" w:before="50" w:after="0"/>
        <w:ind w:left="462" w:right="119" w:hanging="360"/>
        <w:jc w:val="both"/>
        <w:rPr>
          <w:sz w:val="24"/>
        </w:rPr>
      </w:pPr>
      <w:r>
        <w:rPr>
          <w:sz w:val="24"/>
        </w:rPr>
        <w:t>García N, Valdés A, García J, (2014) Tesis Curso clínico postquirúrgico de la atresia intestinal en el periodo de enero del 2006 a diciembre del 2010 en el hospital para el niño. Instituto Materno Infantil del Estado de México. Hospital para el niño. Toluca, Estado de</w:t>
      </w:r>
      <w:r>
        <w:rPr>
          <w:spacing w:val="-14"/>
          <w:sz w:val="24"/>
        </w:rPr>
        <w:t> </w:t>
      </w:r>
      <w:r>
        <w:rPr>
          <w:sz w:val="24"/>
        </w:rPr>
        <w:t>México</w:t>
      </w:r>
    </w:p>
    <w:p>
      <w:pPr>
        <w:pStyle w:val="ListParagraph"/>
        <w:numPr>
          <w:ilvl w:val="0"/>
          <w:numId w:val="14"/>
        </w:numPr>
        <w:tabs>
          <w:tab w:pos="462" w:val="left" w:leader="none"/>
        </w:tabs>
        <w:spacing w:line="240" w:lineRule="auto" w:before="5" w:after="0"/>
        <w:ind w:left="462" w:right="0" w:hanging="360"/>
        <w:jc w:val="left"/>
        <w:rPr>
          <w:sz w:val="24"/>
        </w:rPr>
      </w:pPr>
      <w:r>
        <w:rPr>
          <w:sz w:val="24"/>
        </w:rPr>
        <w:t>Rosai &amp; Acherman’s Surgical Pathology. Tenth Edition 2011.</w:t>
      </w:r>
      <w:r>
        <w:rPr>
          <w:spacing w:val="-28"/>
          <w:sz w:val="24"/>
        </w:rPr>
        <w:t> </w:t>
      </w:r>
      <w:r>
        <w:rPr>
          <w:sz w:val="24"/>
        </w:rPr>
        <w:t>Elsevier</w:t>
      </w:r>
    </w:p>
    <w:p>
      <w:pPr>
        <w:pStyle w:val="ListParagraph"/>
        <w:numPr>
          <w:ilvl w:val="0"/>
          <w:numId w:val="14"/>
        </w:numPr>
        <w:tabs>
          <w:tab w:pos="462" w:val="left" w:leader="none"/>
        </w:tabs>
        <w:spacing w:line="360" w:lineRule="auto" w:before="137" w:after="0"/>
        <w:ind w:left="462" w:right="114" w:hanging="360"/>
        <w:jc w:val="both"/>
        <w:rPr>
          <w:sz w:val="24"/>
        </w:rPr>
      </w:pPr>
      <w:r>
        <w:rPr>
          <w:sz w:val="24"/>
        </w:rPr>
        <w:t>Jiménez-Felipe J., Begazuma-Beltrán B. Atresia intestinal. Experiencia médico- quirúrgica. Bol Clin Hosp Infant Edo Son 2004; 21:</w:t>
      </w:r>
      <w:r>
        <w:rPr>
          <w:spacing w:val="-17"/>
          <w:sz w:val="24"/>
        </w:rPr>
        <w:t> </w:t>
      </w:r>
      <w:r>
        <w:rPr>
          <w:sz w:val="24"/>
        </w:rPr>
        <w:t>3-11.</w:t>
      </w:r>
    </w:p>
    <w:p>
      <w:pPr>
        <w:pStyle w:val="ListParagraph"/>
        <w:numPr>
          <w:ilvl w:val="0"/>
          <w:numId w:val="14"/>
        </w:numPr>
        <w:tabs>
          <w:tab w:pos="462" w:val="left" w:leader="none"/>
        </w:tabs>
        <w:spacing w:line="360" w:lineRule="auto" w:before="5" w:after="0"/>
        <w:ind w:left="462" w:right="114" w:hanging="360"/>
        <w:jc w:val="both"/>
        <w:rPr>
          <w:sz w:val="24"/>
        </w:rPr>
      </w:pPr>
      <w:r>
        <w:rPr>
          <w:sz w:val="24"/>
        </w:rPr>
        <w:t>Baeza-Herrera</w:t>
      </w:r>
      <w:r>
        <w:rPr>
          <w:spacing w:val="-8"/>
          <w:sz w:val="24"/>
        </w:rPr>
        <w:t> </w:t>
      </w:r>
      <w:r>
        <w:rPr>
          <w:sz w:val="24"/>
        </w:rPr>
        <w:t>C.,</w:t>
      </w:r>
      <w:r>
        <w:rPr>
          <w:spacing w:val="-7"/>
          <w:sz w:val="24"/>
        </w:rPr>
        <w:t> </w:t>
      </w:r>
      <w:r>
        <w:rPr>
          <w:sz w:val="24"/>
        </w:rPr>
        <w:t>Escobar-Izquierdo</w:t>
      </w:r>
      <w:r>
        <w:rPr>
          <w:spacing w:val="-7"/>
          <w:sz w:val="24"/>
        </w:rPr>
        <w:t> </w:t>
      </w:r>
      <w:r>
        <w:rPr>
          <w:sz w:val="24"/>
        </w:rPr>
        <w:t>M.</w:t>
      </w:r>
      <w:r>
        <w:rPr>
          <w:spacing w:val="-7"/>
          <w:sz w:val="24"/>
        </w:rPr>
        <w:t> </w:t>
      </w:r>
      <w:r>
        <w:rPr>
          <w:sz w:val="24"/>
        </w:rPr>
        <w:t>A.,</w:t>
      </w:r>
      <w:r>
        <w:rPr>
          <w:spacing w:val="-12"/>
          <w:sz w:val="24"/>
        </w:rPr>
        <w:t> </w:t>
      </w:r>
      <w:r>
        <w:rPr>
          <w:sz w:val="24"/>
        </w:rPr>
        <w:t>Martínez-Rivera</w:t>
      </w:r>
      <w:r>
        <w:rPr>
          <w:spacing w:val="-8"/>
          <w:sz w:val="24"/>
        </w:rPr>
        <w:t> </w:t>
      </w:r>
      <w:r>
        <w:rPr>
          <w:sz w:val="24"/>
        </w:rPr>
        <w:t>M.</w:t>
      </w:r>
      <w:r>
        <w:rPr>
          <w:spacing w:val="-7"/>
          <w:sz w:val="24"/>
        </w:rPr>
        <w:t> </w:t>
      </w:r>
      <w:r>
        <w:rPr>
          <w:sz w:val="24"/>
        </w:rPr>
        <w:t>L.</w:t>
      </w:r>
      <w:r>
        <w:rPr>
          <w:spacing w:val="-9"/>
          <w:sz w:val="24"/>
        </w:rPr>
        <w:t> </w:t>
      </w:r>
      <w:r>
        <w:rPr>
          <w:sz w:val="24"/>
        </w:rPr>
        <w:t>Malrotación</w:t>
      </w:r>
      <w:r>
        <w:rPr>
          <w:spacing w:val="-7"/>
          <w:sz w:val="24"/>
        </w:rPr>
        <w:t> </w:t>
      </w:r>
      <w:r>
        <w:rPr>
          <w:sz w:val="24"/>
        </w:rPr>
        <w:t>y volvulus intestinal perinatal. Acta Pediatr Mex</w:t>
      </w:r>
      <w:r>
        <w:rPr>
          <w:spacing w:val="-21"/>
          <w:sz w:val="24"/>
        </w:rPr>
        <w:t> </w:t>
      </w:r>
      <w:r>
        <w:rPr>
          <w:sz w:val="24"/>
        </w:rPr>
        <w:t>2008;29(2):73-77</w:t>
      </w:r>
    </w:p>
    <w:p>
      <w:pPr>
        <w:pStyle w:val="ListParagraph"/>
        <w:numPr>
          <w:ilvl w:val="0"/>
          <w:numId w:val="14"/>
        </w:numPr>
        <w:tabs>
          <w:tab w:pos="462" w:val="left" w:leader="none"/>
        </w:tabs>
        <w:spacing w:line="360" w:lineRule="auto" w:before="5" w:after="0"/>
        <w:ind w:left="462" w:right="124" w:hanging="360"/>
        <w:jc w:val="both"/>
        <w:rPr>
          <w:sz w:val="24"/>
        </w:rPr>
      </w:pPr>
      <w:r>
        <w:rPr>
          <w:sz w:val="24"/>
        </w:rPr>
        <w:t>Strouse PJ. Disorders of intestinal rotation and fixation (“malrotation”). Pediatr Radiol</w:t>
      </w:r>
      <w:r>
        <w:rPr>
          <w:spacing w:val="-7"/>
          <w:sz w:val="24"/>
        </w:rPr>
        <w:t> </w:t>
      </w:r>
      <w:r>
        <w:rPr>
          <w:sz w:val="24"/>
        </w:rPr>
        <w:t>2004;34:837-51.</w:t>
      </w:r>
    </w:p>
    <w:p>
      <w:pPr>
        <w:pStyle w:val="ListParagraph"/>
        <w:numPr>
          <w:ilvl w:val="0"/>
          <w:numId w:val="14"/>
        </w:numPr>
        <w:tabs>
          <w:tab w:pos="462" w:val="left" w:leader="none"/>
        </w:tabs>
        <w:spacing w:line="360" w:lineRule="auto" w:before="5" w:after="0"/>
        <w:ind w:left="462" w:right="126" w:hanging="360"/>
        <w:jc w:val="both"/>
        <w:rPr>
          <w:sz w:val="24"/>
        </w:rPr>
      </w:pPr>
      <w:r>
        <w:rPr>
          <w:sz w:val="24"/>
        </w:rPr>
        <w:t>Megan B. Marine, MD, and Boaz Karmazyn, MD. Imaging of Malrotation in the Neonate  Semin Ultrasound CT and MRI 35:555-570 C 2014</w:t>
      </w:r>
      <w:r>
        <w:rPr>
          <w:spacing w:val="-20"/>
          <w:sz w:val="24"/>
        </w:rPr>
        <w:t> </w:t>
      </w:r>
      <w:r>
        <w:rPr>
          <w:sz w:val="24"/>
        </w:rPr>
        <w:t>Elsevier</w:t>
      </w:r>
    </w:p>
    <w:p>
      <w:pPr>
        <w:pStyle w:val="ListParagraph"/>
        <w:numPr>
          <w:ilvl w:val="0"/>
          <w:numId w:val="14"/>
        </w:numPr>
        <w:tabs>
          <w:tab w:pos="462" w:val="left" w:leader="none"/>
        </w:tabs>
        <w:spacing w:line="360" w:lineRule="auto" w:before="5" w:after="0"/>
        <w:ind w:left="462" w:right="119" w:hanging="360"/>
        <w:jc w:val="both"/>
        <w:rPr>
          <w:sz w:val="24"/>
        </w:rPr>
      </w:pPr>
      <w:r>
        <w:rPr>
          <w:sz w:val="24"/>
        </w:rPr>
        <w:t>Gohary Y., Alagta l. M., Gillick J. Long-term complications following operative intervention for intestinal malrotation: a 10-year review. Pediatr Surg Int 2010;26:203–6</w:t>
      </w:r>
    </w:p>
    <w:p>
      <w:pPr>
        <w:pStyle w:val="ListParagraph"/>
        <w:numPr>
          <w:ilvl w:val="0"/>
          <w:numId w:val="14"/>
        </w:numPr>
        <w:tabs>
          <w:tab w:pos="462" w:val="left" w:leader="none"/>
          <w:tab w:pos="3148" w:val="left" w:leader="none"/>
          <w:tab w:pos="4484" w:val="left" w:leader="none"/>
          <w:tab w:pos="6458" w:val="left" w:leader="none"/>
          <w:tab w:pos="8181" w:val="left" w:leader="none"/>
        </w:tabs>
        <w:spacing w:line="360" w:lineRule="auto" w:before="2" w:after="0"/>
        <w:ind w:left="462" w:right="119" w:hanging="360"/>
        <w:jc w:val="both"/>
        <w:rPr>
          <w:sz w:val="24"/>
        </w:rPr>
      </w:pPr>
      <w:r>
        <w:rPr>
          <w:sz w:val="24"/>
        </w:rPr>
        <w:t>Graziano K, et al. Asymptomatic malrotation: Diagnosis and surgical management.</w:t>
        <w:tab/>
        <w:t>J</w:t>
        <w:tab/>
        <w:t>Pediatr</w:t>
        <w:tab/>
        <w:t>Surg</w:t>
        <w:tab/>
      </w:r>
      <w:r>
        <w:rPr>
          <w:spacing w:val="-1"/>
          <w:sz w:val="24"/>
        </w:rPr>
        <w:t>(2015), </w:t>
      </w:r>
      <w:hyperlink r:id="rId23">
        <w:r>
          <w:rPr>
            <w:color w:val="0462C1"/>
            <w:sz w:val="24"/>
            <w:u w:val="single" w:color="0462C1"/>
          </w:rPr>
          <w:t>http://dx.doi.org/10.1016/j.jpedsurg.2015.06.019</w:t>
        </w:r>
      </w:hyperlink>
    </w:p>
    <w:p>
      <w:pPr>
        <w:pStyle w:val="ListParagraph"/>
        <w:numPr>
          <w:ilvl w:val="0"/>
          <w:numId w:val="14"/>
        </w:numPr>
        <w:tabs>
          <w:tab w:pos="462" w:val="left" w:leader="none"/>
        </w:tabs>
        <w:spacing w:line="360" w:lineRule="auto" w:before="5" w:after="0"/>
        <w:ind w:left="462" w:right="124" w:hanging="360"/>
        <w:jc w:val="both"/>
        <w:rPr>
          <w:sz w:val="24"/>
        </w:rPr>
      </w:pPr>
      <w:r>
        <w:rPr>
          <w:sz w:val="24"/>
        </w:rPr>
        <w:t>Wetherill C, Sutcliffe J, Hirschsprung disease and anorectal malformation, Early Hum Dev (2014),</w:t>
      </w:r>
      <w:r>
        <w:rPr>
          <w:spacing w:val="-19"/>
          <w:sz w:val="24"/>
        </w:rPr>
        <w:t> </w:t>
      </w:r>
      <w:hyperlink r:id="rId24">
        <w:r>
          <w:rPr>
            <w:color w:val="0462C1"/>
            <w:sz w:val="24"/>
            <w:u w:val="single" w:color="0462C1"/>
          </w:rPr>
          <w:t>http://dx.doi.org/10.1016/j.earlhumdev.2014.09.016</w:t>
        </w:r>
      </w:hyperlink>
      <w:r>
        <w:rPr>
          <w:sz w:val="24"/>
        </w:rPr>
        <w:t>.</w:t>
      </w:r>
    </w:p>
    <w:p>
      <w:pPr>
        <w:pStyle w:val="ListParagraph"/>
        <w:numPr>
          <w:ilvl w:val="0"/>
          <w:numId w:val="14"/>
        </w:numPr>
        <w:tabs>
          <w:tab w:pos="462" w:val="left" w:leader="none"/>
        </w:tabs>
        <w:spacing w:line="360" w:lineRule="auto" w:before="5" w:after="0"/>
        <w:ind w:left="462" w:right="127" w:hanging="360"/>
        <w:jc w:val="both"/>
        <w:rPr>
          <w:sz w:val="24"/>
        </w:rPr>
      </w:pPr>
      <w:r>
        <w:rPr>
          <w:sz w:val="24"/>
        </w:rPr>
        <w:t>Haider N, Fisher R. Mortality and morbidity associated with late diagnosis of anorectal malformations in children. Surgeon</w:t>
      </w:r>
      <w:r>
        <w:rPr>
          <w:spacing w:val="-23"/>
          <w:sz w:val="24"/>
        </w:rPr>
        <w:t> </w:t>
      </w:r>
      <w:r>
        <w:rPr>
          <w:sz w:val="24"/>
        </w:rPr>
        <w:t>2007;5(6):327–30.</w:t>
      </w:r>
    </w:p>
    <w:p>
      <w:pPr>
        <w:pStyle w:val="ListParagraph"/>
        <w:numPr>
          <w:ilvl w:val="0"/>
          <w:numId w:val="14"/>
        </w:numPr>
        <w:tabs>
          <w:tab w:pos="460" w:val="left" w:leader="none"/>
        </w:tabs>
        <w:spacing w:line="360" w:lineRule="auto" w:before="5" w:after="0"/>
        <w:ind w:left="459" w:right="118" w:hanging="357"/>
        <w:jc w:val="both"/>
        <w:rPr>
          <w:sz w:val="24"/>
        </w:rPr>
      </w:pPr>
      <w:r>
        <w:rPr>
          <w:sz w:val="24"/>
        </w:rPr>
        <w:t>Gallejo-Grijalva J, Alvarado-García R, et al. Anorrectoplastia sagital posterior. Presentación de un caso complejo. Acta Pediatr Mex 2005; 26(1):</w:t>
      </w:r>
      <w:r>
        <w:rPr>
          <w:spacing w:val="-21"/>
          <w:sz w:val="24"/>
        </w:rPr>
        <w:t> </w:t>
      </w:r>
      <w:r>
        <w:rPr>
          <w:sz w:val="24"/>
        </w:rPr>
        <w:t>48-52</w:t>
      </w:r>
    </w:p>
    <w:p>
      <w:pPr>
        <w:pStyle w:val="ListParagraph"/>
        <w:numPr>
          <w:ilvl w:val="0"/>
          <w:numId w:val="14"/>
        </w:numPr>
        <w:tabs>
          <w:tab w:pos="460" w:val="left" w:leader="none"/>
        </w:tabs>
        <w:spacing w:line="360" w:lineRule="auto" w:before="5" w:after="0"/>
        <w:ind w:left="459" w:right="120" w:hanging="357"/>
        <w:jc w:val="both"/>
        <w:rPr>
          <w:sz w:val="24"/>
        </w:rPr>
      </w:pPr>
      <w:r>
        <w:rPr>
          <w:sz w:val="24"/>
        </w:rPr>
        <w:t>Bischoff</w:t>
      </w:r>
      <w:r>
        <w:rPr>
          <w:spacing w:val="-5"/>
          <w:sz w:val="24"/>
        </w:rPr>
        <w:t> </w:t>
      </w:r>
      <w:r>
        <w:rPr>
          <w:sz w:val="24"/>
        </w:rPr>
        <w:t>A.</w:t>
      </w:r>
      <w:r>
        <w:rPr>
          <w:spacing w:val="-7"/>
          <w:sz w:val="24"/>
        </w:rPr>
        <w:t> </w:t>
      </w:r>
      <w:r>
        <w:rPr>
          <w:sz w:val="24"/>
        </w:rPr>
        <w:t>Martinez-Leo</w:t>
      </w:r>
      <w:r>
        <w:rPr>
          <w:spacing w:val="-7"/>
          <w:sz w:val="24"/>
        </w:rPr>
        <w:t> </w:t>
      </w:r>
      <w:r>
        <w:rPr>
          <w:sz w:val="24"/>
        </w:rPr>
        <w:t>B.</w:t>
      </w:r>
      <w:r>
        <w:rPr>
          <w:spacing w:val="-7"/>
          <w:sz w:val="24"/>
        </w:rPr>
        <w:t> </w:t>
      </w:r>
      <w:r>
        <w:rPr>
          <w:sz w:val="24"/>
        </w:rPr>
        <w:t>Peña</w:t>
      </w:r>
      <w:r>
        <w:rPr>
          <w:spacing w:val="-5"/>
          <w:sz w:val="24"/>
        </w:rPr>
        <w:t> </w:t>
      </w:r>
      <w:r>
        <w:rPr>
          <w:sz w:val="24"/>
        </w:rPr>
        <w:t>A.</w:t>
      </w:r>
      <w:r>
        <w:rPr>
          <w:spacing w:val="-7"/>
          <w:sz w:val="24"/>
        </w:rPr>
        <w:t> </w:t>
      </w:r>
      <w:r>
        <w:rPr>
          <w:sz w:val="24"/>
        </w:rPr>
        <w:t>Laparoscopic</w:t>
      </w:r>
      <w:r>
        <w:rPr>
          <w:spacing w:val="-6"/>
          <w:sz w:val="24"/>
        </w:rPr>
        <w:t> </w:t>
      </w:r>
      <w:r>
        <w:rPr>
          <w:sz w:val="24"/>
        </w:rPr>
        <w:t>approach</w:t>
      </w:r>
      <w:r>
        <w:rPr>
          <w:spacing w:val="-5"/>
          <w:sz w:val="24"/>
        </w:rPr>
        <w:t> </w:t>
      </w:r>
      <w:r>
        <w:rPr>
          <w:sz w:val="24"/>
        </w:rPr>
        <w:t>in</w:t>
      </w:r>
      <w:r>
        <w:rPr>
          <w:spacing w:val="-5"/>
          <w:sz w:val="24"/>
        </w:rPr>
        <w:t> </w:t>
      </w:r>
      <w:r>
        <w:rPr>
          <w:sz w:val="24"/>
        </w:rPr>
        <w:t>the</w:t>
      </w:r>
      <w:r>
        <w:rPr>
          <w:spacing w:val="-9"/>
          <w:sz w:val="24"/>
        </w:rPr>
        <w:t> </w:t>
      </w:r>
      <w:r>
        <w:rPr>
          <w:sz w:val="24"/>
        </w:rPr>
        <w:t>management of anorectal malformations. Pediatr Surg Int DOI</w:t>
      </w:r>
      <w:r>
        <w:rPr>
          <w:spacing w:val="-25"/>
          <w:sz w:val="24"/>
        </w:rPr>
        <w:t> </w:t>
      </w:r>
      <w:r>
        <w:rPr>
          <w:sz w:val="24"/>
        </w:rPr>
        <w:t>10.1007/s00383-015-3687-y</w:t>
      </w:r>
    </w:p>
    <w:p>
      <w:pPr>
        <w:spacing w:after="0" w:line="360" w:lineRule="auto"/>
        <w:jc w:val="both"/>
        <w:rPr>
          <w:sz w:val="24"/>
        </w:rPr>
        <w:sectPr>
          <w:pgSz w:w="12240" w:h="15840"/>
          <w:pgMar w:top="800" w:bottom="280" w:left="1600" w:right="1580"/>
        </w:sectPr>
      </w:pPr>
    </w:p>
    <w:p>
      <w:pPr>
        <w:pStyle w:val="ListParagraph"/>
        <w:numPr>
          <w:ilvl w:val="0"/>
          <w:numId w:val="14"/>
        </w:numPr>
        <w:tabs>
          <w:tab w:pos="460" w:val="left" w:leader="none"/>
        </w:tabs>
        <w:spacing w:line="360" w:lineRule="auto" w:before="50" w:after="0"/>
        <w:ind w:left="459" w:right="119" w:hanging="357"/>
        <w:jc w:val="both"/>
        <w:rPr>
          <w:sz w:val="24"/>
        </w:rPr>
      </w:pPr>
      <w:r>
        <w:rPr>
          <w:sz w:val="24"/>
        </w:rPr>
        <w:t>Gezer HÖ, et al, Meckel diverticulum in children: Evaluation of macroscopic appearance for guidance in subsequent surgery, J Pediatr Surg (2015), </w:t>
      </w:r>
      <w:hyperlink r:id="rId25">
        <w:r>
          <w:rPr>
            <w:color w:val="0462C1"/>
            <w:sz w:val="24"/>
            <w:u w:val="single" w:color="0462C1"/>
          </w:rPr>
          <w:t>http://dx.doi.org/10.1016/j.jpedsurg.2015.08.066</w:t>
        </w:r>
      </w:hyperlink>
    </w:p>
    <w:p>
      <w:pPr>
        <w:pStyle w:val="ListParagraph"/>
        <w:numPr>
          <w:ilvl w:val="0"/>
          <w:numId w:val="14"/>
        </w:numPr>
        <w:tabs>
          <w:tab w:pos="460" w:val="left" w:leader="none"/>
        </w:tabs>
        <w:spacing w:line="360" w:lineRule="auto" w:before="2" w:after="0"/>
        <w:ind w:left="459" w:right="119" w:hanging="357"/>
        <w:jc w:val="both"/>
        <w:rPr>
          <w:sz w:val="24"/>
        </w:rPr>
      </w:pPr>
      <w:r>
        <w:rPr>
          <w:sz w:val="24"/>
        </w:rPr>
        <w:t>Wang C, Li L, Cheng </w:t>
      </w:r>
      <w:r>
        <w:rPr>
          <w:spacing w:val="3"/>
          <w:sz w:val="24"/>
        </w:rPr>
        <w:t>W. </w:t>
      </w:r>
      <w:r>
        <w:rPr>
          <w:sz w:val="24"/>
        </w:rPr>
        <w:t>Anorectal malformation: the etiological factors. Pediatr Surg Int (2015)</w:t>
      </w:r>
      <w:r>
        <w:rPr>
          <w:spacing w:val="-11"/>
          <w:sz w:val="24"/>
        </w:rPr>
        <w:t> </w:t>
      </w:r>
      <w:r>
        <w:rPr>
          <w:sz w:val="24"/>
        </w:rPr>
        <w:t>31:795–804</w:t>
      </w:r>
    </w:p>
    <w:p>
      <w:pPr>
        <w:pStyle w:val="ListParagraph"/>
        <w:numPr>
          <w:ilvl w:val="0"/>
          <w:numId w:val="14"/>
        </w:numPr>
        <w:tabs>
          <w:tab w:pos="460" w:val="left" w:leader="none"/>
        </w:tabs>
        <w:spacing w:line="360" w:lineRule="auto" w:before="2" w:after="0"/>
        <w:ind w:left="459" w:right="118" w:hanging="357"/>
        <w:jc w:val="both"/>
        <w:rPr>
          <w:sz w:val="24"/>
        </w:rPr>
      </w:pPr>
      <w:r>
        <w:rPr>
          <w:sz w:val="24"/>
        </w:rPr>
        <w:t>Baeza-Herrera C, Rodríguez-Calderón RL, Villalobos-Castillejos A, et al. Ano imperforado. Enfoque clínico epidemiológico. Acta Pediatr Mex 2013; 34:</w:t>
      </w:r>
      <w:r>
        <w:rPr>
          <w:spacing w:val="-21"/>
          <w:sz w:val="24"/>
        </w:rPr>
        <w:t> </w:t>
      </w:r>
      <w:r>
        <w:rPr>
          <w:sz w:val="24"/>
        </w:rPr>
        <w:t>55-58</w:t>
      </w:r>
    </w:p>
    <w:p>
      <w:pPr>
        <w:pStyle w:val="ListParagraph"/>
        <w:numPr>
          <w:ilvl w:val="0"/>
          <w:numId w:val="14"/>
        </w:numPr>
        <w:tabs>
          <w:tab w:pos="460" w:val="left" w:leader="none"/>
        </w:tabs>
        <w:spacing w:line="360" w:lineRule="auto" w:before="5" w:after="0"/>
        <w:ind w:left="459" w:right="122" w:hanging="357"/>
        <w:jc w:val="both"/>
        <w:rPr>
          <w:sz w:val="24"/>
        </w:rPr>
      </w:pPr>
      <w:r>
        <w:rPr>
          <w:sz w:val="24"/>
        </w:rPr>
        <w:t>Hofmann A. Puri P. Association of Hirschsprung’s disease and anorectal malformation: a systematic review. Pediatr Surg Int (2013)</w:t>
      </w:r>
      <w:r>
        <w:rPr>
          <w:spacing w:val="-22"/>
          <w:sz w:val="24"/>
        </w:rPr>
        <w:t> </w:t>
      </w:r>
      <w:r>
        <w:rPr>
          <w:sz w:val="24"/>
        </w:rPr>
        <w:t>29:913–917</w:t>
      </w:r>
    </w:p>
    <w:p>
      <w:pPr>
        <w:pStyle w:val="ListParagraph"/>
        <w:numPr>
          <w:ilvl w:val="0"/>
          <w:numId w:val="14"/>
        </w:numPr>
        <w:tabs>
          <w:tab w:pos="460" w:val="left" w:leader="none"/>
        </w:tabs>
        <w:spacing w:line="360" w:lineRule="auto" w:before="5" w:after="0"/>
        <w:ind w:left="459" w:right="118" w:hanging="357"/>
        <w:jc w:val="both"/>
        <w:rPr>
          <w:sz w:val="24"/>
        </w:rPr>
      </w:pPr>
      <w:r>
        <w:rPr>
          <w:sz w:val="24"/>
        </w:rPr>
        <w:t>Ghoroubi J, Mirshemirani A, Roshanzamir F, Razavi S, Sarafi M. Gastric duplication cyst in association with duodenal atresia in a neonate. APSP J Case Rep. 2016;</w:t>
      </w:r>
      <w:r>
        <w:rPr>
          <w:spacing w:val="-5"/>
          <w:sz w:val="24"/>
        </w:rPr>
        <w:t> </w:t>
      </w:r>
      <w:r>
        <w:rPr>
          <w:sz w:val="24"/>
        </w:rPr>
        <w:t>7(1):6.</w:t>
      </w:r>
    </w:p>
    <w:p>
      <w:pPr>
        <w:pStyle w:val="ListParagraph"/>
        <w:numPr>
          <w:ilvl w:val="0"/>
          <w:numId w:val="14"/>
        </w:numPr>
        <w:tabs>
          <w:tab w:pos="527" w:val="left" w:leader="none"/>
        </w:tabs>
        <w:spacing w:line="360" w:lineRule="auto" w:before="2" w:after="0"/>
        <w:ind w:left="459" w:right="115" w:hanging="357"/>
        <w:jc w:val="both"/>
        <w:rPr>
          <w:sz w:val="24"/>
        </w:rPr>
      </w:pPr>
      <w:r>
        <w:rPr>
          <w:sz w:val="24"/>
        </w:rPr>
        <w:t>Ratan</w:t>
      </w:r>
      <w:r>
        <w:rPr>
          <w:spacing w:val="-6"/>
          <w:sz w:val="24"/>
        </w:rPr>
        <w:t> </w:t>
      </w:r>
      <w:r>
        <w:rPr>
          <w:sz w:val="24"/>
        </w:rPr>
        <w:t>S.</w:t>
      </w:r>
      <w:r>
        <w:rPr>
          <w:spacing w:val="-6"/>
          <w:sz w:val="24"/>
        </w:rPr>
        <w:t> </w:t>
      </w:r>
      <w:r>
        <w:rPr>
          <w:sz w:val="24"/>
        </w:rPr>
        <w:t>K.,</w:t>
      </w:r>
      <w:r>
        <w:rPr>
          <w:spacing w:val="-5"/>
          <w:sz w:val="24"/>
        </w:rPr>
        <w:t> </w:t>
      </w:r>
      <w:r>
        <w:rPr>
          <w:sz w:val="24"/>
        </w:rPr>
        <w:t>Nain</w:t>
      </w:r>
      <w:r>
        <w:rPr>
          <w:spacing w:val="-6"/>
          <w:sz w:val="24"/>
        </w:rPr>
        <w:t> </w:t>
      </w:r>
      <w:r>
        <w:rPr>
          <w:sz w:val="24"/>
        </w:rPr>
        <w:t>R.</w:t>
      </w:r>
      <w:r>
        <w:rPr>
          <w:spacing w:val="-4"/>
          <w:sz w:val="24"/>
        </w:rPr>
        <w:t> </w:t>
      </w:r>
      <w:r>
        <w:rPr>
          <w:sz w:val="24"/>
        </w:rPr>
        <w:t>K.,</w:t>
      </w:r>
      <w:r>
        <w:rPr>
          <w:spacing w:val="-4"/>
          <w:sz w:val="24"/>
        </w:rPr>
        <w:t> </w:t>
      </w:r>
      <w:r>
        <w:rPr>
          <w:sz w:val="24"/>
        </w:rPr>
        <w:t>Mohan</w:t>
      </w:r>
      <w:r>
        <w:rPr>
          <w:spacing w:val="-6"/>
          <w:sz w:val="24"/>
        </w:rPr>
        <w:t> </w:t>
      </w:r>
      <w:r>
        <w:rPr>
          <w:sz w:val="24"/>
        </w:rPr>
        <w:t>P.</w:t>
      </w:r>
      <w:r>
        <w:rPr>
          <w:spacing w:val="-4"/>
          <w:sz w:val="24"/>
        </w:rPr>
        <w:t> </w:t>
      </w:r>
      <w:r>
        <w:rPr>
          <w:sz w:val="24"/>
        </w:rPr>
        <w:t>R.,</w:t>
      </w:r>
      <w:r>
        <w:rPr>
          <w:spacing w:val="-4"/>
          <w:sz w:val="24"/>
        </w:rPr>
        <w:t> </w:t>
      </w:r>
      <w:r>
        <w:rPr>
          <w:sz w:val="24"/>
        </w:rPr>
        <w:t>Mittal</w:t>
      </w:r>
      <w:r>
        <w:rPr>
          <w:spacing w:val="-7"/>
          <w:sz w:val="24"/>
        </w:rPr>
        <w:t> </w:t>
      </w:r>
      <w:r>
        <w:rPr>
          <w:sz w:val="24"/>
        </w:rPr>
        <w:t>A.,</w:t>
      </w:r>
      <w:r>
        <w:rPr>
          <w:spacing w:val="-4"/>
          <w:sz w:val="24"/>
        </w:rPr>
        <w:t> </w:t>
      </w:r>
      <w:r>
        <w:rPr>
          <w:sz w:val="24"/>
        </w:rPr>
        <w:t>Magu</w:t>
      </w:r>
      <w:r>
        <w:rPr>
          <w:spacing w:val="-4"/>
          <w:sz w:val="24"/>
        </w:rPr>
        <w:t> </w:t>
      </w:r>
      <w:r>
        <w:rPr>
          <w:sz w:val="24"/>
        </w:rPr>
        <w:t>S.,</w:t>
      </w:r>
      <w:r>
        <w:rPr>
          <w:spacing w:val="-4"/>
          <w:sz w:val="24"/>
        </w:rPr>
        <w:t> </w:t>
      </w:r>
      <w:r>
        <w:rPr>
          <w:sz w:val="24"/>
        </w:rPr>
        <w:t>Sodhi</w:t>
      </w:r>
      <w:r>
        <w:rPr>
          <w:spacing w:val="-5"/>
          <w:sz w:val="24"/>
        </w:rPr>
        <w:t> </w:t>
      </w:r>
      <w:r>
        <w:rPr>
          <w:sz w:val="24"/>
        </w:rPr>
        <w:t>P.K.</w:t>
      </w:r>
      <w:r>
        <w:rPr>
          <w:spacing w:val="-6"/>
          <w:sz w:val="24"/>
        </w:rPr>
        <w:t> </w:t>
      </w:r>
      <w:r>
        <w:rPr>
          <w:sz w:val="24"/>
        </w:rPr>
        <w:t>Associated Congenital Anomalies in Patients with Anorectal Malformations – A Need for Developing a Uniform Practical Approach. J Pediatr Surg Vol 39, No 11 (November), 2004: pp</w:t>
      </w:r>
      <w:r>
        <w:rPr>
          <w:spacing w:val="-13"/>
          <w:sz w:val="24"/>
        </w:rPr>
        <w:t> </w:t>
      </w:r>
      <w:r>
        <w:rPr>
          <w:sz w:val="24"/>
        </w:rPr>
        <w:t>1706-1711</w:t>
      </w:r>
    </w:p>
    <w:p>
      <w:pPr>
        <w:pStyle w:val="ListParagraph"/>
        <w:numPr>
          <w:ilvl w:val="0"/>
          <w:numId w:val="14"/>
        </w:numPr>
        <w:tabs>
          <w:tab w:pos="460" w:val="left" w:leader="none"/>
        </w:tabs>
        <w:spacing w:line="360" w:lineRule="auto" w:before="2" w:after="0"/>
        <w:ind w:left="459" w:right="113" w:hanging="357"/>
        <w:jc w:val="both"/>
        <w:rPr>
          <w:sz w:val="24"/>
        </w:rPr>
      </w:pPr>
      <w:r>
        <w:rPr>
          <w:sz w:val="24"/>
        </w:rPr>
        <w:t>Nazer J., Cifuentes L., Águila A., Ureta P., Bello M., Correa F., et al. Edad materna y malformaciones congénitas: Un registro de 35 años. 1970-2005. Rev Méd Chile 2007 Nov; 135:</w:t>
      </w:r>
      <w:r>
        <w:rPr>
          <w:spacing w:val="-12"/>
          <w:sz w:val="24"/>
        </w:rPr>
        <w:t> </w:t>
      </w:r>
      <w:r>
        <w:rPr>
          <w:sz w:val="24"/>
        </w:rPr>
        <w:t>1463-9</w:t>
      </w:r>
    </w:p>
    <w:p>
      <w:pPr>
        <w:pStyle w:val="ListParagraph"/>
        <w:numPr>
          <w:ilvl w:val="0"/>
          <w:numId w:val="14"/>
        </w:numPr>
        <w:tabs>
          <w:tab w:pos="460" w:val="left" w:leader="none"/>
        </w:tabs>
        <w:spacing w:line="360" w:lineRule="auto" w:before="5" w:after="0"/>
        <w:ind w:left="459" w:right="115" w:hanging="357"/>
        <w:jc w:val="both"/>
        <w:rPr>
          <w:sz w:val="24"/>
        </w:rPr>
      </w:pPr>
      <w:r>
        <w:rPr>
          <w:sz w:val="24"/>
        </w:rPr>
        <w:t>Hayashi A. et al. Severe Acute Abdomen Caused by Symptomatic Meckel’s Diverticulum in Three Children with Trisomy 18. Am J Med Genet Part A 167 A A:2447-2450</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Heading1"/>
        <w:spacing w:before="145"/>
        <w:ind w:right="1363"/>
      </w:pPr>
      <w:r>
        <w:rPr/>
        <w:t>ANEXO 1. HOJA DE RECOLECCIÓN DE DATOS</w:t>
      </w:r>
    </w:p>
    <w:p>
      <w:pPr>
        <w:spacing w:after="0"/>
        <w:sectPr>
          <w:pgSz w:w="12240" w:h="15840"/>
          <w:pgMar w:top="800" w:bottom="280" w:left="1600" w:right="1580"/>
        </w:sectPr>
      </w:pPr>
    </w:p>
    <w:p>
      <w:pPr>
        <w:pStyle w:val="BodyText"/>
        <w:rPr>
          <w:rFonts w:ascii="Times New Roman"/>
          <w:sz w:val="20"/>
        </w:rPr>
      </w:pPr>
    </w:p>
    <w:p>
      <w:pPr>
        <w:pStyle w:val="BodyText"/>
        <w:rPr>
          <w:rFonts w:ascii="Times New Roman"/>
          <w:sz w:val="20"/>
        </w:rPr>
      </w:pPr>
    </w:p>
    <w:p>
      <w:pPr>
        <w:pStyle w:val="BodyText"/>
        <w:spacing w:before="2"/>
        <w:rPr>
          <w:rFonts w:ascii="Times New Roman"/>
          <w:sz w:val="18"/>
        </w:rPr>
      </w:pPr>
    </w:p>
    <w:tbl>
      <w:tblPr>
        <w:tblW w:w="0" w:type="auto"/>
        <w:jc w:val="left"/>
        <w:tblInd w:w="10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198"/>
        <w:gridCol w:w="1344"/>
        <w:gridCol w:w="969"/>
        <w:gridCol w:w="969"/>
        <w:gridCol w:w="1125"/>
        <w:gridCol w:w="1480"/>
        <w:gridCol w:w="1886"/>
        <w:gridCol w:w="2761"/>
      </w:tblGrid>
      <w:tr>
        <w:trPr>
          <w:trHeight w:val="401" w:hRule="exact"/>
        </w:trPr>
        <w:tc>
          <w:tcPr>
            <w:tcW w:w="11732" w:type="dxa"/>
            <w:gridSpan w:val="8"/>
            <w:tcBorders>
              <w:left w:val="single" w:sz="4" w:space="0" w:color="000000"/>
              <w:right w:val="single" w:sz="4" w:space="0" w:color="D3D3D3"/>
            </w:tcBorders>
          </w:tcPr>
          <w:p>
            <w:pPr>
              <w:pStyle w:val="TableParagraph"/>
              <w:spacing w:before="15"/>
              <w:ind w:left="1114"/>
              <w:rPr>
                <w:rFonts w:ascii="Calibri" w:hAnsi="Calibri"/>
                <w:sz w:val="30"/>
              </w:rPr>
            </w:pPr>
            <w:r>
              <w:rPr>
                <w:rFonts w:ascii="Calibri" w:hAnsi="Calibri"/>
                <w:w w:val="50"/>
                <w:sz w:val="30"/>
              </w:rPr>
              <w:t>PREVALENCIA DE MALFORMACIONES CONGÉNITAS GASTROINTESTINALES EN EL HOSPITAL MATERNO PERINATAL MÓNICA PRETELINI SÁENZ 2010-2015</w:t>
            </w:r>
          </w:p>
        </w:tc>
      </w:tr>
      <w:tr>
        <w:trPr>
          <w:trHeight w:val="1204" w:hRule="exact"/>
        </w:trPr>
        <w:tc>
          <w:tcPr>
            <w:tcW w:w="3511" w:type="dxa"/>
            <w:gridSpan w:val="3"/>
            <w:tcBorders>
              <w:left w:val="single" w:sz="4" w:space="0" w:color="000000"/>
              <w:right w:val="single" w:sz="4" w:space="0" w:color="000000"/>
            </w:tcBorders>
          </w:tcPr>
          <w:p>
            <w:pPr>
              <w:pStyle w:val="TableParagraph"/>
              <w:rPr>
                <w:rFonts w:ascii="Times New Roman"/>
                <w:sz w:val="30"/>
              </w:rPr>
            </w:pPr>
          </w:p>
          <w:p>
            <w:pPr>
              <w:pStyle w:val="TableParagraph"/>
              <w:spacing w:before="1"/>
              <w:rPr>
                <w:rFonts w:ascii="Times New Roman"/>
                <w:sz w:val="41"/>
              </w:rPr>
            </w:pPr>
          </w:p>
          <w:p>
            <w:pPr>
              <w:pStyle w:val="TableParagraph"/>
              <w:ind w:left="20"/>
              <w:rPr>
                <w:rFonts w:ascii="Calibri"/>
                <w:sz w:val="30"/>
              </w:rPr>
            </w:pPr>
            <w:r>
              <w:rPr>
                <w:rFonts w:ascii="Calibri"/>
                <w:w w:val="60"/>
                <w:sz w:val="30"/>
              </w:rPr>
              <w:t>MES:</w:t>
            </w:r>
          </w:p>
        </w:tc>
        <w:tc>
          <w:tcPr>
            <w:tcW w:w="3574" w:type="dxa"/>
            <w:gridSpan w:val="3"/>
            <w:tcBorders>
              <w:left w:val="single" w:sz="4" w:space="0" w:color="000000"/>
              <w:right w:val="single" w:sz="4" w:space="0" w:color="000000"/>
            </w:tcBorders>
          </w:tcPr>
          <w:p>
            <w:pPr>
              <w:pStyle w:val="TableParagraph"/>
              <w:rPr>
                <w:rFonts w:ascii="Times New Roman"/>
                <w:sz w:val="30"/>
              </w:rPr>
            </w:pPr>
          </w:p>
          <w:p>
            <w:pPr>
              <w:pStyle w:val="TableParagraph"/>
              <w:spacing w:before="1"/>
              <w:rPr>
                <w:rFonts w:ascii="Times New Roman"/>
                <w:sz w:val="41"/>
              </w:rPr>
            </w:pPr>
          </w:p>
          <w:p>
            <w:pPr>
              <w:pStyle w:val="TableParagraph"/>
              <w:ind w:left="20"/>
              <w:rPr>
                <w:rFonts w:ascii="Calibri"/>
                <w:sz w:val="30"/>
              </w:rPr>
            </w:pPr>
            <w:r>
              <w:rPr>
                <w:rFonts w:ascii="Calibri"/>
                <w:w w:val="50"/>
                <w:sz w:val="30"/>
              </w:rPr>
              <w:t>TOTAL DE NACIDOS  VIVOS:</w:t>
            </w:r>
          </w:p>
        </w:tc>
        <w:tc>
          <w:tcPr>
            <w:tcW w:w="1886" w:type="dxa"/>
            <w:tcBorders>
              <w:left w:val="single" w:sz="4" w:space="0" w:color="000000"/>
              <w:right w:val="single" w:sz="4" w:space="0" w:color="000000"/>
            </w:tcBorders>
          </w:tcPr>
          <w:p>
            <w:pPr/>
          </w:p>
        </w:tc>
        <w:tc>
          <w:tcPr>
            <w:tcW w:w="2761" w:type="dxa"/>
            <w:tcBorders>
              <w:left w:val="single" w:sz="4" w:space="0" w:color="000000"/>
              <w:right w:val="single" w:sz="4" w:space="0" w:color="000000"/>
            </w:tcBorders>
          </w:tcPr>
          <w:p>
            <w:pPr/>
          </w:p>
        </w:tc>
      </w:tr>
      <w:tr>
        <w:trPr>
          <w:trHeight w:val="1124" w:hRule="exact"/>
        </w:trPr>
        <w:tc>
          <w:tcPr>
            <w:tcW w:w="3511" w:type="dxa"/>
            <w:gridSpan w:val="3"/>
            <w:tcBorders>
              <w:left w:val="single" w:sz="4" w:space="0" w:color="000000"/>
              <w:right w:val="single" w:sz="4" w:space="0" w:color="000000"/>
            </w:tcBorders>
          </w:tcPr>
          <w:p>
            <w:pPr>
              <w:pStyle w:val="TableParagraph"/>
              <w:rPr>
                <w:rFonts w:ascii="Times New Roman"/>
                <w:sz w:val="30"/>
              </w:rPr>
            </w:pPr>
          </w:p>
          <w:p>
            <w:pPr>
              <w:pStyle w:val="TableParagraph"/>
              <w:spacing w:before="2"/>
              <w:rPr>
                <w:rFonts w:ascii="Times New Roman"/>
                <w:sz w:val="34"/>
              </w:rPr>
            </w:pPr>
          </w:p>
          <w:p>
            <w:pPr>
              <w:pStyle w:val="TableParagraph"/>
              <w:ind w:left="20"/>
              <w:rPr>
                <w:rFonts w:ascii="Calibri" w:hAnsi="Calibri"/>
                <w:sz w:val="30"/>
              </w:rPr>
            </w:pPr>
            <w:r>
              <w:rPr>
                <w:rFonts w:ascii="Calibri" w:hAnsi="Calibri"/>
                <w:w w:val="60"/>
                <w:sz w:val="30"/>
              </w:rPr>
              <w:t>AÑO:</w:t>
            </w:r>
          </w:p>
        </w:tc>
        <w:tc>
          <w:tcPr>
            <w:tcW w:w="3574" w:type="dxa"/>
            <w:gridSpan w:val="3"/>
            <w:tcBorders>
              <w:left w:val="single" w:sz="4" w:space="0" w:color="000000"/>
              <w:right w:val="single" w:sz="4" w:space="0" w:color="000000"/>
            </w:tcBorders>
          </w:tcPr>
          <w:p>
            <w:pPr>
              <w:pStyle w:val="TableParagraph"/>
              <w:spacing w:before="2"/>
              <w:rPr>
                <w:rFonts w:ascii="Times New Roman"/>
                <w:sz w:val="29"/>
              </w:rPr>
            </w:pPr>
          </w:p>
          <w:p>
            <w:pPr>
              <w:pStyle w:val="TableParagraph"/>
              <w:spacing w:line="264" w:lineRule="auto" w:before="1"/>
              <w:ind w:left="20"/>
              <w:rPr>
                <w:rFonts w:ascii="Calibri" w:hAnsi="Calibri"/>
                <w:sz w:val="30"/>
              </w:rPr>
            </w:pPr>
            <w:r>
              <w:rPr>
                <w:rFonts w:ascii="Calibri" w:hAnsi="Calibri"/>
                <w:w w:val="50"/>
                <w:sz w:val="30"/>
              </w:rPr>
              <w:t>TOTAL DE NACIDOS CON MALFORMACIÓN </w:t>
            </w:r>
            <w:r>
              <w:rPr>
                <w:rFonts w:ascii="Calibri" w:hAnsi="Calibri"/>
                <w:w w:val="60"/>
                <w:sz w:val="30"/>
              </w:rPr>
              <w:t>GASTROINTESTINAL:</w:t>
            </w:r>
          </w:p>
        </w:tc>
        <w:tc>
          <w:tcPr>
            <w:tcW w:w="1886" w:type="dxa"/>
            <w:tcBorders>
              <w:left w:val="single" w:sz="4" w:space="0" w:color="000000"/>
              <w:right w:val="single" w:sz="4" w:space="0" w:color="000000"/>
            </w:tcBorders>
          </w:tcPr>
          <w:p>
            <w:pPr/>
          </w:p>
        </w:tc>
        <w:tc>
          <w:tcPr>
            <w:tcW w:w="2761" w:type="dxa"/>
            <w:tcBorders>
              <w:left w:val="single" w:sz="4" w:space="0" w:color="000000"/>
              <w:right w:val="single" w:sz="4" w:space="0" w:color="000000"/>
            </w:tcBorders>
          </w:tcPr>
          <w:p>
            <w:pPr/>
          </w:p>
        </w:tc>
      </w:tr>
      <w:tr>
        <w:trPr>
          <w:trHeight w:val="401" w:hRule="exact"/>
        </w:trPr>
        <w:tc>
          <w:tcPr>
            <w:tcW w:w="1198" w:type="dxa"/>
            <w:tcBorders>
              <w:left w:val="single" w:sz="4" w:space="0" w:color="000000"/>
              <w:right w:val="single" w:sz="4" w:space="0" w:color="000000"/>
            </w:tcBorders>
          </w:tcPr>
          <w:p>
            <w:pPr/>
          </w:p>
        </w:tc>
        <w:tc>
          <w:tcPr>
            <w:tcW w:w="1344" w:type="dxa"/>
            <w:tcBorders>
              <w:left w:val="single" w:sz="4" w:space="0" w:color="000000"/>
              <w:right w:val="single" w:sz="4" w:space="0" w:color="000000"/>
            </w:tcBorders>
          </w:tcPr>
          <w:p>
            <w:pPr/>
          </w:p>
        </w:tc>
        <w:tc>
          <w:tcPr>
            <w:tcW w:w="969" w:type="dxa"/>
            <w:tcBorders>
              <w:left w:val="single" w:sz="4" w:space="0" w:color="000000"/>
              <w:right w:val="single" w:sz="4" w:space="0" w:color="000000"/>
            </w:tcBorders>
          </w:tcPr>
          <w:p>
            <w:pPr/>
          </w:p>
        </w:tc>
        <w:tc>
          <w:tcPr>
            <w:tcW w:w="969" w:type="dxa"/>
            <w:tcBorders>
              <w:left w:val="single" w:sz="4" w:space="0" w:color="000000"/>
              <w:right w:val="single" w:sz="4" w:space="0" w:color="000000"/>
            </w:tcBorders>
          </w:tcPr>
          <w:p>
            <w:pPr/>
          </w:p>
        </w:tc>
        <w:tc>
          <w:tcPr>
            <w:tcW w:w="1125" w:type="dxa"/>
            <w:tcBorders>
              <w:left w:val="single" w:sz="4" w:space="0" w:color="000000"/>
              <w:right w:val="single" w:sz="4" w:space="0" w:color="000000"/>
            </w:tcBorders>
          </w:tcPr>
          <w:p>
            <w:pPr/>
          </w:p>
        </w:tc>
        <w:tc>
          <w:tcPr>
            <w:tcW w:w="1480" w:type="dxa"/>
            <w:tcBorders>
              <w:left w:val="single" w:sz="4" w:space="0" w:color="000000"/>
              <w:right w:val="single" w:sz="4" w:space="0" w:color="000000"/>
            </w:tcBorders>
          </w:tcPr>
          <w:p>
            <w:pPr/>
          </w:p>
        </w:tc>
        <w:tc>
          <w:tcPr>
            <w:tcW w:w="1886" w:type="dxa"/>
            <w:tcBorders>
              <w:left w:val="single" w:sz="4" w:space="0" w:color="000000"/>
              <w:right w:val="single" w:sz="4" w:space="0" w:color="000000"/>
            </w:tcBorders>
          </w:tcPr>
          <w:p>
            <w:pPr/>
          </w:p>
        </w:tc>
        <w:tc>
          <w:tcPr>
            <w:tcW w:w="2761" w:type="dxa"/>
            <w:tcBorders>
              <w:left w:val="single" w:sz="4" w:space="0" w:color="000000"/>
              <w:right w:val="single" w:sz="4" w:space="0" w:color="000000"/>
            </w:tcBorders>
          </w:tcPr>
          <w:p>
            <w:pPr/>
          </w:p>
        </w:tc>
      </w:tr>
      <w:tr>
        <w:trPr>
          <w:trHeight w:val="803" w:hRule="exact"/>
        </w:trPr>
        <w:tc>
          <w:tcPr>
            <w:tcW w:w="1198" w:type="dxa"/>
            <w:tcBorders>
              <w:left w:val="single" w:sz="4" w:space="0" w:color="000000"/>
              <w:right w:val="single" w:sz="4" w:space="0" w:color="000000"/>
            </w:tcBorders>
          </w:tcPr>
          <w:p>
            <w:pPr>
              <w:pStyle w:val="TableParagraph"/>
              <w:spacing w:before="3"/>
              <w:rPr>
                <w:rFonts w:ascii="Times New Roman"/>
                <w:sz w:val="36"/>
              </w:rPr>
            </w:pPr>
          </w:p>
          <w:p>
            <w:pPr>
              <w:pStyle w:val="TableParagraph"/>
              <w:ind w:left="208"/>
              <w:rPr>
                <w:rFonts w:ascii="Calibri"/>
                <w:sz w:val="30"/>
              </w:rPr>
            </w:pPr>
            <w:r>
              <w:rPr>
                <w:rFonts w:ascii="Calibri"/>
                <w:w w:val="60"/>
                <w:sz w:val="30"/>
              </w:rPr>
              <w:t>EXPEDIENTE</w:t>
            </w:r>
          </w:p>
        </w:tc>
        <w:tc>
          <w:tcPr>
            <w:tcW w:w="1344" w:type="dxa"/>
            <w:tcBorders>
              <w:left w:val="single" w:sz="4" w:space="0" w:color="000000"/>
              <w:right w:val="single" w:sz="4" w:space="0" w:color="000000"/>
            </w:tcBorders>
          </w:tcPr>
          <w:p>
            <w:pPr>
              <w:pStyle w:val="TableParagraph"/>
              <w:spacing w:before="3"/>
              <w:rPr>
                <w:rFonts w:ascii="Times New Roman"/>
                <w:sz w:val="36"/>
              </w:rPr>
            </w:pPr>
          </w:p>
          <w:p>
            <w:pPr>
              <w:pStyle w:val="TableParagraph"/>
              <w:ind w:left="385"/>
              <w:rPr>
                <w:rFonts w:ascii="Calibri"/>
                <w:sz w:val="30"/>
              </w:rPr>
            </w:pPr>
            <w:r>
              <w:rPr>
                <w:rFonts w:ascii="Calibri"/>
                <w:w w:val="60"/>
                <w:sz w:val="30"/>
              </w:rPr>
              <w:t>NOMBRE</w:t>
            </w:r>
          </w:p>
        </w:tc>
        <w:tc>
          <w:tcPr>
            <w:tcW w:w="969" w:type="dxa"/>
            <w:tcBorders>
              <w:left w:val="single" w:sz="4" w:space="0" w:color="000000"/>
              <w:right w:val="single" w:sz="4" w:space="0" w:color="000000"/>
            </w:tcBorders>
          </w:tcPr>
          <w:p>
            <w:pPr>
              <w:pStyle w:val="TableParagraph"/>
              <w:spacing w:line="264" w:lineRule="auto" w:before="15"/>
              <w:ind w:left="20"/>
              <w:rPr>
                <w:rFonts w:ascii="Calibri"/>
                <w:sz w:val="30"/>
              </w:rPr>
            </w:pPr>
            <w:r>
              <w:rPr>
                <w:rFonts w:ascii="Calibri"/>
                <w:w w:val="60"/>
                <w:sz w:val="30"/>
              </w:rPr>
              <w:t>FECHA DE </w:t>
            </w:r>
            <w:r>
              <w:rPr>
                <w:rFonts w:ascii="Calibri"/>
                <w:w w:val="50"/>
                <w:sz w:val="30"/>
              </w:rPr>
              <w:t>NACIMIENTO</w:t>
            </w:r>
          </w:p>
        </w:tc>
        <w:tc>
          <w:tcPr>
            <w:tcW w:w="969" w:type="dxa"/>
            <w:tcBorders>
              <w:left w:val="single" w:sz="4" w:space="0" w:color="000000"/>
              <w:right w:val="single" w:sz="4" w:space="0" w:color="000000"/>
            </w:tcBorders>
          </w:tcPr>
          <w:p>
            <w:pPr>
              <w:pStyle w:val="TableParagraph"/>
              <w:spacing w:before="3"/>
              <w:rPr>
                <w:rFonts w:ascii="Times New Roman"/>
                <w:sz w:val="36"/>
              </w:rPr>
            </w:pPr>
          </w:p>
          <w:p>
            <w:pPr>
              <w:pStyle w:val="TableParagraph"/>
              <w:ind w:left="166"/>
              <w:rPr>
                <w:rFonts w:ascii="Calibri"/>
                <w:sz w:val="30"/>
              </w:rPr>
            </w:pPr>
            <w:r>
              <w:rPr>
                <w:rFonts w:ascii="Calibri"/>
                <w:w w:val="50"/>
                <w:sz w:val="30"/>
              </w:rPr>
              <w:t>SEXO M/F</w:t>
            </w:r>
          </w:p>
        </w:tc>
        <w:tc>
          <w:tcPr>
            <w:tcW w:w="1125" w:type="dxa"/>
            <w:tcBorders>
              <w:left w:val="single" w:sz="4" w:space="0" w:color="000000"/>
              <w:right w:val="single" w:sz="4" w:space="0" w:color="000000"/>
            </w:tcBorders>
          </w:tcPr>
          <w:p>
            <w:pPr>
              <w:pStyle w:val="TableParagraph"/>
              <w:spacing w:line="264" w:lineRule="auto" w:before="15"/>
              <w:ind w:left="104" w:firstLine="270"/>
              <w:rPr>
                <w:rFonts w:ascii="Calibri"/>
                <w:sz w:val="30"/>
              </w:rPr>
            </w:pPr>
            <w:r>
              <w:rPr>
                <w:rFonts w:ascii="Calibri"/>
                <w:w w:val="60"/>
                <w:sz w:val="30"/>
              </w:rPr>
              <w:t>EDAD </w:t>
            </w:r>
            <w:r>
              <w:rPr>
                <w:rFonts w:ascii="Calibri"/>
                <w:w w:val="50"/>
                <w:sz w:val="30"/>
              </w:rPr>
              <w:t>GESTACIONAL</w:t>
            </w:r>
          </w:p>
        </w:tc>
        <w:tc>
          <w:tcPr>
            <w:tcW w:w="1480" w:type="dxa"/>
            <w:tcBorders>
              <w:left w:val="single" w:sz="4" w:space="0" w:color="000000"/>
              <w:right w:val="single" w:sz="4" w:space="0" w:color="000000"/>
            </w:tcBorders>
          </w:tcPr>
          <w:p>
            <w:pPr>
              <w:pStyle w:val="TableParagraph"/>
              <w:spacing w:line="264" w:lineRule="auto" w:before="15"/>
              <w:ind w:left="312" w:hanging="167"/>
              <w:rPr>
                <w:rFonts w:ascii="Calibri" w:hAnsi="Calibri"/>
                <w:sz w:val="30"/>
              </w:rPr>
            </w:pPr>
            <w:r>
              <w:rPr>
                <w:rFonts w:ascii="Calibri" w:hAnsi="Calibri"/>
                <w:w w:val="50"/>
                <w:sz w:val="30"/>
              </w:rPr>
              <w:t>DIAGNÓSTICOS AL </w:t>
            </w:r>
            <w:r>
              <w:rPr>
                <w:rFonts w:ascii="Calibri" w:hAnsi="Calibri"/>
                <w:w w:val="55"/>
                <w:sz w:val="30"/>
              </w:rPr>
              <w:t>NACIMIENTO</w:t>
            </w:r>
          </w:p>
        </w:tc>
        <w:tc>
          <w:tcPr>
            <w:tcW w:w="1886" w:type="dxa"/>
            <w:tcBorders>
              <w:left w:val="single" w:sz="4" w:space="0" w:color="000000"/>
              <w:right w:val="single" w:sz="4" w:space="0" w:color="000000"/>
            </w:tcBorders>
          </w:tcPr>
          <w:p>
            <w:pPr>
              <w:pStyle w:val="TableParagraph"/>
              <w:spacing w:line="264" w:lineRule="auto" w:before="15"/>
              <w:ind w:left="312" w:hanging="188"/>
              <w:rPr>
                <w:rFonts w:ascii="Calibri" w:hAnsi="Calibri"/>
                <w:sz w:val="30"/>
              </w:rPr>
            </w:pPr>
            <w:r>
              <w:rPr>
                <w:rFonts w:ascii="Calibri" w:hAnsi="Calibri"/>
                <w:w w:val="50"/>
                <w:sz w:val="30"/>
              </w:rPr>
              <w:t>TIPO DE MALFORMACIÓN </w:t>
            </w:r>
            <w:r>
              <w:rPr>
                <w:rFonts w:ascii="Calibri" w:hAnsi="Calibri"/>
                <w:w w:val="55"/>
                <w:sz w:val="30"/>
              </w:rPr>
              <w:t>GASTROINTESTINAL</w:t>
            </w:r>
          </w:p>
        </w:tc>
        <w:tc>
          <w:tcPr>
            <w:tcW w:w="2761" w:type="dxa"/>
            <w:tcBorders>
              <w:left w:val="single" w:sz="4" w:space="0" w:color="000000"/>
              <w:right w:val="single" w:sz="4" w:space="0" w:color="000000"/>
            </w:tcBorders>
          </w:tcPr>
          <w:p>
            <w:pPr>
              <w:pStyle w:val="TableParagraph"/>
              <w:spacing w:line="264" w:lineRule="auto" w:before="15"/>
              <w:ind w:left="396" w:hanging="42"/>
              <w:rPr>
                <w:rFonts w:ascii="Calibri" w:hAnsi="Calibri"/>
                <w:sz w:val="30"/>
              </w:rPr>
            </w:pPr>
            <w:r>
              <w:rPr>
                <w:rFonts w:ascii="Calibri" w:hAnsi="Calibri"/>
                <w:w w:val="50"/>
                <w:sz w:val="30"/>
              </w:rPr>
              <w:t>ASOCIACÓN CON OTRO TIPO DE MALFORMACIÓN O SÍNDROME</w:t>
            </w:r>
          </w:p>
        </w:tc>
      </w:tr>
      <w:tr>
        <w:trPr>
          <w:trHeight w:val="702" w:hRule="exact"/>
        </w:trPr>
        <w:tc>
          <w:tcPr>
            <w:tcW w:w="1198" w:type="dxa"/>
            <w:tcBorders>
              <w:left w:val="single" w:sz="4" w:space="0" w:color="000000"/>
              <w:right w:val="single" w:sz="4" w:space="0" w:color="000000"/>
            </w:tcBorders>
          </w:tcPr>
          <w:p>
            <w:pPr/>
          </w:p>
        </w:tc>
        <w:tc>
          <w:tcPr>
            <w:tcW w:w="1344" w:type="dxa"/>
            <w:tcBorders>
              <w:left w:val="single" w:sz="4" w:space="0" w:color="000000"/>
              <w:right w:val="single" w:sz="4" w:space="0" w:color="000000"/>
            </w:tcBorders>
          </w:tcPr>
          <w:p>
            <w:pPr/>
          </w:p>
        </w:tc>
        <w:tc>
          <w:tcPr>
            <w:tcW w:w="969" w:type="dxa"/>
            <w:tcBorders>
              <w:left w:val="single" w:sz="4" w:space="0" w:color="000000"/>
              <w:right w:val="single" w:sz="4" w:space="0" w:color="000000"/>
            </w:tcBorders>
          </w:tcPr>
          <w:p>
            <w:pPr/>
          </w:p>
        </w:tc>
        <w:tc>
          <w:tcPr>
            <w:tcW w:w="969" w:type="dxa"/>
            <w:tcBorders>
              <w:left w:val="single" w:sz="4" w:space="0" w:color="000000"/>
              <w:right w:val="single" w:sz="4" w:space="0" w:color="000000"/>
            </w:tcBorders>
          </w:tcPr>
          <w:p>
            <w:pPr/>
          </w:p>
        </w:tc>
        <w:tc>
          <w:tcPr>
            <w:tcW w:w="1125" w:type="dxa"/>
            <w:tcBorders>
              <w:left w:val="single" w:sz="4" w:space="0" w:color="000000"/>
              <w:right w:val="single" w:sz="4" w:space="0" w:color="000000"/>
            </w:tcBorders>
          </w:tcPr>
          <w:p>
            <w:pPr/>
          </w:p>
        </w:tc>
        <w:tc>
          <w:tcPr>
            <w:tcW w:w="1480" w:type="dxa"/>
            <w:tcBorders>
              <w:left w:val="single" w:sz="4" w:space="0" w:color="000000"/>
              <w:right w:val="single" w:sz="4" w:space="0" w:color="000000"/>
            </w:tcBorders>
          </w:tcPr>
          <w:p>
            <w:pPr/>
          </w:p>
        </w:tc>
        <w:tc>
          <w:tcPr>
            <w:tcW w:w="1886" w:type="dxa"/>
            <w:tcBorders>
              <w:left w:val="single" w:sz="4" w:space="0" w:color="000000"/>
              <w:right w:val="single" w:sz="4" w:space="0" w:color="000000"/>
            </w:tcBorders>
          </w:tcPr>
          <w:p>
            <w:pPr/>
          </w:p>
        </w:tc>
        <w:tc>
          <w:tcPr>
            <w:tcW w:w="2761" w:type="dxa"/>
            <w:tcBorders>
              <w:left w:val="single" w:sz="4" w:space="0" w:color="000000"/>
              <w:right w:val="single" w:sz="4" w:space="0" w:color="000000"/>
            </w:tcBorders>
          </w:tcPr>
          <w:p>
            <w:pPr/>
          </w:p>
        </w:tc>
      </w:tr>
      <w:tr>
        <w:trPr>
          <w:trHeight w:val="723" w:hRule="exact"/>
        </w:trPr>
        <w:tc>
          <w:tcPr>
            <w:tcW w:w="1198" w:type="dxa"/>
            <w:tcBorders>
              <w:left w:val="single" w:sz="4" w:space="0" w:color="000000"/>
              <w:right w:val="single" w:sz="4" w:space="0" w:color="000000"/>
            </w:tcBorders>
          </w:tcPr>
          <w:p>
            <w:pPr/>
          </w:p>
        </w:tc>
        <w:tc>
          <w:tcPr>
            <w:tcW w:w="1344" w:type="dxa"/>
            <w:tcBorders>
              <w:left w:val="single" w:sz="4" w:space="0" w:color="000000"/>
              <w:right w:val="single" w:sz="4" w:space="0" w:color="000000"/>
            </w:tcBorders>
          </w:tcPr>
          <w:p>
            <w:pPr/>
          </w:p>
        </w:tc>
        <w:tc>
          <w:tcPr>
            <w:tcW w:w="969" w:type="dxa"/>
            <w:tcBorders>
              <w:left w:val="single" w:sz="4" w:space="0" w:color="000000"/>
              <w:right w:val="single" w:sz="4" w:space="0" w:color="000000"/>
            </w:tcBorders>
          </w:tcPr>
          <w:p>
            <w:pPr/>
          </w:p>
        </w:tc>
        <w:tc>
          <w:tcPr>
            <w:tcW w:w="969" w:type="dxa"/>
            <w:tcBorders>
              <w:left w:val="single" w:sz="4" w:space="0" w:color="000000"/>
              <w:right w:val="single" w:sz="4" w:space="0" w:color="000000"/>
            </w:tcBorders>
          </w:tcPr>
          <w:p>
            <w:pPr/>
          </w:p>
        </w:tc>
        <w:tc>
          <w:tcPr>
            <w:tcW w:w="1125" w:type="dxa"/>
            <w:tcBorders>
              <w:left w:val="single" w:sz="4" w:space="0" w:color="000000"/>
              <w:right w:val="single" w:sz="4" w:space="0" w:color="000000"/>
            </w:tcBorders>
          </w:tcPr>
          <w:p>
            <w:pPr/>
          </w:p>
        </w:tc>
        <w:tc>
          <w:tcPr>
            <w:tcW w:w="1480" w:type="dxa"/>
            <w:tcBorders>
              <w:left w:val="single" w:sz="4" w:space="0" w:color="000000"/>
              <w:right w:val="single" w:sz="4" w:space="0" w:color="000000"/>
            </w:tcBorders>
          </w:tcPr>
          <w:p>
            <w:pPr/>
          </w:p>
        </w:tc>
        <w:tc>
          <w:tcPr>
            <w:tcW w:w="1886" w:type="dxa"/>
            <w:tcBorders>
              <w:left w:val="single" w:sz="4" w:space="0" w:color="000000"/>
              <w:right w:val="single" w:sz="4" w:space="0" w:color="000000"/>
            </w:tcBorders>
          </w:tcPr>
          <w:p>
            <w:pPr/>
          </w:p>
        </w:tc>
        <w:tc>
          <w:tcPr>
            <w:tcW w:w="2761" w:type="dxa"/>
            <w:tcBorders>
              <w:left w:val="single" w:sz="4" w:space="0" w:color="000000"/>
              <w:right w:val="single" w:sz="4" w:space="0" w:color="000000"/>
            </w:tcBorders>
          </w:tcPr>
          <w:p>
            <w:pPr/>
          </w:p>
        </w:tc>
      </w:tr>
      <w:tr>
        <w:trPr>
          <w:trHeight w:val="802" w:hRule="exact"/>
        </w:trPr>
        <w:tc>
          <w:tcPr>
            <w:tcW w:w="1198" w:type="dxa"/>
            <w:tcBorders>
              <w:left w:val="single" w:sz="4" w:space="0" w:color="000000"/>
              <w:right w:val="single" w:sz="4" w:space="0" w:color="000000"/>
            </w:tcBorders>
          </w:tcPr>
          <w:p>
            <w:pPr/>
          </w:p>
        </w:tc>
        <w:tc>
          <w:tcPr>
            <w:tcW w:w="1344" w:type="dxa"/>
            <w:tcBorders>
              <w:left w:val="single" w:sz="4" w:space="0" w:color="000000"/>
              <w:right w:val="single" w:sz="4" w:space="0" w:color="000000"/>
            </w:tcBorders>
          </w:tcPr>
          <w:p>
            <w:pPr/>
          </w:p>
        </w:tc>
        <w:tc>
          <w:tcPr>
            <w:tcW w:w="969" w:type="dxa"/>
            <w:tcBorders>
              <w:left w:val="single" w:sz="4" w:space="0" w:color="000000"/>
              <w:right w:val="single" w:sz="4" w:space="0" w:color="000000"/>
            </w:tcBorders>
          </w:tcPr>
          <w:p>
            <w:pPr/>
          </w:p>
        </w:tc>
        <w:tc>
          <w:tcPr>
            <w:tcW w:w="969" w:type="dxa"/>
            <w:tcBorders>
              <w:left w:val="single" w:sz="4" w:space="0" w:color="000000"/>
              <w:right w:val="single" w:sz="4" w:space="0" w:color="000000"/>
            </w:tcBorders>
          </w:tcPr>
          <w:p>
            <w:pPr/>
          </w:p>
        </w:tc>
        <w:tc>
          <w:tcPr>
            <w:tcW w:w="1125" w:type="dxa"/>
            <w:tcBorders>
              <w:left w:val="single" w:sz="4" w:space="0" w:color="000000"/>
              <w:right w:val="single" w:sz="4" w:space="0" w:color="000000"/>
            </w:tcBorders>
          </w:tcPr>
          <w:p>
            <w:pPr/>
          </w:p>
        </w:tc>
        <w:tc>
          <w:tcPr>
            <w:tcW w:w="1480" w:type="dxa"/>
            <w:tcBorders>
              <w:left w:val="single" w:sz="4" w:space="0" w:color="000000"/>
              <w:right w:val="single" w:sz="4" w:space="0" w:color="000000"/>
            </w:tcBorders>
          </w:tcPr>
          <w:p>
            <w:pPr/>
          </w:p>
        </w:tc>
        <w:tc>
          <w:tcPr>
            <w:tcW w:w="1886" w:type="dxa"/>
            <w:tcBorders>
              <w:left w:val="single" w:sz="4" w:space="0" w:color="000000"/>
              <w:right w:val="single" w:sz="4" w:space="0" w:color="000000"/>
            </w:tcBorders>
          </w:tcPr>
          <w:p>
            <w:pPr/>
          </w:p>
        </w:tc>
        <w:tc>
          <w:tcPr>
            <w:tcW w:w="2761" w:type="dxa"/>
            <w:tcBorders>
              <w:left w:val="single" w:sz="4" w:space="0" w:color="000000"/>
              <w:right w:val="single" w:sz="4" w:space="0" w:color="000000"/>
            </w:tcBorders>
          </w:tcPr>
          <w:p>
            <w:pPr/>
          </w:p>
        </w:tc>
      </w:tr>
      <w:tr>
        <w:trPr>
          <w:trHeight w:val="743" w:hRule="exact"/>
        </w:trPr>
        <w:tc>
          <w:tcPr>
            <w:tcW w:w="1198" w:type="dxa"/>
            <w:tcBorders>
              <w:left w:val="single" w:sz="4" w:space="0" w:color="000000"/>
              <w:right w:val="single" w:sz="4" w:space="0" w:color="000000"/>
            </w:tcBorders>
          </w:tcPr>
          <w:p>
            <w:pPr/>
          </w:p>
        </w:tc>
        <w:tc>
          <w:tcPr>
            <w:tcW w:w="1344" w:type="dxa"/>
            <w:tcBorders>
              <w:left w:val="single" w:sz="4" w:space="0" w:color="000000"/>
              <w:right w:val="single" w:sz="4" w:space="0" w:color="000000"/>
            </w:tcBorders>
          </w:tcPr>
          <w:p>
            <w:pPr/>
          </w:p>
        </w:tc>
        <w:tc>
          <w:tcPr>
            <w:tcW w:w="969" w:type="dxa"/>
            <w:tcBorders>
              <w:left w:val="single" w:sz="4" w:space="0" w:color="000000"/>
              <w:right w:val="single" w:sz="4" w:space="0" w:color="000000"/>
            </w:tcBorders>
          </w:tcPr>
          <w:p>
            <w:pPr/>
          </w:p>
        </w:tc>
        <w:tc>
          <w:tcPr>
            <w:tcW w:w="969" w:type="dxa"/>
            <w:tcBorders>
              <w:left w:val="single" w:sz="4" w:space="0" w:color="000000"/>
              <w:right w:val="single" w:sz="4" w:space="0" w:color="000000"/>
            </w:tcBorders>
          </w:tcPr>
          <w:p>
            <w:pPr/>
          </w:p>
        </w:tc>
        <w:tc>
          <w:tcPr>
            <w:tcW w:w="1125" w:type="dxa"/>
            <w:tcBorders>
              <w:left w:val="single" w:sz="4" w:space="0" w:color="000000"/>
              <w:right w:val="single" w:sz="4" w:space="0" w:color="000000"/>
            </w:tcBorders>
          </w:tcPr>
          <w:p>
            <w:pPr/>
          </w:p>
        </w:tc>
        <w:tc>
          <w:tcPr>
            <w:tcW w:w="1480" w:type="dxa"/>
            <w:tcBorders>
              <w:left w:val="single" w:sz="4" w:space="0" w:color="000000"/>
              <w:right w:val="single" w:sz="4" w:space="0" w:color="000000"/>
            </w:tcBorders>
          </w:tcPr>
          <w:p>
            <w:pPr/>
          </w:p>
        </w:tc>
        <w:tc>
          <w:tcPr>
            <w:tcW w:w="1886" w:type="dxa"/>
            <w:tcBorders>
              <w:left w:val="single" w:sz="4" w:space="0" w:color="000000"/>
              <w:right w:val="single" w:sz="4" w:space="0" w:color="000000"/>
            </w:tcBorders>
          </w:tcPr>
          <w:p>
            <w:pPr/>
          </w:p>
        </w:tc>
        <w:tc>
          <w:tcPr>
            <w:tcW w:w="2761" w:type="dxa"/>
            <w:tcBorders>
              <w:left w:val="single" w:sz="4" w:space="0" w:color="000000"/>
              <w:right w:val="single" w:sz="4" w:space="0" w:color="000000"/>
            </w:tcBorders>
          </w:tcPr>
          <w:p>
            <w:pPr/>
          </w:p>
        </w:tc>
      </w:tr>
      <w:tr>
        <w:trPr>
          <w:trHeight w:val="662" w:hRule="exact"/>
        </w:trPr>
        <w:tc>
          <w:tcPr>
            <w:tcW w:w="1198" w:type="dxa"/>
            <w:tcBorders>
              <w:left w:val="single" w:sz="4" w:space="0" w:color="000000"/>
              <w:right w:val="single" w:sz="4" w:space="0" w:color="000000"/>
            </w:tcBorders>
          </w:tcPr>
          <w:p>
            <w:pPr/>
          </w:p>
        </w:tc>
        <w:tc>
          <w:tcPr>
            <w:tcW w:w="1344" w:type="dxa"/>
            <w:tcBorders>
              <w:left w:val="single" w:sz="4" w:space="0" w:color="000000"/>
              <w:right w:val="single" w:sz="4" w:space="0" w:color="000000"/>
            </w:tcBorders>
          </w:tcPr>
          <w:p>
            <w:pPr/>
          </w:p>
        </w:tc>
        <w:tc>
          <w:tcPr>
            <w:tcW w:w="969" w:type="dxa"/>
            <w:tcBorders>
              <w:left w:val="single" w:sz="4" w:space="0" w:color="000000"/>
              <w:right w:val="single" w:sz="4" w:space="0" w:color="000000"/>
            </w:tcBorders>
          </w:tcPr>
          <w:p>
            <w:pPr/>
          </w:p>
        </w:tc>
        <w:tc>
          <w:tcPr>
            <w:tcW w:w="969" w:type="dxa"/>
            <w:tcBorders>
              <w:left w:val="single" w:sz="4" w:space="0" w:color="000000"/>
              <w:right w:val="single" w:sz="4" w:space="0" w:color="000000"/>
            </w:tcBorders>
          </w:tcPr>
          <w:p>
            <w:pPr/>
          </w:p>
        </w:tc>
        <w:tc>
          <w:tcPr>
            <w:tcW w:w="1125" w:type="dxa"/>
            <w:tcBorders>
              <w:left w:val="single" w:sz="4" w:space="0" w:color="000000"/>
              <w:right w:val="single" w:sz="4" w:space="0" w:color="000000"/>
            </w:tcBorders>
          </w:tcPr>
          <w:p>
            <w:pPr/>
          </w:p>
        </w:tc>
        <w:tc>
          <w:tcPr>
            <w:tcW w:w="1480" w:type="dxa"/>
            <w:tcBorders>
              <w:left w:val="single" w:sz="4" w:space="0" w:color="000000"/>
              <w:right w:val="single" w:sz="4" w:space="0" w:color="000000"/>
            </w:tcBorders>
          </w:tcPr>
          <w:p>
            <w:pPr/>
          </w:p>
        </w:tc>
        <w:tc>
          <w:tcPr>
            <w:tcW w:w="1886" w:type="dxa"/>
            <w:tcBorders>
              <w:left w:val="single" w:sz="4" w:space="0" w:color="000000"/>
              <w:right w:val="single" w:sz="4" w:space="0" w:color="000000"/>
            </w:tcBorders>
          </w:tcPr>
          <w:p>
            <w:pPr/>
          </w:p>
        </w:tc>
        <w:tc>
          <w:tcPr>
            <w:tcW w:w="2761" w:type="dxa"/>
            <w:tcBorders>
              <w:left w:val="single" w:sz="4" w:space="0" w:color="000000"/>
              <w:right w:val="single" w:sz="4" w:space="0" w:color="000000"/>
            </w:tcBorders>
          </w:tcPr>
          <w:p>
            <w:pPr/>
          </w:p>
        </w:tc>
      </w:tr>
      <w:tr>
        <w:trPr>
          <w:trHeight w:val="682" w:hRule="exact"/>
        </w:trPr>
        <w:tc>
          <w:tcPr>
            <w:tcW w:w="1198" w:type="dxa"/>
            <w:tcBorders>
              <w:left w:val="single" w:sz="4" w:space="0" w:color="000000"/>
              <w:right w:val="single" w:sz="4" w:space="0" w:color="000000"/>
            </w:tcBorders>
          </w:tcPr>
          <w:p>
            <w:pPr/>
          </w:p>
        </w:tc>
        <w:tc>
          <w:tcPr>
            <w:tcW w:w="1344" w:type="dxa"/>
            <w:tcBorders>
              <w:left w:val="single" w:sz="4" w:space="0" w:color="000000"/>
              <w:right w:val="single" w:sz="4" w:space="0" w:color="000000"/>
            </w:tcBorders>
          </w:tcPr>
          <w:p>
            <w:pPr/>
          </w:p>
        </w:tc>
        <w:tc>
          <w:tcPr>
            <w:tcW w:w="969" w:type="dxa"/>
            <w:tcBorders>
              <w:left w:val="single" w:sz="4" w:space="0" w:color="000000"/>
              <w:right w:val="single" w:sz="4" w:space="0" w:color="000000"/>
            </w:tcBorders>
          </w:tcPr>
          <w:p>
            <w:pPr/>
          </w:p>
        </w:tc>
        <w:tc>
          <w:tcPr>
            <w:tcW w:w="969" w:type="dxa"/>
            <w:tcBorders>
              <w:left w:val="single" w:sz="4" w:space="0" w:color="000000"/>
              <w:right w:val="single" w:sz="4" w:space="0" w:color="000000"/>
            </w:tcBorders>
          </w:tcPr>
          <w:p>
            <w:pPr/>
          </w:p>
        </w:tc>
        <w:tc>
          <w:tcPr>
            <w:tcW w:w="1125" w:type="dxa"/>
            <w:tcBorders>
              <w:left w:val="single" w:sz="4" w:space="0" w:color="000000"/>
              <w:right w:val="single" w:sz="4" w:space="0" w:color="000000"/>
            </w:tcBorders>
          </w:tcPr>
          <w:p>
            <w:pPr/>
          </w:p>
        </w:tc>
        <w:tc>
          <w:tcPr>
            <w:tcW w:w="1480" w:type="dxa"/>
            <w:tcBorders>
              <w:left w:val="single" w:sz="4" w:space="0" w:color="000000"/>
              <w:right w:val="single" w:sz="4" w:space="0" w:color="000000"/>
            </w:tcBorders>
          </w:tcPr>
          <w:p>
            <w:pPr/>
          </w:p>
        </w:tc>
        <w:tc>
          <w:tcPr>
            <w:tcW w:w="1886" w:type="dxa"/>
            <w:tcBorders>
              <w:left w:val="single" w:sz="4" w:space="0" w:color="000000"/>
              <w:right w:val="single" w:sz="4" w:space="0" w:color="000000"/>
            </w:tcBorders>
          </w:tcPr>
          <w:p>
            <w:pPr/>
          </w:p>
        </w:tc>
        <w:tc>
          <w:tcPr>
            <w:tcW w:w="2761" w:type="dxa"/>
            <w:tcBorders>
              <w:left w:val="single" w:sz="4" w:space="0" w:color="000000"/>
              <w:right w:val="single" w:sz="4" w:space="0" w:color="000000"/>
            </w:tcBorders>
          </w:tcPr>
          <w:p>
            <w:pPr/>
          </w:p>
        </w:tc>
      </w:tr>
      <w:tr>
        <w:trPr>
          <w:trHeight w:val="983" w:hRule="exact"/>
        </w:trPr>
        <w:tc>
          <w:tcPr>
            <w:tcW w:w="1198" w:type="dxa"/>
            <w:tcBorders>
              <w:left w:val="single" w:sz="4" w:space="0" w:color="000000"/>
              <w:right w:val="single" w:sz="4" w:space="0" w:color="000000"/>
            </w:tcBorders>
          </w:tcPr>
          <w:p>
            <w:pPr/>
          </w:p>
        </w:tc>
        <w:tc>
          <w:tcPr>
            <w:tcW w:w="1344" w:type="dxa"/>
            <w:tcBorders>
              <w:left w:val="single" w:sz="4" w:space="0" w:color="000000"/>
              <w:right w:val="single" w:sz="4" w:space="0" w:color="000000"/>
            </w:tcBorders>
          </w:tcPr>
          <w:p>
            <w:pPr/>
          </w:p>
        </w:tc>
        <w:tc>
          <w:tcPr>
            <w:tcW w:w="969" w:type="dxa"/>
            <w:tcBorders>
              <w:left w:val="single" w:sz="4" w:space="0" w:color="000000"/>
              <w:right w:val="single" w:sz="4" w:space="0" w:color="000000"/>
            </w:tcBorders>
          </w:tcPr>
          <w:p>
            <w:pPr/>
          </w:p>
        </w:tc>
        <w:tc>
          <w:tcPr>
            <w:tcW w:w="969" w:type="dxa"/>
            <w:tcBorders>
              <w:left w:val="single" w:sz="4" w:space="0" w:color="000000"/>
              <w:right w:val="single" w:sz="4" w:space="0" w:color="000000"/>
            </w:tcBorders>
          </w:tcPr>
          <w:p>
            <w:pPr/>
          </w:p>
        </w:tc>
        <w:tc>
          <w:tcPr>
            <w:tcW w:w="1125" w:type="dxa"/>
            <w:tcBorders>
              <w:left w:val="single" w:sz="4" w:space="0" w:color="000000"/>
              <w:right w:val="single" w:sz="4" w:space="0" w:color="000000"/>
            </w:tcBorders>
          </w:tcPr>
          <w:p>
            <w:pPr/>
          </w:p>
        </w:tc>
        <w:tc>
          <w:tcPr>
            <w:tcW w:w="1480" w:type="dxa"/>
            <w:tcBorders>
              <w:left w:val="single" w:sz="4" w:space="0" w:color="000000"/>
              <w:right w:val="single" w:sz="4" w:space="0" w:color="000000"/>
            </w:tcBorders>
          </w:tcPr>
          <w:p>
            <w:pPr/>
          </w:p>
        </w:tc>
        <w:tc>
          <w:tcPr>
            <w:tcW w:w="1886" w:type="dxa"/>
            <w:tcBorders>
              <w:left w:val="single" w:sz="4" w:space="0" w:color="000000"/>
              <w:right w:val="single" w:sz="4" w:space="0" w:color="000000"/>
            </w:tcBorders>
          </w:tcPr>
          <w:p>
            <w:pPr/>
          </w:p>
        </w:tc>
        <w:tc>
          <w:tcPr>
            <w:tcW w:w="2761" w:type="dxa"/>
            <w:tcBorders>
              <w:left w:val="single" w:sz="4" w:space="0" w:color="000000"/>
              <w:right w:val="single" w:sz="4" w:space="0" w:color="000000"/>
            </w:tcBorders>
          </w:tcPr>
          <w:p>
            <w:pPr/>
          </w:p>
        </w:tc>
      </w:tr>
    </w:tbl>
    <w:p>
      <w:pPr>
        <w:spacing w:after="0"/>
        <w:sectPr>
          <w:pgSz w:w="15840" w:h="12240" w:orient="landscape"/>
          <w:pgMar w:top="1140" w:bottom="280" w:left="1880" w:right="2000"/>
        </w:sectPr>
      </w:pPr>
    </w:p>
    <w:p>
      <w:pPr>
        <w:pStyle w:val="BodyText"/>
        <w:spacing w:before="4"/>
        <w:rPr>
          <w:rFonts w:ascii="Times New Roman"/>
          <w:sz w:val="17"/>
        </w:rPr>
      </w:pPr>
    </w:p>
    <w:sectPr>
      <w:pgSz w:w="12240" w:h="15840"/>
      <w:pgMar w:top="1500" w:bottom="280" w:left="1720" w:right="17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Symbol">
    <w:altName w:val="Symbol"/>
    <w:charset w:val="2"/>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3">
    <w:multiLevelType w:val="hybridMultilevel"/>
    <w:lvl w:ilvl="0">
      <w:start w:val="1"/>
      <w:numFmt w:val="decimal"/>
      <w:lvlText w:val="%1."/>
      <w:lvlJc w:val="left"/>
      <w:pPr>
        <w:ind w:left="462" w:hanging="360"/>
        <w:jc w:val="left"/>
      </w:pPr>
      <w:rPr>
        <w:rFonts w:hint="default" w:ascii="Arial" w:hAnsi="Arial" w:eastAsia="Arial" w:cs="Arial"/>
        <w:spacing w:val="-33"/>
        <w:w w:val="99"/>
        <w:sz w:val="24"/>
        <w:szCs w:val="24"/>
      </w:rPr>
    </w:lvl>
    <w:lvl w:ilvl="1">
      <w:start w:val="1"/>
      <w:numFmt w:val="bullet"/>
      <w:lvlText w:val="•"/>
      <w:lvlJc w:val="left"/>
      <w:pPr>
        <w:ind w:left="1320" w:hanging="360"/>
      </w:pPr>
      <w:rPr>
        <w:rFonts w:hint="default"/>
      </w:rPr>
    </w:lvl>
    <w:lvl w:ilvl="2">
      <w:start w:val="1"/>
      <w:numFmt w:val="bullet"/>
      <w:lvlText w:val="•"/>
      <w:lvlJc w:val="left"/>
      <w:pPr>
        <w:ind w:left="2180" w:hanging="360"/>
      </w:pPr>
      <w:rPr>
        <w:rFonts w:hint="default"/>
      </w:rPr>
    </w:lvl>
    <w:lvl w:ilvl="3">
      <w:start w:val="1"/>
      <w:numFmt w:val="bullet"/>
      <w:lvlText w:val="•"/>
      <w:lvlJc w:val="left"/>
      <w:pPr>
        <w:ind w:left="3040" w:hanging="360"/>
      </w:pPr>
      <w:rPr>
        <w:rFonts w:hint="default"/>
      </w:rPr>
    </w:lvl>
    <w:lvl w:ilvl="4">
      <w:start w:val="1"/>
      <w:numFmt w:val="bullet"/>
      <w:lvlText w:val="•"/>
      <w:lvlJc w:val="left"/>
      <w:pPr>
        <w:ind w:left="3900" w:hanging="360"/>
      </w:pPr>
      <w:rPr>
        <w:rFonts w:hint="default"/>
      </w:rPr>
    </w:lvl>
    <w:lvl w:ilvl="5">
      <w:start w:val="1"/>
      <w:numFmt w:val="bullet"/>
      <w:lvlText w:val="•"/>
      <w:lvlJc w:val="left"/>
      <w:pPr>
        <w:ind w:left="4760" w:hanging="360"/>
      </w:pPr>
      <w:rPr>
        <w:rFonts w:hint="default"/>
      </w:rPr>
    </w:lvl>
    <w:lvl w:ilvl="6">
      <w:start w:val="1"/>
      <w:numFmt w:val="bullet"/>
      <w:lvlText w:val="•"/>
      <w:lvlJc w:val="left"/>
      <w:pPr>
        <w:ind w:left="5620" w:hanging="360"/>
      </w:pPr>
      <w:rPr>
        <w:rFonts w:hint="default"/>
      </w:rPr>
    </w:lvl>
    <w:lvl w:ilvl="7">
      <w:start w:val="1"/>
      <w:numFmt w:val="bullet"/>
      <w:lvlText w:val="•"/>
      <w:lvlJc w:val="left"/>
      <w:pPr>
        <w:ind w:left="6480" w:hanging="360"/>
      </w:pPr>
      <w:rPr>
        <w:rFonts w:hint="default"/>
      </w:rPr>
    </w:lvl>
    <w:lvl w:ilvl="8">
      <w:start w:val="1"/>
      <w:numFmt w:val="bullet"/>
      <w:lvlText w:val="•"/>
      <w:lvlJc w:val="left"/>
      <w:pPr>
        <w:ind w:left="7340" w:hanging="360"/>
      </w:pPr>
      <w:rPr>
        <w:rFonts w:hint="default"/>
      </w:rPr>
    </w:lvl>
  </w:abstractNum>
  <w:abstractNum w:abstractNumId="12">
    <w:multiLevelType w:val="hybridMultilevel"/>
    <w:lvl w:ilvl="0">
      <w:start w:val="23"/>
      <w:numFmt w:val="decimal"/>
      <w:lvlText w:val="%1"/>
      <w:lvlJc w:val="left"/>
      <w:pPr>
        <w:ind w:left="657" w:hanging="536"/>
        <w:jc w:val="left"/>
      </w:pPr>
      <w:rPr>
        <w:rFonts w:hint="default"/>
      </w:rPr>
    </w:lvl>
    <w:lvl w:ilvl="1">
      <w:start w:val="2"/>
      <w:numFmt w:val="decimal"/>
      <w:lvlText w:val="%1.%2"/>
      <w:lvlJc w:val="left"/>
      <w:pPr>
        <w:ind w:left="657" w:hanging="536"/>
        <w:jc w:val="left"/>
      </w:pPr>
      <w:rPr>
        <w:rFonts w:hint="default" w:ascii="Arial" w:hAnsi="Arial" w:eastAsia="Arial" w:cs="Arial"/>
        <w:w w:val="99"/>
        <w:sz w:val="24"/>
        <w:szCs w:val="24"/>
      </w:rPr>
    </w:lvl>
    <w:lvl w:ilvl="2">
      <w:start w:val="1"/>
      <w:numFmt w:val="bullet"/>
      <w:lvlText w:val="•"/>
      <w:lvlJc w:val="left"/>
      <w:pPr>
        <w:ind w:left="822" w:hanging="360"/>
      </w:pPr>
      <w:rPr>
        <w:rFonts w:hint="default" w:ascii="Arial" w:hAnsi="Arial" w:eastAsia="Arial" w:cs="Arial"/>
        <w:w w:val="99"/>
        <w:sz w:val="24"/>
        <w:szCs w:val="24"/>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11">
    <w:multiLevelType w:val="hybridMultilevel"/>
    <w:lvl w:ilvl="0">
      <w:start w:val="1"/>
      <w:numFmt w:val="bullet"/>
      <w:lvlText w:val="•"/>
      <w:lvlJc w:val="left"/>
      <w:pPr>
        <w:ind w:left="462" w:hanging="360"/>
      </w:pPr>
      <w:rPr>
        <w:rFonts w:hint="default" w:ascii="Arial" w:hAnsi="Arial" w:eastAsia="Arial" w:cs="Arial"/>
        <w:w w:val="99"/>
        <w:sz w:val="24"/>
        <w:szCs w:val="24"/>
      </w:rPr>
    </w:lvl>
    <w:lvl w:ilvl="1">
      <w:start w:val="1"/>
      <w:numFmt w:val="bullet"/>
      <w:lvlText w:val="•"/>
      <w:lvlJc w:val="left"/>
      <w:pPr>
        <w:ind w:left="1320" w:hanging="360"/>
      </w:pPr>
      <w:rPr>
        <w:rFonts w:hint="default"/>
      </w:rPr>
    </w:lvl>
    <w:lvl w:ilvl="2">
      <w:start w:val="1"/>
      <w:numFmt w:val="bullet"/>
      <w:lvlText w:val="•"/>
      <w:lvlJc w:val="left"/>
      <w:pPr>
        <w:ind w:left="2180" w:hanging="360"/>
      </w:pPr>
      <w:rPr>
        <w:rFonts w:hint="default"/>
      </w:rPr>
    </w:lvl>
    <w:lvl w:ilvl="3">
      <w:start w:val="1"/>
      <w:numFmt w:val="bullet"/>
      <w:lvlText w:val="•"/>
      <w:lvlJc w:val="left"/>
      <w:pPr>
        <w:ind w:left="3040" w:hanging="360"/>
      </w:pPr>
      <w:rPr>
        <w:rFonts w:hint="default"/>
      </w:rPr>
    </w:lvl>
    <w:lvl w:ilvl="4">
      <w:start w:val="1"/>
      <w:numFmt w:val="bullet"/>
      <w:lvlText w:val="•"/>
      <w:lvlJc w:val="left"/>
      <w:pPr>
        <w:ind w:left="3900" w:hanging="360"/>
      </w:pPr>
      <w:rPr>
        <w:rFonts w:hint="default"/>
      </w:rPr>
    </w:lvl>
    <w:lvl w:ilvl="5">
      <w:start w:val="1"/>
      <w:numFmt w:val="bullet"/>
      <w:lvlText w:val="•"/>
      <w:lvlJc w:val="left"/>
      <w:pPr>
        <w:ind w:left="4760" w:hanging="360"/>
      </w:pPr>
      <w:rPr>
        <w:rFonts w:hint="default"/>
      </w:rPr>
    </w:lvl>
    <w:lvl w:ilvl="6">
      <w:start w:val="1"/>
      <w:numFmt w:val="bullet"/>
      <w:lvlText w:val="•"/>
      <w:lvlJc w:val="left"/>
      <w:pPr>
        <w:ind w:left="5620" w:hanging="360"/>
      </w:pPr>
      <w:rPr>
        <w:rFonts w:hint="default"/>
      </w:rPr>
    </w:lvl>
    <w:lvl w:ilvl="7">
      <w:start w:val="1"/>
      <w:numFmt w:val="bullet"/>
      <w:lvlText w:val="•"/>
      <w:lvlJc w:val="left"/>
      <w:pPr>
        <w:ind w:left="6480" w:hanging="360"/>
      </w:pPr>
      <w:rPr>
        <w:rFonts w:hint="default"/>
      </w:rPr>
    </w:lvl>
    <w:lvl w:ilvl="8">
      <w:start w:val="1"/>
      <w:numFmt w:val="bullet"/>
      <w:lvlText w:val="•"/>
      <w:lvlJc w:val="left"/>
      <w:pPr>
        <w:ind w:left="7340" w:hanging="360"/>
      </w:pPr>
      <w:rPr>
        <w:rFonts w:hint="default"/>
      </w:rPr>
    </w:lvl>
  </w:abstractNum>
  <w:abstractNum w:abstractNumId="10">
    <w:multiLevelType w:val="hybridMultilevel"/>
    <w:lvl w:ilvl="0">
      <w:start w:val="1"/>
      <w:numFmt w:val="bullet"/>
      <w:lvlText w:val="•"/>
      <w:lvlJc w:val="left"/>
      <w:pPr>
        <w:ind w:left="702" w:hanging="360"/>
      </w:pPr>
      <w:rPr>
        <w:rFonts w:hint="default" w:ascii="Arial" w:hAnsi="Arial" w:eastAsia="Arial" w:cs="Arial"/>
        <w:w w:val="99"/>
        <w:sz w:val="24"/>
        <w:szCs w:val="24"/>
      </w:rPr>
    </w:lvl>
    <w:lvl w:ilvl="1">
      <w:start w:val="1"/>
      <w:numFmt w:val="bullet"/>
      <w:lvlText w:val="•"/>
      <w:lvlJc w:val="left"/>
      <w:pPr>
        <w:ind w:left="822" w:hanging="360"/>
      </w:pPr>
      <w:rPr>
        <w:rFonts w:hint="default" w:ascii="Arial" w:hAnsi="Arial" w:eastAsia="Arial" w:cs="Arial"/>
        <w:w w:val="99"/>
        <w:sz w:val="24"/>
        <w:szCs w:val="24"/>
      </w:rPr>
    </w:lvl>
    <w:lvl w:ilvl="2">
      <w:start w:val="1"/>
      <w:numFmt w:val="bullet"/>
      <w:lvlText w:val="•"/>
      <w:lvlJc w:val="left"/>
      <w:pPr>
        <w:ind w:left="1720" w:hanging="360"/>
      </w:pPr>
      <w:rPr>
        <w:rFonts w:hint="default"/>
      </w:rPr>
    </w:lvl>
    <w:lvl w:ilvl="3">
      <w:start w:val="1"/>
      <w:numFmt w:val="bullet"/>
      <w:lvlText w:val="•"/>
      <w:lvlJc w:val="left"/>
      <w:pPr>
        <w:ind w:left="2620" w:hanging="360"/>
      </w:pPr>
      <w:rPr>
        <w:rFonts w:hint="default"/>
      </w:rPr>
    </w:lvl>
    <w:lvl w:ilvl="4">
      <w:start w:val="1"/>
      <w:numFmt w:val="bullet"/>
      <w:lvlText w:val="•"/>
      <w:lvlJc w:val="left"/>
      <w:pPr>
        <w:ind w:left="3520" w:hanging="360"/>
      </w:pPr>
      <w:rPr>
        <w:rFonts w:hint="default"/>
      </w:rPr>
    </w:lvl>
    <w:lvl w:ilvl="5">
      <w:start w:val="1"/>
      <w:numFmt w:val="bullet"/>
      <w:lvlText w:val="•"/>
      <w:lvlJc w:val="left"/>
      <w:pPr>
        <w:ind w:left="4420" w:hanging="360"/>
      </w:pPr>
      <w:rPr>
        <w:rFonts w:hint="default"/>
      </w:rPr>
    </w:lvl>
    <w:lvl w:ilvl="6">
      <w:start w:val="1"/>
      <w:numFmt w:val="bullet"/>
      <w:lvlText w:val="•"/>
      <w:lvlJc w:val="left"/>
      <w:pPr>
        <w:ind w:left="5320" w:hanging="360"/>
      </w:pPr>
      <w:rPr>
        <w:rFonts w:hint="default"/>
      </w:rPr>
    </w:lvl>
    <w:lvl w:ilvl="7">
      <w:start w:val="1"/>
      <w:numFmt w:val="bullet"/>
      <w:lvlText w:val="•"/>
      <w:lvlJc w:val="left"/>
      <w:pPr>
        <w:ind w:left="6220" w:hanging="360"/>
      </w:pPr>
      <w:rPr>
        <w:rFonts w:hint="default"/>
      </w:rPr>
    </w:lvl>
    <w:lvl w:ilvl="8">
      <w:start w:val="1"/>
      <w:numFmt w:val="bullet"/>
      <w:lvlText w:val="•"/>
      <w:lvlJc w:val="left"/>
      <w:pPr>
        <w:ind w:left="7120" w:hanging="360"/>
      </w:pPr>
      <w:rPr>
        <w:rFonts w:hint="default"/>
      </w:rPr>
    </w:lvl>
  </w:abstractNum>
  <w:abstractNum w:abstractNumId="9">
    <w:multiLevelType w:val="hybridMultilevel"/>
    <w:lvl w:ilvl="0">
      <w:start w:val="1"/>
      <w:numFmt w:val="bullet"/>
      <w:lvlText w:val=""/>
      <w:lvlJc w:val="left"/>
      <w:pPr>
        <w:ind w:left="822" w:hanging="360"/>
      </w:pPr>
      <w:rPr>
        <w:rFonts w:hint="default" w:ascii="Symbol" w:hAnsi="Symbol" w:eastAsia="Symbol" w:cs="Symbol"/>
        <w:w w:val="100"/>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8">
    <w:multiLevelType w:val="hybridMultilevel"/>
    <w:lvl w:ilvl="0">
      <w:start w:val="1"/>
      <w:numFmt w:val="bullet"/>
      <w:lvlText w:val=""/>
      <w:lvlJc w:val="left"/>
      <w:pPr>
        <w:ind w:left="789" w:hanging="360"/>
      </w:pPr>
      <w:rPr>
        <w:rFonts w:hint="default" w:ascii="Symbol" w:hAnsi="Symbol" w:eastAsia="Symbol" w:cs="Symbol"/>
        <w:w w:val="99"/>
        <w:sz w:val="20"/>
        <w:szCs w:val="20"/>
      </w:rPr>
    </w:lvl>
    <w:lvl w:ilvl="1">
      <w:start w:val="1"/>
      <w:numFmt w:val="bullet"/>
      <w:lvlText w:val="•"/>
      <w:lvlJc w:val="left"/>
      <w:pPr>
        <w:ind w:left="963" w:hanging="360"/>
      </w:pPr>
      <w:rPr>
        <w:rFonts w:hint="default"/>
      </w:rPr>
    </w:lvl>
    <w:lvl w:ilvl="2">
      <w:start w:val="1"/>
      <w:numFmt w:val="bullet"/>
      <w:lvlText w:val="•"/>
      <w:lvlJc w:val="left"/>
      <w:pPr>
        <w:ind w:left="1146" w:hanging="360"/>
      </w:pPr>
      <w:rPr>
        <w:rFonts w:hint="default"/>
      </w:rPr>
    </w:lvl>
    <w:lvl w:ilvl="3">
      <w:start w:val="1"/>
      <w:numFmt w:val="bullet"/>
      <w:lvlText w:val="•"/>
      <w:lvlJc w:val="left"/>
      <w:pPr>
        <w:ind w:left="1330" w:hanging="360"/>
      </w:pPr>
      <w:rPr>
        <w:rFonts w:hint="default"/>
      </w:rPr>
    </w:lvl>
    <w:lvl w:ilvl="4">
      <w:start w:val="1"/>
      <w:numFmt w:val="bullet"/>
      <w:lvlText w:val="•"/>
      <w:lvlJc w:val="left"/>
      <w:pPr>
        <w:ind w:left="1513" w:hanging="360"/>
      </w:pPr>
      <w:rPr>
        <w:rFonts w:hint="default"/>
      </w:rPr>
    </w:lvl>
    <w:lvl w:ilvl="5">
      <w:start w:val="1"/>
      <w:numFmt w:val="bullet"/>
      <w:lvlText w:val="•"/>
      <w:lvlJc w:val="left"/>
      <w:pPr>
        <w:ind w:left="1697" w:hanging="360"/>
      </w:pPr>
      <w:rPr>
        <w:rFonts w:hint="default"/>
      </w:rPr>
    </w:lvl>
    <w:lvl w:ilvl="6">
      <w:start w:val="1"/>
      <w:numFmt w:val="bullet"/>
      <w:lvlText w:val="•"/>
      <w:lvlJc w:val="left"/>
      <w:pPr>
        <w:ind w:left="1880" w:hanging="360"/>
      </w:pPr>
      <w:rPr>
        <w:rFonts w:hint="default"/>
      </w:rPr>
    </w:lvl>
    <w:lvl w:ilvl="7">
      <w:start w:val="1"/>
      <w:numFmt w:val="bullet"/>
      <w:lvlText w:val="•"/>
      <w:lvlJc w:val="left"/>
      <w:pPr>
        <w:ind w:left="2063" w:hanging="360"/>
      </w:pPr>
      <w:rPr>
        <w:rFonts w:hint="default"/>
      </w:rPr>
    </w:lvl>
    <w:lvl w:ilvl="8">
      <w:start w:val="1"/>
      <w:numFmt w:val="bullet"/>
      <w:lvlText w:val="•"/>
      <w:lvlJc w:val="left"/>
      <w:pPr>
        <w:ind w:left="2247" w:hanging="360"/>
      </w:pPr>
      <w:rPr>
        <w:rFonts w:hint="default"/>
      </w:rPr>
    </w:lvl>
  </w:abstractNum>
  <w:abstractNum w:abstractNumId="7">
    <w:multiLevelType w:val="hybridMultilevel"/>
    <w:lvl w:ilvl="0">
      <w:start w:val="1"/>
      <w:numFmt w:val="bullet"/>
      <w:lvlText w:val=""/>
      <w:lvlJc w:val="left"/>
      <w:pPr>
        <w:ind w:left="789" w:hanging="360"/>
      </w:pPr>
      <w:rPr>
        <w:rFonts w:hint="default" w:ascii="Symbol" w:hAnsi="Symbol" w:eastAsia="Symbol" w:cs="Symbol"/>
        <w:w w:val="99"/>
        <w:sz w:val="20"/>
        <w:szCs w:val="20"/>
      </w:rPr>
    </w:lvl>
    <w:lvl w:ilvl="1">
      <w:start w:val="1"/>
      <w:numFmt w:val="bullet"/>
      <w:lvlText w:val="•"/>
      <w:lvlJc w:val="left"/>
      <w:pPr>
        <w:ind w:left="963" w:hanging="360"/>
      </w:pPr>
      <w:rPr>
        <w:rFonts w:hint="default"/>
      </w:rPr>
    </w:lvl>
    <w:lvl w:ilvl="2">
      <w:start w:val="1"/>
      <w:numFmt w:val="bullet"/>
      <w:lvlText w:val="•"/>
      <w:lvlJc w:val="left"/>
      <w:pPr>
        <w:ind w:left="1146" w:hanging="360"/>
      </w:pPr>
      <w:rPr>
        <w:rFonts w:hint="default"/>
      </w:rPr>
    </w:lvl>
    <w:lvl w:ilvl="3">
      <w:start w:val="1"/>
      <w:numFmt w:val="bullet"/>
      <w:lvlText w:val="•"/>
      <w:lvlJc w:val="left"/>
      <w:pPr>
        <w:ind w:left="1330" w:hanging="360"/>
      </w:pPr>
      <w:rPr>
        <w:rFonts w:hint="default"/>
      </w:rPr>
    </w:lvl>
    <w:lvl w:ilvl="4">
      <w:start w:val="1"/>
      <w:numFmt w:val="bullet"/>
      <w:lvlText w:val="•"/>
      <w:lvlJc w:val="left"/>
      <w:pPr>
        <w:ind w:left="1513" w:hanging="360"/>
      </w:pPr>
      <w:rPr>
        <w:rFonts w:hint="default"/>
      </w:rPr>
    </w:lvl>
    <w:lvl w:ilvl="5">
      <w:start w:val="1"/>
      <w:numFmt w:val="bullet"/>
      <w:lvlText w:val="•"/>
      <w:lvlJc w:val="left"/>
      <w:pPr>
        <w:ind w:left="1697" w:hanging="360"/>
      </w:pPr>
      <w:rPr>
        <w:rFonts w:hint="default"/>
      </w:rPr>
    </w:lvl>
    <w:lvl w:ilvl="6">
      <w:start w:val="1"/>
      <w:numFmt w:val="bullet"/>
      <w:lvlText w:val="•"/>
      <w:lvlJc w:val="left"/>
      <w:pPr>
        <w:ind w:left="1880" w:hanging="360"/>
      </w:pPr>
      <w:rPr>
        <w:rFonts w:hint="default"/>
      </w:rPr>
    </w:lvl>
    <w:lvl w:ilvl="7">
      <w:start w:val="1"/>
      <w:numFmt w:val="bullet"/>
      <w:lvlText w:val="•"/>
      <w:lvlJc w:val="left"/>
      <w:pPr>
        <w:ind w:left="2063" w:hanging="360"/>
      </w:pPr>
      <w:rPr>
        <w:rFonts w:hint="default"/>
      </w:rPr>
    </w:lvl>
    <w:lvl w:ilvl="8">
      <w:start w:val="1"/>
      <w:numFmt w:val="bullet"/>
      <w:lvlText w:val="•"/>
      <w:lvlJc w:val="left"/>
      <w:pPr>
        <w:ind w:left="2247" w:hanging="360"/>
      </w:pPr>
      <w:rPr>
        <w:rFonts w:hint="default"/>
      </w:rPr>
    </w:lvl>
  </w:abstractNum>
  <w:abstractNum w:abstractNumId="6">
    <w:multiLevelType w:val="hybridMultilevel"/>
    <w:lvl w:ilvl="0">
      <w:start w:val="1"/>
      <w:numFmt w:val="bullet"/>
      <w:lvlText w:val="•"/>
      <w:lvlJc w:val="left"/>
      <w:pPr>
        <w:ind w:left="462" w:hanging="360"/>
      </w:pPr>
      <w:rPr>
        <w:rFonts w:hint="default" w:ascii="Arial" w:hAnsi="Arial" w:eastAsia="Arial" w:cs="Arial"/>
        <w:w w:val="99"/>
        <w:sz w:val="24"/>
        <w:szCs w:val="24"/>
      </w:rPr>
    </w:lvl>
    <w:lvl w:ilvl="1">
      <w:start w:val="1"/>
      <w:numFmt w:val="bullet"/>
      <w:lvlText w:val="•"/>
      <w:lvlJc w:val="left"/>
      <w:pPr>
        <w:ind w:left="1418" w:hanging="360"/>
      </w:pPr>
      <w:rPr>
        <w:rFonts w:hint="default"/>
      </w:rPr>
    </w:lvl>
    <w:lvl w:ilvl="2">
      <w:start w:val="1"/>
      <w:numFmt w:val="bullet"/>
      <w:lvlText w:val="•"/>
      <w:lvlJc w:val="left"/>
      <w:pPr>
        <w:ind w:left="2376" w:hanging="360"/>
      </w:pPr>
      <w:rPr>
        <w:rFonts w:hint="default"/>
      </w:rPr>
    </w:lvl>
    <w:lvl w:ilvl="3">
      <w:start w:val="1"/>
      <w:numFmt w:val="bullet"/>
      <w:lvlText w:val="•"/>
      <w:lvlJc w:val="left"/>
      <w:pPr>
        <w:ind w:left="3334" w:hanging="360"/>
      </w:pPr>
      <w:rPr>
        <w:rFonts w:hint="default"/>
      </w:rPr>
    </w:lvl>
    <w:lvl w:ilvl="4">
      <w:start w:val="1"/>
      <w:numFmt w:val="bullet"/>
      <w:lvlText w:val="•"/>
      <w:lvlJc w:val="left"/>
      <w:pPr>
        <w:ind w:left="4292" w:hanging="360"/>
      </w:pPr>
      <w:rPr>
        <w:rFonts w:hint="default"/>
      </w:rPr>
    </w:lvl>
    <w:lvl w:ilvl="5">
      <w:start w:val="1"/>
      <w:numFmt w:val="bullet"/>
      <w:lvlText w:val="•"/>
      <w:lvlJc w:val="left"/>
      <w:pPr>
        <w:ind w:left="5250" w:hanging="360"/>
      </w:pPr>
      <w:rPr>
        <w:rFonts w:hint="default"/>
      </w:rPr>
    </w:lvl>
    <w:lvl w:ilvl="6">
      <w:start w:val="1"/>
      <w:numFmt w:val="bullet"/>
      <w:lvlText w:val="•"/>
      <w:lvlJc w:val="left"/>
      <w:pPr>
        <w:ind w:left="6208" w:hanging="360"/>
      </w:pPr>
      <w:rPr>
        <w:rFonts w:hint="default"/>
      </w:rPr>
    </w:lvl>
    <w:lvl w:ilvl="7">
      <w:start w:val="1"/>
      <w:numFmt w:val="bullet"/>
      <w:lvlText w:val="•"/>
      <w:lvlJc w:val="left"/>
      <w:pPr>
        <w:ind w:left="7166" w:hanging="360"/>
      </w:pPr>
      <w:rPr>
        <w:rFonts w:hint="default"/>
      </w:rPr>
    </w:lvl>
    <w:lvl w:ilvl="8">
      <w:start w:val="1"/>
      <w:numFmt w:val="bullet"/>
      <w:lvlText w:val="•"/>
      <w:lvlJc w:val="left"/>
      <w:pPr>
        <w:ind w:left="8124" w:hanging="360"/>
      </w:pPr>
      <w:rPr>
        <w:rFonts w:hint="default"/>
      </w:rPr>
    </w:lvl>
  </w:abstractNum>
  <w:abstractNum w:abstractNumId="5">
    <w:multiLevelType w:val="hybridMultilevel"/>
    <w:lvl w:ilvl="0">
      <w:start w:val="1"/>
      <w:numFmt w:val="decimal"/>
      <w:lvlText w:val="%1."/>
      <w:lvlJc w:val="left"/>
      <w:pPr>
        <w:ind w:left="822" w:hanging="360"/>
        <w:jc w:val="left"/>
      </w:pPr>
      <w:rPr>
        <w:rFonts w:hint="default" w:ascii="Arial" w:hAnsi="Arial" w:eastAsia="Arial" w:cs="Arial"/>
        <w:w w:val="99"/>
        <w:sz w:val="24"/>
        <w:szCs w:val="24"/>
      </w:rPr>
    </w:lvl>
    <w:lvl w:ilvl="1">
      <w:start w:val="1"/>
      <w:numFmt w:val="bullet"/>
      <w:lvlText w:val=""/>
      <w:lvlJc w:val="left"/>
      <w:pPr>
        <w:ind w:left="1530" w:hanging="360"/>
      </w:pPr>
      <w:rPr>
        <w:rFonts w:hint="default" w:ascii="Symbol" w:hAnsi="Symbol" w:eastAsia="Symbol" w:cs="Symbol"/>
        <w:w w:val="100"/>
        <w:sz w:val="24"/>
        <w:szCs w:val="24"/>
      </w:rPr>
    </w:lvl>
    <w:lvl w:ilvl="2">
      <w:start w:val="1"/>
      <w:numFmt w:val="bullet"/>
      <w:lvlText w:val=""/>
      <w:lvlJc w:val="left"/>
      <w:pPr>
        <w:ind w:left="1890" w:hanging="360"/>
      </w:pPr>
      <w:rPr>
        <w:rFonts w:hint="default" w:ascii="Symbol" w:hAnsi="Symbol" w:eastAsia="Symbol" w:cs="Symbol"/>
        <w:w w:val="100"/>
        <w:sz w:val="24"/>
        <w:szCs w:val="24"/>
      </w:rPr>
    </w:lvl>
    <w:lvl w:ilvl="3">
      <w:start w:val="1"/>
      <w:numFmt w:val="bullet"/>
      <w:lvlText w:val="•"/>
      <w:lvlJc w:val="left"/>
      <w:pPr>
        <w:ind w:left="2795" w:hanging="360"/>
      </w:pPr>
      <w:rPr>
        <w:rFonts w:hint="default"/>
      </w:rPr>
    </w:lvl>
    <w:lvl w:ilvl="4">
      <w:start w:val="1"/>
      <w:numFmt w:val="bullet"/>
      <w:lvlText w:val="•"/>
      <w:lvlJc w:val="left"/>
      <w:pPr>
        <w:ind w:left="3690" w:hanging="360"/>
      </w:pPr>
      <w:rPr>
        <w:rFonts w:hint="default"/>
      </w:rPr>
    </w:lvl>
    <w:lvl w:ilvl="5">
      <w:start w:val="1"/>
      <w:numFmt w:val="bullet"/>
      <w:lvlText w:val="•"/>
      <w:lvlJc w:val="left"/>
      <w:pPr>
        <w:ind w:left="4585" w:hanging="360"/>
      </w:pPr>
      <w:rPr>
        <w:rFonts w:hint="default"/>
      </w:rPr>
    </w:lvl>
    <w:lvl w:ilvl="6">
      <w:start w:val="1"/>
      <w:numFmt w:val="bullet"/>
      <w:lvlText w:val="•"/>
      <w:lvlJc w:val="left"/>
      <w:pPr>
        <w:ind w:left="5480" w:hanging="360"/>
      </w:pPr>
      <w:rPr>
        <w:rFonts w:hint="default"/>
      </w:rPr>
    </w:lvl>
    <w:lvl w:ilvl="7">
      <w:start w:val="1"/>
      <w:numFmt w:val="bullet"/>
      <w:lvlText w:val="•"/>
      <w:lvlJc w:val="left"/>
      <w:pPr>
        <w:ind w:left="6375" w:hanging="360"/>
      </w:pPr>
      <w:rPr>
        <w:rFonts w:hint="default"/>
      </w:rPr>
    </w:lvl>
    <w:lvl w:ilvl="8">
      <w:start w:val="1"/>
      <w:numFmt w:val="bullet"/>
      <w:lvlText w:val="•"/>
      <w:lvlJc w:val="left"/>
      <w:pPr>
        <w:ind w:left="7270" w:hanging="360"/>
      </w:pPr>
      <w:rPr>
        <w:rFonts w:hint="default"/>
      </w:rPr>
    </w:lvl>
  </w:abstractNum>
  <w:abstractNum w:abstractNumId="4">
    <w:multiLevelType w:val="hybridMultilevel"/>
    <w:lvl w:ilvl="0">
      <w:start w:val="1"/>
      <w:numFmt w:val="lowerLetter"/>
      <w:lvlText w:val="%1."/>
      <w:lvlJc w:val="left"/>
      <w:pPr>
        <w:ind w:left="822" w:hanging="360"/>
        <w:jc w:val="left"/>
      </w:pPr>
      <w:rPr>
        <w:rFonts w:hint="default" w:ascii="Arial" w:hAnsi="Arial" w:eastAsia="Arial" w:cs="Arial"/>
        <w:spacing w:val="-3"/>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3">
    <w:multiLevelType w:val="hybridMultilevel"/>
    <w:lvl w:ilvl="0">
      <w:start w:val="1"/>
      <w:numFmt w:val="decimal"/>
      <w:lvlText w:val="%1."/>
      <w:lvlJc w:val="left"/>
      <w:pPr>
        <w:ind w:left="102" w:hanging="317"/>
        <w:jc w:val="left"/>
      </w:pPr>
      <w:rPr>
        <w:rFonts w:hint="default" w:ascii="Arial" w:hAnsi="Arial" w:eastAsia="Arial" w:cs="Arial"/>
        <w:color w:val="202020"/>
        <w:w w:val="99"/>
        <w:sz w:val="24"/>
        <w:szCs w:val="24"/>
      </w:rPr>
    </w:lvl>
    <w:lvl w:ilvl="1">
      <w:start w:val="1"/>
      <w:numFmt w:val="bullet"/>
      <w:lvlText w:val="•"/>
      <w:lvlJc w:val="left"/>
      <w:pPr>
        <w:ind w:left="822" w:hanging="360"/>
      </w:pPr>
      <w:rPr>
        <w:rFonts w:hint="default" w:ascii="Arial" w:hAnsi="Arial" w:eastAsia="Arial" w:cs="Arial"/>
        <w:w w:val="99"/>
        <w:sz w:val="24"/>
        <w:szCs w:val="24"/>
      </w:rPr>
    </w:lvl>
    <w:lvl w:ilvl="2">
      <w:start w:val="1"/>
      <w:numFmt w:val="bullet"/>
      <w:lvlText w:val="•"/>
      <w:lvlJc w:val="left"/>
      <w:pPr>
        <w:ind w:left="1735" w:hanging="360"/>
      </w:pPr>
      <w:rPr>
        <w:rFonts w:hint="default"/>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2">
    <w:multiLevelType w:val="hybridMultilevel"/>
    <w:lvl w:ilvl="0">
      <w:start w:val="1"/>
      <w:numFmt w:val="upperRoman"/>
      <w:lvlText w:val="%1."/>
      <w:lvlJc w:val="left"/>
      <w:pPr>
        <w:ind w:left="302" w:hanging="201"/>
        <w:jc w:val="left"/>
      </w:pPr>
      <w:rPr>
        <w:rFonts w:hint="default" w:ascii="Arial" w:hAnsi="Arial" w:eastAsia="Arial" w:cs="Arial"/>
        <w:b/>
        <w:bCs/>
        <w:spacing w:val="-2"/>
        <w:w w:val="99"/>
        <w:sz w:val="24"/>
        <w:szCs w:val="24"/>
      </w:rPr>
    </w:lvl>
    <w:lvl w:ilvl="1">
      <w:start w:val="1"/>
      <w:numFmt w:val="upperRoman"/>
      <w:lvlText w:val="%2."/>
      <w:lvlJc w:val="left"/>
      <w:pPr>
        <w:ind w:left="1182" w:hanging="720"/>
        <w:jc w:val="right"/>
      </w:pPr>
      <w:rPr>
        <w:rFonts w:hint="default"/>
        <w:b/>
        <w:bCs/>
        <w:spacing w:val="0"/>
        <w:w w:val="100"/>
      </w:rPr>
    </w:lvl>
    <w:lvl w:ilvl="2">
      <w:start w:val="1"/>
      <w:numFmt w:val="lowerLetter"/>
      <w:lvlText w:val="%3)"/>
      <w:lvlJc w:val="left"/>
      <w:pPr>
        <w:ind w:left="822" w:hanging="360"/>
        <w:jc w:val="left"/>
      </w:pPr>
      <w:rPr>
        <w:rFonts w:hint="default" w:ascii="Arial" w:hAnsi="Arial" w:eastAsia="Arial" w:cs="Arial"/>
        <w:w w:val="99"/>
        <w:sz w:val="24"/>
        <w:szCs w:val="24"/>
      </w:rPr>
    </w:lvl>
    <w:lvl w:ilvl="3">
      <w:start w:val="1"/>
      <w:numFmt w:val="bullet"/>
      <w:lvlText w:val="•"/>
      <w:lvlJc w:val="left"/>
      <w:pPr>
        <w:ind w:left="2165" w:hanging="360"/>
      </w:pPr>
      <w:rPr>
        <w:rFonts w:hint="default"/>
      </w:rPr>
    </w:lvl>
    <w:lvl w:ilvl="4">
      <w:start w:val="1"/>
      <w:numFmt w:val="bullet"/>
      <w:lvlText w:val="•"/>
      <w:lvlJc w:val="left"/>
      <w:pPr>
        <w:ind w:left="3150" w:hanging="360"/>
      </w:pPr>
      <w:rPr>
        <w:rFonts w:hint="default"/>
      </w:rPr>
    </w:lvl>
    <w:lvl w:ilvl="5">
      <w:start w:val="1"/>
      <w:numFmt w:val="bullet"/>
      <w:lvlText w:val="•"/>
      <w:lvlJc w:val="left"/>
      <w:pPr>
        <w:ind w:left="4135" w:hanging="360"/>
      </w:pPr>
      <w:rPr>
        <w:rFonts w:hint="default"/>
      </w:rPr>
    </w:lvl>
    <w:lvl w:ilvl="6">
      <w:start w:val="1"/>
      <w:numFmt w:val="bullet"/>
      <w:lvlText w:val="•"/>
      <w:lvlJc w:val="left"/>
      <w:pPr>
        <w:ind w:left="5120" w:hanging="360"/>
      </w:pPr>
      <w:rPr>
        <w:rFonts w:hint="default"/>
      </w:rPr>
    </w:lvl>
    <w:lvl w:ilvl="7">
      <w:start w:val="1"/>
      <w:numFmt w:val="bullet"/>
      <w:lvlText w:val="•"/>
      <w:lvlJc w:val="left"/>
      <w:pPr>
        <w:ind w:left="6105" w:hanging="360"/>
      </w:pPr>
      <w:rPr>
        <w:rFonts w:hint="default"/>
      </w:rPr>
    </w:lvl>
    <w:lvl w:ilvl="8">
      <w:start w:val="1"/>
      <w:numFmt w:val="bullet"/>
      <w:lvlText w:val="•"/>
      <w:lvlJc w:val="left"/>
      <w:pPr>
        <w:ind w:left="7090" w:hanging="360"/>
      </w:pPr>
      <w:rPr>
        <w:rFonts w:hint="default"/>
      </w:rPr>
    </w:lvl>
  </w:abstractNum>
  <w:abstractNum w:abstractNumId="1">
    <w:multiLevelType w:val="hybridMultilevel"/>
    <w:lvl w:ilvl="0">
      <w:start w:val="8"/>
      <w:numFmt w:val="upperRoman"/>
      <w:lvlText w:val="%1."/>
      <w:lvlJc w:val="left"/>
      <w:pPr>
        <w:ind w:left="629" w:hanging="430"/>
        <w:jc w:val="left"/>
      </w:pPr>
      <w:rPr>
        <w:rFonts w:hint="default" w:ascii="Arial" w:hAnsi="Arial" w:eastAsia="Arial" w:cs="Arial"/>
        <w:w w:val="100"/>
        <w:sz w:val="24"/>
        <w:szCs w:val="24"/>
      </w:rPr>
    </w:lvl>
    <w:lvl w:ilvl="1">
      <w:start w:val="1"/>
      <w:numFmt w:val="bullet"/>
      <w:lvlText w:val="•"/>
      <w:lvlJc w:val="left"/>
      <w:pPr>
        <w:ind w:left="1197" w:hanging="430"/>
      </w:pPr>
      <w:rPr>
        <w:rFonts w:hint="default"/>
      </w:rPr>
    </w:lvl>
    <w:lvl w:ilvl="2">
      <w:start w:val="1"/>
      <w:numFmt w:val="bullet"/>
      <w:lvlText w:val="•"/>
      <w:lvlJc w:val="left"/>
      <w:pPr>
        <w:ind w:left="1775" w:hanging="430"/>
      </w:pPr>
      <w:rPr>
        <w:rFonts w:hint="default"/>
      </w:rPr>
    </w:lvl>
    <w:lvl w:ilvl="3">
      <w:start w:val="1"/>
      <w:numFmt w:val="bullet"/>
      <w:lvlText w:val="•"/>
      <w:lvlJc w:val="left"/>
      <w:pPr>
        <w:ind w:left="2352" w:hanging="430"/>
      </w:pPr>
      <w:rPr>
        <w:rFonts w:hint="default"/>
      </w:rPr>
    </w:lvl>
    <w:lvl w:ilvl="4">
      <w:start w:val="1"/>
      <w:numFmt w:val="bullet"/>
      <w:lvlText w:val="•"/>
      <w:lvlJc w:val="left"/>
      <w:pPr>
        <w:ind w:left="2930" w:hanging="430"/>
      </w:pPr>
      <w:rPr>
        <w:rFonts w:hint="default"/>
      </w:rPr>
    </w:lvl>
    <w:lvl w:ilvl="5">
      <w:start w:val="1"/>
      <w:numFmt w:val="bullet"/>
      <w:lvlText w:val="•"/>
      <w:lvlJc w:val="left"/>
      <w:pPr>
        <w:ind w:left="3507" w:hanging="430"/>
      </w:pPr>
      <w:rPr>
        <w:rFonts w:hint="default"/>
      </w:rPr>
    </w:lvl>
    <w:lvl w:ilvl="6">
      <w:start w:val="1"/>
      <w:numFmt w:val="bullet"/>
      <w:lvlText w:val="•"/>
      <w:lvlJc w:val="left"/>
      <w:pPr>
        <w:ind w:left="4085" w:hanging="430"/>
      </w:pPr>
      <w:rPr>
        <w:rFonts w:hint="default"/>
      </w:rPr>
    </w:lvl>
    <w:lvl w:ilvl="7">
      <w:start w:val="1"/>
      <w:numFmt w:val="bullet"/>
      <w:lvlText w:val="•"/>
      <w:lvlJc w:val="left"/>
      <w:pPr>
        <w:ind w:left="4663" w:hanging="430"/>
      </w:pPr>
      <w:rPr>
        <w:rFonts w:hint="default"/>
      </w:rPr>
    </w:lvl>
    <w:lvl w:ilvl="8">
      <w:start w:val="1"/>
      <w:numFmt w:val="bullet"/>
      <w:lvlText w:val="•"/>
      <w:lvlJc w:val="left"/>
      <w:pPr>
        <w:ind w:left="5240" w:hanging="430"/>
      </w:pPr>
      <w:rPr>
        <w:rFonts w:hint="default"/>
      </w:rPr>
    </w:lvl>
  </w:abstractNum>
  <w:abstractNum w:abstractNumId="0">
    <w:multiLevelType w:val="hybridMultilevel"/>
    <w:lvl w:ilvl="0">
      <w:start w:val="1"/>
      <w:numFmt w:val="upperRoman"/>
      <w:lvlText w:val="%1."/>
      <w:lvlJc w:val="left"/>
      <w:pPr>
        <w:ind w:left="334" w:hanging="135"/>
        <w:jc w:val="left"/>
      </w:pPr>
      <w:rPr>
        <w:rFonts w:hint="default" w:ascii="Arial" w:hAnsi="Arial" w:eastAsia="Arial" w:cs="Arial"/>
        <w:w w:val="100"/>
        <w:sz w:val="24"/>
        <w:szCs w:val="24"/>
      </w:rPr>
    </w:lvl>
    <w:lvl w:ilvl="1">
      <w:start w:val="1"/>
      <w:numFmt w:val="bullet"/>
      <w:lvlText w:val="•"/>
      <w:lvlJc w:val="left"/>
      <w:pPr>
        <w:ind w:left="945" w:hanging="135"/>
      </w:pPr>
      <w:rPr>
        <w:rFonts w:hint="default"/>
      </w:rPr>
    </w:lvl>
    <w:lvl w:ilvl="2">
      <w:start w:val="1"/>
      <w:numFmt w:val="bullet"/>
      <w:lvlText w:val="•"/>
      <w:lvlJc w:val="left"/>
      <w:pPr>
        <w:ind w:left="1551" w:hanging="135"/>
      </w:pPr>
      <w:rPr>
        <w:rFonts w:hint="default"/>
      </w:rPr>
    </w:lvl>
    <w:lvl w:ilvl="3">
      <w:start w:val="1"/>
      <w:numFmt w:val="bullet"/>
      <w:lvlText w:val="•"/>
      <w:lvlJc w:val="left"/>
      <w:pPr>
        <w:ind w:left="2156" w:hanging="135"/>
      </w:pPr>
      <w:rPr>
        <w:rFonts w:hint="default"/>
      </w:rPr>
    </w:lvl>
    <w:lvl w:ilvl="4">
      <w:start w:val="1"/>
      <w:numFmt w:val="bullet"/>
      <w:lvlText w:val="•"/>
      <w:lvlJc w:val="left"/>
      <w:pPr>
        <w:ind w:left="2762" w:hanging="135"/>
      </w:pPr>
      <w:rPr>
        <w:rFonts w:hint="default"/>
      </w:rPr>
    </w:lvl>
    <w:lvl w:ilvl="5">
      <w:start w:val="1"/>
      <w:numFmt w:val="bullet"/>
      <w:lvlText w:val="•"/>
      <w:lvlJc w:val="left"/>
      <w:pPr>
        <w:ind w:left="3367" w:hanging="135"/>
      </w:pPr>
      <w:rPr>
        <w:rFonts w:hint="default"/>
      </w:rPr>
    </w:lvl>
    <w:lvl w:ilvl="6">
      <w:start w:val="1"/>
      <w:numFmt w:val="bullet"/>
      <w:lvlText w:val="•"/>
      <w:lvlJc w:val="left"/>
      <w:pPr>
        <w:ind w:left="3973" w:hanging="135"/>
      </w:pPr>
      <w:rPr>
        <w:rFonts w:hint="default"/>
      </w:rPr>
    </w:lvl>
    <w:lvl w:ilvl="7">
      <w:start w:val="1"/>
      <w:numFmt w:val="bullet"/>
      <w:lvlText w:val="•"/>
      <w:lvlJc w:val="left"/>
      <w:pPr>
        <w:ind w:left="4579" w:hanging="135"/>
      </w:pPr>
      <w:rPr>
        <w:rFonts w:hint="default"/>
      </w:rPr>
    </w:lvl>
    <w:lvl w:ilvl="8">
      <w:start w:val="1"/>
      <w:numFmt w:val="bullet"/>
      <w:lvlText w:val="•"/>
      <w:lvlJc w:val="left"/>
      <w:pPr>
        <w:ind w:left="5184" w:hanging="135"/>
      </w:pPr>
      <w:rPr>
        <w:rFonts w:hint="default"/>
      </w:rPr>
    </w:lvl>
  </w:abstract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ind w:left="102"/>
      <w:outlineLvl w:val="1"/>
    </w:pPr>
    <w:rPr>
      <w:rFonts w:ascii="Arial" w:hAnsi="Arial" w:eastAsia="Arial" w:cs="Arial"/>
      <w:b/>
      <w:bCs/>
      <w:sz w:val="24"/>
      <w:szCs w:val="24"/>
    </w:rPr>
  </w:style>
  <w:style w:styleId="ListParagraph" w:type="paragraph">
    <w:name w:val="List Paragraph"/>
    <w:basedOn w:val="Normal"/>
    <w:uiPriority w:val="1"/>
    <w:qFormat/>
    <w:pPr>
      <w:spacing w:before="5"/>
      <w:ind w:left="462" w:hanging="360"/>
      <w:jc w:val="both"/>
    </w:pPr>
    <w:rPr>
      <w:rFonts w:ascii="Arial" w:hAnsi="Arial" w:eastAsia="Arial" w:cs="Arial"/>
    </w:rPr>
  </w:style>
  <w:style w:styleId="TableParagraph" w:type="paragraph">
    <w:name w:val="Table Paragraph"/>
    <w:basedOn w:val="Normal"/>
    <w:uiPriority w:val="1"/>
    <w:qForma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jpe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hyperlink" Target="http://dx.doi.org/10.1016/j.prrv.2015.02.005" TargetMode="External"/><Relationship Id="rId22" Type="http://schemas.openxmlformats.org/officeDocument/2006/relationships/hyperlink" Target="http://dx.doi.org/10.1016/j.earlhumdev.2014.09.017" TargetMode="External"/><Relationship Id="rId23" Type="http://schemas.openxmlformats.org/officeDocument/2006/relationships/hyperlink" Target="http://dx.doi.org/10.1016/j.jpedsurg.2015.06.019" TargetMode="External"/><Relationship Id="rId24" Type="http://schemas.openxmlformats.org/officeDocument/2006/relationships/hyperlink" Target="http://dx.doi.org/10.1016/j.earlhumdev.2014.09.016" TargetMode="External"/><Relationship Id="rId25" Type="http://schemas.openxmlformats.org/officeDocument/2006/relationships/hyperlink" Target="http://dx.doi.org/10.1016/j.jpedsurg.2015.08.066" TargetMode="External"/><Relationship Id="rId2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Nuri González Ocampo</dc:creator>
  <dcterms:created xsi:type="dcterms:W3CDTF">2017-05-20T02:48:48Z</dcterms:created>
  <dcterms:modified xsi:type="dcterms:W3CDTF">2017-05-20T02:48:48Z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2017-04-19T00:00:00Z</vt:filetime>
  </property>
  <property fmtid="{D5CDD505-2E9C-101B-9397-08002B2CF9AE}" pid="3" name="Creator">
    <vt:lpwstr>Microsoft® Word 2013</vt:lpwstr>
  </property>
  <property fmtid="{D5CDD505-2E9C-101B-9397-08002B2CF9AE}" pid="4" name="LastSaved">
    <vt:filetime>2017-05-20T00:00:00Z</vt:filetime>
  </property>
</Properties>
</file>