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B518E0A" w14:textId="72C2CE80" w:rsidR="009F2A48" w:rsidRPr="000F63B6" w:rsidRDefault="00AF3341" w:rsidP="009F2A48">
      <w:pPr>
        <w:jc w:val="center"/>
        <w:rPr>
          <w:rFonts w:ascii="Times New Roman" w:eastAsia="Times New Roman" w:hAnsi="Times New Roman" w:cs="Times New Roman"/>
          <w:b/>
          <w:bCs/>
          <w:i/>
          <w:iCs/>
          <w:sz w:val="32"/>
          <w:szCs w:val="28"/>
        </w:rPr>
      </w:pPr>
      <w:r w:rsidRPr="00AF3341">
        <w:rPr>
          <w:rFonts w:ascii="Times New Roman" w:eastAsia="Times New Roman" w:hAnsi="Times New Roman" w:cs="Times New Roman"/>
          <w:b/>
          <w:bCs/>
          <w:sz w:val="32"/>
          <w:szCs w:val="28"/>
        </w:rPr>
        <w:t>Evaluación</w:t>
      </w:r>
      <w:r w:rsidRPr="00AF3341">
        <w:rPr>
          <w:rFonts w:ascii="Times New Roman" w:eastAsia="Times New Roman" w:hAnsi="Times New Roman" w:cs="Times New Roman"/>
          <w:b/>
          <w:bCs/>
          <w:i/>
          <w:iCs/>
          <w:sz w:val="32"/>
          <w:szCs w:val="28"/>
        </w:rPr>
        <w:t xml:space="preserve"> in vitro </w:t>
      </w:r>
      <w:r w:rsidRPr="00AF3341">
        <w:rPr>
          <w:rFonts w:ascii="Times New Roman" w:eastAsia="Times New Roman" w:hAnsi="Times New Roman" w:cs="Times New Roman"/>
          <w:b/>
          <w:bCs/>
          <w:sz w:val="32"/>
          <w:szCs w:val="28"/>
        </w:rPr>
        <w:t>del potencial de control de dos métodos biorracionales sobre el complejo</w:t>
      </w:r>
      <w:r w:rsidRPr="00AF3341">
        <w:rPr>
          <w:rFonts w:ascii="Times New Roman" w:eastAsia="Times New Roman" w:hAnsi="Times New Roman" w:cs="Times New Roman"/>
          <w:b/>
          <w:bCs/>
          <w:i/>
          <w:iCs/>
          <w:sz w:val="32"/>
          <w:szCs w:val="28"/>
        </w:rPr>
        <w:t xml:space="preserve"> Fusarium oxysporum</w:t>
      </w:r>
    </w:p>
    <w:p w14:paraId="7CFAB0BF" w14:textId="78674407" w:rsidR="009F2A48" w:rsidRPr="009F2A48" w:rsidRDefault="008F6DF9" w:rsidP="009F2A48">
      <w:pPr>
        <w:spacing w:after="0" w:line="360" w:lineRule="auto"/>
        <w:ind w:left="-851"/>
        <w:jc w:val="center"/>
        <w:rPr>
          <w:rFonts w:ascii="Times New Roman" w:eastAsia="Times New Roman" w:hAnsi="Times New Roman" w:cs="Times New Roman"/>
          <w:b/>
          <w:i/>
          <w:sz w:val="18"/>
          <w:szCs w:val="16"/>
          <w:lang w:val="es-ES"/>
        </w:rPr>
      </w:pPr>
      <w:r w:rsidRPr="008F6DF9">
        <w:rPr>
          <w:rFonts w:ascii="Times New Roman" w:eastAsia="Times New Roman" w:hAnsi="Times New Roman" w:cs="Times New Roman"/>
          <w:b/>
          <w:bCs/>
          <w:sz w:val="20"/>
          <w:szCs w:val="24"/>
        </w:rPr>
        <w:t>Paula Jael Pérez-Pichardo</w:t>
      </w:r>
      <w:r w:rsidRPr="008F6DF9">
        <w:rPr>
          <w:rFonts w:ascii="Times New Roman" w:eastAsia="Times New Roman" w:hAnsi="Times New Roman" w:cs="Times New Roman"/>
          <w:b/>
          <w:bCs/>
          <w:sz w:val="20"/>
          <w:szCs w:val="24"/>
          <w:vertAlign w:val="superscript"/>
        </w:rPr>
        <w:t>1</w:t>
      </w:r>
      <w:r w:rsidRPr="008F6DF9">
        <w:rPr>
          <w:rFonts w:ascii="Times New Roman" w:eastAsia="Times New Roman" w:hAnsi="Times New Roman" w:cs="Times New Roman"/>
          <w:b/>
          <w:bCs/>
          <w:sz w:val="20"/>
          <w:szCs w:val="24"/>
        </w:rPr>
        <w:t>, Amaury Martín Arzate-Fernández</w:t>
      </w:r>
      <w:r w:rsidRPr="008F6DF9">
        <w:rPr>
          <w:rFonts w:ascii="Times New Roman" w:eastAsia="Times New Roman" w:hAnsi="Times New Roman" w:cs="Times New Roman"/>
          <w:b/>
          <w:bCs/>
          <w:sz w:val="20"/>
          <w:szCs w:val="24"/>
          <w:vertAlign w:val="superscript"/>
        </w:rPr>
        <w:t>2</w:t>
      </w:r>
      <w:r w:rsidRPr="008F6DF9">
        <w:rPr>
          <w:rFonts w:ascii="Times New Roman" w:eastAsia="Times New Roman" w:hAnsi="Times New Roman" w:cs="Times New Roman"/>
          <w:b/>
          <w:bCs/>
          <w:sz w:val="20"/>
          <w:szCs w:val="24"/>
        </w:rPr>
        <w:t>*, Hilda Guadalupe García-Núñez</w:t>
      </w:r>
      <w:r w:rsidRPr="008F6DF9">
        <w:rPr>
          <w:rFonts w:ascii="Times New Roman" w:eastAsia="Times New Roman" w:hAnsi="Times New Roman" w:cs="Times New Roman"/>
          <w:b/>
          <w:bCs/>
          <w:sz w:val="20"/>
          <w:szCs w:val="24"/>
          <w:vertAlign w:val="superscript"/>
        </w:rPr>
        <w:t>2</w:t>
      </w:r>
      <w:r w:rsidRPr="008F6DF9">
        <w:rPr>
          <w:rFonts w:ascii="Times New Roman" w:eastAsia="Times New Roman" w:hAnsi="Times New Roman" w:cs="Times New Roman"/>
          <w:b/>
          <w:bCs/>
          <w:sz w:val="20"/>
          <w:szCs w:val="24"/>
        </w:rPr>
        <w:t xml:space="preserve">, </w:t>
      </w:r>
      <w:bookmarkStart w:id="0" w:name="_Hlk188954832"/>
      <w:r w:rsidRPr="008F6DF9">
        <w:rPr>
          <w:rFonts w:ascii="Times New Roman" w:eastAsia="Times New Roman" w:hAnsi="Times New Roman" w:cs="Times New Roman"/>
          <w:b/>
          <w:bCs/>
          <w:sz w:val="20"/>
          <w:szCs w:val="24"/>
        </w:rPr>
        <w:t>Andrea Rubí Jiménez-Marín</w:t>
      </w:r>
      <w:bookmarkEnd w:id="0"/>
      <w:r w:rsidRPr="008F6DF9">
        <w:rPr>
          <w:rFonts w:ascii="Times New Roman" w:eastAsia="Times New Roman" w:hAnsi="Times New Roman" w:cs="Times New Roman"/>
          <w:b/>
          <w:bCs/>
          <w:sz w:val="20"/>
          <w:szCs w:val="24"/>
          <w:vertAlign w:val="superscript"/>
        </w:rPr>
        <w:t>3</w:t>
      </w:r>
      <w:r w:rsidRPr="008F6DF9">
        <w:rPr>
          <w:rFonts w:ascii="Times New Roman" w:eastAsia="Times New Roman" w:hAnsi="Times New Roman" w:cs="Times New Roman"/>
          <w:b/>
          <w:bCs/>
          <w:sz w:val="20"/>
          <w:szCs w:val="24"/>
        </w:rPr>
        <w:t xml:space="preserve">, </w:t>
      </w:r>
      <w:r w:rsidR="009F2A48">
        <w:rPr>
          <w:rFonts w:ascii="Times New Roman" w:eastAsia="Times New Roman" w:hAnsi="Times New Roman" w:cs="Times New Roman"/>
          <w:b/>
          <w:bCs/>
          <w:sz w:val="20"/>
          <w:szCs w:val="24"/>
        </w:rPr>
        <w:t>Monserrat Pérez Pichardo</w:t>
      </w:r>
      <w:r w:rsidR="009F2A48" w:rsidRPr="009F2A48">
        <w:rPr>
          <w:rFonts w:ascii="Times New Roman" w:eastAsia="Times New Roman" w:hAnsi="Times New Roman" w:cs="Times New Roman"/>
          <w:b/>
          <w:bCs/>
          <w:sz w:val="20"/>
          <w:szCs w:val="24"/>
          <w:vertAlign w:val="superscript"/>
        </w:rPr>
        <w:t>2</w:t>
      </w:r>
      <w:r w:rsidR="009F2A48">
        <w:rPr>
          <w:rFonts w:ascii="Times New Roman" w:eastAsia="Times New Roman" w:hAnsi="Times New Roman" w:cs="Times New Roman"/>
          <w:b/>
          <w:bCs/>
          <w:sz w:val="20"/>
          <w:szCs w:val="24"/>
        </w:rPr>
        <w:t xml:space="preserve"> </w:t>
      </w:r>
      <w:r w:rsidRPr="008F6DF9">
        <w:rPr>
          <w:rFonts w:ascii="Times New Roman" w:eastAsia="Times New Roman" w:hAnsi="Times New Roman" w:cs="Times New Roman"/>
          <w:b/>
          <w:bCs/>
          <w:sz w:val="20"/>
          <w:szCs w:val="24"/>
        </w:rPr>
        <w:t>y Jesús Ignacio. Reyes-Díaz</w:t>
      </w:r>
      <w:r w:rsidRPr="008F6DF9">
        <w:rPr>
          <w:rFonts w:ascii="Times New Roman" w:eastAsia="Times New Roman" w:hAnsi="Times New Roman" w:cs="Times New Roman"/>
          <w:b/>
          <w:bCs/>
          <w:sz w:val="20"/>
          <w:szCs w:val="24"/>
          <w:vertAlign w:val="superscript"/>
        </w:rPr>
        <w:t>2</w:t>
      </w:r>
      <w:r w:rsidRPr="008F6DF9">
        <w:rPr>
          <w:rFonts w:ascii="Times New Roman" w:eastAsia="Times New Roman" w:hAnsi="Times New Roman" w:cs="Times New Roman"/>
          <w:b/>
          <w:bCs/>
          <w:sz w:val="20"/>
          <w:szCs w:val="24"/>
        </w:rPr>
        <w:t>.</w:t>
      </w:r>
      <w:r>
        <w:rPr>
          <w:rFonts w:ascii="Times New Roman" w:eastAsia="Times New Roman" w:hAnsi="Times New Roman" w:cs="Times New Roman"/>
          <w:b/>
          <w:bCs/>
          <w:sz w:val="20"/>
          <w:szCs w:val="24"/>
        </w:rPr>
        <w:t xml:space="preserve"> </w:t>
      </w:r>
      <w:r w:rsidRPr="008F6DF9">
        <w:rPr>
          <w:rFonts w:ascii="Times New Roman" w:eastAsia="Times New Roman" w:hAnsi="Times New Roman" w:cs="Times New Roman"/>
          <w:sz w:val="18"/>
          <w:szCs w:val="16"/>
          <w:vertAlign w:val="superscript"/>
        </w:rPr>
        <w:t>1</w:t>
      </w:r>
      <w:r w:rsidRPr="008F6DF9">
        <w:rPr>
          <w:rFonts w:ascii="Times New Roman" w:eastAsia="Times New Roman" w:hAnsi="Times New Roman" w:cs="Times New Roman"/>
          <w:sz w:val="18"/>
          <w:szCs w:val="16"/>
        </w:rPr>
        <w:t xml:space="preserve">Facultad de Ciencias, Universidad Autónoma del Estado de México. </w:t>
      </w:r>
      <w:r w:rsidRPr="008F6DF9">
        <w:rPr>
          <w:rFonts w:ascii="Times New Roman" w:eastAsia="Times New Roman" w:hAnsi="Times New Roman" w:cs="Times New Roman"/>
          <w:sz w:val="18"/>
          <w:szCs w:val="16"/>
          <w:vertAlign w:val="superscript"/>
        </w:rPr>
        <w:t>2</w:t>
      </w:r>
      <w:r w:rsidRPr="008F6DF9">
        <w:rPr>
          <w:rFonts w:ascii="Times New Roman" w:eastAsia="Times New Roman" w:hAnsi="Times New Roman" w:cs="Times New Roman"/>
          <w:sz w:val="18"/>
          <w:szCs w:val="16"/>
        </w:rPr>
        <w:t xml:space="preserve">Facultad de Ciencias Agrícolas, Universidad Autónoma del Estado de México, </w:t>
      </w:r>
      <w:r w:rsidRPr="008F6DF9">
        <w:rPr>
          <w:rFonts w:ascii="Times New Roman" w:eastAsia="Times New Roman" w:hAnsi="Times New Roman" w:cs="Times New Roman"/>
          <w:sz w:val="18"/>
          <w:szCs w:val="16"/>
          <w:vertAlign w:val="superscript"/>
        </w:rPr>
        <w:t>3</w:t>
      </w:r>
      <w:r w:rsidRPr="008F6DF9">
        <w:rPr>
          <w:rFonts w:ascii="Times New Roman" w:eastAsia="Times New Roman" w:hAnsi="Times New Roman" w:cs="Times New Roman"/>
          <w:sz w:val="18"/>
          <w:szCs w:val="16"/>
        </w:rPr>
        <w:t>Instituto de Biología, Universidad Nacional Autónoma de México.</w:t>
      </w:r>
      <w:r w:rsidR="009F2A48">
        <w:rPr>
          <w:rFonts w:ascii="Times New Roman" w:eastAsia="Times New Roman" w:hAnsi="Times New Roman" w:cs="Times New Roman"/>
          <w:sz w:val="18"/>
          <w:szCs w:val="16"/>
        </w:rPr>
        <w:t xml:space="preserve"> </w:t>
      </w:r>
      <w:r w:rsidR="009F2A48" w:rsidRPr="009F2A48">
        <w:rPr>
          <w:rFonts w:ascii="Times New Roman" w:eastAsia="Times New Roman" w:hAnsi="Times New Roman" w:cs="Times New Roman"/>
          <w:b/>
          <w:i/>
          <w:sz w:val="18"/>
          <w:szCs w:val="16"/>
          <w:lang w:val="es-ES"/>
        </w:rPr>
        <w:t>*Autor de correspondencia:</w:t>
      </w:r>
      <w:r w:rsidR="009F2A48">
        <w:rPr>
          <w:rFonts w:ascii="Times New Roman" w:eastAsia="Times New Roman" w:hAnsi="Times New Roman" w:cs="Times New Roman"/>
          <w:b/>
          <w:i/>
          <w:sz w:val="18"/>
          <w:szCs w:val="16"/>
          <w:lang w:val="es-ES"/>
        </w:rPr>
        <w:t xml:space="preserve"> </w:t>
      </w:r>
      <w:r w:rsidR="009F2A48" w:rsidRPr="009F2A48">
        <w:rPr>
          <w:rFonts w:ascii="Times New Roman" w:eastAsia="Times New Roman" w:hAnsi="Times New Roman" w:cs="Times New Roman"/>
          <w:sz w:val="18"/>
          <w:szCs w:val="16"/>
        </w:rPr>
        <w:t>Amaury Martín Arzate-Fernández</w:t>
      </w:r>
      <w:r w:rsidR="009F2A48" w:rsidRPr="009F2A48">
        <w:rPr>
          <w:rFonts w:ascii="Times New Roman" w:eastAsia="Times New Roman" w:hAnsi="Times New Roman" w:cs="Times New Roman"/>
          <w:sz w:val="18"/>
          <w:szCs w:val="16"/>
          <w:lang w:val="es-ES"/>
        </w:rPr>
        <w:t xml:space="preserve"> amaury1963@yahoo.com.mx</w:t>
      </w:r>
    </w:p>
    <w:p w14:paraId="108DC723" w14:textId="385B851A" w:rsidR="00E14152" w:rsidRDefault="00E14152" w:rsidP="008F6DF9">
      <w:pPr>
        <w:spacing w:after="0" w:line="360" w:lineRule="auto"/>
        <w:ind w:left="-851"/>
        <w:jc w:val="both"/>
        <w:rPr>
          <w:rFonts w:ascii="Times New Roman" w:eastAsia="Times New Roman" w:hAnsi="Times New Roman" w:cs="Times New Roman"/>
          <w:sz w:val="18"/>
          <w:szCs w:val="16"/>
        </w:rPr>
      </w:pPr>
    </w:p>
    <w:p w14:paraId="2E8D60F2" w14:textId="77777777" w:rsidR="009F2A48" w:rsidRDefault="009F2A48" w:rsidP="009F2A48">
      <w:pPr>
        <w:spacing w:after="0" w:line="360" w:lineRule="auto"/>
        <w:jc w:val="both"/>
        <w:rPr>
          <w:rFonts w:ascii="Times New Roman" w:eastAsia="Times New Roman" w:hAnsi="Times New Roman" w:cs="Times New Roman"/>
          <w:b/>
          <w:bCs/>
          <w:sz w:val="20"/>
          <w:szCs w:val="24"/>
        </w:rPr>
      </w:pPr>
    </w:p>
    <w:p w14:paraId="27409D0B" w14:textId="77777777" w:rsidR="009F2A48" w:rsidRPr="009F2A48" w:rsidRDefault="009F2A48" w:rsidP="009F2A48">
      <w:pPr>
        <w:spacing w:after="0" w:line="360" w:lineRule="auto"/>
        <w:jc w:val="both"/>
        <w:rPr>
          <w:rFonts w:ascii="Times New Roman" w:eastAsia="Times New Roman" w:hAnsi="Times New Roman" w:cs="Times New Roman"/>
          <w:b/>
          <w:bCs/>
          <w:sz w:val="20"/>
          <w:szCs w:val="24"/>
        </w:rPr>
      </w:pPr>
      <w:r w:rsidRPr="009F2A48">
        <w:rPr>
          <w:rFonts w:ascii="Times New Roman" w:eastAsia="Times New Roman" w:hAnsi="Times New Roman" w:cs="Times New Roman"/>
          <w:b/>
          <w:bCs/>
          <w:sz w:val="20"/>
          <w:szCs w:val="24"/>
        </w:rPr>
        <w:t>RESUMEN</w:t>
      </w:r>
    </w:p>
    <w:p w14:paraId="74D56A7C" w14:textId="77777777" w:rsidR="009F2A48" w:rsidRPr="009F2A48" w:rsidRDefault="009F2A48" w:rsidP="009F2A48">
      <w:pPr>
        <w:spacing w:after="0" w:line="360" w:lineRule="auto"/>
        <w:jc w:val="both"/>
        <w:rPr>
          <w:rFonts w:ascii="Times New Roman" w:eastAsia="Times New Roman" w:hAnsi="Times New Roman" w:cs="Times New Roman"/>
          <w:sz w:val="20"/>
          <w:szCs w:val="24"/>
        </w:rPr>
      </w:pPr>
    </w:p>
    <w:p w14:paraId="6F0BBD9D" w14:textId="77777777" w:rsidR="00313DE1" w:rsidRPr="00313DE1" w:rsidRDefault="009F2A48" w:rsidP="00313DE1">
      <w:pPr>
        <w:spacing w:after="0" w:line="360" w:lineRule="auto"/>
        <w:jc w:val="both"/>
        <w:rPr>
          <w:rFonts w:ascii="Times New Roman" w:eastAsia="Times New Roman" w:hAnsi="Times New Roman" w:cs="Times New Roman"/>
          <w:sz w:val="20"/>
          <w:szCs w:val="24"/>
        </w:rPr>
      </w:pPr>
      <w:r w:rsidRPr="009F2A48">
        <w:rPr>
          <w:rFonts w:ascii="Times New Roman" w:eastAsia="Times New Roman" w:hAnsi="Times New Roman" w:cs="Times New Roman"/>
          <w:i/>
          <w:iCs/>
          <w:sz w:val="20"/>
          <w:szCs w:val="24"/>
        </w:rPr>
        <w:t>Fusarium oxysporum</w:t>
      </w:r>
      <w:r w:rsidRPr="009F2A48">
        <w:rPr>
          <w:rFonts w:ascii="Times New Roman" w:eastAsia="Times New Roman" w:hAnsi="Times New Roman" w:cs="Times New Roman"/>
          <w:sz w:val="20"/>
          <w:szCs w:val="24"/>
        </w:rPr>
        <w:t xml:space="preserve"> es el agente causal de la marchitez en cultivos de importancia económica. Su manejo radica en uso de químicos como sulfato de cobre. El objetivo del presente trabajo fue evaluar el potencial de dos métodos biorracionales en el control del complejo </w:t>
      </w:r>
      <w:r w:rsidRPr="009F2A48">
        <w:rPr>
          <w:rFonts w:ascii="Times New Roman" w:eastAsia="Times New Roman" w:hAnsi="Times New Roman" w:cs="Times New Roman"/>
          <w:i/>
          <w:iCs/>
          <w:sz w:val="20"/>
          <w:szCs w:val="24"/>
        </w:rPr>
        <w:t>Fusarium oxysporum.</w:t>
      </w:r>
      <w:r>
        <w:rPr>
          <w:rFonts w:ascii="Times New Roman" w:eastAsia="Times New Roman" w:hAnsi="Times New Roman" w:cs="Times New Roman"/>
          <w:sz w:val="20"/>
          <w:szCs w:val="24"/>
        </w:rPr>
        <w:t xml:space="preserve"> </w:t>
      </w:r>
      <w:r w:rsidRPr="009F2A48">
        <w:rPr>
          <w:rFonts w:ascii="Times New Roman" w:eastAsia="Times New Roman" w:hAnsi="Times New Roman" w:cs="Times New Roman"/>
          <w:sz w:val="20"/>
          <w:szCs w:val="24"/>
        </w:rPr>
        <w:t xml:space="preserve">Se aisló e identificó molecularmente tres cepas de </w:t>
      </w:r>
      <w:r w:rsidRPr="009F2A48">
        <w:rPr>
          <w:rFonts w:ascii="Times New Roman" w:eastAsia="Times New Roman" w:hAnsi="Times New Roman" w:cs="Times New Roman"/>
          <w:i/>
          <w:iCs/>
          <w:sz w:val="20"/>
          <w:szCs w:val="24"/>
        </w:rPr>
        <w:t xml:space="preserve">Fusarium </w:t>
      </w:r>
      <w:r w:rsidRPr="009F2A48">
        <w:rPr>
          <w:rFonts w:ascii="Times New Roman" w:eastAsia="Times New Roman" w:hAnsi="Times New Roman" w:cs="Times New Roman"/>
          <w:sz w:val="20"/>
          <w:szCs w:val="24"/>
        </w:rPr>
        <w:t xml:space="preserve">(FusA, FusB, FusC), obtenidas de plantas de </w:t>
      </w:r>
      <w:r w:rsidRPr="009F2A48">
        <w:rPr>
          <w:rFonts w:ascii="Times New Roman" w:eastAsia="Times New Roman" w:hAnsi="Times New Roman" w:cs="Times New Roman"/>
          <w:i/>
          <w:iCs/>
          <w:sz w:val="20"/>
          <w:szCs w:val="24"/>
        </w:rPr>
        <w:t>Agave cupreata</w:t>
      </w:r>
      <w:r w:rsidRPr="009F2A48">
        <w:rPr>
          <w:rFonts w:ascii="Times New Roman" w:eastAsia="Times New Roman" w:hAnsi="Times New Roman" w:cs="Times New Roman"/>
          <w:sz w:val="20"/>
          <w:szCs w:val="24"/>
        </w:rPr>
        <w:t xml:space="preserve"> con síntomas de marchitez</w:t>
      </w:r>
      <w:r w:rsidR="00313DE1">
        <w:rPr>
          <w:rFonts w:ascii="Times New Roman" w:eastAsia="Times New Roman" w:hAnsi="Times New Roman" w:cs="Times New Roman"/>
          <w:sz w:val="20"/>
          <w:szCs w:val="24"/>
        </w:rPr>
        <w:t xml:space="preserve">. </w:t>
      </w:r>
      <w:r w:rsidR="00313DE1" w:rsidRPr="00313DE1">
        <w:rPr>
          <w:rFonts w:ascii="Times New Roman" w:eastAsia="Times New Roman" w:hAnsi="Times New Roman" w:cs="Times New Roman"/>
          <w:sz w:val="20"/>
          <w:szCs w:val="24"/>
        </w:rPr>
        <w:t xml:space="preserve">La evaluación de la actividad antagonista puso de manifiesto la capacidad de </w:t>
      </w:r>
      <w:r w:rsidR="00313DE1" w:rsidRPr="00313DE1">
        <w:rPr>
          <w:rFonts w:ascii="Times New Roman" w:eastAsia="Times New Roman" w:hAnsi="Times New Roman" w:cs="Times New Roman"/>
          <w:i/>
          <w:iCs/>
          <w:sz w:val="20"/>
          <w:szCs w:val="24"/>
        </w:rPr>
        <w:t>T. longibrachiatum</w:t>
      </w:r>
      <w:r w:rsidR="00313DE1" w:rsidRPr="00313DE1">
        <w:rPr>
          <w:rFonts w:ascii="Times New Roman" w:eastAsia="Times New Roman" w:hAnsi="Times New Roman" w:cs="Times New Roman"/>
          <w:sz w:val="20"/>
          <w:szCs w:val="24"/>
        </w:rPr>
        <w:t xml:space="preserve"> para inhibir el crecimiento de las tres cepas del complejo de </w:t>
      </w:r>
      <w:r w:rsidR="00313DE1" w:rsidRPr="00313DE1">
        <w:rPr>
          <w:rFonts w:ascii="Times New Roman" w:eastAsia="Times New Roman" w:hAnsi="Times New Roman" w:cs="Times New Roman"/>
          <w:i/>
          <w:iCs/>
          <w:sz w:val="20"/>
          <w:szCs w:val="24"/>
        </w:rPr>
        <w:t>F. oxysporum</w:t>
      </w:r>
      <w:r w:rsidR="00313DE1" w:rsidRPr="00313DE1">
        <w:rPr>
          <w:rFonts w:ascii="Times New Roman" w:eastAsia="Times New Roman" w:hAnsi="Times New Roman" w:cs="Times New Roman"/>
          <w:sz w:val="20"/>
          <w:szCs w:val="24"/>
        </w:rPr>
        <w:t xml:space="preserve">, con un rango del 72,1 % al 83,6 %. La cepa FUSB presentó la mayor inhibición del crecimiento. Además, el mecanismo de acción de </w:t>
      </w:r>
      <w:r w:rsidR="00313DE1" w:rsidRPr="00313DE1">
        <w:rPr>
          <w:rFonts w:ascii="Times New Roman" w:eastAsia="Times New Roman" w:hAnsi="Times New Roman" w:cs="Times New Roman"/>
          <w:i/>
          <w:iCs/>
          <w:sz w:val="20"/>
          <w:szCs w:val="24"/>
        </w:rPr>
        <w:t>T. longibrachiatum</w:t>
      </w:r>
      <w:r w:rsidR="00313DE1" w:rsidRPr="00313DE1">
        <w:rPr>
          <w:rFonts w:ascii="Times New Roman" w:eastAsia="Times New Roman" w:hAnsi="Times New Roman" w:cs="Times New Roman"/>
          <w:sz w:val="20"/>
          <w:szCs w:val="24"/>
        </w:rPr>
        <w:t xml:space="preserve"> se vio mediado principalmente por la competencia por el espacio y el micoparasitismo. Se demostró la eficacia de las nanopartículas de plata de síntesis verde (AgNPMar, AgNPSal y AgNPTeq) contra los complejos FUSA, FUSB y FUSC. Este es el primer estudio que describe el uso de</w:t>
      </w:r>
      <w:r w:rsidR="00313DE1" w:rsidRPr="00313DE1">
        <w:rPr>
          <w:rFonts w:ascii="Times New Roman" w:eastAsia="Times New Roman" w:hAnsi="Times New Roman" w:cs="Times New Roman"/>
          <w:i/>
          <w:iCs/>
          <w:sz w:val="20"/>
          <w:szCs w:val="24"/>
        </w:rPr>
        <w:t xml:space="preserve"> Trichoderma longibrachiatum</w:t>
      </w:r>
      <w:r w:rsidR="00313DE1" w:rsidRPr="00313DE1">
        <w:rPr>
          <w:rFonts w:ascii="Times New Roman" w:eastAsia="Times New Roman" w:hAnsi="Times New Roman" w:cs="Times New Roman"/>
          <w:sz w:val="20"/>
          <w:szCs w:val="24"/>
        </w:rPr>
        <w:t xml:space="preserve"> aislado en Villa Guerrero, Estado de México, para el control del complejo </w:t>
      </w:r>
      <w:r w:rsidR="00313DE1" w:rsidRPr="00313DE1">
        <w:rPr>
          <w:rFonts w:ascii="Times New Roman" w:eastAsia="Times New Roman" w:hAnsi="Times New Roman" w:cs="Times New Roman"/>
          <w:i/>
          <w:iCs/>
          <w:sz w:val="20"/>
          <w:szCs w:val="24"/>
        </w:rPr>
        <w:t>Fusarium</w:t>
      </w:r>
      <w:r w:rsidR="00313DE1" w:rsidRPr="00313DE1">
        <w:rPr>
          <w:rFonts w:ascii="Times New Roman" w:eastAsia="Times New Roman" w:hAnsi="Times New Roman" w:cs="Times New Roman"/>
          <w:sz w:val="20"/>
          <w:szCs w:val="24"/>
        </w:rPr>
        <w:t xml:space="preserve"> causante de la marchitez en plantas de agave</w:t>
      </w:r>
      <w:r w:rsidR="00313DE1" w:rsidRPr="00313DE1">
        <w:rPr>
          <w:rFonts w:ascii="Times New Roman" w:eastAsia="Times New Roman" w:hAnsi="Times New Roman" w:cs="Times New Roman"/>
          <w:i/>
          <w:iCs/>
          <w:sz w:val="20"/>
          <w:szCs w:val="24"/>
        </w:rPr>
        <w:t>. Trichoderma longibrachiatum</w:t>
      </w:r>
      <w:r w:rsidR="00313DE1" w:rsidRPr="00313DE1">
        <w:rPr>
          <w:rFonts w:ascii="Times New Roman" w:eastAsia="Times New Roman" w:hAnsi="Times New Roman" w:cs="Times New Roman"/>
          <w:sz w:val="20"/>
          <w:szCs w:val="24"/>
        </w:rPr>
        <w:t xml:space="preserve"> y las nanopartículas de síntesis verde pueden utilizarse como métodos de control biorracional para inhibir el complejo </w:t>
      </w:r>
      <w:r w:rsidR="00313DE1" w:rsidRPr="00313DE1">
        <w:rPr>
          <w:rFonts w:ascii="Times New Roman" w:eastAsia="Times New Roman" w:hAnsi="Times New Roman" w:cs="Times New Roman"/>
          <w:i/>
          <w:iCs/>
          <w:sz w:val="20"/>
          <w:szCs w:val="24"/>
        </w:rPr>
        <w:t>Fusarium oxysporum</w:t>
      </w:r>
      <w:r w:rsidR="00313DE1" w:rsidRPr="00313DE1">
        <w:rPr>
          <w:rFonts w:ascii="Times New Roman" w:eastAsia="Times New Roman" w:hAnsi="Times New Roman" w:cs="Times New Roman"/>
          <w:sz w:val="20"/>
          <w:szCs w:val="24"/>
        </w:rPr>
        <w:t xml:space="preserve"> (FOSC). No obstante, es necesario seguir investigando para optimizar las condiciones de aplicación, como las técnicas de inoculación, con el fin de maximizar su potencial de control biológico y biorremediación.</w:t>
      </w:r>
    </w:p>
    <w:p w14:paraId="7AAB9CD5" w14:textId="77777777" w:rsidR="009F2A48" w:rsidRPr="009F2A48" w:rsidRDefault="009F2A48" w:rsidP="009F2A48">
      <w:pPr>
        <w:spacing w:after="0" w:line="360" w:lineRule="auto"/>
        <w:jc w:val="both"/>
        <w:rPr>
          <w:rFonts w:ascii="Times New Roman" w:eastAsia="Times New Roman" w:hAnsi="Times New Roman" w:cs="Times New Roman"/>
          <w:sz w:val="20"/>
          <w:szCs w:val="24"/>
        </w:rPr>
      </w:pPr>
    </w:p>
    <w:p w14:paraId="0BE76F4E" w14:textId="6C8888CC" w:rsidR="009F2A48" w:rsidRPr="00D77BFB" w:rsidRDefault="009F2A48" w:rsidP="009F2A48">
      <w:pPr>
        <w:spacing w:after="0" w:line="360" w:lineRule="auto"/>
        <w:jc w:val="both"/>
        <w:rPr>
          <w:rFonts w:ascii="Times New Roman" w:eastAsia="Times New Roman" w:hAnsi="Times New Roman" w:cs="Times New Roman"/>
          <w:b/>
          <w:bCs/>
        </w:rPr>
      </w:pPr>
      <w:r w:rsidRPr="009F2A48">
        <w:rPr>
          <w:rFonts w:ascii="Times New Roman" w:eastAsia="Times New Roman" w:hAnsi="Times New Roman" w:cs="Times New Roman"/>
          <w:b/>
          <w:bCs/>
        </w:rPr>
        <w:t xml:space="preserve">Palabras clave: </w:t>
      </w:r>
      <w:r w:rsidRPr="009F2A48">
        <w:rPr>
          <w:rFonts w:ascii="Times New Roman" w:eastAsia="Times New Roman" w:hAnsi="Times New Roman" w:cs="Times New Roman"/>
          <w:i/>
          <w:iCs/>
        </w:rPr>
        <w:t>Fusarium, Trichoderma</w:t>
      </w:r>
      <w:r w:rsidRPr="009F2A48">
        <w:rPr>
          <w:rFonts w:ascii="Times New Roman" w:eastAsia="Times New Roman" w:hAnsi="Times New Roman" w:cs="Times New Roman"/>
        </w:rPr>
        <w:t>, antagonismo, biocontrol.</w:t>
      </w:r>
    </w:p>
    <w:p w14:paraId="04331F6E" w14:textId="1B858693" w:rsidR="00AF3341" w:rsidRPr="00D75B42" w:rsidRDefault="00AF3341" w:rsidP="009F2A48">
      <w:pPr>
        <w:spacing w:line="276" w:lineRule="auto"/>
        <w:ind w:left="851"/>
        <w:jc w:val="both"/>
        <w:rPr>
          <w:rFonts w:ascii="Times New Roman" w:eastAsia="Times New Roman" w:hAnsi="Times New Roman" w:cs="Times New Roman"/>
          <w:b/>
          <w:sz w:val="28"/>
          <w:szCs w:val="28"/>
        </w:rPr>
      </w:pPr>
    </w:p>
    <w:p w14:paraId="5CED304A" w14:textId="075AF4DA" w:rsidR="002F6D12" w:rsidRPr="00505904" w:rsidRDefault="002F6D12" w:rsidP="00D77BFB">
      <w:pPr>
        <w:spacing w:line="276" w:lineRule="auto"/>
        <w:jc w:val="both"/>
        <w:rPr>
          <w:rFonts w:ascii="Times New Roman" w:eastAsia="Times New Roman" w:hAnsi="Times New Roman" w:cs="Times New Roman"/>
          <w:b/>
          <w:szCs w:val="24"/>
        </w:rPr>
      </w:pPr>
      <w:r w:rsidRPr="00505904">
        <w:rPr>
          <w:rFonts w:ascii="Times New Roman" w:eastAsia="Times New Roman" w:hAnsi="Times New Roman" w:cs="Times New Roman"/>
          <w:b/>
          <w:szCs w:val="24"/>
        </w:rPr>
        <w:t>Introduc</w:t>
      </w:r>
      <w:r w:rsidR="00CB59C5" w:rsidRPr="00505904">
        <w:rPr>
          <w:rFonts w:ascii="Times New Roman" w:eastAsia="Times New Roman" w:hAnsi="Times New Roman" w:cs="Times New Roman"/>
          <w:b/>
          <w:szCs w:val="24"/>
        </w:rPr>
        <w:t>ción</w:t>
      </w:r>
    </w:p>
    <w:p w14:paraId="371C53D5" w14:textId="2EA6F311" w:rsidR="00CB59C5" w:rsidRDefault="00CB59C5" w:rsidP="009F2A48">
      <w:pPr>
        <w:spacing w:line="276" w:lineRule="auto"/>
        <w:ind w:left="18"/>
        <w:jc w:val="both"/>
        <w:rPr>
          <w:rFonts w:ascii="Times New Roman" w:eastAsia="Times New Roman" w:hAnsi="Times New Roman" w:cs="Times New Roman"/>
          <w:bCs/>
          <w:szCs w:val="24"/>
        </w:rPr>
      </w:pPr>
      <w:r w:rsidRPr="00CB59C5">
        <w:rPr>
          <w:rFonts w:ascii="Times New Roman" w:eastAsia="Times New Roman" w:hAnsi="Times New Roman" w:cs="Times New Roman"/>
          <w:i/>
          <w:iCs/>
          <w:szCs w:val="24"/>
        </w:rPr>
        <w:t>Fusarium oxysporum</w:t>
      </w:r>
      <w:r w:rsidRPr="00CB59C5">
        <w:rPr>
          <w:rFonts w:ascii="Times New Roman" w:eastAsia="Times New Roman" w:hAnsi="Times New Roman" w:cs="Times New Roman"/>
          <w:szCs w:val="24"/>
        </w:rPr>
        <w:t xml:space="preserve"> es un hongo fitopatógeno causante de la podredumbre de la raíz, marchitez y necrosis en un gran número de plantas hospedadoras y ocupa el quinto lugar entre los 10 principales fitopatógenos de importancia económica</w:t>
      </w:r>
      <w:r w:rsidRPr="00CB59C5">
        <w:rPr>
          <w:rFonts w:ascii="Times New Roman" w:eastAsia="Times New Roman" w:hAnsi="Times New Roman" w:cs="Times New Roman"/>
          <w:i/>
          <w:iCs/>
          <w:szCs w:val="24"/>
        </w:rPr>
        <w:t xml:space="preserve"> </w:t>
      </w:r>
      <w:r w:rsidRPr="00CB59C5">
        <w:rPr>
          <w:rFonts w:ascii="Times New Roman" w:eastAsia="Times New Roman" w:hAnsi="Times New Roman" w:cs="Times New Roman"/>
          <w:i/>
          <w:iCs/>
          <w:szCs w:val="24"/>
        </w:rPr>
        <w:fldChar w:fldCharType="begin"/>
      </w:r>
      <w:r w:rsidR="00DC5174">
        <w:rPr>
          <w:rFonts w:ascii="Times New Roman" w:eastAsia="Times New Roman" w:hAnsi="Times New Roman" w:cs="Times New Roman"/>
          <w:i/>
          <w:iCs/>
          <w:szCs w:val="24"/>
        </w:rPr>
        <w:instrText xml:space="preserve"> ADDIN ZOTERO_ITEM CSL_CITATION {"citationID":"KjpSYeTe","properties":{"formattedCitation":"(Dean et\\uc0\\u160{}al., 2012; Geiser et\\uc0\\u160{}al., 2013)","plainCitation":"(Dean et al., 2012; Geiser et al., 2013)","noteIndex":0},"citationItems":[{"id":4,"uris":["http://zotero.org/users/local/SJHdbt7z/items/239XINQA"],"itemData":{"id":4,"type":"article-journal","abstract":"The aim of this review was to survey all fungal pathologists with an association with the journal Molecular Plant Pathology and ask them to nominate which fungal pathogens they would place in a 'Top 10' based on scientific/economic importance. The survey generated 495 votes from the international community, and resulted in the generation of a Top 10 fungal plant pathogen list for Molecular Plant Pathology. The Top 10 list includes, in rank order, (1) Magnaporthe oryzae; (2) Botrytis cinerea; (3) Puccinia spp.; (4) Fusarium graminearum; (5) Fusarium oxysporum; (6) Blumeria graminis; (7) Mycosphaerella graminicola; (8) Colletotrichum spp.; (9) Ustilago maydis; (10) Melampsora lini, with honourable mentions for fungi just missing out on the Top 10, including Phakopsora pachyrhizi and Rhizoctonia solani. This article presents a short resumé of each fungus in the Top 10 list and its importance, with the intent of initiating discussion and debate amongst the plant mycology community, as well as laying down a bench-mark. It will be interesting to see in future years how perceptions change and what fungi will comprise any future Top 10.","container-title":"Molecular Plant Pathology","DOI":"10.1111/j.1364-3703.2011.00783.x","ISSN":"1364-3703","issue":"4","journalAbbreviation":"Mol Plant Pathol","language":"eng","page":"414-430","PMID":"22471698","PMCID":"PMC6638784","source":"PubMed","title":"The Top 10 fungal pathogens in molecular plant pathology","volume":"13","author":[{"family":"Dean","given":"Ralph"},{"family":"Van Kan","given":"Jan A. L."},{"family":"Pretorius","given":"Zacharias A."},{"family":"Hammond-Kosack","given":"Kim E."},{"family":"Di Pietro","given":"Antonio"},{"family":"Spanu","given":"Pietro D."},{"family":"Rudd","given":"Jason J."},{"family":"Dickman","given":"Marty"},{"family":"Kahmann","given":"Regine"},{"family":"Ellis","given":"Jeff"},{"family":"Foster","given":"Gary D."}],"issued":{"date-parts":[["2012",5]]}}},{"id":7,"uris":["http://zotero.org/users/local/SJHdbt7z/items/9WBP8DGV"],"itemData":{"id":7,"type":"article-journal","abstract":"In this letter, we advocate recognizing the genus Fusarium as the sole name for a group that includes virtually all Fusarium species of importance in plant pathology, mycotoxicology, medicine, and basic research. This phylogenetically guided circumscription will free scientists from any obligation to use other genus names, including teleomorphs, for species nested within this clade, and preserve the application of the name Fusarium in the way it has been used for almost a century. Due to recent changes in the International Code of Nomenclature for algae, fungi, and plants, this is an urgent matter that requires community attention. The alternative is to break the longstanding concept of Fusarium into nine or more genera, and remove important taxa such as those in the F. solani species complex from the genus, a move we believe is unnecessary. Here we present taxonomic and nomenclatural proposals that will preserve established research connections and facilitate communication within and between research communities, and at the same time support strong scientific principles and good taxonomic practice.","container-title":"Phytopathology","DOI":"10.1094/PHYTO-07-12-0150-LE","ISSN":"0031-949X","issue":"5","journalAbbreviation":"Phytopathology","language":"eng","page":"400-408","PMID":"23379853","source":"PubMed","title":"One fungus, one name: defining the genus Fusarium in a scientifically robust way that preserves longstanding use","title-short":"One fungus, one name","volume":"103","author":[{"family":"Geiser","given":"David M."},{"family":"Aoki","given":"Takayuki"},{"family":"Bacon","given":"Charles W."},{"family":"Baker","given":"Scott E."},{"family":"Bhattacharyya","given":"Madan K."},{"family":"Brandt","given":"Mary E."},{"family":"Brown","given":"Daren W."},{"family":"Burgess","given":"Lester W."},{"family":"Chulze","given":"Sofia"},{"family":"Coleman","given":"Jeffrey J."},{"family":"Correll","given":"James C."},{"family":"Covert","given":"Sarah F."},{"family":"Crous","given":"Pedro W."},{"family":"Cuomo","given":"Christina A."},{"family":"De Hoog","given":"G. Sybren"},{"family":"Di Pietro","given":"Antonio"},{"family":"Elmer","given":"Wade H."},{"family":"Epstein","given":"Lynn"},{"family":"Frandsen","given":"Rasmus J. N."},{"family":"Freeman","given":"Stanley"},{"family":"Gagkaeva","given":"Tatiana"},{"family":"Glenn","given":"Anthony E."},{"family":"Gordon","given":"Thomas R."},{"family":"Gregory","given":"Nancy F."},{"family":"Hammond-Kosack","given":"Kim E."},{"family":"Hanson","given":"Linda E."},{"family":"Jímenez-Gasco","given":"María Del Mar"},{"family":"Kang","given":"Seogchan"},{"family":"Kistler","given":"H. Corby"},{"family":"Kuldau","given":"Gretchen A."},{"family":"Leslie","given":"John F."},{"family":"Logrieco","given":"Antonio"},{"family":"Lu","given":"Guozhong"},{"family":"Lysøe","given":"Erik"},{"family":"Ma","given":"Li-Jun"},{"family":"McCormick","given":"Susan P."},{"family":"Migheli","given":"Quirico"},{"family":"Moretti","given":"Antonio"},{"family":"Munaut","given":"Françoise"},{"family":"O'Donnell","given":"Kerry"},{"family":"Pfenning","given":"Ludwig"},{"family":"Ploetz","given":"Randy C."},{"family":"Proctor","given":"Robert H."},{"family":"Rehner","given":"Stephen A."},{"family":"Robert","given":"Vincent A. R. G."},{"family":"Rooney","given":"Alejandro P."},{"family":"Bin Salleh","given":"Baharuddin"},{"family":"Scandiani","given":"Maria Mercedes"},{"family":"Scauflaire","given":"Jonathan"},{"family":"Short","given":"Dylan P. G."},{"family":"Steenkamp","given":"Emma"},{"family":"Suga","given":"Haruhisa"},{"family":"Summerell","given":"Brett A."},{"family":"Sutton","given":"Deanna A."},{"family":"Thrane","given":"Ulf"},{"family":"Trail","given":"Francis"},{"family":"Van Diepeningen","given":"Anne"},{"family":"Vanetten","given":"Hans D."},{"family":"Viljoen","given":"Altus"},{"family":"Waalwijk","given":"Cees"},{"family":"Ward","given":"Todd J."},{"family":"Wingfield","given":"Michael J."},{"family":"Xu","given":"Jin-Rong"},{"family":"Yang","given":"Xiao-Bing"},{"family":"Yli-Mattila","given":"Tapani"},{"family":"Zhang","given":"Ning"}],"issued":{"date-parts":[["2013",5]]}}}],"schema":"https://github.com/citation-style-language/schema/raw/master/csl-citation.json"} </w:instrText>
      </w:r>
      <w:r w:rsidRPr="00CB59C5">
        <w:rPr>
          <w:rFonts w:ascii="Times New Roman" w:eastAsia="Times New Roman" w:hAnsi="Times New Roman" w:cs="Times New Roman"/>
          <w:i/>
          <w:iCs/>
          <w:szCs w:val="24"/>
        </w:rPr>
        <w:fldChar w:fldCharType="separate"/>
      </w:r>
      <w:r w:rsidRPr="00CB59C5">
        <w:rPr>
          <w:rFonts w:ascii="Times New Roman" w:eastAsia="Times New Roman" w:hAnsi="Times New Roman" w:cs="Times New Roman"/>
          <w:szCs w:val="24"/>
        </w:rPr>
        <w:t>(Dean et al., 2012; Geiser et al., 2013)</w:t>
      </w:r>
      <w:r w:rsidRPr="00CB59C5">
        <w:rPr>
          <w:rFonts w:ascii="Times New Roman" w:eastAsia="Times New Roman" w:hAnsi="Times New Roman" w:cs="Times New Roman"/>
          <w:szCs w:val="24"/>
          <w:lang w:val="en-US"/>
        </w:rPr>
        <w:fldChar w:fldCharType="end"/>
      </w:r>
      <w:r w:rsidRPr="00CB59C5">
        <w:rPr>
          <w:rFonts w:ascii="Times New Roman" w:eastAsia="Times New Roman" w:hAnsi="Times New Roman" w:cs="Times New Roman"/>
          <w:i/>
          <w:iCs/>
          <w:szCs w:val="24"/>
        </w:rPr>
        <w:t xml:space="preserve">. </w:t>
      </w:r>
      <w:r w:rsidRPr="00CB59C5">
        <w:rPr>
          <w:rFonts w:ascii="Times New Roman" w:eastAsia="Times New Roman" w:hAnsi="Times New Roman" w:cs="Times New Roman"/>
          <w:szCs w:val="24"/>
        </w:rPr>
        <w:t xml:space="preserve">Durante el proceso de infección, </w:t>
      </w:r>
      <w:r w:rsidRPr="00CB59C5">
        <w:rPr>
          <w:rFonts w:ascii="Times New Roman" w:eastAsia="Times New Roman" w:hAnsi="Times New Roman" w:cs="Times New Roman"/>
          <w:i/>
          <w:iCs/>
          <w:szCs w:val="24"/>
        </w:rPr>
        <w:t>F. oxysporum</w:t>
      </w:r>
      <w:r w:rsidRPr="00CB59C5">
        <w:rPr>
          <w:rFonts w:ascii="Times New Roman" w:eastAsia="Times New Roman" w:hAnsi="Times New Roman" w:cs="Times New Roman"/>
          <w:szCs w:val="24"/>
        </w:rPr>
        <w:t xml:space="preserve"> segrega factores de virulencia, como enzimas degradadoras de la pared celular, efectores y micotoxinas, que pueden desempeñar un papel importante en la patogenicidad del hongo, también responde al estrés abiótico extrínseco del ambiente y del huésped </w:t>
      </w:r>
      <w:r w:rsidRPr="00CB59C5">
        <w:rPr>
          <w:rFonts w:ascii="Times New Roman" w:eastAsia="Times New Roman" w:hAnsi="Times New Roman" w:cs="Times New Roman"/>
          <w:szCs w:val="24"/>
        </w:rPr>
        <w:fldChar w:fldCharType="begin"/>
      </w:r>
      <w:r w:rsidRPr="00CB59C5">
        <w:rPr>
          <w:rFonts w:ascii="Times New Roman" w:eastAsia="Times New Roman" w:hAnsi="Times New Roman" w:cs="Times New Roman"/>
          <w:szCs w:val="24"/>
        </w:rPr>
        <w:instrText xml:space="preserve"> ADDIN ZOTERO_ITEM CSL_CITATION {"citationID":"sR0bqflJ","properties":{"formattedCitation":"(Zuriegat et\\uc0\\u160{}al., 2021)","plainCitation":"(Zuriegat et al., 2021)","noteIndex":0},"citationItems":[{"id":1,"uris":["http://zotero.org/users/local/SJHdbt7z/items/9EV8TLS5"],"itemData":{"id":1,"type":"article-journal","abstract":"Fusarium oxysporum is a well-known soilborne plant pathogen that causes severe vascular wilt in economically important crops worldwide. During the infection process, F. oxysporum not only secretes various virulence factors, such as cell wall-degrading enzymes (CWDEs), effectors, and mycotoxins, that potentially play important roles in fungal pathogenicity but it must also respond to extrinsic abiotic stresses from the environment and the host. Over 700 transcription factors (TFs) have been predicted in the genome of F. oxysporum, but only 26 TFs have been functionally characterized in various formae speciales of F. oxysporum. Among these TFs, a total of 23 belonging to 10 families are required for pathogenesis through various mechanisms and pathways, and the zinc finger TF family is the largest family among these 10 families, which consists of 15 TFs that have been functionally characterized in F. oxysporum. In this review, we report current research progress on the 26 functionally analysed TFs in F. oxysporum and sort them into four groups based on their roles in F. oxysporum pathogenicity. Furthermore, we summarize and compare the biofunctions, involved pathways, putative targets, and homologs of these TFs and analyse the relationships among them. This review provides a systematic analysis of the regulation of virulence-related genes and facilitates further mechanistic analysis of TFs important in F. oxysporum virulence.","container-title":"Molecular Plant Pathology","DOI":"10.1111/mpp.13068","ISSN":"1364-3703","issue":"7","language":"en","license":"© 2021 The Authors. Molecular Plant Pathology published by British Society for Plant Pathology and John Wiley &amp; Sons Ltd","note":"_eprint: https://onlinelibrary.wiley.com/doi/pdf/10.1111/mpp.13068","page":"882-895","source":"Wiley Online Library","title":"Current progress on pathogenicity-related transcription factors in Fusarium oxysporum","volume":"22","author":[{"family":"Zuriegat","given":"Qussai"},{"family":"Zheng","given":"Yuru"},{"family":"Liu","given":"Hong"},{"family":"Wang","given":"Zonghua"},{"family":"Yun","given":"Yingzi"}],"issued":{"date-parts":[["2021"]]}}}],"schema":"https://github.com/citation-style-language/schema/raw/master/csl-citation.json"} </w:instrText>
      </w:r>
      <w:r w:rsidRPr="00CB59C5">
        <w:rPr>
          <w:rFonts w:ascii="Times New Roman" w:eastAsia="Times New Roman" w:hAnsi="Times New Roman" w:cs="Times New Roman"/>
          <w:szCs w:val="24"/>
        </w:rPr>
        <w:fldChar w:fldCharType="separate"/>
      </w:r>
      <w:r w:rsidRPr="00CB59C5">
        <w:rPr>
          <w:rFonts w:ascii="Times New Roman" w:eastAsia="Times New Roman" w:hAnsi="Times New Roman" w:cs="Times New Roman"/>
          <w:szCs w:val="24"/>
        </w:rPr>
        <w:t>(Zuriegat et al., 2021)</w:t>
      </w:r>
      <w:r w:rsidRPr="00CB59C5">
        <w:rPr>
          <w:rFonts w:ascii="Times New Roman" w:eastAsia="Times New Roman" w:hAnsi="Times New Roman" w:cs="Times New Roman"/>
          <w:szCs w:val="24"/>
          <w:lang w:val="en-US"/>
        </w:rPr>
        <w:fldChar w:fldCharType="end"/>
      </w:r>
      <w:r w:rsidRPr="00CB59C5">
        <w:rPr>
          <w:rFonts w:ascii="Times New Roman" w:eastAsia="Times New Roman" w:hAnsi="Times New Roman" w:cs="Times New Roman"/>
          <w:szCs w:val="24"/>
        </w:rPr>
        <w:t xml:space="preserve">. </w:t>
      </w:r>
      <w:r w:rsidRPr="00CB59C5">
        <w:rPr>
          <w:rFonts w:ascii="Times New Roman" w:eastAsia="Times New Roman" w:hAnsi="Times New Roman" w:cs="Times New Roman"/>
          <w:bCs/>
          <w:szCs w:val="24"/>
        </w:rPr>
        <w:t xml:space="preserve">Esta especie incluye a un gran número de aislados y complejos responsables de causar síntomas de marchitez y pudrición en diferentes especies de plantas, tal es el caso del complejo  </w:t>
      </w:r>
      <w:r w:rsidRPr="00CB59C5">
        <w:rPr>
          <w:rFonts w:ascii="Times New Roman" w:eastAsia="Times New Roman" w:hAnsi="Times New Roman" w:cs="Times New Roman"/>
          <w:bCs/>
          <w:i/>
          <w:iCs/>
          <w:szCs w:val="24"/>
        </w:rPr>
        <w:t xml:space="preserve">Fusarium oxysporum </w:t>
      </w:r>
      <w:r w:rsidRPr="00CB59C5">
        <w:rPr>
          <w:rFonts w:ascii="Times New Roman" w:eastAsia="Times New Roman" w:hAnsi="Times New Roman" w:cs="Times New Roman"/>
          <w:bCs/>
          <w:szCs w:val="24"/>
        </w:rPr>
        <w:t xml:space="preserve">(FOSC) </w:t>
      </w:r>
      <w:r w:rsidRPr="00CB59C5">
        <w:rPr>
          <w:rFonts w:ascii="Times New Roman" w:eastAsia="Times New Roman" w:hAnsi="Times New Roman" w:cs="Times New Roman"/>
          <w:bCs/>
          <w:szCs w:val="24"/>
        </w:rPr>
        <w:fldChar w:fldCharType="begin"/>
      </w:r>
      <w:r w:rsidR="00DC5174">
        <w:rPr>
          <w:rFonts w:ascii="Times New Roman" w:eastAsia="Times New Roman" w:hAnsi="Times New Roman" w:cs="Times New Roman"/>
          <w:bCs/>
          <w:szCs w:val="24"/>
        </w:rPr>
        <w:instrText xml:space="preserve"> ADDIN ZOTERO_ITEM CSL_CITATION {"citationID":"8Tp2dn12","properties":{"formattedCitation":"(Leslie &amp; Summerell, 2006)","plainCitation":"(Leslie &amp; Summerell, 2006)","dontUpdate":true,"noteIndex":0},"citationItems":[{"id":12,"uris":["http://zotero.org/users/local/SJHdbt7z/items/V43L3E5P"],"itemData":{"id":12,"type":"book","DOI":"10.1002/9780470278376","edition":"1","ISBN":"978-0-8138-1919-8","language":"en","license":"http://doi.wiley.com/10.1002/tdm_license_1.1","publisher":"Wiley","source":"DOI.org (Crossref)","title":"The Fusarium Laboratory Manual","URL":"https://onlinelibrary.wiley.com/doi/book/10.1002/9780470278376","editor":[{"family":"Leslie","given":"John F."},{"family":"Summerell","given":"Brett A."}],"accessed":{"date-parts":[["2025",1,17]]},"issued":{"date-parts":[["2006",5,17]]}}}],"schema":"https://github.com/citation-style-language/schema/raw/master/csl-citation.json"} </w:instrText>
      </w:r>
      <w:r w:rsidRPr="00CB59C5">
        <w:rPr>
          <w:rFonts w:ascii="Times New Roman" w:eastAsia="Times New Roman" w:hAnsi="Times New Roman" w:cs="Times New Roman"/>
          <w:bCs/>
          <w:szCs w:val="24"/>
        </w:rPr>
        <w:fldChar w:fldCharType="separate"/>
      </w:r>
      <w:r w:rsidRPr="00CB59C5">
        <w:rPr>
          <w:rFonts w:ascii="Times New Roman" w:eastAsia="Times New Roman" w:hAnsi="Times New Roman" w:cs="Times New Roman"/>
          <w:szCs w:val="24"/>
        </w:rPr>
        <w:t>(Leslie y Summerell, 2006)</w:t>
      </w:r>
      <w:r w:rsidRPr="00CB59C5">
        <w:rPr>
          <w:rFonts w:ascii="Times New Roman" w:eastAsia="Times New Roman" w:hAnsi="Times New Roman" w:cs="Times New Roman"/>
          <w:szCs w:val="24"/>
          <w:lang w:val="en-US"/>
        </w:rPr>
        <w:fldChar w:fldCharType="end"/>
      </w:r>
      <w:r w:rsidRPr="00CB59C5">
        <w:rPr>
          <w:rFonts w:ascii="Times New Roman" w:eastAsia="Times New Roman" w:hAnsi="Times New Roman" w:cs="Times New Roman"/>
          <w:bCs/>
          <w:szCs w:val="24"/>
        </w:rPr>
        <w:t xml:space="preserve">. </w:t>
      </w:r>
    </w:p>
    <w:p w14:paraId="74C8976C" w14:textId="6F1EC151" w:rsidR="00CB59C5" w:rsidRDefault="00CB59C5" w:rsidP="009F2A48">
      <w:pPr>
        <w:spacing w:line="276" w:lineRule="auto"/>
        <w:ind w:left="18"/>
        <w:jc w:val="both"/>
        <w:rPr>
          <w:rFonts w:ascii="Times New Roman" w:eastAsia="Times New Roman" w:hAnsi="Times New Roman" w:cs="Times New Roman"/>
          <w:bCs/>
          <w:szCs w:val="24"/>
        </w:rPr>
      </w:pPr>
      <w:r w:rsidRPr="00CB59C5">
        <w:rPr>
          <w:rFonts w:ascii="Times New Roman" w:eastAsia="Times New Roman" w:hAnsi="Times New Roman" w:cs="Times New Roman"/>
          <w:bCs/>
          <w:szCs w:val="24"/>
        </w:rPr>
        <w:lastRenderedPageBreak/>
        <w:t xml:space="preserve">El uso de fungicidas a base de bencimidazoles, azoles y sulfato de cobre pentahidratado, es el método de control más utilizado </w:t>
      </w:r>
      <w:r w:rsidRPr="00CB59C5">
        <w:rPr>
          <w:rFonts w:ascii="Times New Roman" w:eastAsia="Times New Roman" w:hAnsi="Times New Roman" w:cs="Times New Roman"/>
          <w:bCs/>
          <w:szCs w:val="24"/>
        </w:rPr>
        <w:fldChar w:fldCharType="begin"/>
      </w:r>
      <w:r w:rsidR="00DC5174">
        <w:rPr>
          <w:rFonts w:ascii="Times New Roman" w:eastAsia="Times New Roman" w:hAnsi="Times New Roman" w:cs="Times New Roman"/>
          <w:bCs/>
          <w:szCs w:val="24"/>
        </w:rPr>
        <w:instrText xml:space="preserve"> ADDIN ZOTERO_ITEM CSL_CITATION {"citationID":"2biRThDn","properties":{"formattedCitation":"(Al-Hatmi et\\uc0\\u160{}al., 2019)","plainCitation":"(Al-Hatmi et al., 2019)","noteIndex":0},"citationItems":[{"id":13,"uris":["http://zotero.org/users/local/SJHdbt7z/items/YESHPIAA"],"itemData":{"id":13,"type":"article-journal","abstract":"The fungal genus Fusarium contains numerous plant pathogens causing considerable economic losses. In addition, Fusarium species are emerging as opportunistic human pathogens causing both superficial and systemic infections. Appropriate treatment of Fusarium infections in a clinical setting of neutropenia is currently not available. ESCMID and ECMM joint guidelines, following the majority of published studies, suggest early therapy with amphotericin B and voriconazole, in conjunction with surgical debridement and reversal of immunosuppression. In this review, we elaborate on the trans-kingdom pathogenicity of Fusarium. Intrinsic resistance to several antifungal drugs and the evolution of antifungal resistance over the years are highlighted. Recent studies present novel compounds that are effective against some pathogenic fungi including Fusarium. We discuss the robust and dynamic antifungal pipeline, including results from clinical trials as well as preclinical data that might appear beneficial for patients with invasive fusariosis.","container-title":"Infection and Drug Resistance","DOI":"10.2147/IDR.S180912","ISSN":"1178-6973","journalAbbreviation":"Infect Drug Resist","language":"eng","page":"3727-3737","PMID":"31819555","PMCID":"PMC6886543","source":"PubMed","title":"Multiresistant Fusarium Pathogens on Plants and Humans: Solutions in (from) the Antifungal Pipeline?","title-short":"Multiresistant Fusarium Pathogens on Plants and Humans","volume":"12","author":[{"family":"Al-Hatmi","given":"Abdullah Ms"},{"family":"Hoog","given":"G. Sybren","non-dropping-particle":"de"},{"family":"Meis","given":"Jacques F."}],"issued":{"date-parts":[["2019"]]}}}],"schema":"https://github.com/citation-style-language/schema/raw/master/csl-citation.json"} </w:instrText>
      </w:r>
      <w:r w:rsidRPr="00CB59C5">
        <w:rPr>
          <w:rFonts w:ascii="Times New Roman" w:eastAsia="Times New Roman" w:hAnsi="Times New Roman" w:cs="Times New Roman"/>
          <w:bCs/>
          <w:szCs w:val="24"/>
        </w:rPr>
        <w:fldChar w:fldCharType="separate"/>
      </w:r>
      <w:r w:rsidRPr="00CB59C5">
        <w:rPr>
          <w:rFonts w:ascii="Times New Roman" w:eastAsia="Times New Roman" w:hAnsi="Times New Roman" w:cs="Times New Roman"/>
          <w:bCs/>
          <w:szCs w:val="24"/>
        </w:rPr>
        <w:t>(Al-Hatmi et al., 2019)</w:t>
      </w:r>
      <w:r w:rsidRPr="00CB59C5">
        <w:rPr>
          <w:rFonts w:ascii="Times New Roman" w:eastAsia="Times New Roman" w:hAnsi="Times New Roman" w:cs="Times New Roman"/>
          <w:bCs/>
          <w:szCs w:val="24"/>
        </w:rPr>
        <w:fldChar w:fldCharType="end"/>
      </w:r>
      <w:r w:rsidRPr="00CB59C5">
        <w:rPr>
          <w:rFonts w:ascii="Times New Roman" w:eastAsia="Times New Roman" w:hAnsi="Times New Roman" w:cs="Times New Roman"/>
          <w:bCs/>
          <w:szCs w:val="24"/>
        </w:rPr>
        <w:t xml:space="preserve">. Sin embargo, la persistencia del patógeno incrementa la aplicación de estos compuestos para su control, se genera otra serie de problemas como: la selección de cepas del patógeno resistente a estos productos, el incremento de costos de producción, además los riesgos de daño al ambiente y la salud humana </w:t>
      </w:r>
      <w:r w:rsidRPr="00CB59C5">
        <w:rPr>
          <w:rFonts w:ascii="Times New Roman" w:eastAsia="Times New Roman" w:hAnsi="Times New Roman" w:cs="Times New Roman"/>
          <w:bCs/>
          <w:szCs w:val="24"/>
        </w:rPr>
        <w:fldChar w:fldCharType="begin"/>
      </w:r>
      <w:r w:rsidR="00DC5174">
        <w:rPr>
          <w:rFonts w:ascii="Times New Roman" w:eastAsia="Times New Roman" w:hAnsi="Times New Roman" w:cs="Times New Roman"/>
          <w:bCs/>
          <w:szCs w:val="24"/>
        </w:rPr>
        <w:instrText xml:space="preserve"> ADDIN ZOTERO_ITEM CSL_CITATION {"citationID":"xYncpY6I","properties":{"formattedCitation":"(Rios-Hern\\uc0\\u225{}ndez et\\uc0\\u160{}al., 2021)","plainCitation":"(Rios-Hernández et al., 2021)","noteIndex":0},"citationItems":[{"id":16,"uris":["http://zotero.org/users/local/SJHdbt7z/items/EQR27LLU"],"itemData":{"id":16,"type":"article-journal","container-title":"Revista mexicana de fitopatología","DOI":"10.18781/r.mex.fit.2105-3","ISSN":"0185-3309","issue":"3","language":"es","page":"391-413","publisher":"Sociedad Mexicana de Fitopatología A.C.","source":"SciELO","title":"Control biológico de Fusarium oxysporum, agente causal de la pudrición del cormo en gladiolo, mediante estreptomicetos","volume":"39","author":[{"family":"Rios-Hernández","given":"Tania Ameyally"},{"family":"Uc-Varguez","given":"Alberto"},{"family":"Evangelista-Martínez","given":"Zahaed"},{"family":"Rios-Hernández","given":"Tania Ameyally"},{"family":"Uc-Varguez","given":"Alberto"},{"family":"Evangelista-Martínez","given":"Zahaed"}],"issued":{"date-parts":[["2021"]]}}}],"schema":"https://github.com/citation-style-language/schema/raw/master/csl-citation.json"} </w:instrText>
      </w:r>
      <w:r w:rsidRPr="00CB59C5">
        <w:rPr>
          <w:rFonts w:ascii="Times New Roman" w:eastAsia="Times New Roman" w:hAnsi="Times New Roman" w:cs="Times New Roman"/>
          <w:bCs/>
          <w:szCs w:val="24"/>
        </w:rPr>
        <w:fldChar w:fldCharType="separate"/>
      </w:r>
      <w:r w:rsidRPr="00CB59C5">
        <w:rPr>
          <w:rFonts w:ascii="Times New Roman" w:eastAsia="Times New Roman" w:hAnsi="Times New Roman" w:cs="Times New Roman"/>
          <w:bCs/>
          <w:szCs w:val="24"/>
        </w:rPr>
        <w:t>(Rios-Hernández et al., 2021)</w:t>
      </w:r>
      <w:r w:rsidRPr="00CB59C5">
        <w:rPr>
          <w:rFonts w:ascii="Times New Roman" w:eastAsia="Times New Roman" w:hAnsi="Times New Roman" w:cs="Times New Roman"/>
          <w:bCs/>
          <w:szCs w:val="24"/>
        </w:rPr>
        <w:fldChar w:fldCharType="end"/>
      </w:r>
      <w:r w:rsidRPr="00CB59C5">
        <w:rPr>
          <w:rFonts w:ascii="Times New Roman" w:eastAsia="Times New Roman" w:hAnsi="Times New Roman" w:cs="Times New Roman"/>
          <w:bCs/>
          <w:szCs w:val="24"/>
        </w:rPr>
        <w:t xml:space="preserve">. Ante esta problemática se busca implementar estrategias ecológicas para combatir dicho patógeno por medio del control biorracional, el cual está referido al manejo inteligente y efectivo de productos de origen natural, síntesis química y organismos compatibles entre sí con un bajo impacto ambiental </w:t>
      </w:r>
      <w:r w:rsidRPr="00CB59C5">
        <w:rPr>
          <w:rFonts w:ascii="Times New Roman" w:eastAsia="Times New Roman" w:hAnsi="Times New Roman" w:cs="Times New Roman"/>
          <w:bCs/>
          <w:szCs w:val="24"/>
        </w:rPr>
        <w:fldChar w:fldCharType="begin"/>
      </w:r>
      <w:r w:rsidR="00DC5174">
        <w:rPr>
          <w:rFonts w:ascii="Times New Roman" w:eastAsia="Times New Roman" w:hAnsi="Times New Roman" w:cs="Times New Roman"/>
          <w:bCs/>
          <w:szCs w:val="24"/>
        </w:rPr>
        <w:instrText xml:space="preserve"> ADDIN ZOTERO_ITEM CSL_CITATION {"citationID":"mMVfREpM","properties":{"formattedCitation":"(Zepeda-Jazo, 2018)","plainCitation":"(Zepeda-Jazo, 2018)","noteIndex":0},"citationItems":[{"id":20,"uris":["http://zotero.org/users/local/SJHdbt7z/items/RK4WS345"],"itemData":{"id":20,"type":"article-journal","container-title":"Agricultura, sociedad y desarrollo","ISSN":"1870-5472","issue":"1","language":"es","page":"99-108","publisher":"Colegio de Postgraduados","source":"SciELO","title":"Manejo sustentable de plagas agrícolas en México","volume":"15","author":[{"family":"Zepeda-Jazo","given":"Isaac"}],"issued":{"date-parts":[["2018",3]]}}}],"schema":"https://github.com/citation-style-language/schema/raw/master/csl-citation.json"} </w:instrText>
      </w:r>
      <w:r w:rsidRPr="00CB59C5">
        <w:rPr>
          <w:rFonts w:ascii="Times New Roman" w:eastAsia="Times New Roman" w:hAnsi="Times New Roman" w:cs="Times New Roman"/>
          <w:bCs/>
          <w:szCs w:val="24"/>
        </w:rPr>
        <w:fldChar w:fldCharType="separate"/>
      </w:r>
      <w:r w:rsidRPr="00CB59C5">
        <w:rPr>
          <w:rFonts w:ascii="Times New Roman" w:eastAsia="Times New Roman" w:hAnsi="Times New Roman" w:cs="Times New Roman"/>
          <w:bCs/>
          <w:szCs w:val="24"/>
        </w:rPr>
        <w:t>(Zepeda-Jazo, 2018)</w:t>
      </w:r>
      <w:r w:rsidRPr="00CB59C5">
        <w:rPr>
          <w:rFonts w:ascii="Times New Roman" w:eastAsia="Times New Roman" w:hAnsi="Times New Roman" w:cs="Times New Roman"/>
          <w:bCs/>
          <w:szCs w:val="24"/>
        </w:rPr>
        <w:fldChar w:fldCharType="end"/>
      </w:r>
      <w:r w:rsidRPr="00CB59C5">
        <w:rPr>
          <w:rFonts w:ascii="Times New Roman" w:eastAsia="Times New Roman" w:hAnsi="Times New Roman" w:cs="Times New Roman"/>
          <w:bCs/>
          <w:szCs w:val="24"/>
        </w:rPr>
        <w:t xml:space="preserve">. Tal es el caso del hongo </w:t>
      </w:r>
      <w:r w:rsidRPr="00CB59C5">
        <w:rPr>
          <w:rFonts w:ascii="Times New Roman" w:eastAsia="Times New Roman" w:hAnsi="Times New Roman" w:cs="Times New Roman"/>
          <w:bCs/>
          <w:i/>
          <w:iCs/>
          <w:szCs w:val="24"/>
        </w:rPr>
        <w:t>Trichoderma</w:t>
      </w:r>
      <w:r w:rsidRPr="00CB59C5">
        <w:rPr>
          <w:rFonts w:ascii="Times New Roman" w:eastAsia="Times New Roman" w:hAnsi="Times New Roman" w:cs="Times New Roman"/>
          <w:bCs/>
          <w:szCs w:val="24"/>
        </w:rPr>
        <w:t xml:space="preserve"> quien gracias a sus principales mecanismos de control biológico: 1). Reconocimiento e invasión de especies similares a hongos patógenos de las plantas a través de la alteración de la pared celular y la absorción de los nutrientes conocido como micoparasitismo </w:t>
      </w:r>
      <w:r w:rsidRPr="00CB59C5">
        <w:rPr>
          <w:rFonts w:ascii="Times New Roman" w:eastAsia="Times New Roman" w:hAnsi="Times New Roman" w:cs="Times New Roman"/>
          <w:bCs/>
          <w:szCs w:val="24"/>
        </w:rPr>
        <w:fldChar w:fldCharType="begin"/>
      </w:r>
      <w:r w:rsidRPr="00CB59C5">
        <w:rPr>
          <w:rFonts w:ascii="Times New Roman" w:eastAsia="Times New Roman" w:hAnsi="Times New Roman" w:cs="Times New Roman"/>
          <w:bCs/>
          <w:szCs w:val="24"/>
        </w:rPr>
        <w:instrText xml:space="preserve"> ADDIN ZOTERO_ITEM CSL_CITATION {"citationID":"gKDiGlyx","properties":{"formattedCitation":"(Bhat, 2017)","plainCitation":"(Bhat, 2017)","noteIndex":0},"citationItems":[{"id":23,"uris":["http://zotero.org/users/local/SJHdbt7z/items/NRN7L3JX"],"itemData":{"id":23,"type":"article-journal","container-title":"International Journal of Current Microbiology and Applied Sciences","DOI":"10.20546/ijcmas.2017.608.378","ISSN":"23197692, 23197706","issue":"8","journalAbbreviation":"Int.J.Curr.Microbiol.App.Sci","language":"en","page":"3176-3180","source":"DOI.org (Crossref)","title":"A New Agar Plate Assisted Slide Culture Technique to Study Mycoparasitism of Trichoderma sp. on Rhizoctonia solani and Fusarium oxysporium","volume":"6","author":[{"family":"Bhat","given":"K. A."}],"issued":{"date-parts":[["2017",8,20]]}}}],"schema":"https://github.com/citation-style-language/schema/raw/master/csl-citation.json"} </w:instrText>
      </w:r>
      <w:r w:rsidRPr="00CB59C5">
        <w:rPr>
          <w:rFonts w:ascii="Times New Roman" w:eastAsia="Times New Roman" w:hAnsi="Times New Roman" w:cs="Times New Roman"/>
          <w:bCs/>
          <w:szCs w:val="24"/>
        </w:rPr>
        <w:fldChar w:fldCharType="separate"/>
      </w:r>
      <w:r w:rsidRPr="00CB59C5">
        <w:rPr>
          <w:rFonts w:ascii="Times New Roman" w:eastAsia="Times New Roman" w:hAnsi="Times New Roman" w:cs="Times New Roman"/>
          <w:bCs/>
          <w:szCs w:val="24"/>
        </w:rPr>
        <w:t>(Bhat, 2017)</w:t>
      </w:r>
      <w:r w:rsidRPr="00CB59C5">
        <w:rPr>
          <w:rFonts w:ascii="Times New Roman" w:eastAsia="Times New Roman" w:hAnsi="Times New Roman" w:cs="Times New Roman"/>
          <w:bCs/>
          <w:szCs w:val="24"/>
        </w:rPr>
        <w:fldChar w:fldCharType="end"/>
      </w:r>
      <w:r w:rsidRPr="00CB59C5">
        <w:rPr>
          <w:rFonts w:ascii="Times New Roman" w:eastAsia="Times New Roman" w:hAnsi="Times New Roman" w:cs="Times New Roman"/>
          <w:bCs/>
          <w:szCs w:val="24"/>
        </w:rPr>
        <w:t xml:space="preserve">, 2). Antibiosis, mediante la producción de metabolitos secundarios que inhiben a sus competidores, limitando e impidiendo la proliferación de microorganismos o el ataque de patógenos de plantas </w:t>
      </w:r>
      <w:r w:rsidRPr="00CB59C5">
        <w:rPr>
          <w:rFonts w:ascii="Times New Roman" w:eastAsia="Times New Roman" w:hAnsi="Times New Roman" w:cs="Times New Roman"/>
          <w:bCs/>
          <w:szCs w:val="24"/>
        </w:rPr>
        <w:fldChar w:fldCharType="begin"/>
      </w:r>
      <w:r w:rsidRPr="00CB59C5">
        <w:rPr>
          <w:rFonts w:ascii="Times New Roman" w:eastAsia="Times New Roman" w:hAnsi="Times New Roman" w:cs="Times New Roman"/>
          <w:bCs/>
          <w:szCs w:val="24"/>
        </w:rPr>
        <w:instrText xml:space="preserve"> ADDIN ZOTERO_ITEM CSL_CITATION {"citationID":"xkuZh8vw","properties":{"formattedCitation":"(Zin &amp; Badaluddin, 2020)","plainCitation":"(Zin &amp; Badaluddin, 2020)","dontUpdate":true,"noteIndex":0},"citationItems":[{"id":24,"uris":["http://zotero.org/users/local/SJHdbt7z/items/SM98R2GX"],"itemData":{"id":24,"type":"article-journal","abstract":"Trichoderma spp. have been widely used in agricultural applications due to its well known biological control mechanism. The usage of this microbial inoculant in Trichoderma-based products attracts the attention of researchers to discover more on other potential benefits of Trichoderma spp. Hence, through research work from worldwide researchers, we present the success of Trichoderma spp. relate to plant diseases, plant growth, decomposition process and bioremediation. Plus, their secondary metabolites production in agroecosystem will also be reviewed in this paper. These surprising findings bring enormous advantages to the agriculture industry in order to apply environmentally friendly agriculture practices.","container-title":"Annals of Agricultural Sciences","DOI":"10.1016/j.aoas.2020.09.003","ISSN":"0570-1783","issue":"2","journalAbbreviation":"Annals of Agricultural Sciences","page":"168-178","source":"ScienceDirect","title":"Biological functions of &lt;i&gt;Trichoderma&lt;/i&gt; spp. for agriculture applications","volume":"65","author":[{"family":"Zin","given":"Nur A."},{"family":"Badaluddin","given":"Noor A."}],"issued":{"date-parts":[["2020",12,1]]}}}],"schema":"https://github.com/citation-style-language/schema/raw/master/csl-citation.json"} </w:instrText>
      </w:r>
      <w:r w:rsidRPr="00CB59C5">
        <w:rPr>
          <w:rFonts w:ascii="Times New Roman" w:eastAsia="Times New Roman" w:hAnsi="Times New Roman" w:cs="Times New Roman"/>
          <w:bCs/>
          <w:szCs w:val="24"/>
        </w:rPr>
        <w:fldChar w:fldCharType="separate"/>
      </w:r>
      <w:r w:rsidRPr="00CB59C5">
        <w:rPr>
          <w:rFonts w:ascii="Times New Roman" w:eastAsia="Times New Roman" w:hAnsi="Times New Roman" w:cs="Times New Roman"/>
          <w:bCs/>
          <w:szCs w:val="24"/>
        </w:rPr>
        <w:t>(Zin y Badaluddin, 2020)</w:t>
      </w:r>
      <w:r w:rsidRPr="00CB59C5">
        <w:rPr>
          <w:rFonts w:ascii="Times New Roman" w:eastAsia="Times New Roman" w:hAnsi="Times New Roman" w:cs="Times New Roman"/>
          <w:bCs/>
          <w:szCs w:val="24"/>
        </w:rPr>
        <w:fldChar w:fldCharType="end"/>
      </w:r>
      <w:r w:rsidRPr="00CB59C5">
        <w:rPr>
          <w:rFonts w:ascii="Times New Roman" w:eastAsia="Times New Roman" w:hAnsi="Times New Roman" w:cs="Times New Roman"/>
          <w:bCs/>
          <w:szCs w:val="24"/>
        </w:rPr>
        <w:t xml:space="preserve">, 3). Competencia por nichos y recursos ecológicos </w:t>
      </w:r>
      <w:r w:rsidRPr="00CB59C5">
        <w:rPr>
          <w:rFonts w:ascii="Times New Roman" w:eastAsia="Times New Roman" w:hAnsi="Times New Roman" w:cs="Times New Roman"/>
          <w:bCs/>
          <w:szCs w:val="24"/>
        </w:rPr>
        <w:fldChar w:fldCharType="begin"/>
      </w:r>
      <w:r w:rsidRPr="00CB59C5">
        <w:rPr>
          <w:rFonts w:ascii="Times New Roman" w:eastAsia="Times New Roman" w:hAnsi="Times New Roman" w:cs="Times New Roman"/>
          <w:bCs/>
          <w:szCs w:val="24"/>
        </w:rPr>
        <w:instrText xml:space="preserve"> ADDIN ZOTERO_ITEM CSL_CITATION {"citationID":"ulRKmeDk","properties":{"formattedCitation":"(Kumar et\\uc0\\u160{}al., 2019)","plainCitation":"(Kumar et al., 2019)","noteIndex":0},"citationItems":[{"id":30,"uris":["http://zotero.org/users/local/SJHdbt7z/items/6WC69DIS"],"itemData":{"id":30,"type":"article-journal","abstract":"Transformation of rice was done through Agrobacterium mediated, utilizing a binary vector pBS, harboring a fungal gene endo α-1, 3-glucanase from Trichoderma harzianum under rice constitutive promoter actin2 and Agrobacterium nopaline synthase (nos) transcriptional terminator in a T-DNA. Likewise, a selectable marker gene hygromycin phosphotransferese (hpt) resistant to Hygromycin B was cloned in the middle of actin2 and nos terminator in a similar T-DNA. The expression of endo α-1, 3-glucanase was affirmed by cloning gfp gene after the fungal gene in the transformation DNA cassette. In the first generation of transgenic rice lines, out of 912 just 209 plants were false positive affirmed through PCR based screening for the transgene. The positive transgenic lines were tried with fungal infection by leaf cut test in vitro and foliar leaf shower technique in vivo. They demonstrated an exceptional protection against sheath blight disease. Further, seeds of all positive transgenic plants of the first generation were developed and screened in next generation. Just 62 plants were false positive out of 873 transgenic lines in this generation. In the comparative way, they were tried against the fungal disease and they demonstrated the exceptional protection once more. In this way, in this investigation, a fungal gene endo α-1, 3-glucanase was transformed into rice (IR 64) effectively which demonstrated protection against fungus Rhizoctonia solani.","container-title":"Journal of Plant Biochemistry and Biotechnology","DOI":"10.1007/s13562-018-0465-7","ISSN":"0974-1275","issue":"1","journalAbbreviation":"J. Plant Biochem. Biotechnol.","language":"en","page":"84-90","source":"Springer Link","title":"Expression of an endo α-1, 3-Glucanase gene from Trichoderma harzianum in rice induces resistance against sheath blight","volume":"28","author":[{"family":"Kumar","given":"Rahul"},{"family":"Kumari","given":"Kumkum"},{"family":"Hembram","given":"Krushna C."},{"family":"Kandha","given":"Laxman"},{"family":"Bindhani","given":"Birendra Kumar"}],"issued":{"date-parts":[["2019",3,1]]}}}],"schema":"https://github.com/citation-style-language/schema/raw/master/csl-citation.json"} </w:instrText>
      </w:r>
      <w:r w:rsidRPr="00CB59C5">
        <w:rPr>
          <w:rFonts w:ascii="Times New Roman" w:eastAsia="Times New Roman" w:hAnsi="Times New Roman" w:cs="Times New Roman"/>
          <w:bCs/>
          <w:szCs w:val="24"/>
        </w:rPr>
        <w:fldChar w:fldCharType="separate"/>
      </w:r>
      <w:r w:rsidRPr="00CB59C5">
        <w:rPr>
          <w:rFonts w:ascii="Times New Roman" w:eastAsia="Times New Roman" w:hAnsi="Times New Roman" w:cs="Times New Roman"/>
          <w:bCs/>
          <w:szCs w:val="24"/>
        </w:rPr>
        <w:t>(Kumar et al., 2019)</w:t>
      </w:r>
      <w:r w:rsidRPr="00CB59C5">
        <w:rPr>
          <w:rFonts w:ascii="Times New Roman" w:eastAsia="Times New Roman" w:hAnsi="Times New Roman" w:cs="Times New Roman"/>
          <w:bCs/>
          <w:szCs w:val="24"/>
        </w:rPr>
        <w:fldChar w:fldCharType="end"/>
      </w:r>
      <w:r w:rsidRPr="00CB59C5">
        <w:rPr>
          <w:rFonts w:ascii="Times New Roman" w:eastAsia="Times New Roman" w:hAnsi="Times New Roman" w:cs="Times New Roman"/>
          <w:bCs/>
          <w:szCs w:val="24"/>
        </w:rPr>
        <w:t xml:space="preserve">. </w:t>
      </w:r>
    </w:p>
    <w:p w14:paraId="0D90FC47" w14:textId="77B3989A" w:rsidR="00AF3341" w:rsidRPr="00AF3341" w:rsidRDefault="00AF3341" w:rsidP="009F2A48">
      <w:pPr>
        <w:spacing w:line="276" w:lineRule="auto"/>
        <w:ind w:left="18"/>
        <w:jc w:val="both"/>
        <w:rPr>
          <w:rFonts w:ascii="Times New Roman" w:eastAsia="Times New Roman" w:hAnsi="Times New Roman" w:cs="Times New Roman"/>
          <w:bCs/>
          <w:iCs/>
          <w:szCs w:val="24"/>
        </w:rPr>
      </w:pPr>
      <w:r w:rsidRPr="00AF3341">
        <w:rPr>
          <w:rFonts w:ascii="Times New Roman" w:eastAsia="Times New Roman" w:hAnsi="Times New Roman" w:cs="Times New Roman"/>
          <w:bCs/>
          <w:szCs w:val="24"/>
        </w:rPr>
        <w:t xml:space="preserve">Por otro lado, en la agricultura moderna sustentable la nanotecnología promete aportar soluciones mediante el uso de nanopartículas de plata (AgNP´s) para el control de microorganismos patógenos, lo que se traduce en un menor impacto ecológico </w:t>
      </w:r>
      <w:r w:rsidRPr="00AF3341">
        <w:rPr>
          <w:rFonts w:ascii="Times New Roman" w:eastAsia="Times New Roman" w:hAnsi="Times New Roman" w:cs="Times New Roman"/>
          <w:bCs/>
          <w:szCs w:val="24"/>
        </w:rPr>
        <w:fldChar w:fldCharType="begin"/>
      </w:r>
      <w:r w:rsidR="00DC5174">
        <w:rPr>
          <w:rFonts w:ascii="Times New Roman" w:eastAsia="Times New Roman" w:hAnsi="Times New Roman" w:cs="Times New Roman"/>
          <w:bCs/>
          <w:szCs w:val="24"/>
        </w:rPr>
        <w:instrText xml:space="preserve"> ADDIN ZOTERO_ITEM CSL_CITATION {"citationID":"EAQroiiM","properties":{"formattedCitation":"(Castillo-Henr\\uc0\\u237{}quez et\\uc0\\u160{}al., 2020)","plainCitation":"(Castillo-Henríquez et al., 2020)","noteIndex":0},"citationItems":[{"id":67,"uris":["http://zotero.org/users/local/SJHdbt7z/items/XMEQFWLT"],"itemData":{"id":67,"type":"article-journal","abstract":"Currently, metal nanoparticles have varied uses for different medical, pharmaceutical, and agricultural applications. Nanobiotechnology, combined with green chemistry, has great potential for the development of novel and necessary products that benefit human health, environment, and industries. Green chemistry has an important role due to its contribution to unconventional synthesis methods of gold and silver nanoparticles from plant extracts, which have exhibited antimicrobial potential, among other outstanding properties. Biodiversity-rich countries need to collect and convert knowledge from biological resources into processes, compounds, methods, and tools, which need to be achieved along with sustainable use and exploitation of biological diversity. Therefore, this paper describes the relevant reported green synthesis of gold and silver nanoparticles from plant extracts and their capacity as antimicrobial agents within the agricultural field for fighting against bacterial and fungal pathogens that can cause plant, waterborne, and foodborne diseases. Moreover, this work makes a brief review of nanoparticles' contribution to water treatment and the development of \"environmentally-friendly\" nanofertilizers, nanopesticides, and nanoherbicides, as well as presenting the harmful effects of nanoparticles accumulation in plants and soils.","container-title":"Nanomaterials (Basel, Switzerland)","DOI":"10.3390/nano10091763","ISSN":"2079-4991","issue":"9","journalAbbreviation":"Nanomaterials (Basel)","language":"eng","page":"1763","PMID":"32906575","PMCID":"PMC7558319","source":"PubMed","title":"Green Synthesis of Gold and Silver Nanoparticles from Plant Extracts and Their Possible Applications as Antimicrobial Agents in the Agricultural Area","volume":"10","author":[{"family":"Castillo-Henríquez","given":"Luis"},{"family":"Alfaro-Aguilar","given":"Karla"},{"family":"Ugalde-Álvarez","given":"Jeisson"},{"family":"Vega-Fernández","given":"Laura"},{"family":"Montes de Oca-Vásquez","given":"Gabriela"},{"family":"Vega-Baudrit","given":"José Roberto"}],"issued":{"date-parts":[["2020",9,7]]}}}],"schema":"https://github.com/citation-style-language/schema/raw/master/csl-citation.json"} </w:instrText>
      </w:r>
      <w:r w:rsidRPr="00AF3341">
        <w:rPr>
          <w:rFonts w:ascii="Times New Roman" w:eastAsia="Times New Roman" w:hAnsi="Times New Roman" w:cs="Times New Roman"/>
          <w:bCs/>
          <w:szCs w:val="24"/>
        </w:rPr>
        <w:fldChar w:fldCharType="separate"/>
      </w:r>
      <w:r w:rsidRPr="00AF3341">
        <w:rPr>
          <w:rFonts w:ascii="Times New Roman" w:eastAsia="Times New Roman" w:hAnsi="Times New Roman" w:cs="Times New Roman"/>
          <w:bCs/>
          <w:szCs w:val="24"/>
        </w:rPr>
        <w:t>(Castillo-Henríquez et al., 2020)</w:t>
      </w:r>
      <w:r w:rsidRPr="00AF3341">
        <w:rPr>
          <w:rFonts w:ascii="Times New Roman" w:eastAsia="Times New Roman" w:hAnsi="Times New Roman" w:cs="Times New Roman"/>
          <w:bCs/>
          <w:szCs w:val="24"/>
        </w:rPr>
        <w:fldChar w:fldCharType="end"/>
      </w:r>
      <w:r w:rsidRPr="00AF3341">
        <w:rPr>
          <w:rFonts w:ascii="Times New Roman" w:eastAsia="Times New Roman" w:hAnsi="Times New Roman" w:cs="Times New Roman"/>
          <w:bCs/>
          <w:szCs w:val="24"/>
        </w:rPr>
        <w:t xml:space="preserve">. El mecanismo de acción antifúngica de estas AgNPs se debe a que estas partículas se unen a la membrana del hongo modificando su permeabilidad y con ello alterar la viabilidad celular, o bien, pueden penetrar y modificar la capacidad respiratoria, detener su división celular ocasionando así la muerte celular. También se ha reportado que las AgNPs pueden liberar iones de plata que interactúan con los grupos tiol de muchas enzimas inactivándolas o bien generar radicales libres que son extremadamente reactivos y presentan gran actividad citotóxica </w:t>
      </w:r>
      <w:r w:rsidRPr="00AF3341">
        <w:rPr>
          <w:rFonts w:ascii="Times New Roman" w:eastAsia="Times New Roman" w:hAnsi="Times New Roman" w:cs="Times New Roman"/>
          <w:bCs/>
          <w:szCs w:val="24"/>
        </w:rPr>
        <w:fldChar w:fldCharType="begin"/>
      </w:r>
      <w:r w:rsidRPr="00AF3341">
        <w:rPr>
          <w:rFonts w:ascii="Times New Roman" w:eastAsia="Times New Roman" w:hAnsi="Times New Roman" w:cs="Times New Roman"/>
          <w:bCs/>
          <w:szCs w:val="24"/>
        </w:rPr>
        <w:instrText xml:space="preserve"> ADDIN ZOTERO_ITEM CSL_CITATION {"citationID":"BqkKw1ki","properties":{"formattedCitation":"(Prabhu &amp; Poulose, 2012)","plainCitation":"(Prabhu &amp; Poulose, 2012)","noteIndex":0},"citationItems":[{"id":70,"uris":["http://zotero.org/users/local/SJHdbt7z/items/WHJP5HWW"],"itemData":{"id":70,"type":"article-journal","abstract":"Silver nanoparticles are nanoparticles of silver which are in the range of 1 and 100 nm in size. Silver nanoparticles have unique properties which help in molecular diagnostics, in therapies, as well as in devices that are used in several medical procedures. The major methods used for silver nanoparticle synthesis are the physical and chemical methods. The problem with the chemical and physical methods is that the synthesis is expensive and can also have toxic substances absorbed onto them. To overcome this, the biological method provides a feasible alternative. The major biological systems involved in this are bacteria, fungi, and plant extracts. The major applications of silver nanoparticles in the medical field include diagnostic applications and therapeutic applications. In most of the therapeutic applications, it is the antimicrobial property that is being majorly explored, though the anti-inflammatory property has its fair share of applications. Though silver nanoparticles are rampantly used in many medical procedures and devices as well as in various biological fields, they have their drawbacks due to nanotoxicity. This review provides a comprehensive view on the mechanism of action, production, applications in the medical field, and the health and environmental concerns that are allegedly caused due to these nanoparticles. The focus is on effective and efficient synthesis of silver nanoparticles while exploring their various prospective applications besides trying to understand the current scenario in the debates on the toxicity concerns these nanoparticles pose.","container-title":"International Nano Letters","DOI":"10.1186/2228-5326-2-32","ISSN":"2228-5326","issue":"1","journalAbbreviation":"Int Nano Lett","language":"en","page":"32","source":"Springer Link","title":"Silver nanoparticles: mechanism of antimicrobial action, synthesis, medical applications, and toxicity effects","title-short":"Silver nanoparticles","volume":"2","author":[{"family":"Prabhu","given":"Sukumaran"},{"family":"Poulose","given":"Eldho K."}],"issued":{"date-parts":[["2012",10,29]]}}}],"schema":"https://github.com/citation-style-language/schema/raw/master/csl-citation.json"} </w:instrText>
      </w:r>
      <w:r w:rsidRPr="00AF3341">
        <w:rPr>
          <w:rFonts w:ascii="Times New Roman" w:eastAsia="Times New Roman" w:hAnsi="Times New Roman" w:cs="Times New Roman"/>
          <w:bCs/>
          <w:szCs w:val="24"/>
        </w:rPr>
        <w:fldChar w:fldCharType="separate"/>
      </w:r>
      <w:r w:rsidRPr="00AF3341">
        <w:rPr>
          <w:rFonts w:ascii="Times New Roman" w:eastAsia="Times New Roman" w:hAnsi="Times New Roman" w:cs="Times New Roman"/>
          <w:bCs/>
          <w:szCs w:val="24"/>
        </w:rPr>
        <w:t>(Prabhu &amp; Poulose, 2012)</w:t>
      </w:r>
      <w:r w:rsidRPr="00AF3341">
        <w:rPr>
          <w:rFonts w:ascii="Times New Roman" w:eastAsia="Times New Roman" w:hAnsi="Times New Roman" w:cs="Times New Roman"/>
          <w:bCs/>
          <w:szCs w:val="24"/>
        </w:rPr>
        <w:fldChar w:fldCharType="end"/>
      </w:r>
      <w:r w:rsidRPr="00AF3341">
        <w:rPr>
          <w:rFonts w:ascii="Times New Roman" w:eastAsia="Times New Roman" w:hAnsi="Times New Roman" w:cs="Times New Roman"/>
          <w:bCs/>
          <w:szCs w:val="24"/>
        </w:rPr>
        <w:t xml:space="preserve">. Ante este contexto, el objetivo del presente trabajo fue evaluar el potencial de control de </w:t>
      </w:r>
      <w:r w:rsidRPr="00AF3341">
        <w:rPr>
          <w:rFonts w:ascii="Times New Roman" w:eastAsia="Times New Roman" w:hAnsi="Times New Roman" w:cs="Times New Roman"/>
          <w:bCs/>
          <w:i/>
          <w:iCs/>
          <w:szCs w:val="24"/>
        </w:rPr>
        <w:t>T. longibrachiatum</w:t>
      </w:r>
      <w:r w:rsidRPr="00AF3341">
        <w:rPr>
          <w:rFonts w:ascii="Times New Roman" w:eastAsia="Times New Roman" w:hAnsi="Times New Roman" w:cs="Times New Roman"/>
          <w:bCs/>
          <w:szCs w:val="24"/>
        </w:rPr>
        <w:t xml:space="preserve"> de contra </w:t>
      </w:r>
      <w:r w:rsidRPr="00AF3341">
        <w:rPr>
          <w:rFonts w:ascii="Times New Roman" w:eastAsia="Times New Roman" w:hAnsi="Times New Roman" w:cs="Times New Roman"/>
          <w:bCs/>
          <w:iCs/>
          <w:szCs w:val="24"/>
        </w:rPr>
        <w:t xml:space="preserve">tres cepas fúngicas de género </w:t>
      </w:r>
      <w:r w:rsidRPr="00AF3341">
        <w:rPr>
          <w:rFonts w:ascii="Times New Roman" w:eastAsia="Times New Roman" w:hAnsi="Times New Roman" w:cs="Times New Roman"/>
          <w:bCs/>
          <w:i/>
          <w:szCs w:val="24"/>
        </w:rPr>
        <w:t>Fusarium</w:t>
      </w:r>
      <w:r w:rsidRPr="00AF3341">
        <w:rPr>
          <w:rFonts w:ascii="Times New Roman" w:eastAsia="Times New Roman" w:hAnsi="Times New Roman" w:cs="Times New Roman"/>
          <w:bCs/>
          <w:iCs/>
          <w:szCs w:val="24"/>
        </w:rPr>
        <w:t xml:space="preserve"> (FUSA, FUSB y FUSC) </w:t>
      </w:r>
      <w:r w:rsidRPr="00AF3341">
        <w:rPr>
          <w:rFonts w:ascii="Times New Roman" w:eastAsia="Times New Roman" w:hAnsi="Times New Roman" w:cs="Times New Roman"/>
          <w:bCs/>
          <w:szCs w:val="24"/>
        </w:rPr>
        <w:t xml:space="preserve">agente causal de la marchitez. Así como evaluar </w:t>
      </w:r>
      <w:r w:rsidRPr="00AF3341">
        <w:rPr>
          <w:rFonts w:ascii="Times New Roman" w:eastAsia="Times New Roman" w:hAnsi="Times New Roman" w:cs="Times New Roman"/>
          <w:bCs/>
          <w:iCs/>
          <w:szCs w:val="24"/>
        </w:rPr>
        <w:t xml:space="preserve">la eficacia de las nanopartículas de plata (AgNPs) de síntesis verde (AgNPMar, AgNPSal y AgNPTeq) para la inhibición del crecimiento de las tres cepas de </w:t>
      </w:r>
      <w:r w:rsidRPr="00AF3341">
        <w:rPr>
          <w:rFonts w:ascii="Times New Roman" w:eastAsia="Times New Roman" w:hAnsi="Times New Roman" w:cs="Times New Roman"/>
          <w:bCs/>
          <w:i/>
          <w:szCs w:val="24"/>
        </w:rPr>
        <w:t>Fusarium.</w:t>
      </w:r>
    </w:p>
    <w:p w14:paraId="12625D47" w14:textId="54C8EDCA" w:rsidR="002F6D12" w:rsidRPr="00D75B42" w:rsidRDefault="002F6D12" w:rsidP="009F2A48">
      <w:pPr>
        <w:spacing w:line="276" w:lineRule="auto"/>
        <w:jc w:val="both"/>
        <w:rPr>
          <w:rFonts w:ascii="Times New Roman" w:eastAsia="Times New Roman" w:hAnsi="Times New Roman" w:cs="Times New Roman"/>
          <w:szCs w:val="24"/>
        </w:rPr>
      </w:pPr>
    </w:p>
    <w:p w14:paraId="78996BFD" w14:textId="77777777" w:rsidR="00D77BFB" w:rsidRPr="00505904" w:rsidRDefault="00D77BFB" w:rsidP="00D77BFB">
      <w:pPr>
        <w:spacing w:line="276" w:lineRule="auto"/>
        <w:jc w:val="both"/>
        <w:rPr>
          <w:rFonts w:ascii="Times New Roman" w:eastAsia="Times New Roman" w:hAnsi="Times New Roman" w:cs="Times New Roman"/>
          <w:b/>
          <w:szCs w:val="24"/>
        </w:rPr>
      </w:pPr>
    </w:p>
    <w:p w14:paraId="62A130D3" w14:textId="348F4D68" w:rsidR="002F6D12" w:rsidRPr="00505904" w:rsidRDefault="002F6D12" w:rsidP="00D77BFB">
      <w:pPr>
        <w:spacing w:line="276" w:lineRule="auto"/>
        <w:jc w:val="both"/>
        <w:rPr>
          <w:rFonts w:ascii="Times New Roman" w:eastAsia="Times New Roman" w:hAnsi="Times New Roman" w:cs="Times New Roman"/>
          <w:b/>
          <w:szCs w:val="24"/>
        </w:rPr>
      </w:pPr>
      <w:r w:rsidRPr="00505904">
        <w:rPr>
          <w:rFonts w:ascii="Times New Roman" w:eastAsia="Times New Roman" w:hAnsi="Times New Roman" w:cs="Times New Roman"/>
          <w:b/>
          <w:szCs w:val="24"/>
        </w:rPr>
        <w:t>Material</w:t>
      </w:r>
      <w:r w:rsidR="00CB59C5" w:rsidRPr="00505904">
        <w:rPr>
          <w:rFonts w:ascii="Times New Roman" w:eastAsia="Times New Roman" w:hAnsi="Times New Roman" w:cs="Times New Roman"/>
          <w:b/>
          <w:szCs w:val="24"/>
        </w:rPr>
        <w:t>es y Métodos</w:t>
      </w:r>
    </w:p>
    <w:p w14:paraId="13B536B3" w14:textId="127B4245" w:rsidR="00A52CCA" w:rsidRPr="00A52CCA" w:rsidRDefault="00A61F4E" w:rsidP="009F2A48">
      <w:pPr>
        <w:spacing w:line="276" w:lineRule="auto"/>
        <w:jc w:val="both"/>
        <w:rPr>
          <w:rFonts w:ascii="Times New Roman" w:eastAsia="Times New Roman" w:hAnsi="Times New Roman" w:cs="Times New Roman"/>
          <w:bCs/>
          <w:szCs w:val="24"/>
        </w:rPr>
      </w:pPr>
      <w:r w:rsidRPr="00786059">
        <w:rPr>
          <w:rFonts w:ascii="Times New Roman" w:eastAsia="Times New Roman" w:hAnsi="Times New Roman" w:cs="Times New Roman"/>
          <w:bCs/>
          <w:szCs w:val="24"/>
        </w:rPr>
        <w:t>El presente estudio se llevó a cabo en el Laboratorio de Biología Molecular Vegetal del Centro de Investigación y Estudios Avanzados (CIEAF) de la Facultad de Ciencias Agrícolas, de la Universidad Autónoma del Estado de México (UAEM).</w:t>
      </w:r>
      <w:r>
        <w:rPr>
          <w:rFonts w:ascii="Times New Roman" w:eastAsia="Times New Roman" w:hAnsi="Times New Roman" w:cs="Times New Roman"/>
          <w:bCs/>
          <w:szCs w:val="24"/>
        </w:rPr>
        <w:t xml:space="preserve"> </w:t>
      </w:r>
      <w:r w:rsidRPr="00786059">
        <w:rPr>
          <w:rFonts w:ascii="Times New Roman" w:eastAsia="Times New Roman" w:hAnsi="Times New Roman" w:cs="Times New Roman"/>
          <w:bCs/>
          <w:szCs w:val="24"/>
        </w:rPr>
        <w:t xml:space="preserve">Los aislados de </w:t>
      </w:r>
      <w:r w:rsidRPr="00786059">
        <w:rPr>
          <w:rFonts w:ascii="Times New Roman" w:eastAsia="Times New Roman" w:hAnsi="Times New Roman" w:cs="Times New Roman"/>
          <w:bCs/>
          <w:i/>
          <w:iCs/>
          <w:szCs w:val="24"/>
        </w:rPr>
        <w:t>T. longibrachiatum</w:t>
      </w:r>
      <w:r w:rsidRPr="00786059">
        <w:rPr>
          <w:rFonts w:ascii="Times New Roman" w:eastAsia="Times New Roman" w:hAnsi="Times New Roman" w:cs="Times New Roman"/>
          <w:bCs/>
          <w:szCs w:val="24"/>
        </w:rPr>
        <w:t xml:space="preserve"> </w:t>
      </w:r>
      <w:r>
        <w:rPr>
          <w:rFonts w:ascii="Times New Roman" w:eastAsia="Times New Roman" w:hAnsi="Times New Roman" w:cs="Times New Roman"/>
          <w:bCs/>
          <w:szCs w:val="24"/>
        </w:rPr>
        <w:t>se colectaron</w:t>
      </w:r>
      <w:r w:rsidRPr="000B72BC">
        <w:rPr>
          <w:rFonts w:ascii="Times New Roman" w:eastAsia="Times New Roman" w:hAnsi="Times New Roman" w:cs="Times New Roman"/>
          <w:bCs/>
          <w:szCs w:val="24"/>
        </w:rPr>
        <w:t xml:space="preserve"> en</w:t>
      </w:r>
      <w:r w:rsidR="00D75B42">
        <w:rPr>
          <w:rFonts w:ascii="Times New Roman" w:eastAsia="Times New Roman" w:hAnsi="Times New Roman" w:cs="Times New Roman"/>
          <w:bCs/>
          <w:szCs w:val="24"/>
        </w:rPr>
        <w:t xml:space="preserve"> el municipio de</w:t>
      </w:r>
      <w:r w:rsidRPr="000B72BC">
        <w:rPr>
          <w:rFonts w:ascii="Times New Roman" w:eastAsia="Times New Roman" w:hAnsi="Times New Roman" w:cs="Times New Roman"/>
          <w:bCs/>
          <w:szCs w:val="24"/>
        </w:rPr>
        <w:t xml:space="preserve"> </w:t>
      </w:r>
      <w:r w:rsidR="00D75B42">
        <w:rPr>
          <w:rFonts w:ascii="Times New Roman" w:eastAsia="Times New Roman" w:hAnsi="Times New Roman" w:cs="Times New Roman"/>
          <w:bCs/>
          <w:szCs w:val="24"/>
        </w:rPr>
        <w:t>Villa Guerrero</w:t>
      </w:r>
      <w:r w:rsidRPr="000B72BC">
        <w:rPr>
          <w:rFonts w:ascii="Times New Roman" w:eastAsia="Times New Roman" w:hAnsi="Times New Roman" w:cs="Times New Roman"/>
          <w:bCs/>
          <w:i/>
          <w:iCs/>
          <w:szCs w:val="24"/>
        </w:rPr>
        <w:t xml:space="preserve">, </w:t>
      </w:r>
      <w:r w:rsidRPr="000B72BC">
        <w:rPr>
          <w:rFonts w:ascii="Times New Roman" w:eastAsia="Times New Roman" w:hAnsi="Times New Roman" w:cs="Times New Roman"/>
          <w:bCs/>
          <w:szCs w:val="24"/>
        </w:rPr>
        <w:t>Estado de México</w:t>
      </w:r>
      <w:r>
        <w:rPr>
          <w:rFonts w:ascii="Times New Roman" w:eastAsia="Times New Roman" w:hAnsi="Times New Roman" w:cs="Times New Roman"/>
          <w:bCs/>
          <w:szCs w:val="24"/>
        </w:rPr>
        <w:t>, se caracterizaron taxonómicamente en el laboratorio de Fitopatología del</w:t>
      </w:r>
      <w:r w:rsidRPr="00786059">
        <w:rPr>
          <w:rFonts w:ascii="Times New Roman" w:eastAsia="Times New Roman" w:hAnsi="Times New Roman" w:cs="Times New Roman"/>
          <w:bCs/>
          <w:szCs w:val="24"/>
        </w:rPr>
        <w:t xml:space="preserve"> Instituto de Investigación y Capacitación Agropecuaria, Acuícola y Forestal (ICAMEX)</w:t>
      </w:r>
      <w:bookmarkStart w:id="1" w:name="_Hlk177966102"/>
      <w:r w:rsidR="00A52CCA">
        <w:rPr>
          <w:rFonts w:ascii="Times New Roman" w:eastAsia="Times New Roman" w:hAnsi="Times New Roman" w:cs="Times New Roman"/>
          <w:bCs/>
          <w:szCs w:val="24"/>
        </w:rPr>
        <w:t xml:space="preserve"> se incluyeron como parte de la </w:t>
      </w:r>
      <w:r w:rsidR="00A52CCA" w:rsidRPr="00786059">
        <w:rPr>
          <w:rFonts w:ascii="Times New Roman" w:eastAsia="Times New Roman" w:hAnsi="Times New Roman" w:cs="Times New Roman"/>
          <w:bCs/>
          <w:szCs w:val="24"/>
        </w:rPr>
        <w:t xml:space="preserve">colección </w:t>
      </w:r>
      <w:r w:rsidR="00A52CCA">
        <w:rPr>
          <w:rFonts w:ascii="Times New Roman" w:eastAsia="Times New Roman" w:hAnsi="Times New Roman" w:cs="Times New Roman"/>
          <w:bCs/>
          <w:szCs w:val="24"/>
        </w:rPr>
        <w:t>de este instituto y donados para esta investigación. Posteriormente esta cepa fue caracterizada por técnicas moleculares</w:t>
      </w:r>
      <w:r w:rsidR="00A52CCA" w:rsidRPr="000B72BC">
        <w:rPr>
          <w:rFonts w:ascii="Times New Roman" w:eastAsia="Times New Roman" w:hAnsi="Times New Roman" w:cs="Times New Roman"/>
          <w:bCs/>
          <w:szCs w:val="24"/>
        </w:rPr>
        <w:t xml:space="preserve"> </w:t>
      </w:r>
      <w:r w:rsidR="00A52CCA">
        <w:rPr>
          <w:rFonts w:ascii="Times New Roman" w:eastAsia="Times New Roman" w:hAnsi="Times New Roman" w:cs="Times New Roman"/>
          <w:bCs/>
          <w:szCs w:val="24"/>
        </w:rPr>
        <w:t xml:space="preserve">en el </w:t>
      </w:r>
      <w:r w:rsidR="00A52CCA" w:rsidRPr="00A52CCA">
        <w:rPr>
          <w:rFonts w:ascii="Times New Roman" w:eastAsia="Times New Roman" w:hAnsi="Times New Roman" w:cs="Times New Roman"/>
          <w:bCs/>
          <w:szCs w:val="24"/>
        </w:rPr>
        <w:t>Laboratorio de Secuenciación Genómica de la Biodiversidad de la Universidad Nacional Autónoma de México.</w:t>
      </w:r>
    </w:p>
    <w:p w14:paraId="5B017208" w14:textId="56C60122" w:rsidR="00A61F4E" w:rsidRPr="00A61F4E" w:rsidRDefault="00A61F4E" w:rsidP="009F2A48">
      <w:pPr>
        <w:spacing w:line="276" w:lineRule="auto"/>
        <w:jc w:val="both"/>
        <w:rPr>
          <w:rFonts w:ascii="Times New Roman" w:eastAsia="Times New Roman" w:hAnsi="Times New Roman" w:cs="Times New Roman"/>
          <w:bCs/>
          <w:szCs w:val="24"/>
        </w:rPr>
      </w:pPr>
      <w:r>
        <w:rPr>
          <w:rFonts w:ascii="Times New Roman" w:eastAsia="Times New Roman" w:hAnsi="Times New Roman" w:cs="Times New Roman"/>
          <w:bCs/>
          <w:szCs w:val="24"/>
        </w:rPr>
        <w:t>Para el caso, de l</w:t>
      </w:r>
      <w:r w:rsidRPr="00CF11AD">
        <w:rPr>
          <w:rFonts w:ascii="Times New Roman" w:eastAsia="Times New Roman" w:hAnsi="Times New Roman" w:cs="Times New Roman"/>
          <w:bCs/>
          <w:szCs w:val="24"/>
        </w:rPr>
        <w:t xml:space="preserve">os aislados de </w:t>
      </w:r>
      <w:r w:rsidRPr="00CF11AD">
        <w:rPr>
          <w:rFonts w:ascii="Times New Roman" w:eastAsia="Times New Roman" w:hAnsi="Times New Roman" w:cs="Times New Roman"/>
          <w:bCs/>
          <w:i/>
          <w:iCs/>
          <w:szCs w:val="24"/>
        </w:rPr>
        <w:t>Fusarium</w:t>
      </w:r>
      <w:r w:rsidRPr="00CF11AD">
        <w:rPr>
          <w:rFonts w:ascii="Times New Roman" w:eastAsia="Times New Roman" w:hAnsi="Times New Roman" w:cs="Times New Roman"/>
          <w:bCs/>
          <w:szCs w:val="24"/>
        </w:rPr>
        <w:t xml:space="preserve"> </w:t>
      </w:r>
      <w:bookmarkStart w:id="2" w:name="_Hlk177880441"/>
      <w:r w:rsidRPr="00CF11AD">
        <w:rPr>
          <w:rFonts w:ascii="Times New Roman" w:eastAsia="Times New Roman" w:hAnsi="Times New Roman" w:cs="Times New Roman"/>
          <w:bCs/>
          <w:szCs w:val="24"/>
        </w:rPr>
        <w:t xml:space="preserve">(FUSA, FUSB y FUSC) </w:t>
      </w:r>
      <w:bookmarkEnd w:id="1"/>
      <w:bookmarkEnd w:id="2"/>
      <w:r w:rsidRPr="00CF11AD">
        <w:rPr>
          <w:rFonts w:ascii="Times New Roman" w:eastAsia="Times New Roman" w:hAnsi="Times New Roman" w:cs="Times New Roman"/>
          <w:bCs/>
          <w:szCs w:val="24"/>
        </w:rPr>
        <w:t xml:space="preserve">se obtuvieron previamente </w:t>
      </w:r>
      <w:r w:rsidRPr="00A61F4E">
        <w:rPr>
          <w:rFonts w:ascii="Times New Roman" w:eastAsia="Times New Roman" w:hAnsi="Times New Roman" w:cs="Times New Roman"/>
          <w:bCs/>
          <w:color w:val="0D0D0D" w:themeColor="text1" w:themeTint="F2"/>
          <w:szCs w:val="24"/>
        </w:rPr>
        <w:t xml:space="preserve">de cinco pencas de tres plantas </w:t>
      </w:r>
      <w:r w:rsidRPr="00CF11AD">
        <w:rPr>
          <w:rFonts w:ascii="Times New Roman" w:eastAsia="Times New Roman" w:hAnsi="Times New Roman" w:cs="Times New Roman"/>
          <w:bCs/>
          <w:szCs w:val="24"/>
        </w:rPr>
        <w:t xml:space="preserve">de </w:t>
      </w:r>
      <w:r w:rsidRPr="00CF11AD">
        <w:rPr>
          <w:rFonts w:ascii="Times New Roman" w:eastAsia="Times New Roman" w:hAnsi="Times New Roman" w:cs="Times New Roman"/>
          <w:bCs/>
          <w:i/>
          <w:iCs/>
          <w:szCs w:val="24"/>
        </w:rPr>
        <w:t>Agave cupreata</w:t>
      </w:r>
      <w:r w:rsidRPr="00CF11AD">
        <w:rPr>
          <w:rFonts w:ascii="Times New Roman" w:eastAsia="Times New Roman" w:hAnsi="Times New Roman" w:cs="Times New Roman"/>
          <w:bCs/>
          <w:szCs w:val="24"/>
        </w:rPr>
        <w:t xml:space="preserve"> de dos años, se transfirieron a placas Petri con agar papa dextrosa (PDA) para su propagación y obtención de cepas puras, se mantuvieron en incubación a 25 °C por siete días.</w:t>
      </w:r>
    </w:p>
    <w:p w14:paraId="1B4697C1" w14:textId="77777777" w:rsidR="00A61F4E" w:rsidRDefault="00CF11AD" w:rsidP="009F2A48">
      <w:pPr>
        <w:spacing w:line="276" w:lineRule="auto"/>
        <w:jc w:val="both"/>
        <w:rPr>
          <w:rFonts w:ascii="Times New Roman" w:eastAsia="Times New Roman" w:hAnsi="Times New Roman" w:cs="Times New Roman"/>
          <w:b/>
          <w:bCs/>
          <w:szCs w:val="24"/>
        </w:rPr>
      </w:pPr>
      <w:r w:rsidRPr="00CF11AD">
        <w:rPr>
          <w:rFonts w:ascii="Times New Roman" w:eastAsia="Times New Roman" w:hAnsi="Times New Roman" w:cs="Times New Roman"/>
          <w:b/>
          <w:bCs/>
          <w:szCs w:val="24"/>
        </w:rPr>
        <w:lastRenderedPageBreak/>
        <w:t>Caracterización morfológica y molecular de los hongos</w:t>
      </w:r>
      <w:r w:rsidR="00A61F4E">
        <w:rPr>
          <w:rFonts w:ascii="Times New Roman" w:eastAsia="Times New Roman" w:hAnsi="Times New Roman" w:cs="Times New Roman"/>
          <w:b/>
          <w:bCs/>
          <w:szCs w:val="24"/>
        </w:rPr>
        <w:t xml:space="preserve">. </w:t>
      </w:r>
    </w:p>
    <w:p w14:paraId="195C513A" w14:textId="2EB1FCF0" w:rsidR="00CF11AD" w:rsidRDefault="00A61F4E" w:rsidP="009F2A48">
      <w:pPr>
        <w:spacing w:line="276" w:lineRule="auto"/>
        <w:jc w:val="both"/>
        <w:rPr>
          <w:rFonts w:ascii="Times New Roman" w:eastAsia="Times New Roman" w:hAnsi="Times New Roman" w:cs="Times New Roman"/>
          <w:szCs w:val="24"/>
        </w:rPr>
      </w:pPr>
      <w:r w:rsidRPr="00A61F4E">
        <w:rPr>
          <w:rFonts w:ascii="Times New Roman" w:eastAsia="Times New Roman" w:hAnsi="Times New Roman" w:cs="Times New Roman"/>
          <w:szCs w:val="24"/>
        </w:rPr>
        <w:t xml:space="preserve">Para la caracterización morfológica, se realizó mediante la técnica de cintazo, se tomaron muestras de tres cepas de </w:t>
      </w:r>
      <w:r w:rsidRPr="00A61F4E">
        <w:rPr>
          <w:rFonts w:ascii="Times New Roman" w:eastAsia="Times New Roman" w:hAnsi="Times New Roman" w:cs="Times New Roman"/>
          <w:i/>
          <w:iCs/>
          <w:szCs w:val="24"/>
        </w:rPr>
        <w:t>Fusarium</w:t>
      </w:r>
      <w:r w:rsidRPr="00A61F4E">
        <w:rPr>
          <w:rFonts w:ascii="Times New Roman" w:eastAsia="Times New Roman" w:hAnsi="Times New Roman" w:cs="Times New Roman"/>
          <w:szCs w:val="24"/>
        </w:rPr>
        <w:t xml:space="preserve"> (FUSA, FUSB y FUSC) con crecimiento micelial y esporulación, se realizaron preparaciones las cuales se tiñeron con azul de metileno y con rojo congo, posteriormente se observaron al microscopio óptico. El reconocimiento de las estructuras morfológicas de </w:t>
      </w:r>
      <w:r w:rsidRPr="00A61F4E">
        <w:rPr>
          <w:rFonts w:ascii="Times New Roman" w:eastAsia="Times New Roman" w:hAnsi="Times New Roman" w:cs="Times New Roman"/>
          <w:i/>
          <w:iCs/>
          <w:szCs w:val="24"/>
        </w:rPr>
        <w:t>Fusarium</w:t>
      </w:r>
      <w:r w:rsidRPr="00A61F4E">
        <w:rPr>
          <w:rFonts w:ascii="Times New Roman" w:eastAsia="Times New Roman" w:hAnsi="Times New Roman" w:cs="Times New Roman"/>
          <w:szCs w:val="24"/>
        </w:rPr>
        <w:t xml:space="preserve"> (FUSA, FUSB y FUSC)</w:t>
      </w:r>
      <w:r w:rsidRPr="00A61F4E">
        <w:rPr>
          <w:rFonts w:ascii="Times New Roman" w:eastAsia="Times New Roman" w:hAnsi="Times New Roman" w:cs="Times New Roman"/>
          <w:i/>
          <w:iCs/>
          <w:szCs w:val="24"/>
        </w:rPr>
        <w:t xml:space="preserve"> </w:t>
      </w:r>
      <w:r w:rsidRPr="00A61F4E">
        <w:rPr>
          <w:rFonts w:ascii="Times New Roman" w:eastAsia="Times New Roman" w:hAnsi="Times New Roman" w:cs="Times New Roman"/>
          <w:szCs w:val="24"/>
        </w:rPr>
        <w:t xml:space="preserve">se realizó tomando como referencia el manual laboratorio para </w:t>
      </w:r>
      <w:r w:rsidRPr="00A61F4E">
        <w:rPr>
          <w:rFonts w:ascii="Times New Roman" w:eastAsia="Times New Roman" w:hAnsi="Times New Roman" w:cs="Times New Roman"/>
          <w:i/>
          <w:iCs/>
          <w:szCs w:val="24"/>
        </w:rPr>
        <w:t>Fusarium</w:t>
      </w:r>
      <w:r w:rsidRPr="00A61F4E">
        <w:rPr>
          <w:rFonts w:ascii="Times New Roman" w:eastAsia="Times New Roman" w:hAnsi="Times New Roman" w:cs="Times New Roman"/>
          <w:szCs w:val="24"/>
        </w:rPr>
        <w:t xml:space="preserve"> </w:t>
      </w:r>
      <w:r w:rsidRPr="00A61F4E">
        <w:rPr>
          <w:rFonts w:ascii="Times New Roman" w:eastAsia="Times New Roman" w:hAnsi="Times New Roman" w:cs="Times New Roman"/>
          <w:szCs w:val="24"/>
        </w:rPr>
        <w:fldChar w:fldCharType="begin"/>
      </w:r>
      <w:r w:rsidR="00DC5174">
        <w:rPr>
          <w:rFonts w:ascii="Times New Roman" w:eastAsia="Times New Roman" w:hAnsi="Times New Roman" w:cs="Times New Roman"/>
          <w:szCs w:val="24"/>
        </w:rPr>
        <w:instrText xml:space="preserve"> ADDIN ZOTERO_ITEM CSL_CITATION {"citationID":"4OVzuecE","properties":{"formattedCitation":"(Leslie &amp; Summerell, 2006)","plainCitation":"(Leslie &amp; Summerell, 2006)","dontUpdate":true,"noteIndex":0},"citationItems":[{"id":12,"uris":["http://zotero.org/users/local/SJHdbt7z/items/V43L3E5P"],"itemData":{"id":12,"type":"book","DOI":"10.1002/9780470278376","edition":"1","ISBN":"978-0-8138-1919-8","language":"en","license":"http://doi.wiley.com/10.1002/tdm_license_1.1","publisher":"Wiley","source":"DOI.org (Crossref)","title":"The Fusarium Laboratory Manual","URL":"https://onlinelibrary.wiley.com/doi/book/10.1002/9780470278376","editor":[{"family":"Leslie","given":"John F."},{"family":"Summerell","given":"Brett A."}],"accessed":{"date-parts":[["2025",1,17]]},"issued":{"date-parts":[["2006",5,17]]}}}],"schema":"https://github.com/citation-style-language/schema/raw/master/csl-citation.json"} </w:instrText>
      </w:r>
      <w:r w:rsidRPr="00A61F4E">
        <w:rPr>
          <w:rFonts w:ascii="Times New Roman" w:eastAsia="Times New Roman" w:hAnsi="Times New Roman" w:cs="Times New Roman"/>
          <w:szCs w:val="24"/>
        </w:rPr>
        <w:fldChar w:fldCharType="separate"/>
      </w:r>
      <w:r w:rsidRPr="00A61F4E">
        <w:rPr>
          <w:rFonts w:ascii="Times New Roman" w:eastAsia="Times New Roman" w:hAnsi="Times New Roman" w:cs="Times New Roman"/>
          <w:szCs w:val="24"/>
        </w:rPr>
        <w:t>(Leslie y Summerell, 2006)</w:t>
      </w:r>
      <w:r w:rsidRPr="00A61F4E">
        <w:rPr>
          <w:rFonts w:ascii="Times New Roman" w:eastAsia="Times New Roman" w:hAnsi="Times New Roman" w:cs="Times New Roman"/>
          <w:szCs w:val="24"/>
        </w:rPr>
        <w:fldChar w:fldCharType="end"/>
      </w:r>
      <w:r w:rsidRPr="00A61F4E">
        <w:rPr>
          <w:rFonts w:ascii="Times New Roman" w:eastAsia="Times New Roman" w:hAnsi="Times New Roman" w:cs="Times New Roman"/>
          <w:szCs w:val="24"/>
        </w:rPr>
        <w:t>. Se tomaron fotos de las estructuras observadas a 100X.</w:t>
      </w:r>
    </w:p>
    <w:p w14:paraId="421681DC" w14:textId="77777777" w:rsidR="00A61F4E" w:rsidRPr="00A61F4E" w:rsidRDefault="00A61F4E" w:rsidP="009F2A48">
      <w:pPr>
        <w:spacing w:line="276" w:lineRule="auto"/>
        <w:jc w:val="both"/>
        <w:rPr>
          <w:rFonts w:ascii="Times New Roman" w:eastAsia="Times New Roman" w:hAnsi="Times New Roman" w:cs="Times New Roman"/>
          <w:bCs/>
          <w:szCs w:val="24"/>
        </w:rPr>
      </w:pPr>
      <w:r w:rsidRPr="00A61F4E">
        <w:rPr>
          <w:rFonts w:ascii="Times New Roman" w:eastAsia="Times New Roman" w:hAnsi="Times New Roman" w:cs="Times New Roman"/>
          <w:bCs/>
          <w:szCs w:val="24"/>
        </w:rPr>
        <w:t>Para la extracción de ADN, de los hongos aislados se tomaron 0.5 g de micelio fresco de siete días con un bisturí estéril. Se utilizó el kit de extracción ADN animal y fúngico. Jena Bioscience cat. # PP-208L Lot# 113.267. De acuerdo con el kit, se transfirió 1 mL de las células del hongo a un microtubo de 1.5 mL. Posteriormente se centrifugó a 15,000 g durante 1 minuto y se desechó el sobrenadante, luego el sedimento celular se añadió en 300 μL de solución de resuspensión celular. Se añadieron 1.5 μL de solución de proteinasa K y se mezclaron invirtiendo varias veces, se llevaron a incubar a 55 °C durante 60 min. Después se centrifugó a 15,000 (fuerza g) durante 1 min y desechó el sobrenadante. Por último, se resuspendió el pellet en 300 μL de solución TE (Tris HCl 10 mM, pH 8.0, EDTA 1 mM.</w:t>
      </w:r>
    </w:p>
    <w:p w14:paraId="5486B1DE" w14:textId="209DCB76" w:rsidR="00D77BFB" w:rsidRPr="00A82F95" w:rsidRDefault="00A61F4E" w:rsidP="009F2A48">
      <w:pPr>
        <w:spacing w:line="276" w:lineRule="auto"/>
        <w:jc w:val="both"/>
        <w:rPr>
          <w:rFonts w:ascii="Times New Roman" w:eastAsia="Times New Roman" w:hAnsi="Times New Roman" w:cs="Times New Roman"/>
          <w:bCs/>
          <w:szCs w:val="24"/>
        </w:rPr>
      </w:pPr>
      <w:r w:rsidRPr="00A61F4E">
        <w:rPr>
          <w:rFonts w:ascii="Times New Roman" w:eastAsia="Times New Roman" w:hAnsi="Times New Roman" w:cs="Times New Roman"/>
          <w:bCs/>
          <w:szCs w:val="24"/>
        </w:rPr>
        <w:t>Para la técnica de PCR se utilizaron los genes ITS, en las regiones ITS5: GGAAGTAAAAGTCGTAACAAGG y ITS4: TCCTCCGCTTATTGATATGC. Se utilizó una concentración de ADN de 40ng µL</w:t>
      </w:r>
      <w:r w:rsidRPr="00A61F4E">
        <w:rPr>
          <w:rFonts w:ascii="Times New Roman" w:eastAsia="Times New Roman" w:hAnsi="Times New Roman" w:cs="Times New Roman"/>
          <w:bCs/>
          <w:szCs w:val="24"/>
          <w:vertAlign w:val="superscript"/>
        </w:rPr>
        <w:t>-1</w:t>
      </w:r>
      <w:r w:rsidRPr="00A61F4E">
        <w:rPr>
          <w:rFonts w:ascii="Times New Roman" w:eastAsia="Times New Roman" w:hAnsi="Times New Roman" w:cs="Times New Roman"/>
          <w:bCs/>
          <w:szCs w:val="24"/>
        </w:rPr>
        <w:t>. EL volumen final de reacción fue de 15 µL con 10 µL de buffer (5X), 0.2 µL de cada oligo</w:t>
      </w:r>
      <w:r w:rsidR="00CC20F4">
        <w:rPr>
          <w:rFonts w:ascii="Times New Roman" w:eastAsia="Times New Roman" w:hAnsi="Times New Roman" w:cs="Times New Roman"/>
          <w:bCs/>
          <w:szCs w:val="24"/>
        </w:rPr>
        <w:t>,</w:t>
      </w:r>
      <w:r w:rsidRPr="00A61F4E">
        <w:rPr>
          <w:rFonts w:ascii="Times New Roman" w:eastAsia="Times New Roman" w:hAnsi="Times New Roman" w:cs="Times New Roman"/>
          <w:bCs/>
          <w:szCs w:val="24"/>
        </w:rPr>
        <w:t xml:space="preserve"> 0.5 µL de proteína seroalbúmina bovina (BSA) (7.5mg mL</w:t>
      </w:r>
      <w:r w:rsidRPr="00A61F4E">
        <w:rPr>
          <w:rFonts w:ascii="Times New Roman" w:eastAsia="Times New Roman" w:hAnsi="Times New Roman" w:cs="Times New Roman"/>
          <w:bCs/>
          <w:szCs w:val="24"/>
          <w:vertAlign w:val="superscript"/>
        </w:rPr>
        <w:t>-1</w:t>
      </w:r>
      <w:r w:rsidRPr="00A61F4E">
        <w:rPr>
          <w:rFonts w:ascii="Times New Roman" w:eastAsia="Times New Roman" w:hAnsi="Times New Roman" w:cs="Times New Roman"/>
          <w:bCs/>
          <w:szCs w:val="24"/>
        </w:rPr>
        <w:t>) y 0.1 µL de Taq polimerasa (5U µL</w:t>
      </w:r>
      <w:r w:rsidRPr="00A61F4E">
        <w:rPr>
          <w:rFonts w:ascii="Times New Roman" w:eastAsia="Times New Roman" w:hAnsi="Times New Roman" w:cs="Times New Roman"/>
          <w:bCs/>
          <w:szCs w:val="24"/>
          <w:vertAlign w:val="superscript"/>
        </w:rPr>
        <w:t>-1</w:t>
      </w:r>
      <w:r w:rsidRPr="00A61F4E">
        <w:rPr>
          <w:rFonts w:ascii="Times New Roman" w:eastAsia="Times New Roman" w:hAnsi="Times New Roman" w:cs="Times New Roman"/>
          <w:bCs/>
          <w:szCs w:val="24"/>
        </w:rPr>
        <w:t>). El kit de polimerasa que se uso fue el MyTaq (Bioline BIO-21105), las condiciones del PCR fueron: una desnaturalización inicial a 94 °C por 2 min, 35 ciclos de 94 °C 30 s, 56 °C 30 s, 72 min 30 s y una elongación final de 72 °C 7 min. Se utilizó gel de agarosa al 1.5% corrido a 100V durante 30 min. Posteriormente las muestras se enviaron al Laboratorio de Secuenciación Genómica de la Biodiversidad de la Universidad Nacional Autónoma de México para su análisis.</w:t>
      </w:r>
    </w:p>
    <w:p w14:paraId="3296F701" w14:textId="77777777" w:rsidR="00D77BFB" w:rsidRDefault="00D77BFB" w:rsidP="009F2A48">
      <w:pPr>
        <w:spacing w:line="276" w:lineRule="auto"/>
        <w:jc w:val="both"/>
        <w:rPr>
          <w:rFonts w:ascii="Times New Roman" w:eastAsia="Times New Roman" w:hAnsi="Times New Roman" w:cs="Times New Roman"/>
          <w:b/>
          <w:bCs/>
          <w:szCs w:val="24"/>
        </w:rPr>
      </w:pPr>
    </w:p>
    <w:p w14:paraId="1A33F3F7" w14:textId="4E6277B3" w:rsidR="00CF11AD" w:rsidRPr="00CF11AD" w:rsidRDefault="00CF11AD" w:rsidP="009F2A48">
      <w:pPr>
        <w:spacing w:line="276" w:lineRule="auto"/>
        <w:jc w:val="both"/>
        <w:rPr>
          <w:rFonts w:ascii="Times New Roman" w:eastAsia="Times New Roman" w:hAnsi="Times New Roman" w:cs="Times New Roman"/>
          <w:b/>
          <w:bCs/>
          <w:szCs w:val="24"/>
        </w:rPr>
      </w:pPr>
      <w:r w:rsidRPr="00CF11AD">
        <w:rPr>
          <w:rFonts w:ascii="Times New Roman" w:eastAsia="Times New Roman" w:hAnsi="Times New Roman" w:cs="Times New Roman"/>
          <w:b/>
          <w:bCs/>
          <w:szCs w:val="24"/>
        </w:rPr>
        <w:t>Análisis filogenético de las tres cepas del complejo</w:t>
      </w:r>
      <w:r w:rsidRPr="00CF11AD">
        <w:rPr>
          <w:rFonts w:ascii="Times New Roman" w:eastAsia="Times New Roman" w:hAnsi="Times New Roman" w:cs="Times New Roman"/>
          <w:b/>
          <w:bCs/>
          <w:i/>
          <w:iCs/>
          <w:szCs w:val="24"/>
        </w:rPr>
        <w:t xml:space="preserve"> Fusarium</w:t>
      </w:r>
      <w:r w:rsidRPr="00CF11AD">
        <w:rPr>
          <w:rFonts w:ascii="Times New Roman" w:eastAsia="Times New Roman" w:hAnsi="Times New Roman" w:cs="Times New Roman"/>
          <w:b/>
          <w:bCs/>
          <w:szCs w:val="24"/>
        </w:rPr>
        <w:t xml:space="preserve"> (FUSA, FUSB y FUSC)</w:t>
      </w:r>
    </w:p>
    <w:p w14:paraId="47044898" w14:textId="2565D02F" w:rsidR="00B178B9" w:rsidRDefault="00A61F4E" w:rsidP="009F2A48">
      <w:pPr>
        <w:spacing w:line="276" w:lineRule="auto"/>
        <w:jc w:val="both"/>
        <w:rPr>
          <w:rFonts w:ascii="Times New Roman" w:eastAsia="Times New Roman" w:hAnsi="Times New Roman" w:cs="Times New Roman"/>
          <w:bCs/>
          <w:szCs w:val="24"/>
        </w:rPr>
      </w:pPr>
      <w:r w:rsidRPr="00A61F4E">
        <w:rPr>
          <w:rFonts w:ascii="Times New Roman" w:eastAsia="Times New Roman" w:hAnsi="Times New Roman" w:cs="Times New Roman"/>
          <w:bCs/>
          <w:szCs w:val="24"/>
        </w:rPr>
        <w:t xml:space="preserve">El análisis filogenético de las cepas de </w:t>
      </w:r>
      <w:r w:rsidRPr="00A61F4E">
        <w:rPr>
          <w:rFonts w:ascii="Times New Roman" w:eastAsia="Times New Roman" w:hAnsi="Times New Roman" w:cs="Times New Roman"/>
          <w:bCs/>
          <w:i/>
          <w:iCs/>
          <w:szCs w:val="24"/>
        </w:rPr>
        <w:t>Fusarium</w:t>
      </w:r>
      <w:r w:rsidRPr="00A61F4E">
        <w:rPr>
          <w:rFonts w:ascii="Times New Roman" w:eastAsia="Times New Roman" w:hAnsi="Times New Roman" w:cs="Times New Roman"/>
          <w:bCs/>
          <w:szCs w:val="24"/>
        </w:rPr>
        <w:t xml:space="preserve"> se realizó por el método de máxima verosimilitud utilizando el software MEGA11. Se utilizaron 17 secuencias de referencia con un porcentaje de homogeneidad arriba del 99% proporcionadas por la base de datos GenBank</w:t>
      </w:r>
      <w:r>
        <w:rPr>
          <w:rFonts w:ascii="Times New Roman" w:eastAsia="Times New Roman" w:hAnsi="Times New Roman" w:cs="Times New Roman"/>
          <w:bCs/>
          <w:szCs w:val="24"/>
        </w:rPr>
        <w:t>.</w:t>
      </w:r>
    </w:p>
    <w:p w14:paraId="733723D0" w14:textId="77777777" w:rsidR="00A61F4E" w:rsidRDefault="00A61F4E" w:rsidP="009F2A48">
      <w:pPr>
        <w:spacing w:line="276" w:lineRule="auto"/>
        <w:jc w:val="both"/>
        <w:rPr>
          <w:rFonts w:ascii="Times New Roman" w:eastAsia="Times New Roman" w:hAnsi="Times New Roman" w:cs="Times New Roman"/>
          <w:bCs/>
          <w:szCs w:val="24"/>
        </w:rPr>
      </w:pPr>
    </w:p>
    <w:p w14:paraId="2008A4BB" w14:textId="77777777" w:rsidR="00B178B9" w:rsidRPr="00B178B9" w:rsidRDefault="00B178B9" w:rsidP="009F2A48">
      <w:pPr>
        <w:spacing w:line="276" w:lineRule="auto"/>
        <w:jc w:val="both"/>
        <w:rPr>
          <w:rFonts w:ascii="Times New Roman" w:eastAsia="Times New Roman" w:hAnsi="Times New Roman" w:cs="Times New Roman"/>
          <w:b/>
          <w:bCs/>
          <w:szCs w:val="24"/>
        </w:rPr>
      </w:pPr>
      <w:bookmarkStart w:id="3" w:name="_Hlk188276539"/>
      <w:r w:rsidRPr="00B178B9">
        <w:rPr>
          <w:rFonts w:ascii="Times New Roman" w:eastAsia="Times New Roman" w:hAnsi="Times New Roman" w:cs="Times New Roman"/>
          <w:b/>
          <w:bCs/>
          <w:szCs w:val="24"/>
        </w:rPr>
        <w:t xml:space="preserve">Efecto </w:t>
      </w:r>
      <w:r w:rsidRPr="00B178B9">
        <w:rPr>
          <w:rFonts w:ascii="Times New Roman" w:eastAsia="Times New Roman" w:hAnsi="Times New Roman" w:cs="Times New Roman"/>
          <w:b/>
          <w:bCs/>
          <w:i/>
          <w:iCs/>
          <w:szCs w:val="24"/>
        </w:rPr>
        <w:t>in vitro</w:t>
      </w:r>
      <w:r w:rsidRPr="00B178B9">
        <w:rPr>
          <w:rFonts w:ascii="Times New Roman" w:eastAsia="Times New Roman" w:hAnsi="Times New Roman" w:cs="Times New Roman"/>
          <w:b/>
          <w:bCs/>
          <w:szCs w:val="24"/>
        </w:rPr>
        <w:t xml:space="preserve"> de </w:t>
      </w:r>
      <w:r w:rsidRPr="00B178B9">
        <w:rPr>
          <w:rFonts w:ascii="Times New Roman" w:eastAsia="Times New Roman" w:hAnsi="Times New Roman" w:cs="Times New Roman"/>
          <w:b/>
          <w:bCs/>
          <w:i/>
          <w:iCs/>
          <w:szCs w:val="24"/>
        </w:rPr>
        <w:t xml:space="preserve">T. longibrachiatum </w:t>
      </w:r>
      <w:r w:rsidRPr="00B178B9">
        <w:rPr>
          <w:rFonts w:ascii="Times New Roman" w:eastAsia="Times New Roman" w:hAnsi="Times New Roman" w:cs="Times New Roman"/>
          <w:b/>
          <w:bCs/>
          <w:szCs w:val="24"/>
        </w:rPr>
        <w:t xml:space="preserve">sobre el crecimiento de </w:t>
      </w:r>
      <w:r w:rsidRPr="00B178B9">
        <w:rPr>
          <w:rFonts w:ascii="Times New Roman" w:eastAsia="Times New Roman" w:hAnsi="Times New Roman" w:cs="Times New Roman"/>
          <w:b/>
          <w:bCs/>
          <w:i/>
          <w:iCs/>
          <w:szCs w:val="24"/>
        </w:rPr>
        <w:t>Fusarium</w:t>
      </w:r>
      <w:r w:rsidRPr="00B178B9">
        <w:rPr>
          <w:rFonts w:ascii="Times New Roman" w:eastAsia="Times New Roman" w:hAnsi="Times New Roman" w:cs="Times New Roman"/>
          <w:b/>
          <w:bCs/>
          <w:szCs w:val="24"/>
        </w:rPr>
        <w:t xml:space="preserve"> (FUSA, FUSB y FUSC).</w:t>
      </w:r>
    </w:p>
    <w:bookmarkEnd w:id="3"/>
    <w:p w14:paraId="06A44B51" w14:textId="0D6A72CB" w:rsidR="00B178B9" w:rsidRDefault="00B178B9" w:rsidP="009F2A48">
      <w:pPr>
        <w:spacing w:line="276" w:lineRule="auto"/>
        <w:jc w:val="both"/>
        <w:rPr>
          <w:rFonts w:ascii="Times New Roman" w:eastAsia="Times New Roman" w:hAnsi="Times New Roman" w:cs="Times New Roman"/>
          <w:bCs/>
          <w:szCs w:val="24"/>
        </w:rPr>
      </w:pPr>
      <w:r w:rsidRPr="00B178B9">
        <w:rPr>
          <w:rFonts w:ascii="Times New Roman" w:eastAsia="Times New Roman" w:hAnsi="Times New Roman" w:cs="Times New Roman"/>
          <w:bCs/>
          <w:szCs w:val="24"/>
        </w:rPr>
        <w:t xml:space="preserve">Se realizaron pruebas de antagonismo por medio de la técnica de cultivo dual </w:t>
      </w:r>
      <w:r w:rsidRPr="00B178B9">
        <w:rPr>
          <w:rFonts w:ascii="Times New Roman" w:eastAsia="Times New Roman" w:hAnsi="Times New Roman" w:cs="Times New Roman"/>
          <w:bCs/>
          <w:szCs w:val="24"/>
        </w:rPr>
        <w:fldChar w:fldCharType="begin"/>
      </w:r>
      <w:r w:rsidR="00DC5174">
        <w:rPr>
          <w:rFonts w:ascii="Times New Roman" w:eastAsia="Times New Roman" w:hAnsi="Times New Roman" w:cs="Times New Roman"/>
          <w:bCs/>
          <w:szCs w:val="24"/>
        </w:rPr>
        <w:instrText xml:space="preserve"> ADDIN ZOTERO_ITEM CSL_CITATION {"citationID":"2fILA8Qg","properties":{"formattedCitation":"(Behiry et\\uc0\\u160{}al., 2023)","plainCitation":"(Behiry et al., 2023)","noteIndex":0},"citationItems":[{"id":31,"uris":["http://zotero.org/users/local/SJHdbt7z/items/RZMG8N8C"],"itemData":{"id":31,"type":"article-journal","abstract":"Rhizoctonia solani causes severe diseases in many plant species, particularly root rot in tomato plants. For the first time, Trichoderma pubescens effectively controls R. solani in vitro and in vivo. R. solani strain R11 was identified using the ITS region (OP456527); meanwhile, T. pubescens strain Tp21 was characterized by the ITS region (OP456528) and two genes (tef-1 and rpb2). The antagonistic dual culture method revealed that T. pubescens had a high activity of 76.93% in vitro. A substantial increase in root length, plant height, shoot fresh and dry, and root fresh and dry weight was indicated after applying T. pubescens to tomato plants in vivo. Additionally, it significantly increased the chlorophyll content and total phenolic compounds. The treatment with T. pubescens exhibited a low disease index (DI, 16.00%) without significant differences with Uniform® fungicide at a concentration of 1 ppm (14.67%), while the R. solani-infected plants showed a DI of 78.67%. At 15 days after inoculation, promising increases in the relative expression levels of three defense-related genes (PAL, CHS, and HQT) were observed in all T. pubescens treated plants compared with the non-treated plants. Plants treated with T. pubescens alone showed the highest expression value, with relative transcriptional levels of PAL, CHS, and HQT that were 2.72-, 4.44-, and 3.72-fold higher in comparison with control plants, respectively. The two treatments of T. pubescens exhibited increasing antioxidant enzyme production (POX, SOD, PPO, and CAT), while high MDA and H2O2 levels were observed in the infected plants. The HPLC results of the leaf extract showed a fluctuation in polyphenolic compound content. T. pubescens application alone or for treating plant pathogen infection showed elevated phenolic acids such as chlorogenic and coumaric acids. Therefore, the ability of T. pubescens to inhibit the growth of R. solani, enhance the development of tomato plants, and induce systemic resistance supports the application of T. pubescens as a potential bioagent for managing root rot disease and productivity increase of crops.","container-title":"Journal of Fungi (Basel, Switzerland)","DOI":"10.3390/jof9020167","ISSN":"2309-608X","issue":"2","journalAbbreviation":"J Fungi (Basel)","language":"eng","page":"167","PMID":"36836282","PMCID":"PMC9961125","source":"PubMed","title":"Trichoderma pubescens Elicit Induced Systemic Resistance in Tomato Challenged by Rhizoctonia solani","volume":"9","author":[{"family":"Behiry","given":"Said"},{"family":"Soliman","given":"Seham A."},{"family":"Massoud","given":"Magdy A."},{"family":"Abdelbary","given":"Moawad"},{"family":"Kordy","given":"Ahmed M."},{"family":"Abdelkhalek","given":"Ahmed"},{"family":"Heflish","given":"Ahmed"}],"issued":{"date-parts":[["2023",1,27]]}}}],"schema":"https://github.com/citation-style-language/schema/raw/master/csl-citation.json"} </w:instrText>
      </w:r>
      <w:r w:rsidRPr="00B178B9">
        <w:rPr>
          <w:rFonts w:ascii="Times New Roman" w:eastAsia="Times New Roman" w:hAnsi="Times New Roman" w:cs="Times New Roman"/>
          <w:bCs/>
          <w:szCs w:val="24"/>
        </w:rPr>
        <w:fldChar w:fldCharType="separate"/>
      </w:r>
      <w:r w:rsidRPr="00B178B9">
        <w:rPr>
          <w:rFonts w:ascii="Times New Roman" w:eastAsia="Times New Roman" w:hAnsi="Times New Roman" w:cs="Times New Roman"/>
          <w:bCs/>
          <w:szCs w:val="24"/>
        </w:rPr>
        <w:t>(Behiry et al., 2023)</w:t>
      </w:r>
      <w:r w:rsidRPr="00B178B9">
        <w:rPr>
          <w:rFonts w:ascii="Times New Roman" w:eastAsia="Times New Roman" w:hAnsi="Times New Roman" w:cs="Times New Roman"/>
          <w:bCs/>
          <w:szCs w:val="24"/>
        </w:rPr>
        <w:fldChar w:fldCharType="end"/>
      </w:r>
      <w:r w:rsidRPr="00B178B9">
        <w:rPr>
          <w:rFonts w:ascii="Times New Roman" w:eastAsia="Times New Roman" w:hAnsi="Times New Roman" w:cs="Times New Roman"/>
          <w:bCs/>
          <w:szCs w:val="24"/>
        </w:rPr>
        <w:t xml:space="preserve"> donde se enfrentaron a </w:t>
      </w:r>
      <w:r w:rsidRPr="00B178B9">
        <w:rPr>
          <w:rFonts w:ascii="Times New Roman" w:eastAsia="Times New Roman" w:hAnsi="Times New Roman" w:cs="Times New Roman"/>
          <w:bCs/>
          <w:i/>
          <w:iCs/>
          <w:szCs w:val="24"/>
        </w:rPr>
        <w:t>T. longibrachiatum</w:t>
      </w:r>
      <w:r w:rsidRPr="00B178B9">
        <w:rPr>
          <w:rFonts w:ascii="Times New Roman" w:eastAsia="Times New Roman" w:hAnsi="Times New Roman" w:cs="Times New Roman"/>
          <w:bCs/>
          <w:szCs w:val="24"/>
        </w:rPr>
        <w:t xml:space="preserve"> contra las tres cepas del complejo </w:t>
      </w:r>
      <w:r w:rsidRPr="00B178B9">
        <w:rPr>
          <w:rFonts w:ascii="Times New Roman" w:eastAsia="Times New Roman" w:hAnsi="Times New Roman" w:cs="Times New Roman"/>
          <w:bCs/>
          <w:i/>
          <w:iCs/>
          <w:szCs w:val="24"/>
        </w:rPr>
        <w:t xml:space="preserve">Fusarium </w:t>
      </w:r>
      <w:bookmarkStart w:id="4" w:name="_Hlk177882372"/>
      <w:r w:rsidRPr="00B178B9">
        <w:rPr>
          <w:rFonts w:ascii="Times New Roman" w:eastAsia="Times New Roman" w:hAnsi="Times New Roman" w:cs="Times New Roman"/>
          <w:bCs/>
          <w:szCs w:val="24"/>
        </w:rPr>
        <w:t xml:space="preserve">(FUSA, FUSB y FUSC). </w:t>
      </w:r>
      <w:bookmarkEnd w:id="4"/>
      <w:r w:rsidRPr="00B178B9">
        <w:rPr>
          <w:rFonts w:ascii="Times New Roman" w:eastAsia="Times New Roman" w:hAnsi="Times New Roman" w:cs="Times New Roman"/>
          <w:bCs/>
          <w:szCs w:val="24"/>
        </w:rPr>
        <w:t xml:space="preserve">En un extremo de la caja Petri con medio Papa Dextrosa Agar (PDA), se colocó un disco de 8 mm de diámetro de micelio de </w:t>
      </w:r>
      <w:r w:rsidRPr="00B178B9">
        <w:rPr>
          <w:rFonts w:ascii="Times New Roman" w:eastAsia="Times New Roman" w:hAnsi="Times New Roman" w:cs="Times New Roman"/>
          <w:bCs/>
          <w:i/>
          <w:iCs/>
          <w:szCs w:val="24"/>
        </w:rPr>
        <w:t>T. longibrachiatum</w:t>
      </w:r>
      <w:r w:rsidRPr="00B178B9">
        <w:rPr>
          <w:rFonts w:ascii="Times New Roman" w:eastAsia="Times New Roman" w:hAnsi="Times New Roman" w:cs="Times New Roman"/>
          <w:bCs/>
          <w:szCs w:val="24"/>
        </w:rPr>
        <w:t xml:space="preserve"> y en el extremo contrario con 8 cm de separación, se colocó otro disco con micelio del patógeno; por cada tratamiento se realizaron cinco repeticiones y se consideró tratamiento control (patógeno cultivado en ausencia de </w:t>
      </w:r>
      <w:r w:rsidRPr="00B178B9">
        <w:rPr>
          <w:rFonts w:ascii="Times New Roman" w:eastAsia="Times New Roman" w:hAnsi="Times New Roman" w:cs="Times New Roman"/>
          <w:bCs/>
          <w:i/>
          <w:iCs/>
          <w:szCs w:val="24"/>
        </w:rPr>
        <w:t>T. longibrachiatum</w:t>
      </w:r>
      <w:r w:rsidRPr="00B178B9">
        <w:rPr>
          <w:rFonts w:ascii="Times New Roman" w:eastAsia="Times New Roman" w:hAnsi="Times New Roman" w:cs="Times New Roman"/>
          <w:bCs/>
          <w:szCs w:val="24"/>
        </w:rPr>
        <w:t xml:space="preserve">). Las muestras se mantuvieron en incubación en un periodo de siete días a 25°C± 2°C, al final se registró la inhibición del crecimiento micelial del patógeno en comparación con el control, según la fórmula propuesta por </w:t>
      </w:r>
      <w:r w:rsidRPr="00B178B9">
        <w:rPr>
          <w:rFonts w:ascii="Times New Roman" w:eastAsia="Times New Roman" w:hAnsi="Times New Roman" w:cs="Times New Roman"/>
          <w:bCs/>
          <w:szCs w:val="24"/>
        </w:rPr>
        <w:fldChar w:fldCharType="begin"/>
      </w:r>
      <w:r w:rsidR="00DC5174">
        <w:rPr>
          <w:rFonts w:ascii="Times New Roman" w:eastAsia="Times New Roman" w:hAnsi="Times New Roman" w:cs="Times New Roman"/>
          <w:bCs/>
          <w:szCs w:val="24"/>
        </w:rPr>
        <w:instrText xml:space="preserve"> ADDIN ZOTERO_ITEM CSL_CITATION {"citationID":"Yn4sUpUT","properties":{"formattedCitation":"(Behiry et\\uc0\\u160{}al., 2023)","plainCitation":"(Behiry et al., 2023)","noteIndex":0},"citationItems":[{"id":31,"uris":["http://zotero.org/users/local/SJHdbt7z/items/RZMG8N8C"],"itemData":{"id":31,"type":"article-journal","abstract":"Rhizoctonia solani causes severe diseases in many plant species, particularly root rot in tomato plants. For the first time, Trichoderma pubescens effectively controls R. solani in vitro and in vivo. R. solani strain R11 was identified using the ITS region (OP456527); meanwhile, T. pubescens strain Tp21 was characterized by the ITS region (OP456528) and two genes (tef-1 and rpb2). The antagonistic dual culture method revealed that T. pubescens had a high activity of 76.93% in vitro. A substantial increase in root length, plant height, shoot fresh and dry, and root fresh and dry weight was indicated after applying T. pubescens to tomato plants in vivo. Additionally, it significantly increased the chlorophyll content and total phenolic compounds. The treatment with T. pubescens exhibited a low disease index (DI, 16.00%) without significant differences with Uniform® fungicide at a concentration of 1 ppm (14.67%), while the R. solani-infected plants showed a DI of 78.67%. At 15 days after inoculation, promising increases in the relative expression levels of three defense-related genes (PAL, CHS, and HQT) were observed in all T. pubescens treated plants compared with the non-treated plants. Plants treated with T. pubescens alone showed the highest expression value, with relative transcriptional levels of PAL, CHS, and HQT that were 2.72-, 4.44-, and 3.72-fold higher in comparison with control plants, respectively. The two treatments of T. pubescens exhibited increasing antioxidant enzyme production (POX, SOD, PPO, and CAT), while high MDA and H2O2 levels were observed in the infected plants. The HPLC results of the leaf extract showed a fluctuation in polyphenolic compound content. T. pubescens application alone or for treating plant pathogen infection showed elevated phenolic acids such as chlorogenic and coumaric acids. Therefore, the ability of T. pubescens to inhibit the growth of R. solani, enhance the development of tomato plants, and induce systemic resistance supports the application of T. pubescens as a potential bioagent for managing root rot disease and productivity increase of crops.","container-title":"Journal of Fungi (Basel, Switzerland)","DOI":"10.3390/jof9020167","ISSN":"2309-608X","issue":"2","journalAbbreviation":"J Fungi (Basel)","language":"eng","page":"167","PMID":"36836282","PMCID":"PMC9961125","source":"PubMed","title":"Trichoderma pubescens Elicit Induced Systemic Resistance in Tomato Challenged by Rhizoctonia solani","volume":"9","author":[{"family":"Behiry","given":"Said"},{"family":"Soliman","given":"Seham A."},{"family":"Massoud","given":"Magdy A."},{"family":"Abdelbary","given":"Moawad"},{"family":"Kordy","given":"Ahmed M."},{"family":"Abdelkhalek","given":"Ahmed"},{"family":"Heflish","given":"Ahmed"}],"issued":{"date-parts":[["2023",1,27]]}}}],"schema":"https://github.com/citation-style-language/schema/raw/master/csl-citation.json"} </w:instrText>
      </w:r>
      <w:r w:rsidRPr="00B178B9">
        <w:rPr>
          <w:rFonts w:ascii="Times New Roman" w:eastAsia="Times New Roman" w:hAnsi="Times New Roman" w:cs="Times New Roman"/>
          <w:bCs/>
          <w:szCs w:val="24"/>
        </w:rPr>
        <w:fldChar w:fldCharType="separate"/>
      </w:r>
      <w:r w:rsidRPr="00B178B9">
        <w:rPr>
          <w:rFonts w:ascii="Times New Roman" w:eastAsia="Times New Roman" w:hAnsi="Times New Roman" w:cs="Times New Roman"/>
          <w:bCs/>
          <w:szCs w:val="24"/>
        </w:rPr>
        <w:t>(Behiry et al., 2023)</w:t>
      </w:r>
      <w:r w:rsidRPr="00B178B9">
        <w:rPr>
          <w:rFonts w:ascii="Times New Roman" w:eastAsia="Times New Roman" w:hAnsi="Times New Roman" w:cs="Times New Roman"/>
          <w:bCs/>
          <w:szCs w:val="24"/>
        </w:rPr>
        <w:fldChar w:fldCharType="end"/>
      </w:r>
      <w:r w:rsidRPr="00B178B9">
        <w:rPr>
          <w:rFonts w:ascii="Times New Roman" w:eastAsia="Times New Roman" w:hAnsi="Times New Roman" w:cs="Times New Roman"/>
          <w:bCs/>
          <w:szCs w:val="24"/>
        </w:rPr>
        <w:t>:</w:t>
      </w:r>
    </w:p>
    <w:p w14:paraId="63098607" w14:textId="77777777" w:rsidR="00B178B9" w:rsidRPr="00B178B9" w:rsidRDefault="00B178B9" w:rsidP="009F2A48">
      <w:pPr>
        <w:spacing w:line="276" w:lineRule="auto"/>
        <w:jc w:val="both"/>
        <w:rPr>
          <w:rFonts w:ascii="Times New Roman" w:eastAsia="Times New Roman" w:hAnsi="Times New Roman" w:cs="Times New Roman"/>
          <w:bCs/>
          <w:szCs w:val="24"/>
        </w:rPr>
      </w:pPr>
    </w:p>
    <w:p w14:paraId="27C3D3C8" w14:textId="57956CAB" w:rsidR="00B178B9" w:rsidRPr="00B178B9" w:rsidRDefault="00B178B9" w:rsidP="009F2A48">
      <w:pPr>
        <w:spacing w:line="276" w:lineRule="auto"/>
        <w:jc w:val="center"/>
        <w:rPr>
          <w:rFonts w:ascii="Times New Roman" w:eastAsia="Times New Roman" w:hAnsi="Times New Roman" w:cs="Times New Roman"/>
          <w:bCs/>
          <w:szCs w:val="24"/>
        </w:rPr>
      </w:pPr>
      <w:r w:rsidRPr="00B178B9">
        <w:rPr>
          <w:rFonts w:ascii="Times New Roman" w:eastAsia="Times New Roman" w:hAnsi="Times New Roman" w:cs="Times New Roman"/>
          <w:bCs/>
          <w:szCs w:val="24"/>
        </w:rPr>
        <w:lastRenderedPageBreak/>
        <w:t xml:space="preserve">% inhibición </w:t>
      </w:r>
      <m:oMath>
        <m:r>
          <w:rPr>
            <w:rFonts w:ascii="Cambria Math" w:eastAsia="Times New Roman" w:hAnsi="Cambria Math" w:cs="Times New Roman"/>
            <w:szCs w:val="24"/>
          </w:rPr>
          <m:t>=</m:t>
        </m:r>
        <m:f>
          <m:fPr>
            <m:ctrlPr>
              <w:rPr>
                <w:rFonts w:ascii="Cambria Math" w:eastAsia="Times New Roman" w:hAnsi="Cambria Math" w:cs="Times New Roman"/>
                <w:bCs/>
                <w:i/>
                <w:szCs w:val="24"/>
              </w:rPr>
            </m:ctrlPr>
          </m:fPr>
          <m:num>
            <m:r>
              <w:rPr>
                <w:rFonts w:ascii="Cambria Math" w:eastAsia="Times New Roman" w:hAnsi="Cambria Math" w:cs="Times New Roman"/>
                <w:szCs w:val="24"/>
              </w:rPr>
              <m:t>C-T</m:t>
            </m:r>
          </m:num>
          <m:den>
            <m:r>
              <w:rPr>
                <w:rFonts w:ascii="Cambria Math" w:eastAsia="Times New Roman" w:hAnsi="Cambria Math" w:cs="Times New Roman"/>
                <w:szCs w:val="24"/>
              </w:rPr>
              <m:t>C</m:t>
            </m:r>
          </m:den>
        </m:f>
        <m:r>
          <w:rPr>
            <w:rFonts w:ascii="Cambria Math" w:eastAsia="Times New Roman" w:hAnsi="Cambria Math" w:cs="Times New Roman"/>
            <w:szCs w:val="24"/>
          </w:rPr>
          <m:t>×100</m:t>
        </m:r>
      </m:oMath>
    </w:p>
    <w:p w14:paraId="1EA06305" w14:textId="77777777" w:rsidR="00B178B9" w:rsidRPr="00B178B9" w:rsidRDefault="00B178B9" w:rsidP="009F2A48">
      <w:pPr>
        <w:spacing w:line="276" w:lineRule="auto"/>
        <w:jc w:val="both"/>
        <w:rPr>
          <w:rFonts w:ascii="Times New Roman" w:eastAsia="Times New Roman" w:hAnsi="Times New Roman" w:cs="Times New Roman"/>
          <w:bCs/>
          <w:szCs w:val="24"/>
        </w:rPr>
      </w:pPr>
      <w:r w:rsidRPr="00B178B9">
        <w:rPr>
          <w:rFonts w:ascii="Times New Roman" w:eastAsia="Times New Roman" w:hAnsi="Times New Roman" w:cs="Times New Roman"/>
          <w:bCs/>
          <w:szCs w:val="24"/>
        </w:rPr>
        <w:t xml:space="preserve">Dónde: </w:t>
      </w:r>
    </w:p>
    <w:p w14:paraId="0A03759C" w14:textId="4A706F49" w:rsidR="00B178B9" w:rsidRPr="00B178B9" w:rsidRDefault="00B178B9" w:rsidP="009F2A48">
      <w:pPr>
        <w:spacing w:line="276" w:lineRule="auto"/>
        <w:jc w:val="both"/>
        <w:rPr>
          <w:rFonts w:ascii="Times New Roman" w:eastAsia="Times New Roman" w:hAnsi="Times New Roman" w:cs="Times New Roman"/>
          <w:bCs/>
          <w:szCs w:val="24"/>
        </w:rPr>
      </w:pPr>
      <w:r w:rsidRPr="00B178B9">
        <w:rPr>
          <w:rFonts w:ascii="Times New Roman" w:eastAsia="Times New Roman" w:hAnsi="Times New Roman" w:cs="Times New Roman"/>
          <w:bCs/>
          <w:szCs w:val="24"/>
        </w:rPr>
        <w:t>C=</w:t>
      </w:r>
      <w:r>
        <w:rPr>
          <w:rFonts w:ascii="Times New Roman" w:eastAsia="Times New Roman" w:hAnsi="Times New Roman" w:cs="Times New Roman"/>
          <w:bCs/>
          <w:szCs w:val="24"/>
        </w:rPr>
        <w:t xml:space="preserve"> </w:t>
      </w:r>
      <w:r w:rsidRPr="00B178B9">
        <w:rPr>
          <w:rFonts w:ascii="Times New Roman" w:eastAsia="Times New Roman" w:hAnsi="Times New Roman" w:cs="Times New Roman"/>
          <w:bCs/>
          <w:szCs w:val="24"/>
        </w:rPr>
        <w:t xml:space="preserve">crecimiento de </w:t>
      </w:r>
      <w:r w:rsidRPr="00B178B9">
        <w:rPr>
          <w:rFonts w:ascii="Times New Roman" w:eastAsia="Times New Roman" w:hAnsi="Times New Roman" w:cs="Times New Roman"/>
          <w:bCs/>
          <w:i/>
          <w:iCs/>
          <w:szCs w:val="24"/>
        </w:rPr>
        <w:t>Fusarium</w:t>
      </w:r>
      <w:r w:rsidRPr="00B178B9">
        <w:rPr>
          <w:rFonts w:ascii="Times New Roman" w:eastAsia="Times New Roman" w:hAnsi="Times New Roman" w:cs="Times New Roman"/>
          <w:bCs/>
          <w:szCs w:val="24"/>
        </w:rPr>
        <w:t xml:space="preserve"> en control y T= crecimiento de </w:t>
      </w:r>
      <w:r w:rsidRPr="00B178B9">
        <w:rPr>
          <w:rFonts w:ascii="Times New Roman" w:eastAsia="Times New Roman" w:hAnsi="Times New Roman" w:cs="Times New Roman"/>
          <w:bCs/>
          <w:i/>
          <w:iCs/>
          <w:szCs w:val="24"/>
        </w:rPr>
        <w:t>Fusarium</w:t>
      </w:r>
      <w:r w:rsidRPr="00B178B9">
        <w:rPr>
          <w:rFonts w:ascii="Times New Roman" w:eastAsia="Times New Roman" w:hAnsi="Times New Roman" w:cs="Times New Roman"/>
          <w:bCs/>
          <w:szCs w:val="24"/>
        </w:rPr>
        <w:t xml:space="preserve"> en los tratamientos. </w:t>
      </w:r>
    </w:p>
    <w:p w14:paraId="0645BBE8" w14:textId="6F2CDB6D" w:rsidR="00B178B9" w:rsidRDefault="00B178B9" w:rsidP="009F2A48">
      <w:pPr>
        <w:spacing w:line="276" w:lineRule="auto"/>
        <w:jc w:val="both"/>
        <w:rPr>
          <w:rFonts w:ascii="Times New Roman" w:eastAsia="Times New Roman" w:hAnsi="Times New Roman" w:cs="Times New Roman"/>
          <w:bCs/>
          <w:szCs w:val="24"/>
        </w:rPr>
      </w:pPr>
      <w:r w:rsidRPr="00B178B9">
        <w:rPr>
          <w:rFonts w:ascii="Times New Roman" w:eastAsia="Times New Roman" w:hAnsi="Times New Roman" w:cs="Times New Roman"/>
          <w:bCs/>
          <w:szCs w:val="24"/>
        </w:rPr>
        <w:t xml:space="preserve">Estos tratamientos se compararon con un control positivo, donde se evaluó el efecto de un fungicida comercial a base de sulfato de cobre pentahidratado (PENTAMAX®) sobre el crecimiento de las tres cepas de </w:t>
      </w:r>
      <w:r w:rsidRPr="00B178B9">
        <w:rPr>
          <w:rFonts w:ascii="Times New Roman" w:eastAsia="Times New Roman" w:hAnsi="Times New Roman" w:cs="Times New Roman"/>
          <w:bCs/>
          <w:i/>
          <w:iCs/>
          <w:szCs w:val="24"/>
        </w:rPr>
        <w:t>Fusarium</w:t>
      </w:r>
      <w:r w:rsidRPr="00B178B9">
        <w:rPr>
          <w:rFonts w:ascii="Times New Roman" w:eastAsia="Times New Roman" w:hAnsi="Times New Roman" w:cs="Times New Roman"/>
          <w:bCs/>
          <w:szCs w:val="24"/>
        </w:rPr>
        <w:t xml:space="preserve">, siguiendo la metodología de </w:t>
      </w:r>
      <w:r w:rsidR="00431D20">
        <w:rPr>
          <w:rFonts w:ascii="Times New Roman" w:eastAsia="Times New Roman" w:hAnsi="Times New Roman" w:cs="Times New Roman"/>
          <w:bCs/>
          <w:szCs w:val="24"/>
        </w:rPr>
        <w:fldChar w:fldCharType="begin"/>
      </w:r>
      <w:r w:rsidR="00DC5174">
        <w:rPr>
          <w:rFonts w:ascii="Times New Roman" w:eastAsia="Times New Roman" w:hAnsi="Times New Roman" w:cs="Times New Roman"/>
          <w:bCs/>
          <w:szCs w:val="24"/>
        </w:rPr>
        <w:instrText xml:space="preserve"> ADDIN ZOTERO_ITEM CSL_CITATION {"citationID":"7UHQ78gf","properties":{"formattedCitation":"(Aguilar-Rito et\\uc0\\u160{}al., 2024)","plainCitation":"(Aguilar-Rito et al., 2024)","noteIndex":0},"citationItems":[{"id":61,"uris":["http://zotero.org/users/local/SJHdbt7z/items/P2JGNM3E"],"itemData":{"id":61,"type":"article-journal","container-title":"Revista mexicana de fitopatología","DOI":"10.18781/r.mex.fit.2310-1","ISSN":"0185-3309","issue":"1","language":"es","publisher":"Sociedad Mexicana de Fitopatología A.C.","source":"SciELO","title":"Establecimiento de un protocolo eficiente de desinfección in vitro en semillas de siete especies de Agave spp.","URL":"http://www.scielo.org.mx/scielo.php?script=sci_abstract&amp;pid=S0185-33092024000100202&amp;lng=es&amp;nrm=iso&amp;tlng=es","volume":"42","author":[{"family":"Aguilar-Rito","given":"María Guadalupe"},{"family":"Arzate-Fernández","given":"Amaury Martín"},{"family":"García-Núñez","given":"Hilda Guadalupe"},{"family":"Norman-Mondragón","given":"Tomas Héctor"},{"family":"Aguilar-Rito","given":"María Guadalupe"},{"family":"Arzate-Fernández","given":"Amaury Martín"},{"family":"García-Núñez","given":"Hilda Guadalupe"},{"family":"Norman-Mondragón","given":"Tomas Héctor"}],"accessed":{"date-parts":[["2025",2,15]]},"issued":{"date-parts":[["2024"]]}}}],"schema":"https://github.com/citation-style-language/schema/raw/master/csl-citation.json"} </w:instrText>
      </w:r>
      <w:r w:rsidR="00431D20">
        <w:rPr>
          <w:rFonts w:ascii="Times New Roman" w:eastAsia="Times New Roman" w:hAnsi="Times New Roman" w:cs="Times New Roman"/>
          <w:bCs/>
          <w:szCs w:val="24"/>
        </w:rPr>
        <w:fldChar w:fldCharType="separate"/>
      </w:r>
      <w:r w:rsidR="00431D20" w:rsidRPr="00431D20">
        <w:rPr>
          <w:rFonts w:ascii="Times New Roman" w:hAnsi="Times New Roman" w:cs="Times New Roman"/>
        </w:rPr>
        <w:t>(Aguilar-Rito et al., 2024)</w:t>
      </w:r>
      <w:r w:rsidR="00431D20">
        <w:rPr>
          <w:rFonts w:ascii="Times New Roman" w:eastAsia="Times New Roman" w:hAnsi="Times New Roman" w:cs="Times New Roman"/>
          <w:bCs/>
          <w:szCs w:val="24"/>
        </w:rPr>
        <w:fldChar w:fldCharType="end"/>
      </w:r>
      <w:r w:rsidRPr="00B178B9">
        <w:rPr>
          <w:rFonts w:ascii="Times New Roman" w:eastAsia="Times New Roman" w:hAnsi="Times New Roman" w:cs="Times New Roman"/>
          <w:bCs/>
          <w:szCs w:val="24"/>
        </w:rPr>
        <w:t xml:space="preserve"> en placas Petri, se disolvieron 0.5 µL de sulfato de cobre pentahidratado al 21.4% en 20 mL de medio PDA, se dejó solidificar. Posteriormente en cada placa se inocularon las tres cepas </w:t>
      </w:r>
      <w:r w:rsidRPr="00B178B9">
        <w:rPr>
          <w:rFonts w:ascii="Times New Roman" w:eastAsia="Times New Roman" w:hAnsi="Times New Roman" w:cs="Times New Roman"/>
          <w:bCs/>
          <w:i/>
          <w:iCs/>
          <w:szCs w:val="24"/>
        </w:rPr>
        <w:t>de F. oxysporum</w:t>
      </w:r>
      <w:r w:rsidRPr="00B178B9">
        <w:rPr>
          <w:rFonts w:ascii="Times New Roman" w:eastAsia="Times New Roman" w:hAnsi="Times New Roman" w:cs="Times New Roman"/>
          <w:bCs/>
          <w:szCs w:val="24"/>
        </w:rPr>
        <w:t xml:space="preserve"> y se llevaron a incubación por siete días a 25 °C </w:t>
      </w:r>
      <w:bookmarkStart w:id="5" w:name="_Hlk169807738"/>
      <w:r w:rsidRPr="00B178B9">
        <w:rPr>
          <w:rFonts w:ascii="Times New Roman" w:eastAsia="Times New Roman" w:hAnsi="Times New Roman" w:cs="Times New Roman"/>
          <w:bCs/>
          <w:szCs w:val="24"/>
        </w:rPr>
        <w:t>± 2 °C</w:t>
      </w:r>
      <w:bookmarkEnd w:id="5"/>
      <w:r w:rsidRPr="00B178B9">
        <w:rPr>
          <w:rFonts w:ascii="Times New Roman" w:eastAsia="Times New Roman" w:hAnsi="Times New Roman" w:cs="Times New Roman"/>
          <w:bCs/>
          <w:szCs w:val="24"/>
        </w:rPr>
        <w:t>. El experimento consto de cinco repeticiones.</w:t>
      </w:r>
    </w:p>
    <w:p w14:paraId="58BAF967" w14:textId="77777777" w:rsidR="00A61F4E" w:rsidRDefault="00A61F4E" w:rsidP="00B178B9">
      <w:pPr>
        <w:spacing w:line="276" w:lineRule="auto"/>
        <w:ind w:left="1134"/>
        <w:jc w:val="both"/>
        <w:rPr>
          <w:rFonts w:ascii="Times New Roman" w:eastAsia="Times New Roman" w:hAnsi="Times New Roman" w:cs="Times New Roman"/>
          <w:bCs/>
          <w:szCs w:val="24"/>
        </w:rPr>
      </w:pPr>
    </w:p>
    <w:p w14:paraId="78CDDA77" w14:textId="77777777" w:rsidR="00A61F4E" w:rsidRPr="00A61F4E" w:rsidRDefault="00A61F4E" w:rsidP="009F2A48">
      <w:pPr>
        <w:spacing w:line="276" w:lineRule="auto"/>
        <w:jc w:val="both"/>
        <w:rPr>
          <w:rFonts w:ascii="Times New Roman" w:eastAsia="Times New Roman" w:hAnsi="Times New Roman" w:cs="Times New Roman"/>
          <w:b/>
          <w:bCs/>
          <w:i/>
          <w:iCs/>
          <w:szCs w:val="24"/>
        </w:rPr>
      </w:pPr>
      <w:bookmarkStart w:id="6" w:name="_Hlk164708008"/>
      <w:r w:rsidRPr="00A61F4E">
        <w:rPr>
          <w:rFonts w:ascii="Times New Roman" w:eastAsia="Times New Roman" w:hAnsi="Times New Roman" w:cs="Times New Roman"/>
          <w:b/>
          <w:bCs/>
          <w:szCs w:val="24"/>
        </w:rPr>
        <w:t xml:space="preserve">Efecto fungicida </w:t>
      </w:r>
      <w:r w:rsidRPr="00A61F4E">
        <w:rPr>
          <w:rFonts w:ascii="Times New Roman" w:eastAsia="Times New Roman" w:hAnsi="Times New Roman" w:cs="Times New Roman"/>
          <w:b/>
          <w:bCs/>
          <w:i/>
          <w:iCs/>
          <w:szCs w:val="24"/>
        </w:rPr>
        <w:t>in vitro</w:t>
      </w:r>
      <w:r w:rsidRPr="00A61F4E">
        <w:rPr>
          <w:rFonts w:ascii="Times New Roman" w:eastAsia="Times New Roman" w:hAnsi="Times New Roman" w:cs="Times New Roman"/>
          <w:b/>
          <w:bCs/>
          <w:szCs w:val="24"/>
        </w:rPr>
        <w:t xml:space="preserve"> de las AgNPs de síntesis verde sobre el crecimiento de </w:t>
      </w:r>
      <w:r w:rsidRPr="00A61F4E">
        <w:rPr>
          <w:rFonts w:ascii="Times New Roman" w:eastAsia="Times New Roman" w:hAnsi="Times New Roman" w:cs="Times New Roman"/>
          <w:b/>
          <w:bCs/>
          <w:i/>
          <w:iCs/>
          <w:szCs w:val="24"/>
        </w:rPr>
        <w:t xml:space="preserve">Fusarium </w:t>
      </w:r>
      <w:bookmarkEnd w:id="6"/>
      <w:r w:rsidRPr="00A61F4E">
        <w:rPr>
          <w:rFonts w:ascii="Times New Roman" w:eastAsia="Times New Roman" w:hAnsi="Times New Roman" w:cs="Times New Roman"/>
          <w:b/>
          <w:bCs/>
          <w:szCs w:val="24"/>
        </w:rPr>
        <w:t>(FUSA, FUSB y FUSC).</w:t>
      </w:r>
    </w:p>
    <w:p w14:paraId="0C42EF76" w14:textId="62A5003B" w:rsidR="00A61F4E" w:rsidRPr="00A61F4E" w:rsidRDefault="00A61F4E" w:rsidP="009F2A48">
      <w:pPr>
        <w:spacing w:line="276" w:lineRule="auto"/>
        <w:jc w:val="both"/>
        <w:rPr>
          <w:rFonts w:ascii="Times New Roman" w:eastAsia="Times New Roman" w:hAnsi="Times New Roman" w:cs="Times New Roman"/>
          <w:bCs/>
          <w:szCs w:val="24"/>
        </w:rPr>
      </w:pPr>
      <w:r w:rsidRPr="00A61F4E">
        <w:rPr>
          <w:rFonts w:ascii="Times New Roman" w:eastAsia="Times New Roman" w:hAnsi="Times New Roman" w:cs="Times New Roman"/>
          <w:bCs/>
          <w:szCs w:val="24"/>
        </w:rPr>
        <w:t xml:space="preserve">La síntesis verde de las nanopartículas de plata se realizó según la metodología de </w:t>
      </w:r>
      <w:r w:rsidRPr="00A61F4E">
        <w:rPr>
          <w:rFonts w:ascii="Times New Roman" w:eastAsia="Times New Roman" w:hAnsi="Times New Roman" w:cs="Times New Roman"/>
          <w:bCs/>
          <w:szCs w:val="24"/>
        </w:rPr>
        <w:fldChar w:fldCharType="begin"/>
      </w:r>
      <w:r w:rsidR="00DC5174">
        <w:rPr>
          <w:rFonts w:ascii="Times New Roman" w:eastAsia="Times New Roman" w:hAnsi="Times New Roman" w:cs="Times New Roman"/>
          <w:bCs/>
          <w:szCs w:val="24"/>
        </w:rPr>
        <w:instrText xml:space="preserve"> ADDIN ZOTERO_ITEM CSL_CITATION {"citationID":"BmuvAXy7","properties":{"formattedCitation":"(Gonz\\uc0\\u225{}lez-Pedroza et\\uc0\\u160{}al., 2021)","plainCitation":"(González-Pedroza et al., 2021)","dontUpdate":true,"noteIndex":0},"citationItems":[{"id":74,"uris":["http://zotero.org/users/local/SJHdbt7z/items/VWC8FESJ"],"itemData":{"id":74,"type":"article-journal","abstract":"Cancer is one of the most prevalent diseases in the world and requires new therapies for its treatment. In this context, the biosynthesis of silver nanoparticles (AgNPs) has been developed to treat different types of tumors. The Annona muricata plant is known for having anticancer activity. Its main compounds present in the leaves, stems and skin, allowing for its use as reducing agents. In this manuscript, AgNPs with leaf extract (AgNPs-LE) and fruit peel extract (AgNPs-PE) of A. muricata were biosynthesized obtaining an average nanoparticle diameter sizes smaller than 50 nm, being 19.63 ± 3.7 nm and 16.56 ± 4.1 nm, and with a surface plasmonic resonance (SPR) at 447 and 448 nm, respectively. The lactone functional group present in the LE and PE extracts was identified by the FTIR technique. The behavior and antiproliferation activity of AgNPs-LE and AgNPs-PE were evaluated in breast, colon and melanoma cancer cell lines. Our results showed that Annona muricata fruit peel, which is a waste product, has an antitumor effect more potent than leaf extract. This difference is maintained with AgNPs where the destruction of cancer cells was, for the first time, achieved using concentrations that do not exceed 3 μg/mL with a better therapeutic index in the different tumor strains. In conclusion, we present a low-cost one-step experimental setup to generate AgNPs-PE whose in-vitro biocompatibility and powerful therapeutic effect make it a very attractive tool worth exploiting.","container-title":"Nanomaterials (Basel, Switzerland)","DOI":"10.3390/nano11051273","ISSN":"2079-4991","issue":"5","journalAbbreviation":"Nanomaterials (Basel)","language":"eng","page":"1273","PMID":"34066096","PMCID":"PMC8151560","source":"PubMed","title":"Silver Nanoparticles from Annona muricata Peel and Leaf Extracts as a Potential Potent, Biocompatible and Low Cost Antitumor Tool","volume":"11","author":[{"family":"González-Pedroza","given":"María G."},{"family":"Argueta-Figueroa","given":"Liliana"},{"family":"García-Contreras","given":"René"},{"family":"Jiménez-Martínez","given":"Yaiza"},{"family":"Martínez-Martínez","given":"Eduardo"},{"family":"Navarro-Marchal","given":"Saúl A."},{"family":"Marchal","given":"Juan A."},{"family":"Morales-Luckie","given":"Raúl A."},{"family":"Boulaiz","given":"Houria"}],"issued":{"date-parts":[["2021",5,12]]}}}],"schema":"https://github.com/citation-style-language/schema/raw/master/csl-citation.json"} </w:instrText>
      </w:r>
      <w:r w:rsidRPr="00A61F4E">
        <w:rPr>
          <w:rFonts w:ascii="Times New Roman" w:eastAsia="Times New Roman" w:hAnsi="Times New Roman" w:cs="Times New Roman"/>
          <w:bCs/>
          <w:szCs w:val="24"/>
        </w:rPr>
        <w:fldChar w:fldCharType="separate"/>
      </w:r>
      <w:r w:rsidRPr="00A61F4E">
        <w:rPr>
          <w:rFonts w:ascii="Times New Roman" w:eastAsia="Times New Roman" w:hAnsi="Times New Roman" w:cs="Times New Roman"/>
          <w:bCs/>
          <w:szCs w:val="24"/>
        </w:rPr>
        <w:t>González-Pedroza et al., (2021)</w:t>
      </w:r>
      <w:r w:rsidRPr="00A61F4E">
        <w:rPr>
          <w:rFonts w:ascii="Times New Roman" w:eastAsia="Times New Roman" w:hAnsi="Times New Roman" w:cs="Times New Roman"/>
          <w:bCs/>
          <w:szCs w:val="24"/>
        </w:rPr>
        <w:fldChar w:fldCharType="end"/>
      </w:r>
      <w:r w:rsidRPr="00A61F4E">
        <w:rPr>
          <w:rFonts w:ascii="Times New Roman" w:eastAsia="Times New Roman" w:hAnsi="Times New Roman" w:cs="Times New Roman"/>
          <w:bCs/>
          <w:szCs w:val="24"/>
        </w:rPr>
        <w:t xml:space="preserve">, se  utilizaron pencas de plantas de  </w:t>
      </w:r>
      <w:r w:rsidRPr="00A61F4E">
        <w:rPr>
          <w:rFonts w:ascii="Times New Roman" w:eastAsia="Times New Roman" w:hAnsi="Times New Roman" w:cs="Times New Roman"/>
          <w:bCs/>
          <w:i/>
          <w:iCs/>
          <w:szCs w:val="24"/>
        </w:rPr>
        <w:t>Aagave marmorata, A. salmiana</w:t>
      </w:r>
      <w:r w:rsidRPr="00A61F4E">
        <w:rPr>
          <w:rFonts w:ascii="Times New Roman" w:eastAsia="Times New Roman" w:hAnsi="Times New Roman" w:cs="Times New Roman"/>
          <w:bCs/>
          <w:szCs w:val="24"/>
        </w:rPr>
        <w:t xml:space="preserve"> y </w:t>
      </w:r>
      <w:r w:rsidRPr="00A61F4E">
        <w:rPr>
          <w:rFonts w:ascii="Times New Roman" w:eastAsia="Times New Roman" w:hAnsi="Times New Roman" w:cs="Times New Roman"/>
          <w:bCs/>
          <w:i/>
          <w:iCs/>
          <w:szCs w:val="24"/>
        </w:rPr>
        <w:t>A. tequilana</w:t>
      </w:r>
      <w:r w:rsidRPr="00A61F4E">
        <w:rPr>
          <w:rFonts w:ascii="Times New Roman" w:eastAsia="Times New Roman" w:hAnsi="Times New Roman" w:cs="Times New Roman"/>
          <w:bCs/>
          <w:szCs w:val="24"/>
        </w:rPr>
        <w:t>, se desinfectaron y se deshidrataron en una estufa a 40 °C por 45 días. Las muestras se maceraron por separado según la especie y se tomaron 1g de cada molienda y se agregaron a una solución acuosa 0.1 mM de Nitrato de Plata AgNO</w:t>
      </w:r>
      <w:r w:rsidRPr="00A61F4E">
        <w:rPr>
          <w:rFonts w:ascii="Times New Roman" w:eastAsia="Times New Roman" w:hAnsi="Times New Roman" w:cs="Times New Roman"/>
          <w:bCs/>
          <w:szCs w:val="24"/>
          <w:vertAlign w:val="superscript"/>
        </w:rPr>
        <w:t>3</w:t>
      </w:r>
      <w:r w:rsidRPr="00A61F4E">
        <w:rPr>
          <w:rFonts w:ascii="Times New Roman" w:eastAsia="Times New Roman" w:hAnsi="Times New Roman" w:cs="Times New Roman"/>
          <w:bCs/>
          <w:szCs w:val="24"/>
        </w:rPr>
        <w:t xml:space="preserve"> (Sigma-Aldrich) así se obtuvieron tres extractos de solución acuosa de extracto de </w:t>
      </w:r>
      <w:r w:rsidRPr="00A61F4E">
        <w:rPr>
          <w:rFonts w:ascii="Times New Roman" w:eastAsia="Times New Roman" w:hAnsi="Times New Roman" w:cs="Times New Roman"/>
          <w:bCs/>
          <w:i/>
          <w:iCs/>
          <w:szCs w:val="24"/>
        </w:rPr>
        <w:t>A. tequilana</w:t>
      </w:r>
      <w:r w:rsidRPr="00A61F4E">
        <w:rPr>
          <w:rFonts w:ascii="Times New Roman" w:eastAsia="Times New Roman" w:hAnsi="Times New Roman" w:cs="Times New Roman"/>
          <w:bCs/>
          <w:szCs w:val="24"/>
        </w:rPr>
        <w:t xml:space="preserve">, </w:t>
      </w:r>
      <w:r w:rsidRPr="00A61F4E">
        <w:rPr>
          <w:rFonts w:ascii="Times New Roman" w:eastAsia="Times New Roman" w:hAnsi="Times New Roman" w:cs="Times New Roman"/>
          <w:bCs/>
          <w:i/>
          <w:iCs/>
          <w:szCs w:val="24"/>
        </w:rPr>
        <w:t>A. marmorata</w:t>
      </w:r>
      <w:r w:rsidRPr="00A61F4E">
        <w:rPr>
          <w:rFonts w:ascii="Times New Roman" w:eastAsia="Times New Roman" w:hAnsi="Times New Roman" w:cs="Times New Roman"/>
          <w:bCs/>
          <w:szCs w:val="24"/>
        </w:rPr>
        <w:t xml:space="preserve"> y </w:t>
      </w:r>
      <w:r w:rsidRPr="00A61F4E">
        <w:rPr>
          <w:rFonts w:ascii="Times New Roman" w:eastAsia="Times New Roman" w:hAnsi="Times New Roman" w:cs="Times New Roman"/>
          <w:bCs/>
          <w:i/>
          <w:iCs/>
          <w:szCs w:val="24"/>
        </w:rPr>
        <w:t>A. salmiana</w:t>
      </w:r>
      <w:r w:rsidRPr="00A61F4E">
        <w:rPr>
          <w:rFonts w:ascii="Times New Roman" w:eastAsia="Times New Roman" w:hAnsi="Times New Roman" w:cs="Times New Roman"/>
          <w:bCs/>
          <w:szCs w:val="24"/>
        </w:rPr>
        <w:t xml:space="preserve"> a una concentración final de 5:3 (</w:t>
      </w:r>
      <w:proofErr w:type="gramStart"/>
      <w:r w:rsidRPr="00A61F4E">
        <w:rPr>
          <w:rFonts w:ascii="Times New Roman" w:eastAsia="Times New Roman" w:hAnsi="Times New Roman" w:cs="Times New Roman"/>
          <w:bCs/>
          <w:szCs w:val="24"/>
        </w:rPr>
        <w:t>v:v</w:t>
      </w:r>
      <w:proofErr w:type="gramEnd"/>
      <w:r w:rsidRPr="00A61F4E">
        <w:rPr>
          <w:rFonts w:ascii="Times New Roman" w:eastAsia="Times New Roman" w:hAnsi="Times New Roman" w:cs="Times New Roman"/>
          <w:bCs/>
          <w:szCs w:val="24"/>
        </w:rPr>
        <w:t xml:space="preserve">) de Ag: extracto acuoso. En la solución final, los iones de plata se redujeron a plata metálica, mostrando un cambio de color de marrón claro a marrón oscuro. La caracterización de tamaño y forma de las nanopartículas se llevó a cabo mediante un Microscopio Electrónico de Barrido (SEM) Thermo Fisher Scientific. Siguiendo la metodología de </w:t>
      </w:r>
      <w:r w:rsidR="000F63B6">
        <w:rPr>
          <w:rFonts w:ascii="Times New Roman" w:eastAsia="Times New Roman" w:hAnsi="Times New Roman" w:cs="Times New Roman"/>
          <w:bCs/>
          <w:szCs w:val="24"/>
        </w:rPr>
        <w:fldChar w:fldCharType="begin"/>
      </w:r>
      <w:r w:rsidR="000F63B6">
        <w:rPr>
          <w:rFonts w:ascii="Times New Roman" w:eastAsia="Times New Roman" w:hAnsi="Times New Roman" w:cs="Times New Roman"/>
          <w:bCs/>
          <w:szCs w:val="24"/>
        </w:rPr>
        <w:instrText xml:space="preserve"> ADDIN ZOTERO_ITEM CSL_CITATION {"citationID":"oURREllX","properties":{"formattedCitation":"(Garc\\uc0\\u237{}a N\\uc0\\u250{}\\uc0\\u241{}ez et\\uc0\\u160{}al., 2025)","plainCitation":"(García Núñez et al., 2025)","noteIndex":0},"citationItems":[{"id":92,"uris":["http://zotero.org/users/local/SJHdbt7z/items/MC482V2U"],"itemData":{"id":92,"type":"article-journal","container-title":"Polibotánica","DOI":"10.18387/polibotanica.59.13","ISSN":"2395-9525","issue":"59","journalAbbreviation":"polibotanica","source":"DOI.org (Crossref)","title":"Evaluación in vitro de nanopartículas de síntesis verde y otros métodos biorracionales para el control de Pectobacterium carotovorum en Agave cupreata","URL":"https://polibotanica.mx/index.php/polibotanica/article/view/1153","volume":"0","author":[{"family":"García Núñez","given":"Hilda Guadalupe"},{"family":"Soria Díaz","given":"José Manuel"},{"family":"Arzate Fernández","given":"Amaury Martín"},{"family":"Norman Mondragón","given":"Tomás Héctor"},{"family":"De La Cruz Torres","given":"Eulogio"}],"accessed":{"date-parts":[["2025",2,27]]},"issued":{"date-parts":[["2025",1,15]]}}}],"schema":"https://github.com/citation-style-language/schema/raw/master/csl-citation.json"} </w:instrText>
      </w:r>
      <w:r w:rsidR="000F63B6">
        <w:rPr>
          <w:rFonts w:ascii="Times New Roman" w:eastAsia="Times New Roman" w:hAnsi="Times New Roman" w:cs="Times New Roman"/>
          <w:bCs/>
          <w:szCs w:val="24"/>
        </w:rPr>
        <w:fldChar w:fldCharType="separate"/>
      </w:r>
      <w:r w:rsidR="000F63B6" w:rsidRPr="000F63B6">
        <w:rPr>
          <w:rFonts w:ascii="Times New Roman" w:hAnsi="Times New Roman" w:cs="Times New Roman"/>
        </w:rPr>
        <w:t>(García Núñez et al., 2025)</w:t>
      </w:r>
      <w:r w:rsidR="000F63B6">
        <w:rPr>
          <w:rFonts w:ascii="Times New Roman" w:eastAsia="Times New Roman" w:hAnsi="Times New Roman" w:cs="Times New Roman"/>
          <w:bCs/>
          <w:szCs w:val="24"/>
        </w:rPr>
        <w:fldChar w:fldCharType="end"/>
      </w:r>
      <w:r w:rsidRPr="00A61F4E">
        <w:rPr>
          <w:rFonts w:ascii="Times New Roman" w:eastAsia="Times New Roman" w:hAnsi="Times New Roman" w:cs="Times New Roman"/>
          <w:bCs/>
          <w:szCs w:val="24"/>
        </w:rPr>
        <w:t xml:space="preserve"> y </w:t>
      </w:r>
      <w:r w:rsidRPr="00A61F4E">
        <w:rPr>
          <w:rFonts w:ascii="Times New Roman" w:eastAsia="Times New Roman" w:hAnsi="Times New Roman" w:cs="Times New Roman"/>
          <w:bCs/>
          <w:szCs w:val="24"/>
        </w:rPr>
        <w:fldChar w:fldCharType="begin"/>
      </w:r>
      <w:r w:rsidR="00431D20">
        <w:rPr>
          <w:rFonts w:ascii="Times New Roman" w:eastAsia="Times New Roman" w:hAnsi="Times New Roman" w:cs="Times New Roman"/>
          <w:bCs/>
          <w:szCs w:val="24"/>
        </w:rPr>
        <w:instrText xml:space="preserve"> ADDIN ZOTERO_ITEM CSL_CITATION {"citationID":"zkkEUm8N","properties":{"formattedCitation":"(Garc\\uc0\\u237{}a N\\uc0\\u250{}\\uc0\\u241{}ez et\\uc0\\u160{}al., 2025)","plainCitation":"(García Núñez et al., 2025)","dontUpdate":true,"noteIndex":0},"citationItems":[{"id":92,"uris":["http://zotero.org/users/local/SJHdbt7z/items/MC482V2U"],"itemData":{"id":92,"type":"article-journal","container-title":"Polibotánica","DOI":"10.18387/polibotanica.59.13","ISSN":"2395-9525","issue":"59","journalAbbreviation":"polibotanica","source":"DOI.org (Crossref)","title":"Evaluación in vitro de nanopartículas de síntesis verde y otros métodos biorracionales para el control de Pectobacterium carotovorum en Agave cupreata","URL":"https://polibotanica.mx/index.php/polibotanica/article/view/1153","volume":"0","author":[{"family":"García Núñez","given":"Hilda Guadalupe"},{"family":"Soria Díaz","given":"José Manuel"},{"family":"Arzate Fernández","given":"Amaury Martín"},{"family":"Norman Mondragón","given":"Tomás Héctor"},{"family":"De La Cruz Torres","given":"Eulogio"}],"accessed":{"date-parts":[["2025",2,27]]},"issued":{"date-parts":[["2025",1,15]]}}}],"schema":"https://github.com/citation-style-language/schema/raw/master/csl-citation.json"} </w:instrText>
      </w:r>
      <w:r w:rsidRPr="00A61F4E">
        <w:rPr>
          <w:rFonts w:ascii="Times New Roman" w:eastAsia="Times New Roman" w:hAnsi="Times New Roman" w:cs="Times New Roman"/>
          <w:bCs/>
          <w:szCs w:val="24"/>
        </w:rPr>
        <w:fldChar w:fldCharType="separate"/>
      </w:r>
      <w:r w:rsidRPr="00A61F4E">
        <w:rPr>
          <w:rFonts w:ascii="Times New Roman" w:eastAsia="Times New Roman" w:hAnsi="Times New Roman" w:cs="Times New Roman"/>
          <w:bCs/>
          <w:szCs w:val="24"/>
        </w:rPr>
        <w:t>Martínez -Martínez  et al., (2024)</w:t>
      </w:r>
      <w:r w:rsidRPr="00A61F4E">
        <w:rPr>
          <w:rFonts w:ascii="Times New Roman" w:eastAsia="Times New Roman" w:hAnsi="Times New Roman" w:cs="Times New Roman"/>
          <w:bCs/>
          <w:szCs w:val="24"/>
        </w:rPr>
        <w:fldChar w:fldCharType="end"/>
      </w:r>
    </w:p>
    <w:p w14:paraId="7EE92874" w14:textId="77777777" w:rsidR="00A61F4E" w:rsidRDefault="00A61F4E" w:rsidP="009F2A48">
      <w:pPr>
        <w:spacing w:line="276" w:lineRule="auto"/>
        <w:jc w:val="both"/>
        <w:rPr>
          <w:rFonts w:ascii="Times New Roman" w:eastAsia="Times New Roman" w:hAnsi="Times New Roman" w:cs="Times New Roman"/>
          <w:bCs/>
          <w:szCs w:val="24"/>
        </w:rPr>
      </w:pPr>
      <w:r w:rsidRPr="00A61F4E">
        <w:rPr>
          <w:rFonts w:ascii="Times New Roman" w:eastAsia="Times New Roman" w:hAnsi="Times New Roman" w:cs="Times New Roman"/>
          <w:bCs/>
          <w:szCs w:val="24"/>
        </w:rPr>
        <w:t>Para la evaluación del efecto fungicida de las AgNPs de síntesis verde (</w:t>
      </w:r>
      <w:r w:rsidRPr="00A61F4E">
        <w:rPr>
          <w:rFonts w:ascii="Times New Roman" w:eastAsia="Times New Roman" w:hAnsi="Times New Roman" w:cs="Times New Roman"/>
          <w:bCs/>
          <w:i/>
          <w:iCs/>
          <w:szCs w:val="24"/>
        </w:rPr>
        <w:t>A. marmorata, A. salmiana</w:t>
      </w:r>
      <w:r w:rsidRPr="00A61F4E">
        <w:rPr>
          <w:rFonts w:ascii="Times New Roman" w:eastAsia="Times New Roman" w:hAnsi="Times New Roman" w:cs="Times New Roman"/>
          <w:bCs/>
          <w:szCs w:val="24"/>
        </w:rPr>
        <w:t xml:space="preserve"> y </w:t>
      </w:r>
      <w:r w:rsidRPr="00A61F4E">
        <w:rPr>
          <w:rFonts w:ascii="Times New Roman" w:eastAsia="Times New Roman" w:hAnsi="Times New Roman" w:cs="Times New Roman"/>
          <w:bCs/>
          <w:i/>
          <w:iCs/>
          <w:szCs w:val="24"/>
        </w:rPr>
        <w:t xml:space="preserve">A. tequilana) </w:t>
      </w:r>
      <w:r w:rsidRPr="00A61F4E">
        <w:rPr>
          <w:rFonts w:ascii="Times New Roman" w:eastAsia="Times New Roman" w:hAnsi="Times New Roman" w:cs="Times New Roman"/>
          <w:bCs/>
          <w:szCs w:val="24"/>
        </w:rPr>
        <w:t xml:space="preserve">contra las tres cepas de </w:t>
      </w:r>
      <w:r w:rsidRPr="00A61F4E">
        <w:rPr>
          <w:rFonts w:ascii="Times New Roman" w:eastAsia="Times New Roman" w:hAnsi="Times New Roman" w:cs="Times New Roman"/>
          <w:bCs/>
          <w:i/>
          <w:iCs/>
          <w:szCs w:val="24"/>
        </w:rPr>
        <w:t>Fusarium</w:t>
      </w:r>
      <w:r w:rsidRPr="00A61F4E">
        <w:rPr>
          <w:rFonts w:ascii="Times New Roman" w:eastAsia="Times New Roman" w:hAnsi="Times New Roman" w:cs="Times New Roman"/>
          <w:bCs/>
          <w:szCs w:val="24"/>
        </w:rPr>
        <w:t xml:space="preserve"> (FUSA, FUSB y FUSC) se realizó de la siguiente manera: en la caja Petri con medio PDA se colocaron </w:t>
      </w:r>
      <w:bookmarkStart w:id="7" w:name="_Hlk176011680"/>
      <w:bookmarkStart w:id="8" w:name="_Hlk176097552"/>
      <w:r w:rsidRPr="00A61F4E">
        <w:rPr>
          <w:rFonts w:ascii="Times New Roman" w:eastAsia="Times New Roman" w:hAnsi="Times New Roman" w:cs="Times New Roman"/>
          <w:bCs/>
          <w:szCs w:val="24"/>
        </w:rPr>
        <w:t>en extensión 500µl</w:t>
      </w:r>
      <w:bookmarkEnd w:id="7"/>
      <w:r w:rsidRPr="00A61F4E">
        <w:rPr>
          <w:rFonts w:ascii="Times New Roman" w:eastAsia="Times New Roman" w:hAnsi="Times New Roman" w:cs="Times New Roman"/>
          <w:bCs/>
          <w:szCs w:val="24"/>
        </w:rPr>
        <w:t xml:space="preserve"> </w:t>
      </w:r>
      <w:bookmarkEnd w:id="8"/>
      <w:r w:rsidRPr="00A61F4E">
        <w:rPr>
          <w:rFonts w:ascii="Times New Roman" w:eastAsia="Times New Roman" w:hAnsi="Times New Roman" w:cs="Times New Roman"/>
          <w:bCs/>
          <w:szCs w:val="24"/>
        </w:rPr>
        <w:t>de AgNPs (</w:t>
      </w:r>
      <w:r w:rsidRPr="00A61F4E">
        <w:rPr>
          <w:rFonts w:ascii="Times New Roman" w:eastAsia="Times New Roman" w:hAnsi="Times New Roman" w:cs="Times New Roman"/>
          <w:bCs/>
          <w:i/>
          <w:iCs/>
          <w:szCs w:val="24"/>
        </w:rPr>
        <w:t>A. tequilana, A. marmorata y A. salmiana</w:t>
      </w:r>
      <w:r w:rsidRPr="00A61F4E">
        <w:rPr>
          <w:rFonts w:ascii="Times New Roman" w:eastAsia="Times New Roman" w:hAnsi="Times New Roman" w:cs="Times New Roman"/>
          <w:bCs/>
          <w:szCs w:val="24"/>
        </w:rPr>
        <w:t xml:space="preserve">) por separado, previamente partir de las tres cepas de </w:t>
      </w:r>
      <w:r w:rsidRPr="00A61F4E">
        <w:rPr>
          <w:rFonts w:ascii="Times New Roman" w:eastAsia="Times New Roman" w:hAnsi="Times New Roman" w:cs="Times New Roman"/>
          <w:bCs/>
          <w:i/>
          <w:iCs/>
          <w:szCs w:val="24"/>
        </w:rPr>
        <w:t>Fusarium</w:t>
      </w:r>
      <w:r w:rsidRPr="00A61F4E">
        <w:rPr>
          <w:rFonts w:ascii="Times New Roman" w:eastAsia="Times New Roman" w:hAnsi="Times New Roman" w:cs="Times New Roman"/>
          <w:bCs/>
          <w:szCs w:val="24"/>
        </w:rPr>
        <w:t xml:space="preserve"> se obtuvieron discos de 8mm con micelio esporulado en PDA, y se colocaron en el centro de las cajas Petri. Obteniendo así nueve tratamientos y tres controles (las tres cepas de </w:t>
      </w:r>
      <w:r w:rsidRPr="00A61F4E">
        <w:rPr>
          <w:rFonts w:ascii="Times New Roman" w:eastAsia="Times New Roman" w:hAnsi="Times New Roman" w:cs="Times New Roman"/>
          <w:bCs/>
          <w:i/>
          <w:iCs/>
          <w:szCs w:val="24"/>
        </w:rPr>
        <w:t xml:space="preserve">Fusarium </w:t>
      </w:r>
      <w:r w:rsidRPr="00A61F4E">
        <w:rPr>
          <w:rFonts w:ascii="Times New Roman" w:eastAsia="Times New Roman" w:hAnsi="Times New Roman" w:cs="Times New Roman"/>
          <w:bCs/>
          <w:szCs w:val="24"/>
        </w:rPr>
        <w:t xml:space="preserve">creciendo sin el efecto de las nanopartículas). Esto se realizó por triplicado, las muestras se mantuvieron en incubación en un periodo de 7 días a 25°C± 2°C. Durante este periodo se registró el crecimiento del patógeno y la presencia de halos de inhibición que indican el efecto fungicida de las nanopartículas.  </w:t>
      </w:r>
    </w:p>
    <w:p w14:paraId="2A8D5D42" w14:textId="77777777" w:rsidR="00431D20" w:rsidRPr="00A61F4E" w:rsidRDefault="00431D20" w:rsidP="009F2A48">
      <w:pPr>
        <w:spacing w:line="276" w:lineRule="auto"/>
        <w:jc w:val="both"/>
        <w:rPr>
          <w:rFonts w:ascii="Times New Roman" w:eastAsia="Times New Roman" w:hAnsi="Times New Roman" w:cs="Times New Roman"/>
          <w:bCs/>
          <w:szCs w:val="24"/>
        </w:rPr>
      </w:pPr>
    </w:p>
    <w:p w14:paraId="1378F72C" w14:textId="37CB6ACE" w:rsidR="00CB59C5" w:rsidRDefault="00A61F4E" w:rsidP="009F2A48">
      <w:pPr>
        <w:spacing w:line="276" w:lineRule="auto"/>
        <w:jc w:val="both"/>
        <w:rPr>
          <w:rFonts w:ascii="Times New Roman" w:eastAsia="Times New Roman" w:hAnsi="Times New Roman" w:cs="Times New Roman"/>
          <w:bCs/>
          <w:szCs w:val="24"/>
        </w:rPr>
      </w:pPr>
      <w:r w:rsidRPr="00A61F4E">
        <w:rPr>
          <w:rFonts w:ascii="Times New Roman" w:eastAsia="Times New Roman" w:hAnsi="Times New Roman" w:cs="Times New Roman"/>
          <w:b/>
          <w:bCs/>
          <w:szCs w:val="24"/>
        </w:rPr>
        <w:t xml:space="preserve">Análisis estadístico. </w:t>
      </w:r>
      <w:r w:rsidRPr="00A61F4E">
        <w:rPr>
          <w:rFonts w:ascii="Times New Roman" w:eastAsia="Times New Roman" w:hAnsi="Times New Roman" w:cs="Times New Roman"/>
          <w:bCs/>
          <w:szCs w:val="24"/>
        </w:rPr>
        <w:t xml:space="preserve">El diseño experimental se realizó completamente al azar con cuatro repeticiones. Los datos se analizaron en el software InfoStat y las diferencias significativas se estimaron utilizando la técnica de diferencias significativas honestas (HSD) de Tukey a una p ≤ 0.05 con la desviación estándar (SD). </w:t>
      </w:r>
    </w:p>
    <w:p w14:paraId="0631B47A" w14:textId="77777777" w:rsidR="00A61F4E" w:rsidRPr="00A61F4E" w:rsidRDefault="00A61F4E" w:rsidP="00A61F4E">
      <w:pPr>
        <w:spacing w:line="276" w:lineRule="auto"/>
        <w:ind w:left="1134"/>
        <w:jc w:val="both"/>
        <w:rPr>
          <w:rFonts w:ascii="Times New Roman" w:eastAsia="Times New Roman" w:hAnsi="Times New Roman" w:cs="Times New Roman"/>
          <w:bCs/>
          <w:szCs w:val="24"/>
        </w:rPr>
      </w:pPr>
    </w:p>
    <w:p w14:paraId="5A6E3DE3" w14:textId="4845683A" w:rsidR="002F6D12" w:rsidRPr="00505904" w:rsidRDefault="002F6D12" w:rsidP="009F2A48">
      <w:pPr>
        <w:spacing w:line="276" w:lineRule="auto"/>
        <w:jc w:val="both"/>
        <w:rPr>
          <w:rFonts w:ascii="Times New Roman" w:eastAsia="Times New Roman" w:hAnsi="Times New Roman" w:cs="Times New Roman"/>
          <w:b/>
          <w:szCs w:val="24"/>
        </w:rPr>
      </w:pPr>
      <w:r w:rsidRPr="00505904">
        <w:rPr>
          <w:rFonts w:ascii="Times New Roman" w:eastAsia="Times New Roman" w:hAnsi="Times New Roman" w:cs="Times New Roman"/>
          <w:b/>
          <w:szCs w:val="24"/>
        </w:rPr>
        <w:t>Result</w:t>
      </w:r>
      <w:r w:rsidR="00B178B9" w:rsidRPr="00505904">
        <w:rPr>
          <w:rFonts w:ascii="Times New Roman" w:eastAsia="Times New Roman" w:hAnsi="Times New Roman" w:cs="Times New Roman"/>
          <w:b/>
          <w:szCs w:val="24"/>
        </w:rPr>
        <w:t>ados</w:t>
      </w:r>
    </w:p>
    <w:p w14:paraId="421CB2D4" w14:textId="0CE031EB" w:rsidR="00A61F4E" w:rsidRPr="00831C4E" w:rsidRDefault="007D7929" w:rsidP="009F2A48">
      <w:pPr>
        <w:pStyle w:val="MDPI22heading2"/>
        <w:spacing w:before="240"/>
        <w:ind w:left="0"/>
        <w:rPr>
          <w:rFonts w:ascii="Times New Roman" w:hAnsi="Times New Roman"/>
          <w:b/>
          <w:bCs/>
          <w:i w:val="0"/>
          <w:iCs/>
          <w:sz w:val="22"/>
          <w:lang w:val="es-MX"/>
        </w:rPr>
      </w:pPr>
      <w:r w:rsidRPr="00831C4E">
        <w:rPr>
          <w:rFonts w:ascii="Times New Roman" w:hAnsi="Times New Roman"/>
          <w:b/>
          <w:bCs/>
          <w:i w:val="0"/>
          <w:iCs/>
          <w:sz w:val="22"/>
          <w:lang w:val="es-MX"/>
        </w:rPr>
        <w:t xml:space="preserve">Caracterización morfológica y molecular de las tres cepas de </w:t>
      </w:r>
      <w:r w:rsidRPr="00831C4E">
        <w:rPr>
          <w:rFonts w:ascii="Times New Roman" w:hAnsi="Times New Roman"/>
          <w:b/>
          <w:bCs/>
          <w:sz w:val="22"/>
          <w:lang w:val="es-MX"/>
        </w:rPr>
        <w:t>Fusarium</w:t>
      </w:r>
      <w:r w:rsidR="00A61F4E" w:rsidRPr="00831C4E">
        <w:rPr>
          <w:rFonts w:ascii="Times New Roman" w:hAnsi="Times New Roman"/>
          <w:b/>
          <w:bCs/>
          <w:i w:val="0"/>
          <w:iCs/>
          <w:sz w:val="22"/>
          <w:lang w:val="es-MX"/>
        </w:rPr>
        <w:t>.</w:t>
      </w:r>
    </w:p>
    <w:p w14:paraId="3F25BA6C" w14:textId="0FE7B35B" w:rsidR="00A61F4E" w:rsidRDefault="00A61F4E" w:rsidP="009F2A48">
      <w:pPr>
        <w:spacing w:line="276" w:lineRule="auto"/>
        <w:ind w:left="18"/>
        <w:jc w:val="both"/>
        <w:rPr>
          <w:rFonts w:ascii="Times New Roman" w:hAnsi="Times New Roman"/>
        </w:rPr>
      </w:pPr>
      <w:r w:rsidRPr="007D7929">
        <w:rPr>
          <w:rFonts w:ascii="Times New Roman" w:hAnsi="Times New Roman"/>
          <w:iCs/>
        </w:rPr>
        <w:lastRenderedPageBreak/>
        <w:t>Para las cepas FUSA, FUSB y FUSC presentaron inicialmente un micelio blanco y algodonoso con</w:t>
      </w:r>
      <w:r>
        <w:rPr>
          <w:rFonts w:ascii="Times New Roman" w:hAnsi="Times New Roman"/>
          <w:iCs/>
        </w:rPr>
        <w:t xml:space="preserve"> el paso de los días FUSA cambió</w:t>
      </w:r>
      <w:r w:rsidRPr="007D7929">
        <w:rPr>
          <w:rFonts w:ascii="Times New Roman" w:hAnsi="Times New Roman"/>
          <w:iCs/>
        </w:rPr>
        <w:t xml:space="preserve"> a rosa claro formando anillos concéntricos</w:t>
      </w:r>
      <w:r>
        <w:rPr>
          <w:rFonts w:ascii="Times New Roman" w:hAnsi="Times New Roman"/>
          <w:iCs/>
        </w:rPr>
        <w:t xml:space="preserve"> </w:t>
      </w:r>
      <w:r w:rsidRPr="00786059">
        <w:rPr>
          <w:rFonts w:ascii="Times New Roman" w:hAnsi="Times New Roman"/>
        </w:rPr>
        <w:t xml:space="preserve">bien marcados </w:t>
      </w:r>
      <w:r>
        <w:rPr>
          <w:rFonts w:ascii="Times New Roman" w:hAnsi="Times New Roman"/>
        </w:rPr>
        <w:t>(Figura 1a); la cepa FUSB cambió</w:t>
      </w:r>
      <w:r w:rsidRPr="00786059">
        <w:rPr>
          <w:rFonts w:ascii="Times New Roman" w:hAnsi="Times New Roman"/>
        </w:rPr>
        <w:t xml:space="preserve"> a violeta intenso, variando entre colores claros y oscuros, mostrando un cre</w:t>
      </w:r>
      <w:r>
        <w:rPr>
          <w:rFonts w:ascii="Times New Roman" w:hAnsi="Times New Roman"/>
        </w:rPr>
        <w:t>cimiento radial, mientras que</w:t>
      </w:r>
      <w:r w:rsidRPr="00786059">
        <w:rPr>
          <w:rFonts w:ascii="Times New Roman" w:hAnsi="Times New Roman"/>
        </w:rPr>
        <w:t xml:space="preserve"> la cepa FUSC</w:t>
      </w:r>
      <w:r>
        <w:rPr>
          <w:rFonts w:ascii="Times New Roman" w:hAnsi="Times New Roman"/>
        </w:rPr>
        <w:t>,</w:t>
      </w:r>
      <w:r w:rsidRPr="00786059">
        <w:rPr>
          <w:rFonts w:ascii="Times New Roman" w:hAnsi="Times New Roman"/>
        </w:rPr>
        <w:t xml:space="preserve"> el micelio permaneció de color blan</w:t>
      </w:r>
      <w:r>
        <w:rPr>
          <w:rFonts w:ascii="Times New Roman" w:hAnsi="Times New Roman"/>
        </w:rPr>
        <w:t>co con crecimiento radial.</w:t>
      </w:r>
    </w:p>
    <w:p w14:paraId="26BDC4B8" w14:textId="239DA5D2" w:rsidR="00A61F4E" w:rsidRPr="00124AA3" w:rsidRDefault="00A61F4E" w:rsidP="00124AA3">
      <w:pPr>
        <w:spacing w:line="276" w:lineRule="auto"/>
        <w:ind w:left="18"/>
        <w:jc w:val="both"/>
        <w:rPr>
          <w:rFonts w:ascii="Times New Roman" w:hAnsi="Times New Roman"/>
          <w:i/>
        </w:rPr>
      </w:pPr>
      <w:r w:rsidRPr="00A61F4E">
        <w:rPr>
          <w:rFonts w:ascii="Times New Roman" w:hAnsi="Times New Roman"/>
        </w:rPr>
        <w:t xml:space="preserve">El crecimiento de las cepas fue rápido cubriendo la placa Petri en siete días. Al observar las preparaciones al microscopio óptico, para las tres cepas se observaron monofiálides y polifiálides (Figura B1), hifas septadas (Figura B2) y microconidios ovoides y macroconidios (Figura B3) </w:t>
      </w:r>
      <w:r w:rsidR="00872897">
        <w:rPr>
          <w:rFonts w:ascii="Times New Roman" w:hAnsi="Times New Roman"/>
        </w:rPr>
        <w:fldChar w:fldCharType="begin"/>
      </w:r>
      <w:r w:rsidR="00DC5174">
        <w:rPr>
          <w:rFonts w:ascii="Times New Roman" w:hAnsi="Times New Roman"/>
        </w:rPr>
        <w:instrText xml:space="preserve"> ADDIN ZOTERO_ITEM CSL_CITATION {"citationID":"lNJhPpT2","properties":{"formattedCitation":"(Leslie &amp; Summerell, 2006)","plainCitation":"(Leslie &amp; Summerell, 2006)","noteIndex":0},"citationItems":[{"id":12,"uris":["http://zotero.org/users/local/SJHdbt7z/items/V43L3E5P"],"itemData":{"id":12,"type":"book","DOI":"10.1002/9780470278376","edition":"1","ISBN":"978-0-8138-1919-8","language":"en","license":"http://doi.wiley.com/10.1002/tdm_license_1.1","publisher":"Wiley","source":"DOI.org (Crossref)","title":"The Fusarium Laboratory Manual","URL":"https://onlinelibrary.wiley.com/doi/book/10.1002/9780470278376","editor":[{"family":"Leslie","given":"John F."},{"family":"Summerell","given":"Brett A."}],"accessed":{"date-parts":[["2025",1,17]]},"issued":{"date-parts":[["2006",5,17]]}}}],"schema":"https://github.com/citation-style-language/schema/raw/master/csl-citation.json"} </w:instrText>
      </w:r>
      <w:r w:rsidR="00872897">
        <w:rPr>
          <w:rFonts w:ascii="Times New Roman" w:hAnsi="Times New Roman"/>
        </w:rPr>
        <w:fldChar w:fldCharType="separate"/>
      </w:r>
      <w:r w:rsidR="00872897" w:rsidRPr="00872897">
        <w:rPr>
          <w:rFonts w:ascii="Times New Roman" w:hAnsi="Times New Roman" w:cs="Times New Roman"/>
        </w:rPr>
        <w:t>(Leslie &amp; Summerell, 2006)</w:t>
      </w:r>
      <w:r w:rsidR="00872897">
        <w:rPr>
          <w:rFonts w:ascii="Times New Roman" w:hAnsi="Times New Roman"/>
        </w:rPr>
        <w:fldChar w:fldCharType="end"/>
      </w:r>
      <w:r w:rsidR="00872897">
        <w:rPr>
          <w:rFonts w:ascii="Times New Roman" w:hAnsi="Times New Roman"/>
        </w:rPr>
        <w:t>.</w:t>
      </w:r>
    </w:p>
    <w:p w14:paraId="4AB04467" w14:textId="2B6A8C07" w:rsidR="00A61F4E" w:rsidRPr="007D7929" w:rsidRDefault="00A61F4E" w:rsidP="00A61F4E">
      <w:pPr>
        <w:pStyle w:val="MDPI22heading2"/>
        <w:spacing w:before="240"/>
        <w:ind w:left="0"/>
        <w:rPr>
          <w:rFonts w:ascii="Times New Roman" w:hAnsi="Times New Roman"/>
          <w:i w:val="0"/>
          <w:iCs/>
          <w:sz w:val="22"/>
          <w:lang w:val="es-MX"/>
        </w:rPr>
      </w:pPr>
    </w:p>
    <w:p w14:paraId="0559FACE" w14:textId="7A82CC86" w:rsidR="007D7929" w:rsidRPr="00D75B42" w:rsidRDefault="00191BE7" w:rsidP="007D7929">
      <w:pPr>
        <w:pStyle w:val="MDPI22heading2"/>
        <w:spacing w:before="240"/>
        <w:ind w:left="1843"/>
        <w:rPr>
          <w:rFonts w:ascii="Times New Roman" w:hAnsi="Times New Roman"/>
          <w:iCs/>
          <w:lang w:val="es-MX"/>
        </w:rPr>
      </w:pPr>
      <w:r>
        <w:rPr>
          <w:rFonts w:ascii="Times New Roman" w:hAnsi="Times New Roman"/>
          <w:i w:val="0"/>
          <w:iCs/>
          <w:sz w:val="22"/>
          <w:lang w:val="es-MX"/>
        </w:rPr>
        <w:drawing>
          <wp:anchor distT="0" distB="0" distL="114300" distR="114300" simplePos="0" relativeHeight="251654144" behindDoc="0" locked="0" layoutInCell="1" allowOverlap="1" wp14:anchorId="1E9AC630" wp14:editId="1810215F">
            <wp:simplePos x="0" y="0"/>
            <wp:positionH relativeFrom="page">
              <wp:posOffset>1332230</wp:posOffset>
            </wp:positionH>
            <wp:positionV relativeFrom="paragraph">
              <wp:posOffset>227330</wp:posOffset>
            </wp:positionV>
            <wp:extent cx="5170170" cy="3229610"/>
            <wp:effectExtent l="0" t="0" r="0" b="8890"/>
            <wp:wrapThrough wrapText="bothSides">
              <wp:wrapPolygon edited="0">
                <wp:start x="0" y="0"/>
                <wp:lineTo x="0" y="21532"/>
                <wp:lineTo x="21489" y="21532"/>
                <wp:lineTo x="21489" y="0"/>
                <wp:lineTo x="0" y="0"/>
              </wp:wrapPolygon>
            </wp:wrapThrough>
            <wp:docPr id="1325303614" name="Imagen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5170170" cy="3229610"/>
                    </a:xfrm>
                    <a:prstGeom prst="rect">
                      <a:avLst/>
                    </a:prstGeom>
                    <a:noFill/>
                  </pic:spPr>
                </pic:pic>
              </a:graphicData>
            </a:graphic>
            <wp14:sizeRelH relativeFrom="page">
              <wp14:pctWidth>0</wp14:pctWidth>
            </wp14:sizeRelH>
            <wp14:sizeRelV relativeFrom="page">
              <wp14:pctHeight>0</wp14:pctHeight>
            </wp14:sizeRelV>
          </wp:anchor>
        </w:drawing>
      </w:r>
    </w:p>
    <w:p w14:paraId="5846F71C" w14:textId="00D4B087" w:rsidR="007D7929" w:rsidRPr="007D7929" w:rsidRDefault="007D7929" w:rsidP="007D7929">
      <w:pPr>
        <w:pStyle w:val="MDPI22heading2"/>
        <w:spacing w:before="240"/>
        <w:ind w:left="1843"/>
        <w:jc w:val="center"/>
        <w:rPr>
          <w:rFonts w:ascii="Times New Roman" w:hAnsi="Times New Roman"/>
          <w:i w:val="0"/>
          <w:iCs/>
          <w:sz w:val="22"/>
          <w:lang w:val="es-MX"/>
        </w:rPr>
      </w:pPr>
    </w:p>
    <w:p w14:paraId="0AA82FCD" w14:textId="541D1386" w:rsidR="007D7929" w:rsidRDefault="007D7929" w:rsidP="0069157C">
      <w:pPr>
        <w:pStyle w:val="MDPI23heading3"/>
        <w:ind w:left="0"/>
        <w:jc w:val="both"/>
        <w:rPr>
          <w:rFonts w:ascii="Times New Roman" w:hAnsi="Times New Roman"/>
          <w:lang w:val="es-MX"/>
        </w:rPr>
      </w:pPr>
      <w:bookmarkStart w:id="9" w:name="_Hlk188908902"/>
      <w:r w:rsidRPr="00D75B42">
        <w:rPr>
          <w:rFonts w:ascii="Times New Roman" w:hAnsi="Times New Roman"/>
          <w:b/>
          <w:lang w:val="es-MX"/>
        </w:rPr>
        <w:t>Figure 1.</w:t>
      </w:r>
      <w:r w:rsidRPr="00D75B42">
        <w:rPr>
          <w:rFonts w:ascii="Times New Roman" w:hAnsi="Times New Roman"/>
          <w:lang w:val="es-MX"/>
        </w:rPr>
        <w:t xml:space="preserve"> </w:t>
      </w:r>
      <w:r w:rsidRPr="007D7929">
        <w:rPr>
          <w:rFonts w:ascii="Times New Roman" w:hAnsi="Times New Roman"/>
          <w:b/>
          <w:bCs/>
          <w:lang w:val="es-MX"/>
        </w:rPr>
        <w:t xml:space="preserve">Caracterización morfológica del complejo </w:t>
      </w:r>
      <w:r w:rsidRPr="007D7929">
        <w:rPr>
          <w:rFonts w:ascii="Times New Roman" w:hAnsi="Times New Roman"/>
          <w:b/>
          <w:bCs/>
          <w:i/>
          <w:iCs/>
          <w:lang w:val="es-MX"/>
        </w:rPr>
        <w:t>F. oxysporum.</w:t>
      </w:r>
      <w:r w:rsidRPr="007D7929">
        <w:rPr>
          <w:rFonts w:ascii="Times New Roman" w:hAnsi="Times New Roman"/>
          <w:lang w:val="es-MX"/>
        </w:rPr>
        <w:t xml:space="preserve"> (A1) Coloración de las cepas de complejo </w:t>
      </w:r>
      <w:r w:rsidRPr="007D7929">
        <w:rPr>
          <w:rFonts w:ascii="Times New Roman" w:hAnsi="Times New Roman"/>
          <w:i/>
          <w:iCs/>
          <w:lang w:val="es-MX"/>
        </w:rPr>
        <w:t>F. oxysporum</w:t>
      </w:r>
      <w:r w:rsidRPr="007D7929">
        <w:rPr>
          <w:rFonts w:ascii="Times New Roman" w:hAnsi="Times New Roman"/>
          <w:lang w:val="es-MX"/>
        </w:rPr>
        <w:t xml:space="preserve"> FUSA, (A2) FUSB y (A3) FUSC; a los siete días después de su crecimiento en agar PDA. Estructuras microscópicas observadas en un microscopio óptico en 100X señaladas por las flechas en color negro: (B1) monofiálide FUSA, (B2) hifa septada FUSB, (B3) microconidios ovoides FUSC.</w:t>
      </w:r>
    </w:p>
    <w:bookmarkEnd w:id="9"/>
    <w:p w14:paraId="3F7C872C" w14:textId="77777777" w:rsidR="007D7929" w:rsidRPr="00D75B42" w:rsidRDefault="007D7929" w:rsidP="007D7929">
      <w:pPr>
        <w:pStyle w:val="MDPI23heading3"/>
        <w:ind w:left="993"/>
        <w:rPr>
          <w:rFonts w:ascii="Times New Roman" w:hAnsi="Times New Roman"/>
          <w:lang w:val="es-MX"/>
        </w:rPr>
      </w:pPr>
    </w:p>
    <w:p w14:paraId="7D93ABAA" w14:textId="77777777" w:rsidR="007D7929" w:rsidRPr="00831C4E" w:rsidRDefault="007D7929" w:rsidP="007D7929">
      <w:pPr>
        <w:pStyle w:val="MDPI23heading3"/>
        <w:ind w:left="0"/>
        <w:rPr>
          <w:rFonts w:ascii="Times New Roman" w:hAnsi="Times New Roman"/>
          <w:b/>
          <w:bCs/>
          <w:lang w:val="es-MX"/>
        </w:rPr>
      </w:pPr>
    </w:p>
    <w:p w14:paraId="7EECE8D3" w14:textId="77777777" w:rsidR="00124AA3" w:rsidRDefault="00124AA3" w:rsidP="00831C4E">
      <w:pPr>
        <w:pStyle w:val="MDPI23heading3"/>
        <w:ind w:left="0"/>
        <w:jc w:val="both"/>
        <w:rPr>
          <w:rFonts w:ascii="Times New Roman" w:hAnsi="Times New Roman"/>
          <w:b/>
          <w:bCs/>
          <w:sz w:val="22"/>
          <w:lang w:val="es-MX"/>
        </w:rPr>
      </w:pPr>
    </w:p>
    <w:p w14:paraId="43155ACE" w14:textId="77777777" w:rsidR="00124AA3" w:rsidRDefault="00124AA3" w:rsidP="00831C4E">
      <w:pPr>
        <w:pStyle w:val="MDPI23heading3"/>
        <w:ind w:left="0"/>
        <w:jc w:val="both"/>
        <w:rPr>
          <w:rFonts w:ascii="Times New Roman" w:hAnsi="Times New Roman"/>
          <w:b/>
          <w:bCs/>
          <w:sz w:val="22"/>
          <w:lang w:val="es-MX"/>
        </w:rPr>
      </w:pPr>
    </w:p>
    <w:p w14:paraId="5F428016" w14:textId="61ACF3E4" w:rsidR="00831C4E" w:rsidRPr="00831C4E" w:rsidRDefault="007D7929" w:rsidP="00831C4E">
      <w:pPr>
        <w:pStyle w:val="MDPI23heading3"/>
        <w:ind w:left="0"/>
        <w:jc w:val="both"/>
        <w:rPr>
          <w:rFonts w:ascii="Times New Roman" w:hAnsi="Times New Roman"/>
          <w:b/>
          <w:bCs/>
          <w:sz w:val="22"/>
          <w:lang w:val="es-MX"/>
        </w:rPr>
      </w:pPr>
      <w:r w:rsidRPr="00831C4E">
        <w:rPr>
          <w:rFonts w:ascii="Times New Roman" w:hAnsi="Times New Roman"/>
          <w:b/>
          <w:bCs/>
          <w:sz w:val="22"/>
          <w:lang w:val="es-MX"/>
        </w:rPr>
        <w:t>Identificación molecular de las cepas de</w:t>
      </w:r>
      <w:r w:rsidRPr="00831C4E">
        <w:rPr>
          <w:rFonts w:ascii="Times New Roman" w:hAnsi="Times New Roman"/>
          <w:b/>
          <w:bCs/>
          <w:i/>
          <w:iCs/>
          <w:sz w:val="22"/>
          <w:lang w:val="es-MX"/>
        </w:rPr>
        <w:t xml:space="preserve"> Fusarium </w:t>
      </w:r>
      <w:r w:rsidRPr="00831C4E">
        <w:rPr>
          <w:rFonts w:ascii="Times New Roman" w:hAnsi="Times New Roman"/>
          <w:b/>
          <w:bCs/>
          <w:sz w:val="22"/>
          <w:lang w:val="es-MX"/>
        </w:rPr>
        <w:t>con ITS</w:t>
      </w:r>
      <w:r w:rsidR="00831C4E" w:rsidRPr="00831C4E">
        <w:rPr>
          <w:rFonts w:ascii="Times New Roman" w:hAnsi="Times New Roman"/>
          <w:b/>
          <w:bCs/>
          <w:sz w:val="22"/>
          <w:lang w:val="es-MX"/>
        </w:rPr>
        <w:t>.</w:t>
      </w:r>
    </w:p>
    <w:p w14:paraId="1538C7ED" w14:textId="19DE4168" w:rsidR="00831C4E" w:rsidRPr="00A72B13" w:rsidRDefault="00831C4E" w:rsidP="00A72B13">
      <w:pPr>
        <w:spacing w:after="0" w:line="240" w:lineRule="auto"/>
        <w:jc w:val="both"/>
        <w:rPr>
          <w:rFonts w:ascii="Times New Roman" w:eastAsia="Times New Roman" w:hAnsi="Times New Roman" w:cs="Times New Roman"/>
          <w:lang w:eastAsia="es-MX"/>
        </w:rPr>
      </w:pPr>
      <w:r w:rsidRPr="00D75B42">
        <w:rPr>
          <w:rFonts w:ascii="Times New Roman" w:hAnsi="Times New Roman"/>
        </w:rPr>
        <w:t xml:space="preserve">La comparación de las secuencias de nucleótidos obtenidas con ITS y las secuencias de la base de datos NCBI-GenBank mostró que la homogeneidad fue del 100% en cepas FUSA y FUSC con </w:t>
      </w:r>
      <w:r w:rsidRPr="00D75B42">
        <w:rPr>
          <w:rFonts w:ascii="Times New Roman" w:hAnsi="Times New Roman"/>
          <w:i/>
          <w:iCs/>
        </w:rPr>
        <w:t xml:space="preserve">F. oxysporum </w:t>
      </w:r>
      <w:r w:rsidRPr="00D75B42">
        <w:rPr>
          <w:rFonts w:ascii="Times New Roman" w:hAnsi="Times New Roman"/>
        </w:rPr>
        <w:t xml:space="preserve">según la comparación en el GenBank con las accesiones MN7886643 y OP897707 respectivamente, mientras que FUSB fue del 99 % también con </w:t>
      </w:r>
      <w:r w:rsidRPr="00D75B42">
        <w:rPr>
          <w:rFonts w:ascii="Times New Roman" w:hAnsi="Times New Roman"/>
          <w:i/>
          <w:iCs/>
        </w:rPr>
        <w:t>F. oxysporum</w:t>
      </w:r>
      <w:r w:rsidRPr="00D75B42">
        <w:rPr>
          <w:rFonts w:ascii="Times New Roman" w:hAnsi="Times New Roman"/>
        </w:rPr>
        <w:t xml:space="preserve"> al comparar con la accesión MT032607. Por otro lado, los resultados del análisis filogenético indicaron que las tres cepas del complejo </w:t>
      </w:r>
      <w:r w:rsidRPr="00D75B42">
        <w:rPr>
          <w:rFonts w:ascii="Times New Roman" w:hAnsi="Times New Roman"/>
          <w:i/>
        </w:rPr>
        <w:t>Fusarium</w:t>
      </w:r>
      <w:r w:rsidRPr="00D75B42">
        <w:rPr>
          <w:rFonts w:ascii="Times New Roman" w:hAnsi="Times New Roman"/>
        </w:rPr>
        <w:t xml:space="preserve"> se agrupan dentro del clado de </w:t>
      </w:r>
      <w:r w:rsidRPr="00D75B42">
        <w:rPr>
          <w:rFonts w:ascii="Times New Roman" w:hAnsi="Times New Roman"/>
          <w:i/>
          <w:iCs/>
        </w:rPr>
        <w:t>F. oxysporum</w:t>
      </w:r>
      <w:r w:rsidR="00505904">
        <w:rPr>
          <w:rFonts w:ascii="Times New Roman" w:hAnsi="Times New Roman"/>
        </w:rPr>
        <w:t xml:space="preserve"> (Figura 2</w:t>
      </w:r>
      <w:r w:rsidR="00505904" w:rsidRPr="00505904">
        <w:rPr>
          <w:rFonts w:ascii="Times New Roman" w:hAnsi="Times New Roman" w:cs="Times New Roman"/>
        </w:rPr>
        <w:t xml:space="preserve">). </w:t>
      </w:r>
      <w:r w:rsidR="00505904">
        <w:rPr>
          <w:rFonts w:ascii="Times New Roman" w:eastAsia="Times New Roman" w:hAnsi="Times New Roman" w:cs="Times New Roman"/>
          <w:lang w:eastAsia="es-MX"/>
        </w:rPr>
        <w:t xml:space="preserve">La cepa </w:t>
      </w:r>
      <w:r w:rsidR="00505904" w:rsidRPr="00505904">
        <w:rPr>
          <w:rFonts w:ascii="Times New Roman" w:eastAsia="Times New Roman" w:hAnsi="Times New Roman" w:cs="Times New Roman"/>
          <w:lang w:eastAsia="es-MX"/>
        </w:rPr>
        <w:t xml:space="preserve">FUSA presentó un bootstrap de 80 %, lo que representa un soporte fuerte y sugiere una relación filogenética confiable con la secuencia OP897707.1 de </w:t>
      </w:r>
      <w:r w:rsidR="00505904" w:rsidRPr="00505904">
        <w:rPr>
          <w:rFonts w:ascii="Times New Roman" w:eastAsia="Times New Roman" w:hAnsi="Times New Roman" w:cs="Times New Roman"/>
          <w:i/>
          <w:iCs/>
          <w:lang w:eastAsia="es-MX"/>
        </w:rPr>
        <w:t>F. oxysporum</w:t>
      </w:r>
      <w:r w:rsidR="00505904" w:rsidRPr="00505904">
        <w:rPr>
          <w:rFonts w:ascii="Times New Roman" w:eastAsia="Times New Roman" w:hAnsi="Times New Roman" w:cs="Times New Roman"/>
          <w:lang w:eastAsia="es-MX"/>
        </w:rPr>
        <w:t xml:space="preserve">. </w:t>
      </w:r>
      <w:r w:rsidR="00A72B13">
        <w:rPr>
          <w:rFonts w:ascii="Times New Roman" w:eastAsia="Times New Roman" w:hAnsi="Times New Roman" w:cs="Times New Roman"/>
          <w:lang w:eastAsia="es-MX"/>
        </w:rPr>
        <w:t xml:space="preserve">Por otro lado, la cepa FUSB </w:t>
      </w:r>
      <w:r w:rsidR="00505904" w:rsidRPr="00505904">
        <w:rPr>
          <w:rFonts w:ascii="Times New Roman" w:eastAsia="Times New Roman" w:hAnsi="Times New Roman" w:cs="Times New Roman"/>
          <w:lang w:eastAsia="es-MX"/>
        </w:rPr>
        <w:t xml:space="preserve">se agrupó con </w:t>
      </w:r>
      <w:r w:rsidR="00505904" w:rsidRPr="00505904">
        <w:rPr>
          <w:rFonts w:ascii="Times New Roman" w:eastAsia="Times New Roman" w:hAnsi="Times New Roman" w:cs="Times New Roman"/>
          <w:i/>
          <w:iCs/>
          <w:lang w:eastAsia="es-MX"/>
        </w:rPr>
        <w:t>F. oxysporum</w:t>
      </w:r>
      <w:r w:rsidR="00505904" w:rsidRPr="00505904">
        <w:rPr>
          <w:rFonts w:ascii="Times New Roman" w:eastAsia="Times New Roman" w:hAnsi="Times New Roman" w:cs="Times New Roman"/>
          <w:lang w:eastAsia="es-MX"/>
        </w:rPr>
        <w:t xml:space="preserve"> f. sp. </w:t>
      </w:r>
      <w:r w:rsidR="00505904" w:rsidRPr="00505904">
        <w:rPr>
          <w:rFonts w:ascii="Times New Roman" w:eastAsia="Times New Roman" w:hAnsi="Times New Roman" w:cs="Times New Roman"/>
          <w:i/>
          <w:iCs/>
          <w:lang w:eastAsia="es-MX"/>
        </w:rPr>
        <w:t>lactucae</w:t>
      </w:r>
      <w:r w:rsidR="00505904" w:rsidRPr="00505904">
        <w:rPr>
          <w:rFonts w:ascii="Times New Roman" w:eastAsia="Times New Roman" w:hAnsi="Times New Roman" w:cs="Times New Roman"/>
          <w:lang w:eastAsia="es-MX"/>
        </w:rPr>
        <w:t xml:space="preserve"> </w:t>
      </w:r>
      <w:r w:rsidR="00505904" w:rsidRPr="00505904">
        <w:rPr>
          <w:rFonts w:ascii="Times New Roman" w:eastAsia="Times New Roman" w:hAnsi="Times New Roman" w:cs="Times New Roman"/>
          <w:lang w:eastAsia="es-MX"/>
        </w:rPr>
        <w:lastRenderedPageBreak/>
        <w:t xml:space="preserve">con un bootstrap de </w:t>
      </w:r>
      <w:r w:rsidR="00505904" w:rsidRPr="00A72B13">
        <w:rPr>
          <w:rFonts w:ascii="Times New Roman" w:eastAsia="Times New Roman" w:hAnsi="Times New Roman" w:cs="Times New Roman"/>
          <w:lang w:eastAsia="es-MX"/>
        </w:rPr>
        <w:t>57 %</w:t>
      </w:r>
      <w:r w:rsidR="00A72B13">
        <w:rPr>
          <w:rFonts w:ascii="Times New Roman" w:eastAsia="Times New Roman" w:hAnsi="Times New Roman" w:cs="Times New Roman"/>
          <w:lang w:eastAsia="es-MX"/>
        </w:rPr>
        <w:t xml:space="preserve">. Y la cepa FUSC </w:t>
      </w:r>
      <w:r w:rsidR="00505904" w:rsidRPr="00505904">
        <w:rPr>
          <w:rFonts w:ascii="Times New Roman" w:hAnsi="Times New Roman" w:cs="Times New Roman"/>
          <w:lang w:eastAsia="es-MX"/>
        </w:rPr>
        <w:t xml:space="preserve">mostró un bootstrap de </w:t>
      </w:r>
      <w:r w:rsidR="00505904" w:rsidRPr="00A72B13">
        <w:rPr>
          <w:rFonts w:ascii="Times New Roman" w:hAnsi="Times New Roman" w:cs="Times New Roman"/>
          <w:lang w:eastAsia="es-MX"/>
        </w:rPr>
        <w:t>16 %,</w:t>
      </w:r>
      <w:r w:rsidR="00505904" w:rsidRPr="00505904">
        <w:rPr>
          <w:rFonts w:ascii="Times New Roman" w:hAnsi="Times New Roman" w:cs="Times New Roman"/>
          <w:lang w:eastAsia="es-MX"/>
        </w:rPr>
        <w:t xml:space="preserve"> indicando que su posición dentro del clado de </w:t>
      </w:r>
      <w:r w:rsidR="00505904" w:rsidRPr="00505904">
        <w:rPr>
          <w:rFonts w:ascii="Times New Roman" w:hAnsi="Times New Roman" w:cs="Times New Roman"/>
          <w:i/>
          <w:iCs/>
          <w:lang w:eastAsia="es-MX"/>
        </w:rPr>
        <w:t>F. oxysporum</w:t>
      </w:r>
      <w:r w:rsidR="00505904" w:rsidRPr="00505904">
        <w:rPr>
          <w:rFonts w:ascii="Times New Roman" w:hAnsi="Times New Roman" w:cs="Times New Roman"/>
          <w:lang w:eastAsia="es-MX"/>
        </w:rPr>
        <w:t xml:space="preserve"> es poco estable. No obstante, permanece agrupado con secuencias de la especie, lo que respalda su identificación como </w:t>
      </w:r>
      <w:r w:rsidR="00505904" w:rsidRPr="00505904">
        <w:rPr>
          <w:rFonts w:ascii="Times New Roman" w:hAnsi="Times New Roman" w:cs="Times New Roman"/>
          <w:i/>
          <w:iCs/>
          <w:lang w:eastAsia="es-MX"/>
        </w:rPr>
        <w:t>F. oxysporum</w:t>
      </w:r>
      <w:r w:rsidR="00505904" w:rsidRPr="00505904">
        <w:rPr>
          <w:rFonts w:ascii="Times New Roman" w:hAnsi="Times New Roman" w:cs="Times New Roman"/>
          <w:lang w:eastAsia="es-MX"/>
        </w:rPr>
        <w:t>.</w:t>
      </w:r>
    </w:p>
    <w:p w14:paraId="4EAA67EC" w14:textId="77777777" w:rsidR="00831C4E" w:rsidRPr="00D75B42" w:rsidRDefault="00831C4E" w:rsidP="00831C4E">
      <w:pPr>
        <w:pStyle w:val="MDPI23heading3"/>
        <w:ind w:left="0"/>
        <w:rPr>
          <w:rFonts w:ascii="Times New Roman" w:hAnsi="Times New Roman"/>
          <w:sz w:val="22"/>
          <w:lang w:val="es-MX"/>
        </w:rPr>
      </w:pPr>
    </w:p>
    <w:p w14:paraId="11139725" w14:textId="77777777" w:rsidR="00831C4E" w:rsidRPr="00D75B42" w:rsidRDefault="00831C4E" w:rsidP="00831C4E">
      <w:pPr>
        <w:pStyle w:val="MDPI23heading3"/>
        <w:ind w:left="0"/>
        <w:rPr>
          <w:rFonts w:ascii="Times New Roman" w:hAnsi="Times New Roman"/>
          <w:sz w:val="22"/>
          <w:lang w:val="es-MX"/>
        </w:rPr>
      </w:pPr>
    </w:p>
    <w:p w14:paraId="0C6C530E" w14:textId="77777777" w:rsidR="00831C4E" w:rsidRPr="00D77BFB" w:rsidRDefault="00831C4E" w:rsidP="00831C4E">
      <w:pPr>
        <w:pStyle w:val="MDPI23heading3"/>
        <w:ind w:left="0"/>
        <w:rPr>
          <w:rFonts w:ascii="Times New Roman" w:hAnsi="Times New Roman"/>
          <w:b/>
          <w:sz w:val="22"/>
          <w:lang w:val="es-MX"/>
        </w:rPr>
      </w:pPr>
      <w:r w:rsidRPr="00D77BFB">
        <w:rPr>
          <w:rFonts w:ascii="Times New Roman" w:hAnsi="Times New Roman"/>
          <w:b/>
          <w:sz w:val="22"/>
          <w:lang w:val="es-MX"/>
        </w:rPr>
        <w:t xml:space="preserve">Efecto de </w:t>
      </w:r>
      <w:r w:rsidRPr="00D77BFB">
        <w:rPr>
          <w:rFonts w:ascii="Times New Roman" w:hAnsi="Times New Roman"/>
          <w:b/>
          <w:i/>
          <w:iCs/>
          <w:sz w:val="22"/>
          <w:lang w:val="es-MX"/>
        </w:rPr>
        <w:t>Trichoderma longibrachiatum</w:t>
      </w:r>
      <w:r w:rsidRPr="00D77BFB">
        <w:rPr>
          <w:rFonts w:ascii="Times New Roman" w:hAnsi="Times New Roman"/>
          <w:b/>
          <w:sz w:val="22"/>
          <w:lang w:val="es-MX"/>
        </w:rPr>
        <w:t xml:space="preserve"> sobre el crecimiento de tres cepas del complejo FOSC. </w:t>
      </w:r>
    </w:p>
    <w:p w14:paraId="32BAEC98" w14:textId="77777777" w:rsidR="00831C4E" w:rsidRPr="00D77BFB" w:rsidRDefault="00831C4E" w:rsidP="000652E0">
      <w:pPr>
        <w:pStyle w:val="MDPI23heading3"/>
        <w:ind w:left="0"/>
        <w:jc w:val="both"/>
        <w:rPr>
          <w:rFonts w:ascii="Times New Roman" w:hAnsi="Times New Roman"/>
          <w:sz w:val="22"/>
          <w:lang w:val="es-MX"/>
        </w:rPr>
      </w:pPr>
      <w:r w:rsidRPr="00D77BFB">
        <w:rPr>
          <w:rFonts w:ascii="Times New Roman" w:hAnsi="Times New Roman"/>
          <w:sz w:val="22"/>
          <w:lang w:val="es-MX"/>
        </w:rPr>
        <w:t xml:space="preserve">Los resultados estadísticos del efecto fungicida </w:t>
      </w:r>
      <w:r w:rsidRPr="00D77BFB">
        <w:rPr>
          <w:rFonts w:ascii="Times New Roman" w:hAnsi="Times New Roman"/>
          <w:i/>
          <w:sz w:val="22"/>
          <w:lang w:val="es-MX"/>
        </w:rPr>
        <w:t>in vitro</w:t>
      </w:r>
      <w:r w:rsidRPr="00D77BFB">
        <w:rPr>
          <w:rFonts w:ascii="Times New Roman" w:hAnsi="Times New Roman"/>
          <w:sz w:val="22"/>
          <w:lang w:val="es-MX"/>
        </w:rPr>
        <w:t xml:space="preserve"> de </w:t>
      </w:r>
      <w:r w:rsidRPr="00D77BFB">
        <w:rPr>
          <w:rFonts w:ascii="Times New Roman" w:hAnsi="Times New Roman"/>
          <w:i/>
          <w:iCs/>
          <w:sz w:val="22"/>
          <w:lang w:val="es-MX"/>
        </w:rPr>
        <w:t>T. longibrachiatum</w:t>
      </w:r>
      <w:r w:rsidRPr="00D77BFB">
        <w:rPr>
          <w:rFonts w:ascii="Times New Roman" w:hAnsi="Times New Roman"/>
          <w:sz w:val="22"/>
          <w:lang w:val="es-MX"/>
        </w:rPr>
        <w:t xml:space="preserve"> sobre el crecimiento de </w:t>
      </w:r>
      <w:r w:rsidRPr="00D77BFB">
        <w:rPr>
          <w:rFonts w:ascii="Times New Roman" w:hAnsi="Times New Roman"/>
          <w:i/>
          <w:sz w:val="22"/>
          <w:lang w:val="es-MX"/>
        </w:rPr>
        <w:t>Fusarium</w:t>
      </w:r>
      <w:r w:rsidRPr="00D77BFB">
        <w:rPr>
          <w:rFonts w:ascii="Times New Roman" w:hAnsi="Times New Roman"/>
          <w:sz w:val="22"/>
          <w:lang w:val="es-MX"/>
        </w:rPr>
        <w:t xml:space="preserve"> (FUSA, FUSB y FUSC) indicaron que </w:t>
      </w:r>
      <w:r w:rsidRPr="00D77BFB">
        <w:rPr>
          <w:rFonts w:ascii="Times New Roman" w:hAnsi="Times New Roman"/>
          <w:i/>
          <w:iCs/>
          <w:sz w:val="22"/>
          <w:lang w:val="es-MX"/>
        </w:rPr>
        <w:t>T. longibrachiatum</w:t>
      </w:r>
      <w:r w:rsidRPr="00D77BFB">
        <w:rPr>
          <w:rFonts w:ascii="Times New Roman" w:hAnsi="Times New Roman"/>
          <w:sz w:val="22"/>
          <w:lang w:val="es-MX"/>
        </w:rPr>
        <w:t xml:space="preserve"> tiene un efecto inhibidor significativo contra las tres cepas de </w:t>
      </w:r>
      <w:r w:rsidRPr="00D77BFB">
        <w:rPr>
          <w:rFonts w:ascii="Times New Roman" w:hAnsi="Times New Roman"/>
          <w:i/>
          <w:iCs/>
          <w:sz w:val="22"/>
          <w:lang w:val="es-MX"/>
        </w:rPr>
        <w:t>Fusarium</w:t>
      </w:r>
      <w:r w:rsidRPr="00D77BFB">
        <w:rPr>
          <w:rFonts w:ascii="Times New Roman" w:hAnsi="Times New Roman"/>
          <w:sz w:val="22"/>
          <w:lang w:val="es-MX"/>
        </w:rPr>
        <w:t xml:space="preserve">. Donde </w:t>
      </w:r>
      <w:r w:rsidRPr="00D77BFB">
        <w:rPr>
          <w:rFonts w:ascii="Times New Roman" w:hAnsi="Times New Roman"/>
          <w:i/>
          <w:iCs/>
          <w:sz w:val="22"/>
          <w:lang w:val="es-MX"/>
        </w:rPr>
        <w:t>T. longibranchiatum</w:t>
      </w:r>
      <w:r w:rsidRPr="00D77BFB">
        <w:rPr>
          <w:rFonts w:ascii="Times New Roman" w:hAnsi="Times New Roman"/>
          <w:sz w:val="22"/>
          <w:lang w:val="es-MX"/>
        </w:rPr>
        <w:t xml:space="preserve"> mostró un mayor porcentaje de inhibición sobre FUSB (83.6%), mientras que el porcentaje más bajo fue de (72.15%) que corresponde a la inhibición sobre la cepa FUSA (Figura 3). En las confrontaciones se evidenció una competencia del antagonista por espacio y nutrientes. En el caso de la cepa FUSA, el antagonista formó un círculo concéntrico y su crecimiento se extendió hasta cubrir parte del micelio del hongo. Por otra parte, en FUSA el antagonista penetró la hifa de </w:t>
      </w:r>
      <w:r w:rsidRPr="00D77BFB">
        <w:rPr>
          <w:rFonts w:ascii="Times New Roman" w:hAnsi="Times New Roman"/>
          <w:i/>
          <w:sz w:val="22"/>
          <w:lang w:val="es-MX"/>
        </w:rPr>
        <w:t>Fusarium</w:t>
      </w:r>
      <w:r w:rsidRPr="00D77BFB">
        <w:rPr>
          <w:rFonts w:ascii="Times New Roman" w:hAnsi="Times New Roman"/>
          <w:sz w:val="22"/>
          <w:lang w:val="es-MX"/>
        </w:rPr>
        <w:t xml:space="preserve"> y mostró granulación (Figura 5a y 5d). En la cepa FUSB, </w:t>
      </w:r>
      <w:r w:rsidRPr="00D77BFB">
        <w:rPr>
          <w:rFonts w:ascii="Times New Roman" w:hAnsi="Times New Roman"/>
          <w:i/>
          <w:iCs/>
          <w:sz w:val="22"/>
          <w:lang w:val="es-MX"/>
        </w:rPr>
        <w:t>T. longibrachiatum</w:t>
      </w:r>
      <w:r w:rsidRPr="00D77BFB">
        <w:rPr>
          <w:rFonts w:ascii="Times New Roman" w:hAnsi="Times New Roman"/>
          <w:sz w:val="22"/>
          <w:lang w:val="es-MX"/>
        </w:rPr>
        <w:t xml:space="preserve"> logró inhibir el crecimiento de </w:t>
      </w:r>
      <w:r w:rsidRPr="00D77BFB">
        <w:rPr>
          <w:rFonts w:ascii="Times New Roman" w:hAnsi="Times New Roman"/>
          <w:i/>
          <w:iCs/>
          <w:sz w:val="22"/>
          <w:lang w:val="es-MX"/>
        </w:rPr>
        <w:t>F. oxysporum</w:t>
      </w:r>
      <w:r w:rsidRPr="00D77BFB">
        <w:rPr>
          <w:rFonts w:ascii="Times New Roman" w:hAnsi="Times New Roman"/>
          <w:sz w:val="22"/>
          <w:lang w:val="es-MX"/>
        </w:rPr>
        <w:t xml:space="preserve"> y a colonizar completamente al hongo mediante mecanismos de competencia y micoparasitismo. Las hifas de </w:t>
      </w:r>
      <w:r w:rsidRPr="00D77BFB">
        <w:rPr>
          <w:rFonts w:ascii="Times New Roman" w:hAnsi="Times New Roman"/>
          <w:i/>
          <w:iCs/>
          <w:sz w:val="22"/>
          <w:lang w:val="es-MX"/>
        </w:rPr>
        <w:t>T. longibrachiatum</w:t>
      </w:r>
      <w:r w:rsidRPr="00D77BFB">
        <w:rPr>
          <w:rFonts w:ascii="Times New Roman" w:hAnsi="Times New Roman"/>
          <w:sz w:val="22"/>
          <w:lang w:val="es-MX"/>
        </w:rPr>
        <w:t xml:space="preserve"> enrollaron las hifas y fiálides de FUSB (Figura 5b y 5e), formaron haustorios y penetraron la hifa. Para el caso de FUSC, </w:t>
      </w:r>
      <w:r w:rsidRPr="00D77BFB">
        <w:rPr>
          <w:rFonts w:ascii="Times New Roman" w:hAnsi="Times New Roman"/>
          <w:i/>
          <w:sz w:val="22"/>
          <w:lang w:val="es-MX"/>
        </w:rPr>
        <w:t>T. longibrachiatum</w:t>
      </w:r>
      <w:r w:rsidRPr="00D77BFB">
        <w:rPr>
          <w:rFonts w:ascii="Times New Roman" w:hAnsi="Times New Roman"/>
          <w:sz w:val="22"/>
          <w:lang w:val="es-MX"/>
        </w:rPr>
        <w:t xml:space="preserve"> también colonizó a </w:t>
      </w:r>
      <w:r w:rsidRPr="00D77BFB">
        <w:rPr>
          <w:rFonts w:ascii="Times New Roman" w:hAnsi="Times New Roman"/>
          <w:i/>
          <w:sz w:val="22"/>
          <w:lang w:val="es-MX"/>
        </w:rPr>
        <w:t>F. oxysporum</w:t>
      </w:r>
      <w:r w:rsidRPr="00D77BFB">
        <w:rPr>
          <w:rFonts w:ascii="Times New Roman" w:hAnsi="Times New Roman"/>
          <w:sz w:val="22"/>
          <w:lang w:val="es-MX"/>
        </w:rPr>
        <w:t xml:space="preserve"> presentando anillos concéntricos y una marcada línea de inhibición que puede deberse a metabolitos secundarios formados por el mecanismo de antibiosis del antagonista (Figura 3). En FUSC (Figura 5c y 5f), </w:t>
      </w:r>
      <w:r w:rsidRPr="00D77BFB">
        <w:rPr>
          <w:rFonts w:ascii="Times New Roman" w:hAnsi="Times New Roman"/>
          <w:i/>
          <w:iCs/>
          <w:sz w:val="22"/>
          <w:lang w:val="es-MX"/>
        </w:rPr>
        <w:t>T. longibrachiatum</w:t>
      </w:r>
      <w:r w:rsidRPr="00D77BFB">
        <w:rPr>
          <w:rFonts w:ascii="Times New Roman" w:hAnsi="Times New Roman"/>
          <w:sz w:val="22"/>
          <w:lang w:val="es-MX"/>
        </w:rPr>
        <w:t xml:space="preserve"> enrolló hifas de </w:t>
      </w:r>
      <w:r w:rsidRPr="00D77BFB">
        <w:rPr>
          <w:rFonts w:ascii="Times New Roman" w:hAnsi="Times New Roman"/>
          <w:i/>
          <w:iCs/>
          <w:sz w:val="22"/>
          <w:lang w:val="es-MX"/>
        </w:rPr>
        <w:t>F. oxysporum</w:t>
      </w:r>
      <w:r w:rsidRPr="00D77BFB">
        <w:rPr>
          <w:rFonts w:ascii="Times New Roman" w:hAnsi="Times New Roman"/>
          <w:sz w:val="22"/>
          <w:lang w:val="es-MX"/>
        </w:rPr>
        <w:t xml:space="preserve"> provocando una obstrucción a la hifa del hongo. </w:t>
      </w:r>
    </w:p>
    <w:p w14:paraId="48135903" w14:textId="77777777" w:rsidR="00831C4E" w:rsidRPr="00D77BFB" w:rsidRDefault="00831C4E" w:rsidP="000652E0">
      <w:pPr>
        <w:pStyle w:val="MDPI23heading3"/>
        <w:ind w:left="0"/>
        <w:jc w:val="both"/>
        <w:rPr>
          <w:rFonts w:ascii="Times New Roman" w:hAnsi="Times New Roman"/>
          <w:sz w:val="22"/>
          <w:lang w:val="es-MX"/>
        </w:rPr>
      </w:pPr>
      <w:r w:rsidRPr="00D77BFB">
        <w:rPr>
          <w:rFonts w:ascii="Times New Roman" w:hAnsi="Times New Roman"/>
          <w:sz w:val="22"/>
          <w:lang w:val="es-MX"/>
        </w:rPr>
        <w:t xml:space="preserve">Para el caso del fungicida a base de Sulfato de Cobre Pentahidratado, los resultados mostraron inhibición del crecimiento en las tres cepas del complejo </w:t>
      </w:r>
      <w:r w:rsidRPr="00D77BFB">
        <w:rPr>
          <w:rFonts w:ascii="Times New Roman" w:hAnsi="Times New Roman"/>
          <w:i/>
          <w:iCs/>
          <w:sz w:val="22"/>
          <w:lang w:val="es-MX"/>
        </w:rPr>
        <w:t>Fusarium oxysporum</w:t>
      </w:r>
      <w:r w:rsidRPr="00D77BFB">
        <w:rPr>
          <w:rFonts w:ascii="Times New Roman" w:hAnsi="Times New Roman"/>
          <w:sz w:val="22"/>
          <w:lang w:val="es-MX"/>
        </w:rPr>
        <w:t xml:space="preserve"> en un 90%; además de presentar cambios de coloración en su crecimiento micelial (Figura 6), principalmente en la cepa FUSB donde la coloración del botón del hongo de un violeta cambio a un azul intenso y presentó un micelio algodonoso de color blanco; en la cepa FUSA la formación del hongo cambio de coloración de un rosa claro a un amarillento opaco, en comparación con el control. Por último, la cepa de FUSC la coloración obtenida fue amarillo con micelio ralo, blanco algodonoso en comparación con el control que se mostró blanco. </w:t>
      </w:r>
    </w:p>
    <w:p w14:paraId="294AA11B" w14:textId="77777777" w:rsidR="00831C4E" w:rsidRPr="00831C4E" w:rsidRDefault="00831C4E" w:rsidP="00831C4E">
      <w:pPr>
        <w:pStyle w:val="MDPI23heading3"/>
        <w:ind w:left="0"/>
        <w:rPr>
          <w:rFonts w:ascii="Times New Roman" w:hAnsi="Times New Roman"/>
          <w:lang w:val="es-MX"/>
        </w:rPr>
      </w:pPr>
    </w:p>
    <w:p w14:paraId="0094D070" w14:textId="77777777" w:rsidR="007D7929" w:rsidRDefault="007D7929" w:rsidP="00124AA3">
      <w:pPr>
        <w:pStyle w:val="MDPI23heading3"/>
        <w:ind w:left="0"/>
        <w:jc w:val="both"/>
        <w:rPr>
          <w:rFonts w:ascii="Times New Roman" w:hAnsi="Times New Roman"/>
          <w:sz w:val="22"/>
          <w:lang w:val="es-MX"/>
        </w:rPr>
      </w:pPr>
    </w:p>
    <w:p w14:paraId="546AC092" w14:textId="77777777" w:rsidR="00191BE7" w:rsidRDefault="00191BE7" w:rsidP="007D7929">
      <w:pPr>
        <w:pStyle w:val="MDPI23heading3"/>
        <w:ind w:left="1843"/>
        <w:jc w:val="both"/>
        <w:rPr>
          <w:rFonts w:ascii="Times New Roman" w:hAnsi="Times New Roman"/>
          <w:sz w:val="22"/>
          <w:lang w:val="es-MX"/>
        </w:rPr>
      </w:pPr>
    </w:p>
    <w:p w14:paraId="3F560DA3" w14:textId="77777777" w:rsidR="00191BE7" w:rsidRDefault="00191BE7" w:rsidP="007D7929">
      <w:pPr>
        <w:pStyle w:val="MDPI23heading3"/>
        <w:ind w:left="1843"/>
        <w:jc w:val="both"/>
        <w:rPr>
          <w:rFonts w:ascii="Times New Roman" w:hAnsi="Times New Roman"/>
          <w:sz w:val="22"/>
          <w:lang w:val="es-MX"/>
        </w:rPr>
      </w:pPr>
    </w:p>
    <w:p w14:paraId="779A303E" w14:textId="77777777" w:rsidR="00191BE7" w:rsidRDefault="00191BE7" w:rsidP="007D7929">
      <w:pPr>
        <w:pStyle w:val="MDPI23heading3"/>
        <w:ind w:left="1843"/>
        <w:jc w:val="both"/>
        <w:rPr>
          <w:rFonts w:ascii="Times New Roman" w:hAnsi="Times New Roman"/>
          <w:sz w:val="22"/>
          <w:lang w:val="es-MX"/>
        </w:rPr>
      </w:pPr>
    </w:p>
    <w:p w14:paraId="74CD3D11" w14:textId="77777777" w:rsidR="00831C4E" w:rsidRDefault="00831C4E" w:rsidP="007D7929">
      <w:pPr>
        <w:pStyle w:val="MDPI23heading3"/>
        <w:ind w:left="1843"/>
        <w:jc w:val="both"/>
        <w:rPr>
          <w:rFonts w:ascii="Times New Roman" w:hAnsi="Times New Roman"/>
          <w:sz w:val="22"/>
          <w:lang w:val="es-MX"/>
        </w:rPr>
      </w:pPr>
    </w:p>
    <w:p w14:paraId="558790BA" w14:textId="77777777" w:rsidR="007D7929" w:rsidRDefault="007D7929" w:rsidP="007D7929">
      <w:pPr>
        <w:pStyle w:val="MDPI23heading3"/>
        <w:ind w:left="1843"/>
        <w:jc w:val="both"/>
        <w:rPr>
          <w:rFonts w:ascii="Times New Roman" w:hAnsi="Times New Roman"/>
          <w:sz w:val="22"/>
          <w:lang w:val="es-MX"/>
        </w:rPr>
      </w:pPr>
    </w:p>
    <w:p w14:paraId="775A63FF" w14:textId="098EC30E" w:rsidR="007D7929" w:rsidRPr="00124AA3" w:rsidRDefault="00C66B3F" w:rsidP="00124AA3">
      <w:pPr>
        <w:pStyle w:val="MDPI23heading3"/>
        <w:ind w:left="0"/>
        <w:jc w:val="both"/>
        <w:rPr>
          <w:rFonts w:ascii="Times New Roman" w:hAnsi="Times New Roman"/>
          <w:b/>
          <w:bCs/>
          <w:lang w:val="es-MX"/>
        </w:rPr>
      </w:pPr>
      <w:r w:rsidRPr="00C66B3F">
        <w:rPr>
          <w:rFonts w:ascii="Times New Roman" w:hAnsi="Times New Roman"/>
          <w:b/>
          <w:bCs/>
          <w:sz w:val="22"/>
          <w:lang w:val="es-MX"/>
        </w:rPr>
        <w:t xml:space="preserve">                   </w:t>
      </w:r>
    </w:p>
    <w:p w14:paraId="61C6C649" w14:textId="77777777" w:rsidR="007D7929" w:rsidRPr="00D75B42" w:rsidRDefault="007D7929" w:rsidP="002F6D12">
      <w:pPr>
        <w:pStyle w:val="MDPI23heading3"/>
        <w:ind w:left="993"/>
        <w:rPr>
          <w:rFonts w:ascii="Times New Roman" w:hAnsi="Times New Roman"/>
          <w:sz w:val="22"/>
          <w:lang w:val="es-MX"/>
        </w:rPr>
      </w:pPr>
    </w:p>
    <w:p w14:paraId="3D72AB22" w14:textId="77777777" w:rsidR="007D7929" w:rsidRPr="00D75B42" w:rsidRDefault="007D7929" w:rsidP="002F6D12">
      <w:pPr>
        <w:pStyle w:val="MDPI23heading3"/>
        <w:ind w:left="993"/>
        <w:rPr>
          <w:rFonts w:ascii="Times New Roman" w:hAnsi="Times New Roman"/>
          <w:sz w:val="22"/>
          <w:lang w:val="es-MX"/>
        </w:rPr>
      </w:pPr>
    </w:p>
    <w:p w14:paraId="585D56DC" w14:textId="77777777" w:rsidR="00831C4E" w:rsidRPr="00D75B42" w:rsidRDefault="00831C4E" w:rsidP="00D77BFB">
      <w:pPr>
        <w:pStyle w:val="MDPI23heading3"/>
        <w:ind w:left="0"/>
        <w:rPr>
          <w:rFonts w:ascii="Times New Roman" w:hAnsi="Times New Roman"/>
          <w:sz w:val="22"/>
          <w:lang w:val="es-MX"/>
        </w:rPr>
      </w:pPr>
    </w:p>
    <w:p w14:paraId="3E503E58" w14:textId="688E8FE1" w:rsidR="00831C4E" w:rsidRPr="00D75B42" w:rsidRDefault="00831C4E" w:rsidP="002F6D12">
      <w:pPr>
        <w:pStyle w:val="MDPI23heading3"/>
        <w:ind w:left="993"/>
        <w:rPr>
          <w:rFonts w:ascii="Times New Roman" w:hAnsi="Times New Roman"/>
          <w:sz w:val="22"/>
          <w:lang w:val="es-MX"/>
        </w:rPr>
      </w:pPr>
    </w:p>
    <w:p w14:paraId="3E506347" w14:textId="77777777" w:rsidR="00831C4E" w:rsidRPr="00D75B42" w:rsidRDefault="00831C4E" w:rsidP="002F6D12">
      <w:pPr>
        <w:pStyle w:val="MDPI23heading3"/>
        <w:ind w:left="993"/>
        <w:rPr>
          <w:rFonts w:ascii="Times New Roman" w:hAnsi="Times New Roman"/>
          <w:sz w:val="22"/>
          <w:lang w:val="es-MX"/>
        </w:rPr>
      </w:pPr>
    </w:p>
    <w:p w14:paraId="0F9EBCFD" w14:textId="371BA043" w:rsidR="00831C4E" w:rsidRPr="00D75B42" w:rsidRDefault="00831C4E" w:rsidP="002F6D12">
      <w:pPr>
        <w:pStyle w:val="MDPI23heading3"/>
        <w:ind w:left="993"/>
        <w:rPr>
          <w:rFonts w:ascii="Times New Roman" w:hAnsi="Times New Roman"/>
          <w:sz w:val="22"/>
          <w:lang w:val="es-MX"/>
        </w:rPr>
      </w:pPr>
    </w:p>
    <w:p w14:paraId="37F26FDF" w14:textId="5B1A9AB5" w:rsidR="00831C4E" w:rsidRPr="00D75B42" w:rsidRDefault="00831C4E" w:rsidP="002F6D12">
      <w:pPr>
        <w:pStyle w:val="MDPI23heading3"/>
        <w:ind w:left="993"/>
        <w:rPr>
          <w:rFonts w:ascii="Times New Roman" w:hAnsi="Times New Roman"/>
          <w:sz w:val="22"/>
          <w:lang w:val="es-MX"/>
        </w:rPr>
      </w:pPr>
    </w:p>
    <w:p w14:paraId="11804D78" w14:textId="39DFFC03" w:rsidR="00831C4E" w:rsidRPr="00D75B42" w:rsidRDefault="00124AA3" w:rsidP="002F6D12">
      <w:pPr>
        <w:pStyle w:val="MDPI23heading3"/>
        <w:ind w:left="993"/>
        <w:rPr>
          <w:rFonts w:ascii="Times New Roman" w:hAnsi="Times New Roman"/>
          <w:sz w:val="22"/>
          <w:lang w:val="es-MX"/>
        </w:rPr>
      </w:pPr>
      <w:r>
        <w:rPr>
          <w:rFonts w:ascii="Times New Roman" w:hAnsi="Times New Roman"/>
          <w:noProof/>
          <w:sz w:val="22"/>
          <w:lang w:val="es-MX"/>
        </w:rPr>
        <w:lastRenderedPageBreak/>
        <w:drawing>
          <wp:anchor distT="0" distB="0" distL="114300" distR="114300" simplePos="0" relativeHeight="251683840" behindDoc="0" locked="0" layoutInCell="1" allowOverlap="1" wp14:anchorId="11FFF979" wp14:editId="26187909">
            <wp:simplePos x="0" y="0"/>
            <wp:positionH relativeFrom="column">
              <wp:posOffset>-830218</wp:posOffset>
            </wp:positionH>
            <wp:positionV relativeFrom="paragraph">
              <wp:posOffset>228328</wp:posOffset>
            </wp:positionV>
            <wp:extent cx="3871595" cy="6896100"/>
            <wp:effectExtent l="0" t="0" r="0" b="0"/>
            <wp:wrapThrough wrapText="bothSides">
              <wp:wrapPolygon edited="0">
                <wp:start x="0" y="0"/>
                <wp:lineTo x="0" y="21540"/>
                <wp:lineTo x="21469" y="21540"/>
                <wp:lineTo x="21469" y="0"/>
                <wp:lineTo x="0" y="0"/>
              </wp:wrapPolygon>
            </wp:wrapThrough>
            <wp:docPr id="894645150" name="Imagen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3871595" cy="6896100"/>
                    </a:xfrm>
                    <a:prstGeom prst="rect">
                      <a:avLst/>
                    </a:prstGeom>
                    <a:noFill/>
                  </pic:spPr>
                </pic:pic>
              </a:graphicData>
            </a:graphic>
            <wp14:sizeRelH relativeFrom="page">
              <wp14:pctWidth>0</wp14:pctWidth>
            </wp14:sizeRelH>
            <wp14:sizeRelV relativeFrom="page">
              <wp14:pctHeight>0</wp14:pctHeight>
            </wp14:sizeRelV>
          </wp:anchor>
        </w:drawing>
      </w:r>
    </w:p>
    <w:p w14:paraId="6C5A30FE" w14:textId="65DFA848" w:rsidR="00831C4E" w:rsidRPr="00D75B42" w:rsidRDefault="00831C4E" w:rsidP="002F6D12">
      <w:pPr>
        <w:pStyle w:val="MDPI23heading3"/>
        <w:ind w:left="993"/>
        <w:rPr>
          <w:rFonts w:ascii="Times New Roman" w:hAnsi="Times New Roman"/>
          <w:sz w:val="22"/>
          <w:lang w:val="es-MX"/>
        </w:rPr>
      </w:pPr>
    </w:p>
    <w:p w14:paraId="09151388" w14:textId="77777777" w:rsidR="00831C4E" w:rsidRPr="00D75B42" w:rsidRDefault="00831C4E" w:rsidP="002F6D12">
      <w:pPr>
        <w:pStyle w:val="MDPI23heading3"/>
        <w:ind w:left="993"/>
        <w:rPr>
          <w:rFonts w:ascii="Times New Roman" w:hAnsi="Times New Roman"/>
          <w:sz w:val="22"/>
          <w:lang w:val="es-MX"/>
        </w:rPr>
      </w:pPr>
    </w:p>
    <w:p w14:paraId="70B647D6" w14:textId="77777777" w:rsidR="0060490B" w:rsidRPr="00D75B42" w:rsidRDefault="0060490B" w:rsidP="002F6D12">
      <w:pPr>
        <w:pStyle w:val="MDPI23heading3"/>
        <w:ind w:left="993"/>
        <w:rPr>
          <w:rFonts w:ascii="Times New Roman" w:hAnsi="Times New Roman"/>
          <w:sz w:val="22"/>
          <w:lang w:val="es-MX"/>
        </w:rPr>
      </w:pPr>
    </w:p>
    <w:p w14:paraId="34FE08E7" w14:textId="0AEABD61" w:rsidR="0060490B" w:rsidRPr="00D75B42" w:rsidRDefault="0060490B" w:rsidP="002F6D12">
      <w:pPr>
        <w:pStyle w:val="MDPI23heading3"/>
        <w:ind w:left="993"/>
        <w:rPr>
          <w:rFonts w:ascii="Times New Roman" w:hAnsi="Times New Roman"/>
          <w:sz w:val="22"/>
          <w:lang w:val="es-MX"/>
        </w:rPr>
      </w:pPr>
    </w:p>
    <w:p w14:paraId="277F7ADD" w14:textId="77777777" w:rsidR="0060490B" w:rsidRPr="00D75B42" w:rsidRDefault="0060490B" w:rsidP="002F6D12">
      <w:pPr>
        <w:pStyle w:val="MDPI23heading3"/>
        <w:ind w:left="993"/>
        <w:rPr>
          <w:rFonts w:ascii="Times New Roman" w:hAnsi="Times New Roman"/>
          <w:sz w:val="22"/>
          <w:lang w:val="es-MX"/>
        </w:rPr>
      </w:pPr>
    </w:p>
    <w:p w14:paraId="727E6DA6" w14:textId="77777777" w:rsidR="0060490B" w:rsidRPr="00D75B42" w:rsidRDefault="0060490B" w:rsidP="002F6D12">
      <w:pPr>
        <w:pStyle w:val="MDPI23heading3"/>
        <w:ind w:left="993"/>
        <w:rPr>
          <w:rFonts w:ascii="Times New Roman" w:hAnsi="Times New Roman"/>
          <w:sz w:val="22"/>
          <w:lang w:val="es-MX"/>
        </w:rPr>
      </w:pPr>
    </w:p>
    <w:p w14:paraId="1D73EA84" w14:textId="77777777" w:rsidR="0060490B" w:rsidRPr="00D75B42" w:rsidRDefault="0060490B" w:rsidP="002F6D12">
      <w:pPr>
        <w:pStyle w:val="MDPI23heading3"/>
        <w:ind w:left="993"/>
        <w:rPr>
          <w:rFonts w:ascii="Times New Roman" w:hAnsi="Times New Roman"/>
          <w:sz w:val="22"/>
          <w:lang w:val="es-MX"/>
        </w:rPr>
      </w:pPr>
    </w:p>
    <w:p w14:paraId="255DE7DF" w14:textId="77777777" w:rsidR="0060490B" w:rsidRPr="00D75B42" w:rsidRDefault="0060490B" w:rsidP="002F6D12">
      <w:pPr>
        <w:pStyle w:val="MDPI23heading3"/>
        <w:ind w:left="993"/>
        <w:rPr>
          <w:rFonts w:ascii="Times New Roman" w:hAnsi="Times New Roman"/>
          <w:sz w:val="22"/>
          <w:lang w:val="es-MX"/>
        </w:rPr>
      </w:pPr>
    </w:p>
    <w:p w14:paraId="57ADC5AA" w14:textId="77777777" w:rsidR="0060490B" w:rsidRPr="00D75B42" w:rsidRDefault="0060490B" w:rsidP="002F6D12">
      <w:pPr>
        <w:pStyle w:val="MDPI23heading3"/>
        <w:ind w:left="993"/>
        <w:rPr>
          <w:rFonts w:ascii="Times New Roman" w:hAnsi="Times New Roman"/>
          <w:sz w:val="22"/>
          <w:lang w:val="es-MX"/>
        </w:rPr>
      </w:pPr>
    </w:p>
    <w:p w14:paraId="49252682" w14:textId="77777777" w:rsidR="0060490B" w:rsidRPr="00D75B42" w:rsidRDefault="0060490B" w:rsidP="002F6D12">
      <w:pPr>
        <w:pStyle w:val="MDPI23heading3"/>
        <w:ind w:left="993"/>
        <w:rPr>
          <w:rFonts w:ascii="Times New Roman" w:hAnsi="Times New Roman"/>
          <w:sz w:val="22"/>
          <w:lang w:val="es-MX"/>
        </w:rPr>
      </w:pPr>
    </w:p>
    <w:p w14:paraId="769CA0BE" w14:textId="77777777" w:rsidR="0060490B" w:rsidRPr="00D75B42" w:rsidRDefault="0060490B" w:rsidP="002F6D12">
      <w:pPr>
        <w:pStyle w:val="MDPI23heading3"/>
        <w:ind w:left="993"/>
        <w:rPr>
          <w:rFonts w:ascii="Times New Roman" w:hAnsi="Times New Roman"/>
          <w:sz w:val="22"/>
          <w:lang w:val="es-MX"/>
        </w:rPr>
      </w:pPr>
    </w:p>
    <w:p w14:paraId="4378605A" w14:textId="77777777" w:rsidR="0060490B" w:rsidRPr="00D75B42" w:rsidRDefault="0060490B" w:rsidP="002F6D12">
      <w:pPr>
        <w:pStyle w:val="MDPI23heading3"/>
        <w:ind w:left="993"/>
        <w:rPr>
          <w:rFonts w:ascii="Times New Roman" w:hAnsi="Times New Roman"/>
          <w:sz w:val="22"/>
          <w:lang w:val="es-MX"/>
        </w:rPr>
      </w:pPr>
    </w:p>
    <w:p w14:paraId="565B261C" w14:textId="77777777" w:rsidR="0060490B" w:rsidRPr="00D75B42" w:rsidRDefault="0060490B" w:rsidP="002F6D12">
      <w:pPr>
        <w:pStyle w:val="MDPI23heading3"/>
        <w:ind w:left="993"/>
        <w:rPr>
          <w:rFonts w:ascii="Times New Roman" w:hAnsi="Times New Roman"/>
          <w:sz w:val="22"/>
          <w:lang w:val="es-MX"/>
        </w:rPr>
      </w:pPr>
    </w:p>
    <w:p w14:paraId="6435383C" w14:textId="77777777" w:rsidR="00831C4E" w:rsidRPr="00831C4E" w:rsidRDefault="00831C4E" w:rsidP="00831C4E">
      <w:pPr>
        <w:pStyle w:val="MDPI23heading3"/>
        <w:ind w:left="993"/>
        <w:rPr>
          <w:rFonts w:ascii="Times New Roman" w:hAnsi="Times New Roman"/>
          <w:b/>
          <w:lang w:val="es-MX"/>
        </w:rPr>
      </w:pPr>
    </w:p>
    <w:p w14:paraId="68BB39FA" w14:textId="08F3C96D" w:rsidR="00831C4E" w:rsidRPr="00831C4E" w:rsidRDefault="00831C4E" w:rsidP="00831C4E">
      <w:pPr>
        <w:pStyle w:val="MDPI23heading3"/>
        <w:ind w:left="993"/>
        <w:jc w:val="both"/>
        <w:rPr>
          <w:rFonts w:ascii="Times New Roman" w:hAnsi="Times New Roman"/>
          <w:bCs/>
          <w:i/>
          <w:iCs/>
          <w:lang w:val="es-MX"/>
        </w:rPr>
      </w:pPr>
      <w:r w:rsidRPr="00831C4E">
        <w:rPr>
          <w:rFonts w:ascii="Times New Roman" w:hAnsi="Times New Roman"/>
          <w:b/>
          <w:lang w:val="es-MX"/>
        </w:rPr>
        <w:t xml:space="preserve">Figura 2. Filogenia de </w:t>
      </w:r>
      <w:r w:rsidRPr="00831C4E">
        <w:rPr>
          <w:rFonts w:ascii="Times New Roman" w:hAnsi="Times New Roman"/>
          <w:b/>
          <w:i/>
          <w:iCs/>
          <w:lang w:val="es-MX"/>
        </w:rPr>
        <w:t>Fusarium oxysporum.</w:t>
      </w:r>
      <w:r w:rsidRPr="00831C4E">
        <w:rPr>
          <w:rFonts w:ascii="Times New Roman" w:hAnsi="Times New Roman"/>
          <w:b/>
          <w:lang w:val="es-MX"/>
        </w:rPr>
        <w:t xml:space="preserve"> </w:t>
      </w:r>
      <w:r w:rsidRPr="00831C4E">
        <w:rPr>
          <w:rFonts w:ascii="Times New Roman" w:hAnsi="Times New Roman"/>
          <w:bCs/>
          <w:lang w:val="es-MX"/>
        </w:rPr>
        <w:t xml:space="preserve">Relación filogenética de tres cepas (FUSA, FUSB y FUSC) enraizado con </w:t>
      </w:r>
      <w:r w:rsidR="00A72B13" w:rsidRPr="00A72B13">
        <w:rPr>
          <w:rFonts w:ascii="Times New Roman" w:hAnsi="Times New Roman"/>
          <w:bCs/>
          <w:i/>
          <w:iCs/>
          <w:lang w:val="es-MX"/>
        </w:rPr>
        <w:t>Trichothecium domesticum</w:t>
      </w:r>
      <w:r w:rsidR="00A72B13">
        <w:rPr>
          <w:rFonts w:ascii="Times New Roman" w:hAnsi="Times New Roman"/>
          <w:bCs/>
          <w:lang w:val="es-MX"/>
        </w:rPr>
        <w:t xml:space="preserve"> </w:t>
      </w:r>
      <w:r w:rsidRPr="00831C4E">
        <w:rPr>
          <w:rFonts w:ascii="Times New Roman" w:hAnsi="Times New Roman"/>
          <w:bCs/>
          <w:lang w:val="es-MX"/>
        </w:rPr>
        <w:t xml:space="preserve">inferida por el método de máxima verosimilitud con un bootstrap de 100 repeticiones utilizando el software MEGA11.  </w:t>
      </w:r>
    </w:p>
    <w:p w14:paraId="6E0F4F72" w14:textId="77777777" w:rsidR="0060490B" w:rsidRPr="00D75B42" w:rsidRDefault="0060490B" w:rsidP="002F6D12">
      <w:pPr>
        <w:pStyle w:val="MDPI23heading3"/>
        <w:ind w:left="993"/>
        <w:rPr>
          <w:rFonts w:ascii="Times New Roman" w:hAnsi="Times New Roman"/>
          <w:sz w:val="22"/>
          <w:lang w:val="es-MX"/>
        </w:rPr>
      </w:pPr>
    </w:p>
    <w:p w14:paraId="3C988075" w14:textId="77777777" w:rsidR="00831C4E" w:rsidRPr="00D75B42" w:rsidRDefault="00831C4E" w:rsidP="002F6D12">
      <w:pPr>
        <w:pStyle w:val="MDPI23heading3"/>
        <w:ind w:left="993"/>
        <w:rPr>
          <w:rFonts w:ascii="Times New Roman" w:hAnsi="Times New Roman"/>
          <w:sz w:val="22"/>
          <w:lang w:val="es-MX"/>
        </w:rPr>
      </w:pPr>
    </w:p>
    <w:p w14:paraId="1E62A461" w14:textId="77777777" w:rsidR="00831C4E" w:rsidRPr="00D75B42" w:rsidRDefault="00831C4E" w:rsidP="002F6D12">
      <w:pPr>
        <w:pStyle w:val="MDPI23heading3"/>
        <w:ind w:left="993"/>
        <w:rPr>
          <w:rFonts w:ascii="Times New Roman" w:hAnsi="Times New Roman"/>
          <w:sz w:val="22"/>
          <w:lang w:val="es-MX"/>
        </w:rPr>
      </w:pPr>
    </w:p>
    <w:p w14:paraId="0E3BB773" w14:textId="77777777" w:rsidR="00831C4E" w:rsidRPr="00D75B42" w:rsidRDefault="00831C4E" w:rsidP="002F6D12">
      <w:pPr>
        <w:pStyle w:val="MDPI23heading3"/>
        <w:ind w:left="993"/>
        <w:rPr>
          <w:rFonts w:ascii="Times New Roman" w:hAnsi="Times New Roman"/>
          <w:sz w:val="22"/>
          <w:lang w:val="es-MX"/>
        </w:rPr>
      </w:pPr>
    </w:p>
    <w:p w14:paraId="3595CCF2" w14:textId="77777777" w:rsidR="00831C4E" w:rsidRPr="00D75B42" w:rsidRDefault="00831C4E" w:rsidP="002F6D12">
      <w:pPr>
        <w:pStyle w:val="MDPI23heading3"/>
        <w:ind w:left="993"/>
        <w:rPr>
          <w:rFonts w:ascii="Times New Roman" w:hAnsi="Times New Roman"/>
          <w:sz w:val="22"/>
          <w:lang w:val="es-MX"/>
        </w:rPr>
      </w:pPr>
    </w:p>
    <w:p w14:paraId="23661FD9" w14:textId="77777777" w:rsidR="00831C4E" w:rsidRPr="00D75B42" w:rsidRDefault="00831C4E" w:rsidP="002F6D12">
      <w:pPr>
        <w:pStyle w:val="MDPI23heading3"/>
        <w:ind w:left="993"/>
        <w:rPr>
          <w:rFonts w:ascii="Times New Roman" w:hAnsi="Times New Roman"/>
          <w:sz w:val="22"/>
          <w:lang w:val="es-MX"/>
        </w:rPr>
      </w:pPr>
    </w:p>
    <w:p w14:paraId="06B87FE5" w14:textId="77777777" w:rsidR="00831C4E" w:rsidRPr="00D75B42" w:rsidRDefault="00831C4E" w:rsidP="002F6D12">
      <w:pPr>
        <w:pStyle w:val="MDPI23heading3"/>
        <w:ind w:left="993"/>
        <w:rPr>
          <w:rFonts w:ascii="Times New Roman" w:hAnsi="Times New Roman"/>
          <w:sz w:val="22"/>
          <w:lang w:val="es-MX"/>
        </w:rPr>
      </w:pPr>
    </w:p>
    <w:p w14:paraId="32E4C322" w14:textId="77777777" w:rsidR="00831C4E" w:rsidRPr="00D75B42" w:rsidRDefault="00831C4E" w:rsidP="002F6D12">
      <w:pPr>
        <w:pStyle w:val="MDPI23heading3"/>
        <w:ind w:left="993"/>
        <w:rPr>
          <w:rFonts w:ascii="Times New Roman" w:hAnsi="Times New Roman"/>
          <w:sz w:val="22"/>
          <w:lang w:val="es-MX"/>
        </w:rPr>
      </w:pPr>
    </w:p>
    <w:p w14:paraId="6CCF1FDF" w14:textId="77777777" w:rsidR="00831C4E" w:rsidRPr="00D75B42" w:rsidRDefault="00831C4E" w:rsidP="002F6D12">
      <w:pPr>
        <w:pStyle w:val="MDPI23heading3"/>
        <w:ind w:left="993"/>
        <w:rPr>
          <w:rFonts w:ascii="Times New Roman" w:hAnsi="Times New Roman"/>
          <w:sz w:val="22"/>
          <w:lang w:val="es-MX"/>
        </w:rPr>
      </w:pPr>
    </w:p>
    <w:p w14:paraId="5878C42D" w14:textId="77777777" w:rsidR="00831C4E" w:rsidRPr="00D75B42" w:rsidRDefault="00831C4E" w:rsidP="002F6D12">
      <w:pPr>
        <w:pStyle w:val="MDPI23heading3"/>
        <w:ind w:left="993"/>
        <w:rPr>
          <w:rFonts w:ascii="Times New Roman" w:hAnsi="Times New Roman"/>
          <w:sz w:val="22"/>
          <w:lang w:val="es-MX"/>
        </w:rPr>
      </w:pPr>
    </w:p>
    <w:p w14:paraId="3498C700" w14:textId="77777777" w:rsidR="00831C4E" w:rsidRPr="00D75B42" w:rsidRDefault="00831C4E" w:rsidP="002F6D12">
      <w:pPr>
        <w:pStyle w:val="MDPI23heading3"/>
        <w:ind w:left="993"/>
        <w:rPr>
          <w:rFonts w:ascii="Times New Roman" w:hAnsi="Times New Roman"/>
          <w:sz w:val="22"/>
          <w:lang w:val="es-MX"/>
        </w:rPr>
      </w:pPr>
    </w:p>
    <w:p w14:paraId="64499C2B" w14:textId="77777777" w:rsidR="00831C4E" w:rsidRPr="00D75B42" w:rsidRDefault="00831C4E" w:rsidP="002F6D12">
      <w:pPr>
        <w:pStyle w:val="MDPI23heading3"/>
        <w:ind w:left="993"/>
        <w:rPr>
          <w:rFonts w:ascii="Times New Roman" w:hAnsi="Times New Roman"/>
          <w:sz w:val="22"/>
          <w:lang w:val="es-MX"/>
        </w:rPr>
      </w:pPr>
    </w:p>
    <w:p w14:paraId="50F0E4AA" w14:textId="77777777" w:rsidR="00B1540D" w:rsidRPr="00D75B42" w:rsidRDefault="00B1540D" w:rsidP="0060490B">
      <w:pPr>
        <w:pStyle w:val="MDPI23heading3"/>
        <w:ind w:left="993"/>
        <w:rPr>
          <w:rFonts w:ascii="Times New Roman" w:hAnsi="Times New Roman"/>
          <w:sz w:val="22"/>
          <w:lang w:val="es-MX"/>
        </w:rPr>
      </w:pPr>
    </w:p>
    <w:p w14:paraId="2B76D7A2" w14:textId="77777777" w:rsidR="00B1540D" w:rsidRPr="00D75B42" w:rsidRDefault="00B1540D" w:rsidP="0060490B">
      <w:pPr>
        <w:pStyle w:val="MDPI23heading3"/>
        <w:ind w:left="993"/>
        <w:rPr>
          <w:rFonts w:ascii="Times New Roman" w:hAnsi="Times New Roman"/>
          <w:sz w:val="22"/>
          <w:lang w:val="es-MX"/>
        </w:rPr>
      </w:pPr>
    </w:p>
    <w:p w14:paraId="3DAAA6CA" w14:textId="20263861" w:rsidR="00B1540D" w:rsidRPr="00D75B42" w:rsidRDefault="00B1540D" w:rsidP="0060490B">
      <w:pPr>
        <w:pStyle w:val="MDPI23heading3"/>
        <w:ind w:left="993"/>
        <w:rPr>
          <w:rFonts w:ascii="Times New Roman" w:hAnsi="Times New Roman"/>
          <w:sz w:val="22"/>
          <w:lang w:val="es-MX"/>
        </w:rPr>
      </w:pPr>
    </w:p>
    <w:p w14:paraId="1E859C2E" w14:textId="5CA839E4" w:rsidR="00B1540D" w:rsidRPr="00D75B42" w:rsidRDefault="00B1540D" w:rsidP="0060490B">
      <w:pPr>
        <w:pStyle w:val="MDPI23heading3"/>
        <w:ind w:left="993"/>
        <w:rPr>
          <w:rFonts w:ascii="Times New Roman" w:hAnsi="Times New Roman"/>
          <w:sz w:val="22"/>
          <w:lang w:val="es-MX"/>
        </w:rPr>
      </w:pPr>
    </w:p>
    <w:p w14:paraId="51A76DC6" w14:textId="0A5EC206" w:rsidR="0060490B" w:rsidRPr="00D75B42" w:rsidRDefault="0060490B" w:rsidP="0060490B">
      <w:pPr>
        <w:pStyle w:val="MDPI23heading3"/>
        <w:ind w:left="993"/>
        <w:rPr>
          <w:rFonts w:ascii="Times New Roman" w:hAnsi="Times New Roman"/>
          <w:sz w:val="22"/>
          <w:lang w:val="es-MX"/>
        </w:rPr>
      </w:pPr>
    </w:p>
    <w:p w14:paraId="5A11E8E2" w14:textId="18A1778C" w:rsidR="00B1540D" w:rsidRPr="00D75B42" w:rsidRDefault="00B1540D" w:rsidP="0060490B">
      <w:pPr>
        <w:pStyle w:val="MDPI23heading3"/>
        <w:ind w:left="993"/>
        <w:jc w:val="both"/>
        <w:rPr>
          <w:rFonts w:ascii="Times New Roman" w:hAnsi="Times New Roman"/>
          <w:b/>
          <w:lang w:val="es-MX"/>
        </w:rPr>
      </w:pPr>
      <w:bookmarkStart w:id="10" w:name="_Hlk188909102"/>
    </w:p>
    <w:p w14:paraId="4CF9192A" w14:textId="00A8FECC" w:rsidR="0064052D" w:rsidRPr="00D75B42" w:rsidRDefault="0064052D" w:rsidP="00831C4E">
      <w:pPr>
        <w:pStyle w:val="MDPI23heading3"/>
        <w:ind w:left="0"/>
        <w:jc w:val="both"/>
        <w:rPr>
          <w:rFonts w:ascii="Times New Roman" w:hAnsi="Times New Roman"/>
          <w:b/>
          <w:lang w:val="es-MX"/>
        </w:rPr>
      </w:pPr>
    </w:p>
    <w:p w14:paraId="4980A0BE" w14:textId="11D9B15A" w:rsidR="0064052D" w:rsidRPr="00D75B42" w:rsidRDefault="0064052D" w:rsidP="00831C4E">
      <w:pPr>
        <w:pStyle w:val="MDPI23heading3"/>
        <w:ind w:left="0"/>
        <w:jc w:val="both"/>
        <w:rPr>
          <w:rFonts w:ascii="Times New Roman" w:hAnsi="Times New Roman"/>
          <w:b/>
          <w:lang w:val="es-MX"/>
        </w:rPr>
      </w:pPr>
    </w:p>
    <w:p w14:paraId="25F64B6B" w14:textId="0573E43E" w:rsidR="0064052D" w:rsidRPr="00D75B42" w:rsidRDefault="0064052D" w:rsidP="00831C4E">
      <w:pPr>
        <w:pStyle w:val="MDPI23heading3"/>
        <w:ind w:left="0"/>
        <w:jc w:val="both"/>
        <w:rPr>
          <w:rFonts w:ascii="Times New Roman" w:hAnsi="Times New Roman"/>
          <w:b/>
          <w:lang w:val="es-MX"/>
        </w:rPr>
      </w:pPr>
      <w:r>
        <w:rPr>
          <w:rFonts w:ascii="Times New Roman" w:hAnsi="Times New Roman"/>
          <w:noProof/>
          <w:sz w:val="22"/>
        </w:rPr>
        <w:lastRenderedPageBreak/>
        <w:drawing>
          <wp:anchor distT="0" distB="0" distL="114300" distR="114300" simplePos="0" relativeHeight="251672576" behindDoc="0" locked="0" layoutInCell="1" allowOverlap="1" wp14:anchorId="54ABDFCE" wp14:editId="4A07E2B5">
            <wp:simplePos x="0" y="0"/>
            <wp:positionH relativeFrom="margin">
              <wp:align>right</wp:align>
            </wp:positionH>
            <wp:positionV relativeFrom="paragraph">
              <wp:posOffset>150495</wp:posOffset>
            </wp:positionV>
            <wp:extent cx="5962650" cy="2072640"/>
            <wp:effectExtent l="0" t="0" r="0" b="3810"/>
            <wp:wrapThrough wrapText="bothSides">
              <wp:wrapPolygon edited="0">
                <wp:start x="0" y="0"/>
                <wp:lineTo x="0" y="21441"/>
                <wp:lineTo x="21531" y="21441"/>
                <wp:lineTo x="21531" y="0"/>
                <wp:lineTo x="0" y="0"/>
              </wp:wrapPolygon>
            </wp:wrapThrough>
            <wp:docPr id="254597563" name="Imagen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5962650" cy="2072640"/>
                    </a:xfrm>
                    <a:prstGeom prst="rect">
                      <a:avLst/>
                    </a:prstGeom>
                    <a:noFill/>
                  </pic:spPr>
                </pic:pic>
              </a:graphicData>
            </a:graphic>
            <wp14:sizeRelH relativeFrom="page">
              <wp14:pctWidth>0</wp14:pctWidth>
            </wp14:sizeRelH>
            <wp14:sizeRelV relativeFrom="page">
              <wp14:pctHeight>0</wp14:pctHeight>
            </wp14:sizeRelV>
          </wp:anchor>
        </w:drawing>
      </w:r>
    </w:p>
    <w:p w14:paraId="7ED316D2" w14:textId="66A368BF" w:rsidR="0060490B" w:rsidRDefault="0060490B" w:rsidP="00831C4E">
      <w:pPr>
        <w:pStyle w:val="MDPI23heading3"/>
        <w:ind w:left="0"/>
        <w:jc w:val="both"/>
        <w:rPr>
          <w:rFonts w:ascii="Times New Roman" w:hAnsi="Times New Roman"/>
          <w:lang w:val="es-MX"/>
        </w:rPr>
      </w:pPr>
      <w:r w:rsidRPr="00D75B42">
        <w:rPr>
          <w:rFonts w:ascii="Times New Roman" w:hAnsi="Times New Roman"/>
          <w:b/>
          <w:lang w:val="es-MX"/>
        </w:rPr>
        <w:t xml:space="preserve">Figura 3. </w:t>
      </w:r>
      <w:r w:rsidRPr="0060490B">
        <w:rPr>
          <w:rFonts w:ascii="Times New Roman" w:hAnsi="Times New Roman"/>
          <w:lang w:val="es-MX"/>
        </w:rPr>
        <w:t xml:space="preserve">Antagonismo de </w:t>
      </w:r>
      <w:r w:rsidRPr="0060490B">
        <w:rPr>
          <w:rFonts w:ascii="Times New Roman" w:hAnsi="Times New Roman"/>
          <w:i/>
          <w:iCs/>
          <w:lang w:val="es-MX"/>
        </w:rPr>
        <w:t xml:space="preserve">T. longibrachiatum </w:t>
      </w:r>
      <w:r w:rsidRPr="0060490B">
        <w:rPr>
          <w:rFonts w:ascii="Times New Roman" w:hAnsi="Times New Roman"/>
          <w:lang w:val="es-MX"/>
        </w:rPr>
        <w:t>en</w:t>
      </w:r>
      <w:r w:rsidRPr="0060490B">
        <w:rPr>
          <w:rFonts w:ascii="Times New Roman" w:hAnsi="Times New Roman"/>
          <w:i/>
          <w:iCs/>
          <w:lang w:val="es-MX"/>
        </w:rPr>
        <w:t xml:space="preserve"> F. oxysporum </w:t>
      </w:r>
      <w:r w:rsidRPr="0060490B">
        <w:rPr>
          <w:rFonts w:ascii="Times New Roman" w:hAnsi="Times New Roman"/>
          <w:lang w:val="es-MX"/>
        </w:rPr>
        <w:t xml:space="preserve">mediante cultivos duales. Confrontación del antagonista contra el patógeno </w:t>
      </w:r>
      <w:r w:rsidR="00831C4E">
        <w:rPr>
          <w:rFonts w:ascii="Times New Roman" w:hAnsi="Times New Roman"/>
          <w:lang w:val="es-MX"/>
        </w:rPr>
        <w:t>A</w:t>
      </w:r>
      <w:r w:rsidRPr="0060490B">
        <w:rPr>
          <w:rFonts w:ascii="Times New Roman" w:hAnsi="Times New Roman"/>
          <w:lang w:val="es-MX"/>
        </w:rPr>
        <w:t xml:space="preserve">) FUSA, </w:t>
      </w:r>
      <w:r w:rsidR="00831C4E">
        <w:rPr>
          <w:rFonts w:ascii="Times New Roman" w:hAnsi="Times New Roman"/>
          <w:lang w:val="es-MX"/>
        </w:rPr>
        <w:t>B</w:t>
      </w:r>
      <w:r w:rsidRPr="0060490B">
        <w:rPr>
          <w:rFonts w:ascii="Times New Roman" w:hAnsi="Times New Roman"/>
          <w:lang w:val="es-MX"/>
        </w:rPr>
        <w:t xml:space="preserve">) FUSB y </w:t>
      </w:r>
      <w:r w:rsidR="00831C4E">
        <w:rPr>
          <w:rFonts w:ascii="Times New Roman" w:hAnsi="Times New Roman"/>
          <w:lang w:val="es-MX"/>
        </w:rPr>
        <w:t>C</w:t>
      </w:r>
      <w:r w:rsidRPr="0060490B">
        <w:rPr>
          <w:rFonts w:ascii="Times New Roman" w:hAnsi="Times New Roman"/>
          <w:lang w:val="es-MX"/>
        </w:rPr>
        <w:t>) FUSC, en medio PDA después de siete días de inoculación.</w:t>
      </w:r>
    </w:p>
    <w:p w14:paraId="08C71979" w14:textId="77777777" w:rsidR="0064052D" w:rsidRDefault="0064052D" w:rsidP="00831C4E">
      <w:pPr>
        <w:pStyle w:val="MDPI23heading3"/>
        <w:ind w:left="0"/>
        <w:jc w:val="both"/>
        <w:rPr>
          <w:rFonts w:ascii="Times New Roman" w:hAnsi="Times New Roman"/>
          <w:lang w:val="es-MX"/>
        </w:rPr>
      </w:pPr>
    </w:p>
    <w:p w14:paraId="05FE8FCE" w14:textId="77777777" w:rsidR="0064052D" w:rsidRPr="00D75B42" w:rsidRDefault="0064052D" w:rsidP="00831C4E">
      <w:pPr>
        <w:pStyle w:val="MDPI23heading3"/>
        <w:ind w:left="0"/>
        <w:jc w:val="both"/>
        <w:rPr>
          <w:rFonts w:ascii="Times New Roman" w:hAnsi="Times New Roman"/>
          <w:i/>
          <w:iCs/>
          <w:lang w:val="es-MX"/>
        </w:rPr>
      </w:pPr>
    </w:p>
    <w:bookmarkEnd w:id="10"/>
    <w:p w14:paraId="57DFD111" w14:textId="07214D06" w:rsidR="0064052D" w:rsidRPr="00D75B42" w:rsidRDefault="0064052D" w:rsidP="0064052D">
      <w:pPr>
        <w:pStyle w:val="MDPI23heading3"/>
        <w:ind w:left="993"/>
        <w:rPr>
          <w:rFonts w:ascii="Times New Roman" w:hAnsi="Times New Roman"/>
          <w:sz w:val="22"/>
          <w:lang w:val="es-MX"/>
        </w:rPr>
      </w:pPr>
    </w:p>
    <w:p w14:paraId="66E24ED1" w14:textId="0AFE899D" w:rsidR="0064052D" w:rsidRPr="00D75B42" w:rsidRDefault="0064052D" w:rsidP="0064052D">
      <w:pPr>
        <w:pStyle w:val="MDPI23heading3"/>
        <w:ind w:left="993"/>
        <w:rPr>
          <w:rFonts w:ascii="Times New Roman" w:hAnsi="Times New Roman"/>
          <w:sz w:val="22"/>
          <w:lang w:val="es-MX"/>
        </w:rPr>
      </w:pPr>
    </w:p>
    <w:p w14:paraId="19AB8209" w14:textId="61F21324" w:rsidR="0064052D" w:rsidRPr="00D75B42" w:rsidRDefault="003E401F" w:rsidP="0064052D">
      <w:pPr>
        <w:pStyle w:val="MDPI23heading3"/>
        <w:ind w:left="993"/>
        <w:rPr>
          <w:rFonts w:ascii="Times New Roman" w:hAnsi="Times New Roman"/>
          <w:sz w:val="22"/>
          <w:lang w:val="es-MX"/>
        </w:rPr>
      </w:pPr>
      <w:r>
        <w:rPr>
          <w:rFonts w:ascii="Times New Roman" w:hAnsi="Times New Roman"/>
          <w:i/>
          <w:noProof/>
          <w:snapToGrid/>
          <w:sz w:val="22"/>
        </w:rPr>
        <mc:AlternateContent>
          <mc:Choice Requires="wps">
            <w:drawing>
              <wp:anchor distT="0" distB="0" distL="114300" distR="114300" simplePos="0" relativeHeight="251688960" behindDoc="0" locked="0" layoutInCell="1" allowOverlap="1" wp14:anchorId="1650A807" wp14:editId="7B7CD885">
                <wp:simplePos x="0" y="0"/>
                <wp:positionH relativeFrom="margin">
                  <wp:align>center</wp:align>
                </wp:positionH>
                <wp:positionV relativeFrom="paragraph">
                  <wp:posOffset>97336</wp:posOffset>
                </wp:positionV>
                <wp:extent cx="452120" cy="279400"/>
                <wp:effectExtent l="0" t="0" r="24130" b="25400"/>
                <wp:wrapNone/>
                <wp:docPr id="50763848" name="Cuadro de texto 6"/>
                <wp:cNvGraphicFramePr/>
                <a:graphic xmlns:a="http://schemas.openxmlformats.org/drawingml/2006/main">
                  <a:graphicData uri="http://schemas.microsoft.com/office/word/2010/wordprocessingShape">
                    <wps:wsp>
                      <wps:cNvSpPr txBox="1"/>
                      <wps:spPr>
                        <a:xfrm>
                          <a:off x="0" y="0"/>
                          <a:ext cx="452120" cy="279400"/>
                        </a:xfrm>
                        <a:prstGeom prst="rect">
                          <a:avLst/>
                        </a:prstGeom>
                        <a:solidFill>
                          <a:sysClr val="window" lastClr="FFFFFF"/>
                        </a:solidFill>
                        <a:ln w="6350">
                          <a:solidFill>
                            <a:sysClr val="window" lastClr="FFFFFF"/>
                          </a:solidFill>
                        </a:ln>
                      </wps:spPr>
                      <wps:txbx>
                        <w:txbxContent>
                          <w:p w14:paraId="20237C34" w14:textId="77777777" w:rsidR="003E401F" w:rsidRPr="00476500" w:rsidRDefault="003E401F" w:rsidP="003E401F">
                            <w:pPr>
                              <w:rPr>
                                <w:b/>
                                <w:bCs/>
                              </w:rPr>
                            </w:pPr>
                            <w:r w:rsidRPr="00476500">
                              <w:rPr>
                                <w:b/>
                                <w:bCs/>
                              </w:rPr>
                              <w:t>PI %</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1650A807" id="_x0000_t202" coordsize="21600,21600" o:spt="202" path="m,l,21600r21600,l21600,xe">
                <v:stroke joinstyle="miter"/>
                <v:path gradientshapeok="t" o:connecttype="rect"/>
              </v:shapetype>
              <v:shape id="Cuadro de texto 6" o:spid="_x0000_s1026" type="#_x0000_t202" style="position:absolute;left:0;text-align:left;margin-left:0;margin-top:7.65pt;width:35.6pt;height:22pt;z-index:251688960;visibility:visible;mso-wrap-style:square;mso-width-percent:0;mso-height-percent:0;mso-wrap-distance-left:9pt;mso-wrap-distance-top:0;mso-wrap-distance-right:9pt;mso-wrap-distance-bottom:0;mso-position-horizontal:center;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" fillcolor="window" strokecolor="window" strokeweight=".5pt">
                <v:textbox>
                  <w:txbxContent>
                    <w:p w14:paraId="20237C34" w14:textId="77777777" w:rsidR="003E401F" w:rsidRPr="00476500" w:rsidRDefault="003E401F" w:rsidP="003E401F">
                      <w:pPr>
                        <w:rPr>
                          <w:b/>
                          <w:bCs/>
                        </w:rPr>
                      </w:pPr>
                      <w:r w:rsidRPr="00476500">
                        <w:rPr>
                          <w:b/>
                          <w:bCs/>
                        </w:rPr>
                        <w:t>PI %</w:t>
                      </w:r>
                    </w:p>
                  </w:txbxContent>
                </v:textbox>
                <w10:wrap anchorx="margin"/>
              </v:shape>
            </w:pict>
          </mc:Fallback>
        </mc:AlternateContent>
      </w:r>
    </w:p>
    <w:p w14:paraId="3D3870F7" w14:textId="0BE68504" w:rsidR="001C3515" w:rsidRPr="00CC5B51" w:rsidRDefault="003E401F" w:rsidP="00CC5B51">
      <w:pPr>
        <w:pStyle w:val="MDPI23heading3"/>
        <w:ind w:left="993"/>
        <w:rPr>
          <w:rFonts w:ascii="Times New Roman" w:hAnsi="Times New Roman"/>
          <w:noProof/>
          <w:sz w:val="22"/>
          <w:lang w:val="es-MX"/>
        </w:rPr>
      </w:pPr>
      <w:r>
        <w:rPr>
          <w:rFonts w:ascii="Times New Roman" w:hAnsi="Times New Roman"/>
          <w:i/>
          <w:noProof/>
          <w:snapToGrid/>
          <w:sz w:val="22"/>
        </w:rPr>
        <mc:AlternateContent>
          <mc:Choice Requires="wps">
            <w:drawing>
              <wp:anchor distT="0" distB="0" distL="114300" distR="114300" simplePos="0" relativeHeight="251686912" behindDoc="0" locked="0" layoutInCell="1" allowOverlap="1" wp14:anchorId="4623A1BC" wp14:editId="296CE8AE">
                <wp:simplePos x="0" y="0"/>
                <wp:positionH relativeFrom="margin">
                  <wp:posOffset>2076450</wp:posOffset>
                </wp:positionH>
                <wp:positionV relativeFrom="paragraph">
                  <wp:posOffset>3133363</wp:posOffset>
                </wp:positionV>
                <wp:extent cx="1665514" cy="279400"/>
                <wp:effectExtent l="0" t="0" r="11430" b="25400"/>
                <wp:wrapNone/>
                <wp:docPr id="257069073" name="Cuadro de texto 6"/>
                <wp:cNvGraphicFramePr/>
                <a:graphic xmlns:a="http://schemas.openxmlformats.org/drawingml/2006/main">
                  <a:graphicData uri="http://schemas.microsoft.com/office/word/2010/wordprocessingShape">
                    <wps:wsp>
                      <wps:cNvSpPr txBox="1"/>
                      <wps:spPr>
                        <a:xfrm>
                          <a:off x="0" y="0"/>
                          <a:ext cx="1665514" cy="279400"/>
                        </a:xfrm>
                        <a:prstGeom prst="rect">
                          <a:avLst/>
                        </a:prstGeom>
                        <a:solidFill>
                          <a:sysClr val="window" lastClr="FFFFFF"/>
                        </a:solidFill>
                        <a:ln w="6350">
                          <a:solidFill>
                            <a:sysClr val="window" lastClr="FFFFFF"/>
                          </a:solidFill>
                        </a:ln>
                      </wps:spPr>
                      <wps:txbx>
                        <w:txbxContent>
                          <w:p w14:paraId="1EA2E7A5" w14:textId="776977B2" w:rsidR="003E401F" w:rsidRDefault="003E401F" w:rsidP="003E401F">
                            <w:r>
                              <w:t>Cepas del Complejo FOSC</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623A1BC" id="_x0000_s1027" type="#_x0000_t202" style="position:absolute;left:0;text-align:left;margin-left:163.5pt;margin-top:246.7pt;width:131.15pt;height:22pt;z-index:25168691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" fillcolor="window" strokecolor="window" strokeweight=".5pt">
                <v:textbox>
                  <w:txbxContent>
                    <w:p w14:paraId="1EA2E7A5" w14:textId="776977B2" w:rsidR="003E401F" w:rsidRDefault="003E401F" w:rsidP="003E401F">
                      <w:r>
                        <w:t>Cepas del Complejo FOSC</w:t>
                      </w:r>
                    </w:p>
                  </w:txbxContent>
                </v:textbox>
                <w10:wrap anchorx="margin"/>
              </v:shape>
            </w:pict>
          </mc:Fallback>
        </mc:AlternateContent>
      </w:r>
      <w:r>
        <w:rPr>
          <w:rFonts w:ascii="Times New Roman" w:hAnsi="Times New Roman"/>
          <w:i/>
          <w:noProof/>
          <w:snapToGrid/>
          <w:sz w:val="22"/>
        </w:rPr>
        <mc:AlternateContent>
          <mc:Choice Requires="wps">
            <w:drawing>
              <wp:anchor distT="0" distB="0" distL="114300" distR="114300" simplePos="0" relativeHeight="251691008" behindDoc="0" locked="0" layoutInCell="1" allowOverlap="1" wp14:anchorId="71A64DFA" wp14:editId="0D0A49CB">
                <wp:simplePos x="0" y="0"/>
                <wp:positionH relativeFrom="leftMargin">
                  <wp:posOffset>-62865</wp:posOffset>
                </wp:positionH>
                <wp:positionV relativeFrom="paragraph">
                  <wp:posOffset>1161506</wp:posOffset>
                </wp:positionV>
                <wp:extent cx="2098040" cy="279400"/>
                <wp:effectExtent l="0" t="5080" r="11430" b="11430"/>
                <wp:wrapNone/>
                <wp:docPr id="1653378860" name="Cuadro de texto 6"/>
                <wp:cNvGraphicFramePr/>
                <a:graphic xmlns:a="http://schemas.openxmlformats.org/drawingml/2006/main">
                  <a:graphicData uri="http://schemas.microsoft.com/office/word/2010/wordprocessingShape">
                    <wps:wsp>
                      <wps:cNvSpPr txBox="1"/>
                      <wps:spPr>
                        <a:xfrm rot="16200000">
                          <a:off x="0" y="0"/>
                          <a:ext cx="2098040" cy="279400"/>
                        </a:xfrm>
                        <a:prstGeom prst="rect">
                          <a:avLst/>
                        </a:prstGeom>
                        <a:solidFill>
                          <a:sysClr val="window" lastClr="FFFFFF"/>
                        </a:solidFill>
                        <a:ln w="6350">
                          <a:solidFill>
                            <a:sysClr val="window" lastClr="FFFFFF"/>
                          </a:solidFill>
                        </a:ln>
                      </wps:spPr>
                      <wps:txbx>
                        <w:txbxContent>
                          <w:p w14:paraId="585B20BF" w14:textId="60CBC927" w:rsidR="003E401F" w:rsidRDefault="003E401F" w:rsidP="003E401F">
                            <w:r>
                              <w:t>Porcentaje de Inhibición</w:t>
                            </w:r>
                            <w:r>
                              <w:t xml:space="preserve"> (PI%)</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1A64DFA" id="_x0000_s1028" type="#_x0000_t202" style="position:absolute;left:0;text-align:left;margin-left:-4.95pt;margin-top:91.45pt;width:165.2pt;height:22pt;rotation:-90;z-index:251691008;visibility:visible;mso-wrap-style:square;mso-width-percent:0;mso-height-percent:0;mso-wrap-distance-left:9pt;mso-wrap-distance-top:0;mso-wrap-distance-right:9pt;mso-wrap-distance-bottom:0;mso-position-horizontal:absolute;mso-position-horizontal-relative:left-margin-area;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" fillcolor="window" strokecolor="window" strokeweight=".5pt">
                <v:textbox>
                  <w:txbxContent>
                    <w:p w14:paraId="585B20BF" w14:textId="60CBC927" w:rsidR="003E401F" w:rsidRDefault="003E401F" w:rsidP="003E401F">
                      <w:r>
                        <w:t>Porcentaje de Inhibición</w:t>
                      </w:r>
                      <w:r>
                        <w:t xml:space="preserve"> (PI%)</w:t>
                      </w:r>
                    </w:p>
                  </w:txbxContent>
                </v:textbox>
                <w10:wrap anchorx="margin"/>
              </v:shape>
            </w:pict>
          </mc:Fallback>
        </mc:AlternateContent>
      </w:r>
      <w:r>
        <w:rPr>
          <w:rFonts w:ascii="Times New Roman" w:hAnsi="Times New Roman"/>
          <w:noProof/>
          <w:sz w:val="22"/>
          <w:lang w:val="es-MX"/>
        </w:rPr>
        <w:drawing>
          <wp:anchor distT="0" distB="0" distL="114300" distR="114300" simplePos="0" relativeHeight="251684864" behindDoc="0" locked="0" layoutInCell="1" allowOverlap="1" wp14:anchorId="70EC5FE1" wp14:editId="1231A2AF">
            <wp:simplePos x="0" y="0"/>
            <wp:positionH relativeFrom="column">
              <wp:posOffset>-100693</wp:posOffset>
            </wp:positionH>
            <wp:positionV relativeFrom="paragraph">
              <wp:posOffset>313871</wp:posOffset>
            </wp:positionV>
            <wp:extent cx="5761355" cy="2895600"/>
            <wp:effectExtent l="0" t="0" r="0" b="0"/>
            <wp:wrapThrough wrapText="bothSides">
              <wp:wrapPolygon edited="0">
                <wp:start x="0" y="0"/>
                <wp:lineTo x="0" y="21458"/>
                <wp:lineTo x="21498" y="21458"/>
                <wp:lineTo x="21498" y="0"/>
                <wp:lineTo x="0" y="0"/>
              </wp:wrapPolygon>
            </wp:wrapThrough>
            <wp:docPr id="1609396448" name="Imagen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5761355" cy="2895600"/>
                    </a:xfrm>
                    <a:prstGeom prst="rect">
                      <a:avLst/>
                    </a:prstGeom>
                    <a:noFill/>
                  </pic:spPr>
                </pic:pic>
              </a:graphicData>
            </a:graphic>
            <wp14:sizeRelH relativeFrom="page">
              <wp14:pctWidth>0</wp14:pctWidth>
            </wp14:sizeRelH>
            <wp14:sizeRelV relativeFrom="page">
              <wp14:pctHeight>0</wp14:pctHeight>
            </wp14:sizeRelV>
          </wp:anchor>
        </w:drawing>
      </w:r>
    </w:p>
    <w:p w14:paraId="2BA13328" w14:textId="77777777" w:rsidR="001C3515" w:rsidRDefault="001C3515" w:rsidP="0060490B">
      <w:pPr>
        <w:pStyle w:val="MDPI23heading3"/>
        <w:ind w:left="0"/>
        <w:rPr>
          <w:rFonts w:ascii="Times New Roman" w:hAnsi="Times New Roman"/>
          <w:b/>
          <w:lang w:val="es-MX"/>
        </w:rPr>
      </w:pPr>
    </w:p>
    <w:p w14:paraId="0CCE819D" w14:textId="77777777" w:rsidR="001C3515" w:rsidRDefault="001C3515" w:rsidP="0060490B">
      <w:pPr>
        <w:pStyle w:val="MDPI23heading3"/>
        <w:ind w:left="0"/>
        <w:rPr>
          <w:rFonts w:ascii="Times New Roman" w:hAnsi="Times New Roman"/>
          <w:b/>
          <w:lang w:val="es-MX"/>
        </w:rPr>
      </w:pPr>
    </w:p>
    <w:p w14:paraId="770FD92C" w14:textId="623455DA" w:rsidR="0060490B" w:rsidRPr="00D75B42" w:rsidRDefault="0060490B" w:rsidP="0060490B">
      <w:pPr>
        <w:pStyle w:val="MDPI23heading3"/>
        <w:ind w:left="0"/>
        <w:rPr>
          <w:rFonts w:ascii="Times New Roman" w:hAnsi="Times New Roman"/>
          <w:i/>
          <w:iCs/>
          <w:lang w:val="es-MX"/>
        </w:rPr>
      </w:pPr>
      <w:r w:rsidRPr="00D75B42">
        <w:rPr>
          <w:rFonts w:ascii="Times New Roman" w:hAnsi="Times New Roman"/>
          <w:b/>
          <w:lang w:val="es-MX"/>
        </w:rPr>
        <w:t xml:space="preserve">Figura 4. </w:t>
      </w:r>
      <w:r w:rsidRPr="0060490B">
        <w:rPr>
          <w:rFonts w:ascii="Times New Roman" w:hAnsi="Times New Roman"/>
          <w:b/>
          <w:bCs/>
          <w:lang w:val="es-MX"/>
        </w:rPr>
        <w:t xml:space="preserve">Porcentaje de inhibición de </w:t>
      </w:r>
      <w:r w:rsidRPr="0060490B">
        <w:rPr>
          <w:rFonts w:ascii="Times New Roman" w:hAnsi="Times New Roman"/>
          <w:b/>
          <w:bCs/>
          <w:i/>
          <w:iCs/>
          <w:lang w:val="es-MX"/>
        </w:rPr>
        <w:t xml:space="preserve">Trichoderma longibrachiatum </w:t>
      </w:r>
      <w:r w:rsidRPr="0060490B">
        <w:rPr>
          <w:rFonts w:ascii="Times New Roman" w:hAnsi="Times New Roman"/>
          <w:b/>
          <w:bCs/>
          <w:lang w:val="es-MX"/>
        </w:rPr>
        <w:t xml:space="preserve">sobre el crecimiento de </w:t>
      </w:r>
      <w:r w:rsidRPr="0060490B">
        <w:rPr>
          <w:rFonts w:ascii="Times New Roman" w:hAnsi="Times New Roman"/>
          <w:b/>
          <w:bCs/>
          <w:i/>
          <w:iCs/>
          <w:lang w:val="es-MX"/>
        </w:rPr>
        <w:t>Fusarium oxysporum</w:t>
      </w:r>
      <w:r w:rsidRPr="0060490B">
        <w:rPr>
          <w:rFonts w:ascii="Times New Roman" w:hAnsi="Times New Roman"/>
          <w:lang w:val="es-MX"/>
        </w:rPr>
        <w:t>. Los datos se analizaron utilizando el software InfoStat y las diferencias significativas se estimaron utilizando la técnica de diferencias significativas honestas (HSD) de Tukey a una p ≤ 0.05, con la desviación estándar (SD).</w:t>
      </w:r>
    </w:p>
    <w:p w14:paraId="2808C180" w14:textId="016C58E2" w:rsidR="0060490B" w:rsidRPr="00D75B42" w:rsidRDefault="0060490B" w:rsidP="002F6D12">
      <w:pPr>
        <w:pStyle w:val="MDPI23heading3"/>
        <w:ind w:left="993"/>
        <w:rPr>
          <w:rFonts w:ascii="Times New Roman" w:hAnsi="Times New Roman"/>
          <w:sz w:val="22"/>
          <w:lang w:val="es-MX"/>
        </w:rPr>
      </w:pPr>
    </w:p>
    <w:p w14:paraId="1777F840" w14:textId="2B911ED5" w:rsidR="0060490B" w:rsidRPr="00D75B42" w:rsidRDefault="0060490B" w:rsidP="002F6D12">
      <w:pPr>
        <w:pStyle w:val="MDPI23heading3"/>
        <w:ind w:left="993"/>
        <w:rPr>
          <w:rFonts w:ascii="Times New Roman" w:hAnsi="Times New Roman"/>
          <w:noProof/>
          <w:sz w:val="22"/>
          <w:lang w:val="es-MX"/>
        </w:rPr>
      </w:pPr>
    </w:p>
    <w:p w14:paraId="59DE32D1" w14:textId="77777777" w:rsidR="0064052D" w:rsidRPr="00D75B42" w:rsidRDefault="0064052D" w:rsidP="002F6D12">
      <w:pPr>
        <w:pStyle w:val="MDPI23heading3"/>
        <w:ind w:left="993"/>
        <w:rPr>
          <w:rFonts w:ascii="Times New Roman" w:hAnsi="Times New Roman"/>
          <w:noProof/>
          <w:sz w:val="22"/>
          <w:lang w:val="es-MX"/>
        </w:rPr>
      </w:pPr>
    </w:p>
    <w:p w14:paraId="7C01D1C6" w14:textId="77777777" w:rsidR="0064052D" w:rsidRPr="00D75B42" w:rsidRDefault="0064052D" w:rsidP="002F6D12">
      <w:pPr>
        <w:pStyle w:val="MDPI23heading3"/>
        <w:ind w:left="993"/>
        <w:rPr>
          <w:rFonts w:ascii="Times New Roman" w:hAnsi="Times New Roman"/>
          <w:noProof/>
          <w:sz w:val="22"/>
          <w:lang w:val="es-MX"/>
        </w:rPr>
      </w:pPr>
    </w:p>
    <w:p w14:paraId="71928D95" w14:textId="77777777" w:rsidR="0064052D" w:rsidRPr="00D75B42" w:rsidRDefault="0064052D" w:rsidP="002F6D12">
      <w:pPr>
        <w:pStyle w:val="MDPI23heading3"/>
        <w:ind w:left="993"/>
        <w:rPr>
          <w:rFonts w:ascii="Times New Roman" w:hAnsi="Times New Roman"/>
          <w:noProof/>
          <w:sz w:val="22"/>
          <w:lang w:val="es-MX"/>
        </w:rPr>
      </w:pPr>
    </w:p>
    <w:p w14:paraId="338735B5" w14:textId="6D0136E1" w:rsidR="003228C1" w:rsidRPr="00D75B42" w:rsidRDefault="0064052D" w:rsidP="0064052D">
      <w:pPr>
        <w:pStyle w:val="MDPI23heading3"/>
        <w:ind w:left="0"/>
        <w:jc w:val="both"/>
        <w:rPr>
          <w:rFonts w:ascii="Times New Roman" w:hAnsi="Times New Roman"/>
          <w:noProof/>
          <w:sz w:val="22"/>
          <w:lang w:val="es-MX"/>
        </w:rPr>
      </w:pPr>
      <w:r>
        <w:rPr>
          <w:rFonts w:ascii="Times New Roman" w:hAnsi="Times New Roman"/>
          <w:noProof/>
          <w:sz w:val="22"/>
        </w:rPr>
        <w:drawing>
          <wp:anchor distT="0" distB="0" distL="114300" distR="114300" simplePos="0" relativeHeight="251675648" behindDoc="0" locked="0" layoutInCell="1" allowOverlap="1" wp14:anchorId="3436B19E" wp14:editId="26CB9B9C">
            <wp:simplePos x="0" y="0"/>
            <wp:positionH relativeFrom="page">
              <wp:align>center</wp:align>
            </wp:positionH>
            <wp:positionV relativeFrom="paragraph">
              <wp:posOffset>0</wp:posOffset>
            </wp:positionV>
            <wp:extent cx="5749290" cy="3822700"/>
            <wp:effectExtent l="0" t="0" r="3810" b="6350"/>
            <wp:wrapThrough wrapText="bothSides">
              <wp:wrapPolygon edited="0">
                <wp:start x="0" y="0"/>
                <wp:lineTo x="0" y="21528"/>
                <wp:lineTo x="21543" y="21528"/>
                <wp:lineTo x="21543" y="0"/>
                <wp:lineTo x="0" y="0"/>
              </wp:wrapPolygon>
            </wp:wrapThrough>
            <wp:docPr id="891343761" name="Imagen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5749290" cy="3822700"/>
                    </a:xfrm>
                    <a:prstGeom prst="rect">
                      <a:avLst/>
                    </a:prstGeom>
                    <a:noFill/>
                  </pic:spPr>
                </pic:pic>
              </a:graphicData>
            </a:graphic>
            <wp14:sizeRelH relativeFrom="page">
              <wp14:pctWidth>0</wp14:pctWidth>
            </wp14:sizeRelH>
            <wp14:sizeRelV relativeFrom="page">
              <wp14:pctHeight>0</wp14:pctHeight>
            </wp14:sizeRelV>
          </wp:anchor>
        </w:drawing>
      </w:r>
      <w:r w:rsidR="003228C1" w:rsidRPr="00D75B42">
        <w:rPr>
          <w:rFonts w:ascii="Times New Roman" w:hAnsi="Times New Roman"/>
          <w:b/>
          <w:lang w:val="es-MX"/>
        </w:rPr>
        <w:t xml:space="preserve">Figura 5. </w:t>
      </w:r>
      <w:r w:rsidR="003228C1" w:rsidRPr="003228C1">
        <w:rPr>
          <w:rFonts w:ascii="Times New Roman" w:hAnsi="Times New Roman"/>
          <w:b/>
          <w:bCs/>
          <w:lang w:val="es-MX"/>
        </w:rPr>
        <w:t xml:space="preserve">Micoparasitismo de </w:t>
      </w:r>
      <w:r w:rsidR="003228C1" w:rsidRPr="003228C1">
        <w:rPr>
          <w:rFonts w:ascii="Times New Roman" w:hAnsi="Times New Roman"/>
          <w:b/>
          <w:bCs/>
          <w:i/>
          <w:iCs/>
          <w:lang w:val="es-MX"/>
        </w:rPr>
        <w:t>T. longibrachiatum hacia</w:t>
      </w:r>
      <w:r w:rsidR="003228C1" w:rsidRPr="003228C1">
        <w:rPr>
          <w:rFonts w:ascii="Times New Roman" w:hAnsi="Times New Roman"/>
          <w:b/>
          <w:bCs/>
          <w:lang w:val="es-MX"/>
        </w:rPr>
        <w:t xml:space="preserve"> </w:t>
      </w:r>
      <w:r w:rsidR="003228C1" w:rsidRPr="003228C1">
        <w:rPr>
          <w:rFonts w:ascii="Times New Roman" w:hAnsi="Times New Roman"/>
          <w:b/>
          <w:bCs/>
          <w:i/>
          <w:iCs/>
          <w:lang w:val="es-MX"/>
        </w:rPr>
        <w:t>F. oxysporum</w:t>
      </w:r>
      <w:r w:rsidR="003228C1" w:rsidRPr="003228C1">
        <w:rPr>
          <w:rFonts w:ascii="Times New Roman" w:hAnsi="Times New Roman"/>
          <w:b/>
          <w:bCs/>
          <w:lang w:val="es-MX"/>
        </w:rPr>
        <w:t xml:space="preserve">. </w:t>
      </w:r>
      <w:r w:rsidR="003228C1" w:rsidRPr="003228C1">
        <w:rPr>
          <w:rFonts w:ascii="Times New Roman" w:hAnsi="Times New Roman"/>
          <w:lang w:val="es-MX"/>
        </w:rPr>
        <w:t xml:space="preserve">Mecanismos de </w:t>
      </w:r>
      <w:r w:rsidR="003228C1" w:rsidRPr="003228C1">
        <w:rPr>
          <w:rFonts w:ascii="Times New Roman" w:hAnsi="Times New Roman"/>
          <w:i/>
          <w:iCs/>
          <w:lang w:val="es-MX"/>
        </w:rPr>
        <w:t xml:space="preserve">T. longibrachiatum </w:t>
      </w:r>
      <w:r w:rsidR="003228C1" w:rsidRPr="003228C1">
        <w:rPr>
          <w:rFonts w:ascii="Times New Roman" w:hAnsi="Times New Roman"/>
          <w:lang w:val="es-MX"/>
        </w:rPr>
        <w:t xml:space="preserve">para parasitar al hongo patógeno indicados por las flechas blancas. </w:t>
      </w:r>
      <w:r>
        <w:rPr>
          <w:rFonts w:ascii="Times New Roman" w:hAnsi="Times New Roman"/>
          <w:lang w:val="es-MX"/>
        </w:rPr>
        <w:t>A</w:t>
      </w:r>
      <w:r w:rsidR="003228C1" w:rsidRPr="003228C1">
        <w:rPr>
          <w:rFonts w:ascii="Times New Roman" w:hAnsi="Times New Roman"/>
          <w:lang w:val="es-MX"/>
        </w:rPr>
        <w:t xml:space="preserve">) Penetración, </w:t>
      </w:r>
      <w:r>
        <w:rPr>
          <w:rFonts w:ascii="Times New Roman" w:hAnsi="Times New Roman"/>
          <w:lang w:val="es-MX"/>
        </w:rPr>
        <w:t>B</w:t>
      </w:r>
      <w:r w:rsidR="003228C1" w:rsidRPr="003228C1">
        <w:rPr>
          <w:rFonts w:ascii="Times New Roman" w:hAnsi="Times New Roman"/>
          <w:lang w:val="es-MX"/>
        </w:rPr>
        <w:t xml:space="preserve">) enrollamiento, </w:t>
      </w:r>
      <w:r>
        <w:rPr>
          <w:rFonts w:ascii="Times New Roman" w:hAnsi="Times New Roman"/>
          <w:lang w:val="es-MX"/>
        </w:rPr>
        <w:t>C</w:t>
      </w:r>
      <w:r w:rsidR="003228C1" w:rsidRPr="003228C1">
        <w:rPr>
          <w:rFonts w:ascii="Times New Roman" w:hAnsi="Times New Roman"/>
          <w:lang w:val="es-MX"/>
        </w:rPr>
        <w:t xml:space="preserve">) enrollamiento </w:t>
      </w:r>
      <w:r>
        <w:rPr>
          <w:rFonts w:ascii="Times New Roman" w:hAnsi="Times New Roman"/>
          <w:lang w:val="es-MX"/>
        </w:rPr>
        <w:t>D</w:t>
      </w:r>
      <w:r w:rsidR="003228C1" w:rsidRPr="003228C1">
        <w:rPr>
          <w:rFonts w:ascii="Times New Roman" w:hAnsi="Times New Roman"/>
          <w:lang w:val="es-MX"/>
        </w:rPr>
        <w:t xml:space="preserve">) granulación, </w:t>
      </w:r>
      <w:r>
        <w:rPr>
          <w:rFonts w:ascii="Times New Roman" w:hAnsi="Times New Roman"/>
          <w:lang w:val="es-MX"/>
        </w:rPr>
        <w:t>E</w:t>
      </w:r>
      <w:r w:rsidR="003228C1" w:rsidRPr="003228C1">
        <w:rPr>
          <w:rFonts w:ascii="Times New Roman" w:hAnsi="Times New Roman"/>
          <w:lang w:val="es-MX"/>
        </w:rPr>
        <w:t xml:space="preserve">) presencia de haustorio y vacuolización </w:t>
      </w:r>
      <w:r>
        <w:rPr>
          <w:rFonts w:ascii="Times New Roman" w:hAnsi="Times New Roman"/>
          <w:lang w:val="es-MX"/>
        </w:rPr>
        <w:t>F</w:t>
      </w:r>
      <w:r w:rsidR="003228C1" w:rsidRPr="003228C1">
        <w:rPr>
          <w:rFonts w:ascii="Times New Roman" w:hAnsi="Times New Roman"/>
          <w:lang w:val="es-MX"/>
        </w:rPr>
        <w:t>) granulación y lisis. Observadas en un microscopio óptico a 100X.</w:t>
      </w:r>
    </w:p>
    <w:p w14:paraId="3C5AF851" w14:textId="74D5CC2A" w:rsidR="0060490B" w:rsidRPr="00D75B42" w:rsidRDefault="0060490B" w:rsidP="002F6D12">
      <w:pPr>
        <w:pStyle w:val="MDPI23heading3"/>
        <w:ind w:left="993"/>
        <w:rPr>
          <w:rFonts w:ascii="Times New Roman" w:hAnsi="Times New Roman"/>
          <w:sz w:val="22"/>
          <w:lang w:val="es-MX"/>
        </w:rPr>
      </w:pPr>
    </w:p>
    <w:p w14:paraId="3A5AE49D" w14:textId="7FE0EF43" w:rsidR="0060490B" w:rsidRPr="00D75B42" w:rsidRDefault="0060490B" w:rsidP="002F6D12">
      <w:pPr>
        <w:pStyle w:val="MDPI23heading3"/>
        <w:ind w:left="993"/>
        <w:rPr>
          <w:rFonts w:ascii="Times New Roman" w:hAnsi="Times New Roman"/>
          <w:sz w:val="22"/>
          <w:lang w:val="es-MX"/>
        </w:rPr>
      </w:pPr>
    </w:p>
    <w:p w14:paraId="318255EE" w14:textId="553696A4" w:rsidR="003228C1" w:rsidRPr="00D75B42" w:rsidRDefault="003228C1" w:rsidP="0069157C">
      <w:pPr>
        <w:pStyle w:val="MDPI23heading3"/>
        <w:ind w:left="0"/>
        <w:rPr>
          <w:rFonts w:ascii="Times New Roman" w:hAnsi="Times New Roman"/>
          <w:sz w:val="22"/>
          <w:lang w:val="es-MX"/>
        </w:rPr>
      </w:pPr>
      <w:r>
        <w:rPr>
          <w:rFonts w:ascii="Times New Roman" w:hAnsi="Times New Roman"/>
          <w:noProof/>
          <w:sz w:val="22"/>
        </w:rPr>
        <w:drawing>
          <wp:anchor distT="0" distB="0" distL="114300" distR="114300" simplePos="0" relativeHeight="251663360" behindDoc="0" locked="0" layoutInCell="1" allowOverlap="1" wp14:anchorId="2C94E14C" wp14:editId="5AF70519">
            <wp:simplePos x="0" y="0"/>
            <wp:positionH relativeFrom="column">
              <wp:posOffset>-74295</wp:posOffset>
            </wp:positionH>
            <wp:positionV relativeFrom="paragraph">
              <wp:posOffset>109509</wp:posOffset>
            </wp:positionV>
            <wp:extent cx="5547995" cy="2152015"/>
            <wp:effectExtent l="0" t="0" r="0" b="635"/>
            <wp:wrapThrough wrapText="bothSides">
              <wp:wrapPolygon edited="0">
                <wp:start x="0" y="0"/>
                <wp:lineTo x="0" y="21415"/>
                <wp:lineTo x="21509" y="21415"/>
                <wp:lineTo x="21509" y="0"/>
                <wp:lineTo x="0" y="0"/>
              </wp:wrapPolygon>
            </wp:wrapThrough>
            <wp:docPr id="1126014157" name="Imagen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5547995" cy="2152015"/>
                    </a:xfrm>
                    <a:prstGeom prst="rect">
                      <a:avLst/>
                    </a:prstGeom>
                    <a:noFill/>
                  </pic:spPr>
                </pic:pic>
              </a:graphicData>
            </a:graphic>
            <wp14:sizeRelH relativeFrom="page">
              <wp14:pctWidth>0</wp14:pctWidth>
            </wp14:sizeRelH>
            <wp14:sizeRelV relativeFrom="page">
              <wp14:pctHeight>0</wp14:pctHeight>
            </wp14:sizeRelV>
          </wp:anchor>
        </w:drawing>
      </w:r>
      <w:r w:rsidRPr="00D75B42">
        <w:rPr>
          <w:rFonts w:ascii="Times New Roman" w:hAnsi="Times New Roman"/>
          <w:b/>
          <w:lang w:val="es-MX"/>
        </w:rPr>
        <w:t xml:space="preserve">Figura 6. </w:t>
      </w:r>
      <w:r w:rsidRPr="003228C1">
        <w:rPr>
          <w:rFonts w:ascii="Times New Roman" w:hAnsi="Times New Roman"/>
          <w:b/>
          <w:bCs/>
          <w:lang w:val="es-MX"/>
        </w:rPr>
        <w:t xml:space="preserve">Efecto fungicida </w:t>
      </w:r>
      <w:r w:rsidRPr="003228C1">
        <w:rPr>
          <w:rFonts w:ascii="Times New Roman" w:hAnsi="Times New Roman"/>
          <w:b/>
          <w:bCs/>
          <w:i/>
          <w:iCs/>
          <w:lang w:val="es-MX"/>
        </w:rPr>
        <w:t xml:space="preserve">in vitro </w:t>
      </w:r>
      <w:r w:rsidRPr="003228C1">
        <w:rPr>
          <w:rFonts w:ascii="Times New Roman" w:hAnsi="Times New Roman"/>
          <w:b/>
          <w:bCs/>
          <w:lang w:val="es-MX"/>
        </w:rPr>
        <w:t xml:space="preserve">sobre el crecimiento de tres cepas del complejo FOSC. </w:t>
      </w:r>
      <w:r w:rsidRPr="003228C1">
        <w:rPr>
          <w:rFonts w:ascii="Times New Roman" w:hAnsi="Times New Roman"/>
          <w:bCs/>
          <w:lang w:val="es-MX"/>
        </w:rPr>
        <w:t xml:space="preserve">Crecimiento de las cepas de </w:t>
      </w:r>
      <w:r w:rsidRPr="003228C1">
        <w:rPr>
          <w:rFonts w:ascii="Times New Roman" w:hAnsi="Times New Roman"/>
          <w:bCs/>
          <w:i/>
          <w:iCs/>
          <w:lang w:val="es-MX"/>
        </w:rPr>
        <w:t xml:space="preserve">F. oxysporum </w:t>
      </w:r>
      <w:r w:rsidRPr="003228C1">
        <w:rPr>
          <w:rFonts w:ascii="Times New Roman" w:hAnsi="Times New Roman"/>
          <w:bCs/>
          <w:lang w:val="es-MX"/>
        </w:rPr>
        <w:t>en medio PDA adicionado con 0.5mL de fungicida a base de sulfato de cobre pentahidratado con concentración de 21.4%.</w:t>
      </w:r>
    </w:p>
    <w:p w14:paraId="74E79B6E" w14:textId="77777777" w:rsidR="0060490B" w:rsidRPr="00D75B42" w:rsidRDefault="0060490B" w:rsidP="002F6D12">
      <w:pPr>
        <w:pStyle w:val="MDPI23heading3"/>
        <w:ind w:left="993"/>
        <w:rPr>
          <w:rFonts w:ascii="Times New Roman" w:hAnsi="Times New Roman"/>
          <w:sz w:val="22"/>
          <w:lang w:val="es-MX"/>
        </w:rPr>
      </w:pPr>
    </w:p>
    <w:p w14:paraId="41E05759" w14:textId="77777777" w:rsidR="0060490B" w:rsidRPr="00D75B42" w:rsidRDefault="0060490B" w:rsidP="002F6D12">
      <w:pPr>
        <w:pStyle w:val="MDPI23heading3"/>
        <w:ind w:left="993"/>
        <w:rPr>
          <w:rFonts w:ascii="Times New Roman" w:hAnsi="Times New Roman"/>
          <w:sz w:val="22"/>
          <w:lang w:val="es-MX"/>
        </w:rPr>
      </w:pPr>
    </w:p>
    <w:p w14:paraId="154C2FF8" w14:textId="77777777" w:rsidR="0060490B" w:rsidRPr="00D75B42" w:rsidRDefault="0060490B" w:rsidP="002F6D12">
      <w:pPr>
        <w:pStyle w:val="MDPI23heading3"/>
        <w:ind w:left="993"/>
        <w:rPr>
          <w:rFonts w:ascii="Times New Roman" w:hAnsi="Times New Roman"/>
          <w:sz w:val="22"/>
          <w:lang w:val="es-MX"/>
        </w:rPr>
      </w:pPr>
    </w:p>
    <w:p w14:paraId="6509CB38" w14:textId="77777777" w:rsidR="007D7929" w:rsidRPr="00D75B42" w:rsidRDefault="007D7929" w:rsidP="002F6D12">
      <w:pPr>
        <w:pStyle w:val="MDPI23heading3"/>
        <w:ind w:left="993"/>
        <w:rPr>
          <w:rFonts w:ascii="Times New Roman" w:hAnsi="Times New Roman"/>
          <w:sz w:val="22"/>
          <w:lang w:val="es-MX"/>
        </w:rPr>
      </w:pPr>
    </w:p>
    <w:p w14:paraId="23243327" w14:textId="77777777" w:rsidR="003228C1" w:rsidRPr="00D75B42" w:rsidRDefault="003228C1" w:rsidP="002F6D12">
      <w:pPr>
        <w:pStyle w:val="MDPI23heading3"/>
        <w:ind w:left="993"/>
        <w:rPr>
          <w:rFonts w:ascii="Times New Roman" w:hAnsi="Times New Roman"/>
          <w:sz w:val="22"/>
          <w:lang w:val="es-MX"/>
        </w:rPr>
      </w:pPr>
    </w:p>
    <w:p w14:paraId="562D1F4A" w14:textId="5024FB87" w:rsidR="0064052D" w:rsidRPr="00AD5672" w:rsidRDefault="0064052D" w:rsidP="0064052D">
      <w:pPr>
        <w:pStyle w:val="MDPI23heading3"/>
        <w:ind w:left="0"/>
        <w:rPr>
          <w:rFonts w:ascii="Times New Roman" w:hAnsi="Times New Roman"/>
          <w:b/>
          <w:bCs/>
          <w:sz w:val="22"/>
          <w:lang w:val="es-MX"/>
        </w:rPr>
      </w:pPr>
      <w:r w:rsidRPr="00AD5672">
        <w:rPr>
          <w:rFonts w:ascii="Times New Roman" w:hAnsi="Times New Roman"/>
          <w:b/>
          <w:bCs/>
          <w:sz w:val="22"/>
          <w:lang w:val="es-MX"/>
        </w:rPr>
        <w:t>Efecto de AgNPs de síntesis verde</w:t>
      </w:r>
      <w:r w:rsidRPr="00AD5672">
        <w:rPr>
          <w:rFonts w:ascii="Times New Roman" w:hAnsi="Times New Roman"/>
          <w:b/>
          <w:bCs/>
          <w:i/>
          <w:iCs/>
          <w:sz w:val="22"/>
          <w:lang w:val="es-MX"/>
        </w:rPr>
        <w:t xml:space="preserve"> </w:t>
      </w:r>
      <w:r w:rsidRPr="00AD5672">
        <w:rPr>
          <w:rFonts w:ascii="Times New Roman" w:hAnsi="Times New Roman"/>
          <w:b/>
          <w:bCs/>
          <w:sz w:val="22"/>
          <w:lang w:val="es-MX"/>
        </w:rPr>
        <w:t>sobre el crecimiento de tres cepas del complejo FOSC</w:t>
      </w:r>
    </w:p>
    <w:p w14:paraId="2AEC00ED" w14:textId="04F39341" w:rsidR="0064052D" w:rsidRPr="00D75B42" w:rsidRDefault="0064052D" w:rsidP="002F6D12">
      <w:pPr>
        <w:pStyle w:val="MDPI23heading3"/>
        <w:ind w:left="993"/>
        <w:rPr>
          <w:rFonts w:ascii="Times New Roman" w:hAnsi="Times New Roman"/>
          <w:sz w:val="22"/>
          <w:lang w:val="es-MX"/>
        </w:rPr>
      </w:pPr>
      <w:r>
        <w:rPr>
          <w:rFonts w:ascii="Times New Roman" w:hAnsi="Times New Roman"/>
          <w:noProof/>
          <w:sz w:val="22"/>
        </w:rPr>
        <w:drawing>
          <wp:anchor distT="0" distB="0" distL="114300" distR="114300" simplePos="0" relativeHeight="251676672" behindDoc="0" locked="0" layoutInCell="1" allowOverlap="1" wp14:anchorId="79D5B1D9" wp14:editId="1EE77095">
            <wp:simplePos x="0" y="0"/>
            <wp:positionH relativeFrom="column">
              <wp:posOffset>200025</wp:posOffset>
            </wp:positionH>
            <wp:positionV relativeFrom="paragraph">
              <wp:posOffset>160020</wp:posOffset>
            </wp:positionV>
            <wp:extent cx="4608830" cy="4352925"/>
            <wp:effectExtent l="0" t="0" r="1270" b="9525"/>
            <wp:wrapThrough wrapText="bothSides">
              <wp:wrapPolygon edited="0">
                <wp:start x="0" y="0"/>
                <wp:lineTo x="0" y="21553"/>
                <wp:lineTo x="21517" y="21553"/>
                <wp:lineTo x="21517" y="0"/>
                <wp:lineTo x="0" y="0"/>
              </wp:wrapPolygon>
            </wp:wrapThrough>
            <wp:docPr id="168790882" name="Imagen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4608830" cy="4352925"/>
                    </a:xfrm>
                    <a:prstGeom prst="rect">
                      <a:avLst/>
                    </a:prstGeom>
                    <a:noFill/>
                  </pic:spPr>
                </pic:pic>
              </a:graphicData>
            </a:graphic>
            <wp14:sizeRelH relativeFrom="page">
              <wp14:pctWidth>0</wp14:pctWidth>
            </wp14:sizeRelH>
            <wp14:sizeRelV relativeFrom="page">
              <wp14:pctHeight>0</wp14:pctHeight>
            </wp14:sizeRelV>
          </wp:anchor>
        </w:drawing>
      </w:r>
    </w:p>
    <w:p w14:paraId="1655CEF6" w14:textId="60785F79" w:rsidR="0064052D" w:rsidRPr="00D75B42" w:rsidRDefault="0064052D" w:rsidP="002F6D12">
      <w:pPr>
        <w:pStyle w:val="MDPI23heading3"/>
        <w:ind w:left="993"/>
        <w:rPr>
          <w:rFonts w:ascii="Times New Roman" w:hAnsi="Times New Roman"/>
          <w:sz w:val="22"/>
          <w:lang w:val="es-MX"/>
        </w:rPr>
      </w:pPr>
    </w:p>
    <w:p w14:paraId="6CEC13AA" w14:textId="77777777" w:rsidR="0064052D" w:rsidRPr="00D75B42" w:rsidRDefault="0064052D" w:rsidP="002F6D12">
      <w:pPr>
        <w:pStyle w:val="MDPI23heading3"/>
        <w:ind w:left="993"/>
        <w:rPr>
          <w:rFonts w:ascii="Times New Roman" w:hAnsi="Times New Roman"/>
          <w:sz w:val="22"/>
          <w:lang w:val="es-MX"/>
        </w:rPr>
      </w:pPr>
    </w:p>
    <w:p w14:paraId="266D3E31" w14:textId="77777777" w:rsidR="0064052D" w:rsidRPr="00D75B42" w:rsidRDefault="0064052D" w:rsidP="002F6D12">
      <w:pPr>
        <w:pStyle w:val="MDPI23heading3"/>
        <w:ind w:left="993"/>
        <w:rPr>
          <w:rFonts w:ascii="Times New Roman" w:hAnsi="Times New Roman"/>
          <w:sz w:val="22"/>
          <w:lang w:val="es-MX"/>
        </w:rPr>
      </w:pPr>
    </w:p>
    <w:p w14:paraId="011CB07E" w14:textId="77777777" w:rsidR="0064052D" w:rsidRPr="00D75B42" w:rsidRDefault="0064052D" w:rsidP="002F6D12">
      <w:pPr>
        <w:pStyle w:val="MDPI23heading3"/>
        <w:ind w:left="993"/>
        <w:rPr>
          <w:rFonts w:ascii="Times New Roman" w:hAnsi="Times New Roman"/>
          <w:sz w:val="22"/>
          <w:lang w:val="es-MX"/>
        </w:rPr>
      </w:pPr>
    </w:p>
    <w:p w14:paraId="0377162D" w14:textId="77777777" w:rsidR="0064052D" w:rsidRPr="00D75B42" w:rsidRDefault="0064052D" w:rsidP="002F6D12">
      <w:pPr>
        <w:pStyle w:val="MDPI23heading3"/>
        <w:ind w:left="993"/>
        <w:rPr>
          <w:rFonts w:ascii="Times New Roman" w:hAnsi="Times New Roman"/>
          <w:sz w:val="22"/>
          <w:lang w:val="es-MX"/>
        </w:rPr>
      </w:pPr>
    </w:p>
    <w:p w14:paraId="62BDB7F1" w14:textId="77777777" w:rsidR="0064052D" w:rsidRPr="00D75B42" w:rsidRDefault="0064052D" w:rsidP="002F6D12">
      <w:pPr>
        <w:pStyle w:val="MDPI23heading3"/>
        <w:ind w:left="993"/>
        <w:rPr>
          <w:rFonts w:ascii="Times New Roman" w:hAnsi="Times New Roman"/>
          <w:sz w:val="22"/>
          <w:lang w:val="es-MX"/>
        </w:rPr>
      </w:pPr>
    </w:p>
    <w:p w14:paraId="63B2D490" w14:textId="77777777" w:rsidR="0064052D" w:rsidRPr="00D75B42" w:rsidRDefault="0064052D" w:rsidP="002F6D12">
      <w:pPr>
        <w:pStyle w:val="MDPI23heading3"/>
        <w:ind w:left="993"/>
        <w:rPr>
          <w:rFonts w:ascii="Times New Roman" w:hAnsi="Times New Roman"/>
          <w:sz w:val="22"/>
          <w:lang w:val="es-MX"/>
        </w:rPr>
      </w:pPr>
    </w:p>
    <w:p w14:paraId="10056F1D" w14:textId="77777777" w:rsidR="0064052D" w:rsidRPr="00D75B42" w:rsidRDefault="0064052D" w:rsidP="002F6D12">
      <w:pPr>
        <w:pStyle w:val="MDPI23heading3"/>
        <w:ind w:left="993"/>
        <w:rPr>
          <w:rFonts w:ascii="Times New Roman" w:hAnsi="Times New Roman"/>
          <w:sz w:val="22"/>
          <w:lang w:val="es-MX"/>
        </w:rPr>
      </w:pPr>
    </w:p>
    <w:p w14:paraId="6300E7F2" w14:textId="77777777" w:rsidR="0064052D" w:rsidRPr="00D75B42" w:rsidRDefault="0064052D" w:rsidP="002F6D12">
      <w:pPr>
        <w:pStyle w:val="MDPI23heading3"/>
        <w:ind w:left="993"/>
        <w:rPr>
          <w:rFonts w:ascii="Times New Roman" w:hAnsi="Times New Roman"/>
          <w:sz w:val="22"/>
          <w:lang w:val="es-MX"/>
        </w:rPr>
      </w:pPr>
    </w:p>
    <w:p w14:paraId="08CB808B" w14:textId="77777777" w:rsidR="0064052D" w:rsidRPr="00D75B42" w:rsidRDefault="0064052D" w:rsidP="002F6D12">
      <w:pPr>
        <w:pStyle w:val="MDPI23heading3"/>
        <w:ind w:left="993"/>
        <w:rPr>
          <w:rFonts w:ascii="Times New Roman" w:hAnsi="Times New Roman"/>
          <w:sz w:val="22"/>
          <w:lang w:val="es-MX"/>
        </w:rPr>
      </w:pPr>
    </w:p>
    <w:p w14:paraId="15FC69C5" w14:textId="77777777" w:rsidR="0064052D" w:rsidRPr="00D75B42" w:rsidRDefault="0064052D" w:rsidP="002F6D12">
      <w:pPr>
        <w:pStyle w:val="MDPI23heading3"/>
        <w:ind w:left="993"/>
        <w:rPr>
          <w:rFonts w:ascii="Times New Roman" w:hAnsi="Times New Roman"/>
          <w:sz w:val="22"/>
          <w:lang w:val="es-MX"/>
        </w:rPr>
      </w:pPr>
    </w:p>
    <w:p w14:paraId="32AE27BD" w14:textId="77777777" w:rsidR="0064052D" w:rsidRPr="00D75B42" w:rsidRDefault="0064052D" w:rsidP="002F6D12">
      <w:pPr>
        <w:pStyle w:val="MDPI23heading3"/>
        <w:ind w:left="993"/>
        <w:rPr>
          <w:rFonts w:ascii="Times New Roman" w:hAnsi="Times New Roman"/>
          <w:sz w:val="22"/>
          <w:lang w:val="es-MX"/>
        </w:rPr>
      </w:pPr>
    </w:p>
    <w:p w14:paraId="0C32FA87" w14:textId="77777777" w:rsidR="0064052D" w:rsidRPr="00D75B42" w:rsidRDefault="0064052D" w:rsidP="002F6D12">
      <w:pPr>
        <w:pStyle w:val="MDPI23heading3"/>
        <w:ind w:left="993"/>
        <w:rPr>
          <w:rFonts w:ascii="Times New Roman" w:hAnsi="Times New Roman"/>
          <w:sz w:val="22"/>
          <w:lang w:val="es-MX"/>
        </w:rPr>
      </w:pPr>
    </w:p>
    <w:p w14:paraId="189B821E" w14:textId="77777777" w:rsidR="0064052D" w:rsidRPr="00D75B42" w:rsidRDefault="0064052D" w:rsidP="002F6D12">
      <w:pPr>
        <w:pStyle w:val="MDPI23heading3"/>
        <w:ind w:left="993"/>
        <w:rPr>
          <w:rFonts w:ascii="Times New Roman" w:hAnsi="Times New Roman"/>
          <w:sz w:val="22"/>
          <w:lang w:val="es-MX"/>
        </w:rPr>
      </w:pPr>
    </w:p>
    <w:p w14:paraId="1DD9450A" w14:textId="77777777" w:rsidR="0064052D" w:rsidRPr="00D75B42" w:rsidRDefault="0064052D" w:rsidP="002F6D12">
      <w:pPr>
        <w:pStyle w:val="MDPI23heading3"/>
        <w:ind w:left="993"/>
        <w:rPr>
          <w:rFonts w:ascii="Times New Roman" w:hAnsi="Times New Roman"/>
          <w:sz w:val="22"/>
          <w:lang w:val="es-MX"/>
        </w:rPr>
      </w:pPr>
    </w:p>
    <w:p w14:paraId="5FC93B85" w14:textId="77777777" w:rsidR="0064052D" w:rsidRPr="00D75B42" w:rsidRDefault="0064052D" w:rsidP="002F6D12">
      <w:pPr>
        <w:pStyle w:val="MDPI23heading3"/>
        <w:ind w:left="993"/>
        <w:rPr>
          <w:rFonts w:ascii="Times New Roman" w:hAnsi="Times New Roman"/>
          <w:sz w:val="22"/>
          <w:lang w:val="es-MX"/>
        </w:rPr>
      </w:pPr>
    </w:p>
    <w:p w14:paraId="20E30C8E" w14:textId="77777777" w:rsidR="0064052D" w:rsidRPr="00D75B42" w:rsidRDefault="0064052D" w:rsidP="002F6D12">
      <w:pPr>
        <w:pStyle w:val="MDPI23heading3"/>
        <w:ind w:left="993"/>
        <w:rPr>
          <w:rFonts w:ascii="Times New Roman" w:hAnsi="Times New Roman"/>
          <w:sz w:val="22"/>
          <w:lang w:val="es-MX"/>
        </w:rPr>
      </w:pPr>
    </w:p>
    <w:p w14:paraId="6AD4CF6F" w14:textId="77777777" w:rsidR="0064052D" w:rsidRPr="00D75B42" w:rsidRDefault="0064052D" w:rsidP="002F6D12">
      <w:pPr>
        <w:pStyle w:val="MDPI23heading3"/>
        <w:ind w:left="993"/>
        <w:rPr>
          <w:rFonts w:ascii="Times New Roman" w:hAnsi="Times New Roman"/>
          <w:sz w:val="22"/>
          <w:lang w:val="es-MX"/>
        </w:rPr>
      </w:pPr>
    </w:p>
    <w:p w14:paraId="492555DD" w14:textId="77777777" w:rsidR="0064052D" w:rsidRPr="00D75B42" w:rsidRDefault="0064052D" w:rsidP="002F6D12">
      <w:pPr>
        <w:pStyle w:val="MDPI23heading3"/>
        <w:ind w:left="993"/>
        <w:rPr>
          <w:rFonts w:ascii="Times New Roman" w:hAnsi="Times New Roman"/>
          <w:sz w:val="22"/>
          <w:lang w:val="es-MX"/>
        </w:rPr>
      </w:pPr>
    </w:p>
    <w:p w14:paraId="353E2DED" w14:textId="77777777" w:rsidR="0064052D" w:rsidRPr="00D75B42" w:rsidRDefault="0064052D" w:rsidP="002F6D12">
      <w:pPr>
        <w:pStyle w:val="MDPI23heading3"/>
        <w:ind w:left="993"/>
        <w:rPr>
          <w:rFonts w:ascii="Times New Roman" w:hAnsi="Times New Roman"/>
          <w:sz w:val="22"/>
          <w:lang w:val="es-MX"/>
        </w:rPr>
      </w:pPr>
    </w:p>
    <w:p w14:paraId="72CB9926" w14:textId="77777777" w:rsidR="0064052D" w:rsidRPr="00D75B42" w:rsidRDefault="0064052D" w:rsidP="002F6D12">
      <w:pPr>
        <w:pStyle w:val="MDPI23heading3"/>
        <w:ind w:left="993"/>
        <w:rPr>
          <w:rFonts w:ascii="Times New Roman" w:hAnsi="Times New Roman"/>
          <w:sz w:val="22"/>
          <w:lang w:val="es-MX"/>
        </w:rPr>
      </w:pPr>
    </w:p>
    <w:p w14:paraId="4DC983DB" w14:textId="4B712216" w:rsidR="0064052D" w:rsidRPr="00D75B42" w:rsidRDefault="0064052D" w:rsidP="002F6D12">
      <w:pPr>
        <w:pStyle w:val="MDPI23heading3"/>
        <w:ind w:left="993"/>
        <w:rPr>
          <w:rFonts w:ascii="Times New Roman" w:hAnsi="Times New Roman"/>
          <w:sz w:val="22"/>
          <w:lang w:val="es-MX"/>
        </w:rPr>
      </w:pPr>
    </w:p>
    <w:p w14:paraId="587FAF2A" w14:textId="1FE964B6" w:rsidR="0064052D" w:rsidRPr="00D75B42" w:rsidRDefault="0064052D" w:rsidP="002F6D12">
      <w:pPr>
        <w:pStyle w:val="MDPI23heading3"/>
        <w:ind w:left="993"/>
        <w:rPr>
          <w:rFonts w:ascii="Times New Roman" w:hAnsi="Times New Roman"/>
          <w:sz w:val="22"/>
          <w:lang w:val="es-MX"/>
        </w:rPr>
      </w:pPr>
      <w:r w:rsidRPr="00DA21E4">
        <w:rPr>
          <w:rFonts w:ascii="Times New Roman" w:eastAsia="Aptos" w:hAnsi="Times New Roman"/>
          <w:bCs/>
          <w:noProof/>
          <w:snapToGrid/>
          <w:color w:val="auto"/>
          <w:kern w:val="2"/>
          <w:szCs w:val="20"/>
          <w:lang w:val="es-MX" w:eastAsia="en-US" w:bidi="ar-SA"/>
          <w14:ligatures w14:val="standardContextual"/>
        </w:rPr>
        <mc:AlternateContent>
          <mc:Choice Requires="wps">
            <w:drawing>
              <wp:anchor distT="0" distB="0" distL="114300" distR="114300" simplePos="0" relativeHeight="251678720" behindDoc="0" locked="0" layoutInCell="1" allowOverlap="1" wp14:anchorId="55F162E5" wp14:editId="2C6A269D">
                <wp:simplePos x="0" y="0"/>
                <wp:positionH relativeFrom="margin">
                  <wp:posOffset>268605</wp:posOffset>
                </wp:positionH>
                <wp:positionV relativeFrom="paragraph">
                  <wp:posOffset>94615</wp:posOffset>
                </wp:positionV>
                <wp:extent cx="4632960" cy="594360"/>
                <wp:effectExtent l="0" t="0" r="0" b="0"/>
                <wp:wrapNone/>
                <wp:docPr id="2017300077" name="Cuadro de texto 2"/>
                <wp:cNvGraphicFramePr/>
                <a:graphic xmlns:a="http://schemas.openxmlformats.org/drawingml/2006/main">
                  <a:graphicData uri="http://schemas.microsoft.com/office/word/2010/wordprocessingShape">
                    <wps:wsp>
                      <wps:cNvSpPr txBox="1"/>
                      <wps:spPr>
                        <a:xfrm>
                          <a:off x="0" y="0"/>
                          <a:ext cx="4632960" cy="594360"/>
                        </a:xfrm>
                        <a:prstGeom prst="rect">
                          <a:avLst/>
                        </a:prstGeom>
                        <a:solidFill>
                          <a:sysClr val="window" lastClr="FFFFFF"/>
                        </a:solidFill>
                        <a:ln w="6350">
                          <a:noFill/>
                        </a:ln>
                      </wps:spPr>
                      <wps:txbx>
                        <w:txbxContent>
                          <w:p w14:paraId="5995E2BD" w14:textId="77777777" w:rsidR="0064052D" w:rsidRPr="004A4D3B" w:rsidRDefault="0064052D" w:rsidP="0064052D">
                            <w:pPr>
                              <w:jc w:val="both"/>
                              <w:rPr>
                                <w:rFonts w:ascii="Times New Roman" w:hAnsi="Times New Roman" w:cs="Times New Roman"/>
                                <w:sz w:val="20"/>
                                <w:szCs w:val="20"/>
                              </w:rPr>
                            </w:pPr>
                            <w:r w:rsidRPr="004A4D3B">
                              <w:rPr>
                                <w:rFonts w:ascii="Times New Roman" w:hAnsi="Times New Roman" w:cs="Times New Roman"/>
                                <w:b/>
                                <w:bCs/>
                                <w:sz w:val="20"/>
                                <w:szCs w:val="20"/>
                              </w:rPr>
                              <w:t xml:space="preserve">Figura </w:t>
                            </w:r>
                            <w:r>
                              <w:rPr>
                                <w:rFonts w:ascii="Times New Roman" w:hAnsi="Times New Roman" w:cs="Times New Roman"/>
                                <w:b/>
                                <w:bCs/>
                                <w:sz w:val="20"/>
                                <w:szCs w:val="20"/>
                              </w:rPr>
                              <w:t>7</w:t>
                            </w:r>
                            <w:r w:rsidRPr="004A4D3B">
                              <w:rPr>
                                <w:rFonts w:ascii="Times New Roman" w:hAnsi="Times New Roman" w:cs="Times New Roman"/>
                                <w:b/>
                                <w:bCs/>
                                <w:sz w:val="20"/>
                                <w:szCs w:val="20"/>
                              </w:rPr>
                              <w:t xml:space="preserve">. Crecimiento de </w:t>
                            </w:r>
                            <w:r w:rsidRPr="004A4D3B">
                              <w:rPr>
                                <w:rFonts w:ascii="Times New Roman" w:hAnsi="Times New Roman" w:cs="Times New Roman"/>
                                <w:b/>
                                <w:bCs/>
                                <w:i/>
                                <w:iCs/>
                                <w:sz w:val="20"/>
                                <w:szCs w:val="20"/>
                              </w:rPr>
                              <w:t xml:space="preserve">Fusarium oxysporum </w:t>
                            </w:r>
                            <w:r w:rsidRPr="004A4D3B">
                              <w:rPr>
                                <w:rFonts w:ascii="Times New Roman" w:hAnsi="Times New Roman" w:cs="Times New Roman"/>
                                <w:b/>
                                <w:bCs/>
                                <w:sz w:val="20"/>
                                <w:szCs w:val="20"/>
                              </w:rPr>
                              <w:t xml:space="preserve">tratado con AgNPs sintetizadas a partir de tres especies de agave. </w:t>
                            </w:r>
                            <w:r w:rsidRPr="004A4D3B">
                              <w:rPr>
                                <w:rFonts w:ascii="Times New Roman" w:hAnsi="Times New Roman" w:cs="Times New Roman"/>
                                <w:sz w:val="20"/>
                                <w:szCs w:val="20"/>
                              </w:rPr>
                              <w:t xml:space="preserve">Crecimiento de los discos de micelio del patógeno inoculados en medio PDA a los </w:t>
                            </w:r>
                            <w:r>
                              <w:rPr>
                                <w:rFonts w:ascii="Times New Roman" w:hAnsi="Times New Roman" w:cs="Times New Roman"/>
                                <w:sz w:val="20"/>
                                <w:szCs w:val="20"/>
                              </w:rPr>
                              <w:t xml:space="preserve">siete </w:t>
                            </w:r>
                            <w:r w:rsidRPr="004A4D3B">
                              <w:rPr>
                                <w:rFonts w:ascii="Times New Roman" w:hAnsi="Times New Roman" w:cs="Times New Roman"/>
                                <w:sz w:val="20"/>
                                <w:szCs w:val="20"/>
                              </w:rPr>
                              <w:t>días.</w:t>
                            </w:r>
                          </w:p>
                          <w:p w14:paraId="66285AF4" w14:textId="77777777" w:rsidR="0064052D" w:rsidRPr="00EB21A9" w:rsidRDefault="0064052D" w:rsidP="0064052D">
                            <w:pPr>
                              <w:jc w:val="both"/>
                              <w:rPr>
                                <w:rFonts w:ascii="Times New Roman" w:hAnsi="Times New Roman" w:cs="Times New Roman"/>
                                <w:sz w:val="20"/>
                                <w:szCs w:val="20"/>
                              </w:rPr>
                            </w:pPr>
                          </w:p>
                          <w:p w14:paraId="353641DF" w14:textId="77777777" w:rsidR="0064052D" w:rsidRPr="00EA3DB5" w:rsidRDefault="0064052D" w:rsidP="0064052D">
                            <w:pPr>
                              <w:jc w:val="both"/>
                              <w:rPr>
                                <w:b/>
                                <w:bCs/>
                                <w:sz w:val="20"/>
                                <w:szCs w:val="20"/>
                              </w:rPr>
                            </w:pPr>
                          </w:p>
                          <w:p w14:paraId="7D89CBD2" w14:textId="77777777" w:rsidR="0064052D" w:rsidRPr="00EA3DB5" w:rsidRDefault="0064052D" w:rsidP="0064052D">
                            <w:pPr>
                              <w:rPr>
                                <w:rFonts w:ascii="Times New Roman" w:hAnsi="Times New Roman" w:cs="Times New Roman"/>
                                <w:b/>
                                <w:bCs/>
                                <w:sz w:val="20"/>
                                <w:szCs w:val="20"/>
                              </w:rPr>
                            </w:pPr>
                          </w:p>
                          <w:p w14:paraId="2A5D1FE4" w14:textId="77777777" w:rsidR="0064052D" w:rsidRPr="000A2EEA" w:rsidRDefault="0064052D" w:rsidP="0064052D">
                            <w:pPr>
                              <w:jc w:val="both"/>
                              <w:rPr>
                                <w:rFonts w:ascii="Times New Roman" w:hAnsi="Times New Roman" w:cs="Times New Roman"/>
                                <w:sz w:val="20"/>
                                <w:szCs w:val="20"/>
                              </w:rPr>
                            </w:pPr>
                          </w:p>
                          <w:p w14:paraId="519D372F" w14:textId="77777777" w:rsidR="0064052D" w:rsidRPr="0077690E" w:rsidRDefault="0064052D" w:rsidP="0064052D">
                            <w:pPr>
                              <w:jc w:val="both"/>
                              <w:rPr>
                                <w:rFonts w:ascii="Times New Roman" w:hAnsi="Times New Roman" w:cs="Times New Roman"/>
                                <w:b/>
                                <w:bCs/>
                                <w:i/>
                                <w:iCs/>
                                <w:sz w:val="20"/>
                                <w:szCs w:val="20"/>
                              </w:rPr>
                            </w:pPr>
                          </w:p>
                          <w:p w14:paraId="175AD93F" w14:textId="77777777" w:rsidR="0064052D" w:rsidRPr="00487AE8" w:rsidRDefault="0064052D" w:rsidP="0064052D">
                            <w:pPr>
                              <w:jc w:val="both"/>
                              <w:rPr>
                                <w:rFonts w:ascii="Times New Roman" w:hAnsi="Times New Roman" w:cs="Times New Roman"/>
                                <w:bCs/>
                                <w:sz w:val="20"/>
                                <w:szCs w:val="20"/>
                              </w:rPr>
                            </w:pPr>
                          </w:p>
                          <w:p w14:paraId="134D1131" w14:textId="77777777" w:rsidR="0064052D" w:rsidRDefault="0064052D" w:rsidP="0064052D"/>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55F162E5" id="_x0000_t202" coordsize="21600,21600" o:spt="202" path="m,l,21600r21600,l21600,xe">
                <v:stroke joinstyle="miter"/>
                <v:path gradientshapeok="t" o:connecttype="rect"/>
              </v:shapetype>
              <v:shape id="Cuadro de texto 2" o:spid="_x0000_s1026" type="#_x0000_t202" style="position:absolute;left:0;text-align:left;margin-left:21.15pt;margin-top:7.45pt;width:364.8pt;height:46.8pt;z-index:25167872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" fillcolor="window" stroked="f" strokeweight=".5pt">
                <v:textbox>
                  <w:txbxContent>
                    <w:p w14:paraId="5995E2BD" w14:textId="77777777" w:rsidR="0064052D" w:rsidRPr="004A4D3B" w:rsidRDefault="0064052D" w:rsidP="0064052D">
                      <w:pPr>
                        <w:jc w:val="both"/>
                        <w:rPr>
                          <w:rFonts w:ascii="Times New Roman" w:hAnsi="Times New Roman" w:cs="Times New Roman"/>
                          <w:sz w:val="20"/>
                          <w:szCs w:val="20"/>
                        </w:rPr>
                      </w:pPr>
                      <w:r w:rsidRPr="004A4D3B">
                        <w:rPr>
                          <w:rFonts w:ascii="Times New Roman" w:hAnsi="Times New Roman" w:cs="Times New Roman"/>
                          <w:b/>
                          <w:bCs/>
                          <w:sz w:val="20"/>
                          <w:szCs w:val="20"/>
                        </w:rPr>
                        <w:t xml:space="preserve">Figura </w:t>
                      </w:r>
                      <w:r>
                        <w:rPr>
                          <w:rFonts w:ascii="Times New Roman" w:hAnsi="Times New Roman" w:cs="Times New Roman"/>
                          <w:b/>
                          <w:bCs/>
                          <w:sz w:val="20"/>
                          <w:szCs w:val="20"/>
                        </w:rPr>
                        <w:t>7</w:t>
                      </w:r>
                      <w:r w:rsidRPr="004A4D3B">
                        <w:rPr>
                          <w:rFonts w:ascii="Times New Roman" w:hAnsi="Times New Roman" w:cs="Times New Roman"/>
                          <w:b/>
                          <w:bCs/>
                          <w:sz w:val="20"/>
                          <w:szCs w:val="20"/>
                        </w:rPr>
                        <w:t xml:space="preserve">. Crecimiento de </w:t>
                      </w:r>
                      <w:r w:rsidRPr="004A4D3B">
                        <w:rPr>
                          <w:rFonts w:ascii="Times New Roman" w:hAnsi="Times New Roman" w:cs="Times New Roman"/>
                          <w:b/>
                          <w:bCs/>
                          <w:i/>
                          <w:iCs/>
                          <w:sz w:val="20"/>
                          <w:szCs w:val="20"/>
                        </w:rPr>
                        <w:t xml:space="preserve">Fusarium oxysporum </w:t>
                      </w:r>
                      <w:r w:rsidRPr="004A4D3B">
                        <w:rPr>
                          <w:rFonts w:ascii="Times New Roman" w:hAnsi="Times New Roman" w:cs="Times New Roman"/>
                          <w:b/>
                          <w:bCs/>
                          <w:sz w:val="20"/>
                          <w:szCs w:val="20"/>
                        </w:rPr>
                        <w:t xml:space="preserve">tratado con </w:t>
                      </w:r>
                      <w:proofErr w:type="spellStart"/>
                      <w:r w:rsidRPr="004A4D3B">
                        <w:rPr>
                          <w:rFonts w:ascii="Times New Roman" w:hAnsi="Times New Roman" w:cs="Times New Roman"/>
                          <w:b/>
                          <w:bCs/>
                          <w:sz w:val="20"/>
                          <w:szCs w:val="20"/>
                        </w:rPr>
                        <w:t>AgNPs</w:t>
                      </w:r>
                      <w:proofErr w:type="spellEnd"/>
                      <w:r w:rsidRPr="004A4D3B">
                        <w:rPr>
                          <w:rFonts w:ascii="Times New Roman" w:hAnsi="Times New Roman" w:cs="Times New Roman"/>
                          <w:b/>
                          <w:bCs/>
                          <w:sz w:val="20"/>
                          <w:szCs w:val="20"/>
                        </w:rPr>
                        <w:t xml:space="preserve"> sintetizadas a partir de tres especies de agave. </w:t>
                      </w:r>
                      <w:r w:rsidRPr="004A4D3B">
                        <w:rPr>
                          <w:rFonts w:ascii="Times New Roman" w:hAnsi="Times New Roman" w:cs="Times New Roman"/>
                          <w:sz w:val="20"/>
                          <w:szCs w:val="20"/>
                        </w:rPr>
                        <w:t xml:space="preserve">Crecimiento de los discos de micelio del patógeno inoculados en medio PDA a los </w:t>
                      </w:r>
                      <w:r>
                        <w:rPr>
                          <w:rFonts w:ascii="Times New Roman" w:hAnsi="Times New Roman" w:cs="Times New Roman"/>
                          <w:sz w:val="20"/>
                          <w:szCs w:val="20"/>
                        </w:rPr>
                        <w:t xml:space="preserve">siete </w:t>
                      </w:r>
                      <w:r w:rsidRPr="004A4D3B">
                        <w:rPr>
                          <w:rFonts w:ascii="Times New Roman" w:hAnsi="Times New Roman" w:cs="Times New Roman"/>
                          <w:sz w:val="20"/>
                          <w:szCs w:val="20"/>
                        </w:rPr>
                        <w:t>días.</w:t>
                      </w:r>
                    </w:p>
                    <w:p w14:paraId="66285AF4" w14:textId="77777777" w:rsidR="0064052D" w:rsidRPr="00EB21A9" w:rsidRDefault="0064052D" w:rsidP="0064052D">
                      <w:pPr>
                        <w:jc w:val="both"/>
                        <w:rPr>
                          <w:rFonts w:ascii="Times New Roman" w:hAnsi="Times New Roman" w:cs="Times New Roman"/>
                          <w:sz w:val="20"/>
                          <w:szCs w:val="20"/>
                        </w:rPr>
                      </w:pPr>
                    </w:p>
                    <w:p w14:paraId="353641DF" w14:textId="77777777" w:rsidR="0064052D" w:rsidRPr="00EA3DB5" w:rsidRDefault="0064052D" w:rsidP="0064052D">
                      <w:pPr>
                        <w:jc w:val="both"/>
                        <w:rPr>
                          <w:b/>
                          <w:bCs/>
                          <w:sz w:val="20"/>
                          <w:szCs w:val="20"/>
                        </w:rPr>
                      </w:pPr>
                    </w:p>
                    <w:p w14:paraId="7D89CBD2" w14:textId="77777777" w:rsidR="0064052D" w:rsidRPr="00EA3DB5" w:rsidRDefault="0064052D" w:rsidP="0064052D">
                      <w:pPr>
                        <w:rPr>
                          <w:rFonts w:ascii="Times New Roman" w:hAnsi="Times New Roman" w:cs="Times New Roman"/>
                          <w:b/>
                          <w:bCs/>
                          <w:sz w:val="20"/>
                          <w:szCs w:val="20"/>
                        </w:rPr>
                      </w:pPr>
                    </w:p>
                    <w:p w14:paraId="2A5D1FE4" w14:textId="77777777" w:rsidR="0064052D" w:rsidRPr="000A2EEA" w:rsidRDefault="0064052D" w:rsidP="0064052D">
                      <w:pPr>
                        <w:jc w:val="both"/>
                        <w:rPr>
                          <w:rFonts w:ascii="Times New Roman" w:hAnsi="Times New Roman" w:cs="Times New Roman"/>
                          <w:sz w:val="20"/>
                          <w:szCs w:val="20"/>
                        </w:rPr>
                      </w:pPr>
                    </w:p>
                    <w:p w14:paraId="519D372F" w14:textId="77777777" w:rsidR="0064052D" w:rsidRPr="0077690E" w:rsidRDefault="0064052D" w:rsidP="0064052D">
                      <w:pPr>
                        <w:jc w:val="both"/>
                        <w:rPr>
                          <w:rFonts w:ascii="Times New Roman" w:hAnsi="Times New Roman" w:cs="Times New Roman"/>
                          <w:b/>
                          <w:bCs/>
                          <w:i/>
                          <w:iCs/>
                          <w:sz w:val="20"/>
                          <w:szCs w:val="20"/>
                        </w:rPr>
                      </w:pPr>
                    </w:p>
                    <w:p w14:paraId="175AD93F" w14:textId="77777777" w:rsidR="0064052D" w:rsidRPr="00487AE8" w:rsidRDefault="0064052D" w:rsidP="0064052D">
                      <w:pPr>
                        <w:jc w:val="both"/>
                        <w:rPr>
                          <w:rFonts w:ascii="Times New Roman" w:hAnsi="Times New Roman" w:cs="Times New Roman"/>
                          <w:bCs/>
                          <w:sz w:val="20"/>
                          <w:szCs w:val="20"/>
                        </w:rPr>
                      </w:pPr>
                    </w:p>
                    <w:p w14:paraId="134D1131" w14:textId="77777777" w:rsidR="0064052D" w:rsidRDefault="0064052D" w:rsidP="0064052D"/>
                  </w:txbxContent>
                </v:textbox>
                <w10:wrap anchorx="margin"/>
              </v:shape>
            </w:pict>
          </mc:Fallback>
        </mc:AlternateContent>
      </w:r>
    </w:p>
    <w:p w14:paraId="1C15B050" w14:textId="733A53D7" w:rsidR="0064052D" w:rsidRPr="00D75B42" w:rsidRDefault="0064052D" w:rsidP="002F6D12">
      <w:pPr>
        <w:pStyle w:val="MDPI23heading3"/>
        <w:ind w:left="993"/>
        <w:rPr>
          <w:rFonts w:ascii="Times New Roman" w:hAnsi="Times New Roman"/>
          <w:sz w:val="22"/>
          <w:lang w:val="es-MX"/>
        </w:rPr>
      </w:pPr>
    </w:p>
    <w:p w14:paraId="0121926A" w14:textId="067DB730" w:rsidR="0064052D" w:rsidRPr="00D75B42" w:rsidRDefault="0064052D" w:rsidP="002F6D12">
      <w:pPr>
        <w:pStyle w:val="MDPI23heading3"/>
        <w:ind w:left="993"/>
        <w:rPr>
          <w:rFonts w:ascii="Times New Roman" w:hAnsi="Times New Roman"/>
          <w:sz w:val="22"/>
          <w:lang w:val="es-MX"/>
        </w:rPr>
      </w:pPr>
    </w:p>
    <w:p w14:paraId="4E792578" w14:textId="77777777" w:rsidR="0064052D" w:rsidRPr="00D75B42" w:rsidRDefault="0064052D" w:rsidP="00DC5174">
      <w:pPr>
        <w:pStyle w:val="MDPI23heading3"/>
        <w:ind w:left="993"/>
        <w:jc w:val="both"/>
        <w:rPr>
          <w:rFonts w:ascii="Times New Roman" w:hAnsi="Times New Roman"/>
          <w:sz w:val="22"/>
          <w:lang w:val="es-MX"/>
        </w:rPr>
      </w:pPr>
    </w:p>
    <w:p w14:paraId="2FBA34E1" w14:textId="77777777" w:rsidR="0064052D" w:rsidRPr="00D77BFB" w:rsidRDefault="0064052D" w:rsidP="00DC5174">
      <w:pPr>
        <w:pStyle w:val="MDPI23heading3"/>
        <w:ind w:left="993"/>
        <w:jc w:val="both"/>
        <w:rPr>
          <w:rFonts w:ascii="Times New Roman" w:hAnsi="Times New Roman"/>
          <w:sz w:val="22"/>
          <w:lang w:val="es-MX"/>
        </w:rPr>
      </w:pPr>
    </w:p>
    <w:p w14:paraId="033C73F8" w14:textId="14E3B396" w:rsidR="0064052D" w:rsidRPr="00DC5174" w:rsidRDefault="0064052D" w:rsidP="00DC5174">
      <w:pPr>
        <w:pStyle w:val="NormalWeb"/>
        <w:jc w:val="both"/>
        <w:rPr>
          <w:rFonts w:eastAsia="Times New Roman"/>
          <w:lang w:eastAsia="es-MX"/>
        </w:rPr>
      </w:pPr>
      <w:r w:rsidRPr="00D77BFB">
        <w:rPr>
          <w:sz w:val="22"/>
        </w:rPr>
        <w:t xml:space="preserve">Las nanopartículas de síntesis verde a </w:t>
      </w:r>
      <w:r w:rsidRPr="00D77BFB">
        <w:rPr>
          <w:bCs/>
          <w:sz w:val="22"/>
        </w:rPr>
        <w:t>AgNPMar, AgNPSal y AgNPTeq</w:t>
      </w:r>
      <w:r w:rsidRPr="00D77BFB">
        <w:rPr>
          <w:sz w:val="22"/>
        </w:rPr>
        <w:t xml:space="preserve"> a una concentración de </w:t>
      </w:r>
      <w:r w:rsidRPr="00D77BFB">
        <w:rPr>
          <w:bCs/>
          <w:sz w:val="22"/>
        </w:rPr>
        <w:t>500µL</w:t>
      </w:r>
      <w:r w:rsidRPr="00D77BFB">
        <w:rPr>
          <w:sz w:val="22"/>
        </w:rPr>
        <w:t xml:space="preserve"> inhibieron al 100% el crecimiento de la cepa FUSB y la cepa FUSC ya que no presentaron crecimiento alguno (Figura 7), mientras que la cepa FUSA presentó crecimiento en presencia de AgNPs sintetizadas a partir de </w:t>
      </w:r>
      <w:r w:rsidRPr="00D77BFB">
        <w:rPr>
          <w:i/>
          <w:iCs/>
          <w:sz w:val="22"/>
        </w:rPr>
        <w:t>A. salmiana</w:t>
      </w:r>
      <w:r w:rsidRPr="00D77BFB">
        <w:rPr>
          <w:sz w:val="22"/>
        </w:rPr>
        <w:t xml:space="preserve"> y </w:t>
      </w:r>
      <w:r w:rsidRPr="00D77BFB">
        <w:rPr>
          <w:i/>
          <w:iCs/>
          <w:sz w:val="22"/>
        </w:rPr>
        <w:t>A. tequilana</w:t>
      </w:r>
      <w:r w:rsidRPr="00D77BFB">
        <w:rPr>
          <w:sz w:val="22"/>
        </w:rPr>
        <w:t xml:space="preserve">, sin embargo, en presencia de AgNPs sintetizadas a partir de </w:t>
      </w:r>
      <w:r w:rsidRPr="00D77BFB">
        <w:rPr>
          <w:i/>
          <w:iCs/>
          <w:sz w:val="22"/>
        </w:rPr>
        <w:t>A. marmorata</w:t>
      </w:r>
      <w:r w:rsidRPr="00D77BFB">
        <w:rPr>
          <w:sz w:val="22"/>
        </w:rPr>
        <w:t xml:space="preserve">, FUSA no presentó crecimiento. Por otra parte, la cepa FUSA presentó diferencias estadísticamente significativas en comparación con las otras dos cepas del complejo FOSC, con una media de crecimiento micelial del 13.93% (Figura 8). Mientras que la cepa FUSB y FUSC no presentan crecimiento a lo largo de una semana, que es el tiempo que le toma a </w:t>
      </w:r>
      <w:r w:rsidRPr="00D77BFB">
        <w:rPr>
          <w:i/>
          <w:iCs/>
          <w:sz w:val="22"/>
        </w:rPr>
        <w:t xml:space="preserve">Fusarium </w:t>
      </w:r>
      <w:r w:rsidRPr="00D77BFB">
        <w:rPr>
          <w:sz w:val="22"/>
        </w:rPr>
        <w:t xml:space="preserve">expandir su crecimiento en la totalidad de la placa Petri. </w:t>
      </w:r>
    </w:p>
    <w:p w14:paraId="5CCCEDCD" w14:textId="77777777" w:rsidR="0064052D" w:rsidRPr="00D75B42" w:rsidRDefault="0064052D" w:rsidP="003228C1">
      <w:pPr>
        <w:pStyle w:val="MDPI23heading3"/>
        <w:ind w:left="0"/>
        <w:rPr>
          <w:rFonts w:ascii="Times New Roman" w:hAnsi="Times New Roman"/>
          <w:sz w:val="22"/>
          <w:lang w:val="es-MX"/>
        </w:rPr>
      </w:pPr>
    </w:p>
    <w:p w14:paraId="781A14F3" w14:textId="42142EA1" w:rsidR="0064052D" w:rsidRPr="00D75B42" w:rsidRDefault="0064052D" w:rsidP="003228C1">
      <w:pPr>
        <w:pStyle w:val="MDPI23heading3"/>
        <w:ind w:left="0"/>
        <w:rPr>
          <w:rFonts w:ascii="Times New Roman" w:hAnsi="Times New Roman"/>
          <w:sz w:val="22"/>
          <w:lang w:val="es-MX"/>
        </w:rPr>
      </w:pPr>
    </w:p>
    <w:p w14:paraId="4C068B41" w14:textId="48C692D3" w:rsidR="0064052D" w:rsidRPr="00D75B42" w:rsidRDefault="0064052D" w:rsidP="003228C1">
      <w:pPr>
        <w:pStyle w:val="MDPI23heading3"/>
        <w:ind w:left="0"/>
        <w:rPr>
          <w:rFonts w:ascii="Times New Roman" w:hAnsi="Times New Roman"/>
          <w:sz w:val="22"/>
          <w:lang w:val="es-MX"/>
        </w:rPr>
      </w:pPr>
    </w:p>
    <w:p w14:paraId="0787D16E" w14:textId="379AF6F6" w:rsidR="0064052D" w:rsidRPr="00D75B42" w:rsidRDefault="0064052D" w:rsidP="003228C1">
      <w:pPr>
        <w:pStyle w:val="MDPI23heading3"/>
        <w:ind w:left="0"/>
        <w:rPr>
          <w:rFonts w:ascii="Times New Roman" w:hAnsi="Times New Roman"/>
          <w:sz w:val="22"/>
          <w:lang w:val="es-MX"/>
        </w:rPr>
      </w:pPr>
    </w:p>
    <w:p w14:paraId="081ADB3D" w14:textId="5D19CD79" w:rsidR="0064052D" w:rsidRDefault="0064052D" w:rsidP="003228C1">
      <w:pPr>
        <w:pStyle w:val="MDPI23heading3"/>
        <w:ind w:left="0"/>
        <w:rPr>
          <w:rFonts w:ascii="Times New Roman" w:hAnsi="Times New Roman"/>
          <w:sz w:val="22"/>
          <w:lang w:val="es-MX"/>
        </w:rPr>
      </w:pPr>
    </w:p>
    <w:p w14:paraId="28CAD0E9" w14:textId="46ACCCAE" w:rsidR="00CC5B51" w:rsidRDefault="009A6338" w:rsidP="003228C1">
      <w:pPr>
        <w:pStyle w:val="MDPI23heading3"/>
        <w:ind w:left="0"/>
        <w:rPr>
          <w:rFonts w:ascii="Times New Roman" w:hAnsi="Times New Roman"/>
          <w:sz w:val="22"/>
          <w:lang w:val="es-MX"/>
        </w:rPr>
      </w:pPr>
      <w:r>
        <w:rPr>
          <w:rFonts w:ascii="Times New Roman" w:hAnsi="Times New Roman"/>
          <w:i/>
          <w:noProof/>
        </w:rPr>
        <w:lastRenderedPageBreak/>
        <mc:AlternateContent>
          <mc:Choice Requires="wps">
            <w:drawing>
              <wp:anchor distT="0" distB="0" distL="114300" distR="114300" simplePos="0" relativeHeight="251694080" behindDoc="0" locked="0" layoutInCell="1" allowOverlap="1" wp14:anchorId="0995D7B9" wp14:editId="72594D3D">
                <wp:simplePos x="0" y="0"/>
                <wp:positionH relativeFrom="margin">
                  <wp:posOffset>2647056</wp:posOffset>
                </wp:positionH>
                <wp:positionV relativeFrom="paragraph">
                  <wp:posOffset>2337025</wp:posOffset>
                </wp:positionV>
                <wp:extent cx="669600" cy="279400"/>
                <wp:effectExtent l="0" t="0" r="16510" b="25400"/>
                <wp:wrapNone/>
                <wp:docPr id="1482303090" name="Cuadro de texto 6"/>
                <wp:cNvGraphicFramePr/>
                <a:graphic xmlns:a="http://schemas.openxmlformats.org/drawingml/2006/main">
                  <a:graphicData uri="http://schemas.microsoft.com/office/word/2010/wordprocessingShape">
                    <wps:wsp>
                      <wps:cNvSpPr txBox="1"/>
                      <wps:spPr>
                        <a:xfrm>
                          <a:off x="0" y="0"/>
                          <a:ext cx="669600" cy="279400"/>
                        </a:xfrm>
                        <a:prstGeom prst="rect">
                          <a:avLst/>
                        </a:prstGeom>
                        <a:solidFill>
                          <a:sysClr val="window" lastClr="FFFFFF"/>
                        </a:solidFill>
                        <a:ln w="6350">
                          <a:solidFill>
                            <a:sysClr val="window" lastClr="FFFFFF"/>
                          </a:solidFill>
                        </a:ln>
                      </wps:spPr>
                      <wps:txbx>
                        <w:txbxContent>
                          <w:p w14:paraId="2779FD9D" w14:textId="69D8EE1E" w:rsidR="00CC5B51" w:rsidRDefault="00CC5B51" w:rsidP="00CC5B51">
                            <w:r>
                              <w:t xml:space="preserve">Días </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995D7B9" id="_x0000_s1030" type="#_x0000_t202" style="position:absolute;margin-left:208.45pt;margin-top:184pt;width:52.7pt;height:22pt;z-index:25169408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" fillcolor="window" strokecolor="window" strokeweight=".5pt">
                <v:textbox>
                  <w:txbxContent>
                    <w:p w14:paraId="2779FD9D" w14:textId="69D8EE1E" w:rsidR="00CC5B51" w:rsidRDefault="00CC5B51" w:rsidP="00CC5B51">
                      <w:r>
                        <w:t xml:space="preserve">Días </w:t>
                      </w:r>
                    </w:p>
                  </w:txbxContent>
                </v:textbox>
                <w10:wrap anchorx="margin"/>
              </v:shape>
            </w:pict>
          </mc:Fallback>
        </mc:AlternateContent>
      </w:r>
      <w:r>
        <w:rPr>
          <w:rFonts w:ascii="Times New Roman" w:hAnsi="Times New Roman"/>
          <w:i/>
          <w:noProof/>
        </w:rPr>
        <mc:AlternateContent>
          <mc:Choice Requires="wps">
            <w:drawing>
              <wp:anchor distT="0" distB="0" distL="114300" distR="114300" simplePos="0" relativeHeight="251696128" behindDoc="0" locked="0" layoutInCell="1" allowOverlap="1" wp14:anchorId="55178EF7" wp14:editId="7E51E546">
                <wp:simplePos x="0" y="0"/>
                <wp:positionH relativeFrom="margin">
                  <wp:posOffset>-1709375</wp:posOffset>
                </wp:positionH>
                <wp:positionV relativeFrom="paragraph">
                  <wp:posOffset>922337</wp:posOffset>
                </wp:positionV>
                <wp:extent cx="2556000" cy="279400"/>
                <wp:effectExtent l="0" t="4762" r="11112" b="11113"/>
                <wp:wrapNone/>
                <wp:docPr id="1328730098" name="Cuadro de texto 6"/>
                <wp:cNvGraphicFramePr/>
                <a:graphic xmlns:a="http://schemas.openxmlformats.org/drawingml/2006/main">
                  <a:graphicData uri="http://schemas.microsoft.com/office/word/2010/wordprocessingShape">
                    <wps:wsp>
                      <wps:cNvSpPr txBox="1"/>
                      <wps:spPr>
                        <a:xfrm rot="16200000">
                          <a:off x="0" y="0"/>
                          <a:ext cx="2556000" cy="279400"/>
                        </a:xfrm>
                        <a:prstGeom prst="rect">
                          <a:avLst/>
                        </a:prstGeom>
                        <a:solidFill>
                          <a:sysClr val="window" lastClr="FFFFFF"/>
                        </a:solidFill>
                        <a:ln w="6350">
                          <a:solidFill>
                            <a:sysClr val="window" lastClr="FFFFFF"/>
                          </a:solidFill>
                        </a:ln>
                      </wps:spPr>
                      <wps:txbx>
                        <w:txbxContent>
                          <w:p w14:paraId="14BF7E64" w14:textId="36C64E58" w:rsidR="009A6338" w:rsidRPr="009A6338" w:rsidRDefault="009A6338" w:rsidP="009A6338">
                            <w:r w:rsidRPr="009A6338">
                              <w:t>Cre</w:t>
                            </w:r>
                            <w:r>
                              <w:t>c</w:t>
                            </w:r>
                            <w:r w:rsidRPr="009A6338">
                              <w:t>imiento del Complejo FOSC (mm)</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5178EF7" id="_x0000_s1031" type="#_x0000_t202" style="position:absolute;margin-left:-134.6pt;margin-top:72.6pt;width:201.25pt;height:22pt;rotation:-90;z-index:25169612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" fillcolor="window" strokecolor="window" strokeweight=".5pt">
                <v:textbox>
                  <w:txbxContent>
                    <w:p w14:paraId="14BF7E64" w14:textId="36C64E58" w:rsidR="009A6338" w:rsidRPr="009A6338" w:rsidRDefault="009A6338" w:rsidP="009A6338">
                      <w:r w:rsidRPr="009A6338">
                        <w:t>Cre</w:t>
                      </w:r>
                      <w:r>
                        <w:t>c</w:t>
                      </w:r>
                      <w:r w:rsidRPr="009A6338">
                        <w:t>imiento del Complejo FOSC (mm)</w:t>
                      </w:r>
                    </w:p>
                  </w:txbxContent>
                </v:textbox>
                <w10:wrap anchorx="margin"/>
              </v:shape>
            </w:pict>
          </mc:Fallback>
        </mc:AlternateContent>
      </w:r>
      <w:r w:rsidR="00CC5B51">
        <w:rPr>
          <w:rFonts w:ascii="Times New Roman" w:hAnsi="Times New Roman"/>
          <w:noProof/>
          <w:sz w:val="22"/>
          <w:lang w:val="es-MX"/>
        </w:rPr>
        <w:drawing>
          <wp:anchor distT="0" distB="0" distL="114300" distR="114300" simplePos="0" relativeHeight="251692032" behindDoc="0" locked="0" layoutInCell="1" allowOverlap="1" wp14:anchorId="1479C935" wp14:editId="05086244">
            <wp:simplePos x="0" y="0"/>
            <wp:positionH relativeFrom="page">
              <wp:align>center</wp:align>
            </wp:positionH>
            <wp:positionV relativeFrom="paragraph">
              <wp:posOffset>272506</wp:posOffset>
            </wp:positionV>
            <wp:extent cx="6340475" cy="2139950"/>
            <wp:effectExtent l="0" t="0" r="3175" b="0"/>
            <wp:wrapThrough wrapText="bothSides">
              <wp:wrapPolygon edited="0">
                <wp:start x="0" y="0"/>
                <wp:lineTo x="0" y="21344"/>
                <wp:lineTo x="21546" y="21344"/>
                <wp:lineTo x="21546" y="0"/>
                <wp:lineTo x="0" y="0"/>
              </wp:wrapPolygon>
            </wp:wrapThrough>
            <wp:docPr id="125996002" name="Imagen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6340475" cy="2139950"/>
                    </a:xfrm>
                    <a:prstGeom prst="rect">
                      <a:avLst/>
                    </a:prstGeom>
                    <a:noFill/>
                  </pic:spPr>
                </pic:pic>
              </a:graphicData>
            </a:graphic>
            <wp14:sizeRelH relativeFrom="page">
              <wp14:pctWidth>0</wp14:pctWidth>
            </wp14:sizeRelH>
            <wp14:sizeRelV relativeFrom="page">
              <wp14:pctHeight>0</wp14:pctHeight>
            </wp14:sizeRelV>
          </wp:anchor>
        </w:drawing>
      </w:r>
    </w:p>
    <w:p w14:paraId="00DB5EB6" w14:textId="77777777" w:rsidR="00CC5B51" w:rsidRPr="00D75B42" w:rsidRDefault="00CC5B51" w:rsidP="003228C1">
      <w:pPr>
        <w:pStyle w:val="MDPI23heading3"/>
        <w:ind w:left="0"/>
        <w:rPr>
          <w:rFonts w:ascii="Times New Roman" w:hAnsi="Times New Roman"/>
          <w:sz w:val="22"/>
          <w:lang w:val="es-MX"/>
        </w:rPr>
      </w:pPr>
    </w:p>
    <w:p w14:paraId="44428055" w14:textId="0C4622CA" w:rsidR="00D77BFB" w:rsidRDefault="001C3515" w:rsidP="00D77BFB">
      <w:pPr>
        <w:spacing w:line="276" w:lineRule="auto"/>
        <w:jc w:val="both"/>
        <w:rPr>
          <w:rFonts w:ascii="Times New Roman" w:eastAsia="Times New Roman" w:hAnsi="Times New Roman" w:cs="Times New Roman"/>
          <w:b/>
          <w:szCs w:val="24"/>
          <w:lang w:val="en-US"/>
        </w:rPr>
      </w:pPr>
      <w:r w:rsidRPr="00E94EEA">
        <w:rPr>
          <w:rFonts w:ascii="Times New Roman" w:eastAsia="Aptos" w:hAnsi="Times New Roman"/>
          <w:bCs/>
          <w:noProof/>
          <w:kern w:val="2"/>
          <w:szCs w:val="20"/>
          <w:lang w:eastAsia="en-US"/>
          <w14:ligatures w14:val="standardContextual"/>
        </w:rPr>
        <mc:AlternateContent>
          <mc:Choice Requires="wps">
            <w:drawing>
              <wp:anchor distT="0" distB="0" distL="114300" distR="114300" simplePos="0" relativeHeight="251681792" behindDoc="0" locked="0" layoutInCell="1" allowOverlap="1" wp14:anchorId="70316094" wp14:editId="79B14884">
                <wp:simplePos x="0" y="0"/>
                <wp:positionH relativeFrom="margin">
                  <wp:align>center</wp:align>
                </wp:positionH>
                <wp:positionV relativeFrom="paragraph">
                  <wp:posOffset>64770</wp:posOffset>
                </wp:positionV>
                <wp:extent cx="6236335" cy="617220"/>
                <wp:effectExtent l="0" t="0" r="0" b="0"/>
                <wp:wrapNone/>
                <wp:docPr id="1923921578" name="Cuadro de texto 2"/>
                <wp:cNvGraphicFramePr/>
                <a:graphic xmlns:a="http://schemas.openxmlformats.org/drawingml/2006/main">
                  <a:graphicData uri="http://schemas.microsoft.com/office/word/2010/wordprocessingShape">
                    <wps:wsp>
                      <wps:cNvSpPr txBox="1"/>
                      <wps:spPr>
                        <a:xfrm>
                          <a:off x="0" y="0"/>
                          <a:ext cx="6236335" cy="617220"/>
                        </a:xfrm>
                        <a:prstGeom prst="rect">
                          <a:avLst/>
                        </a:prstGeom>
                        <a:solidFill>
                          <a:sysClr val="window" lastClr="FFFFFF"/>
                        </a:solidFill>
                        <a:ln w="6350">
                          <a:noFill/>
                        </a:ln>
                      </wps:spPr>
                      <wps:txbx>
                        <w:txbxContent>
                          <w:p w14:paraId="04369898" w14:textId="3BAC87EF" w:rsidR="0064052D" w:rsidRPr="004A4D3B" w:rsidRDefault="0064052D" w:rsidP="0064052D">
                            <w:pPr>
                              <w:jc w:val="both"/>
                              <w:rPr>
                                <w:rFonts w:ascii="Times New Roman" w:hAnsi="Times New Roman" w:cs="Times New Roman"/>
                                <w:bCs/>
                                <w:sz w:val="20"/>
                                <w:szCs w:val="20"/>
                              </w:rPr>
                            </w:pPr>
                            <w:r w:rsidRPr="004A4D3B">
                              <w:rPr>
                                <w:rFonts w:ascii="Times New Roman" w:hAnsi="Times New Roman" w:cs="Times New Roman"/>
                                <w:b/>
                                <w:sz w:val="20"/>
                                <w:szCs w:val="20"/>
                              </w:rPr>
                              <w:t xml:space="preserve">Figura </w:t>
                            </w:r>
                            <w:r>
                              <w:rPr>
                                <w:rFonts w:ascii="Times New Roman" w:hAnsi="Times New Roman" w:cs="Times New Roman"/>
                                <w:b/>
                                <w:sz w:val="20"/>
                                <w:szCs w:val="20"/>
                              </w:rPr>
                              <w:t>8</w:t>
                            </w:r>
                            <w:r w:rsidRPr="004A4D3B">
                              <w:rPr>
                                <w:rFonts w:ascii="Times New Roman" w:hAnsi="Times New Roman" w:cs="Times New Roman"/>
                                <w:b/>
                                <w:sz w:val="20"/>
                                <w:szCs w:val="20"/>
                              </w:rPr>
                              <w:t>. Efecto de las AgNPs en crecimiento del complejo FOSC</w:t>
                            </w:r>
                            <w:r w:rsidRPr="004A4D3B">
                              <w:rPr>
                                <w:rFonts w:ascii="Times New Roman" w:hAnsi="Times New Roman" w:cs="Times New Roman"/>
                                <w:b/>
                                <w:i/>
                                <w:iCs/>
                                <w:sz w:val="20"/>
                                <w:szCs w:val="20"/>
                              </w:rPr>
                              <w:t>.</w:t>
                            </w:r>
                            <w:r w:rsidRPr="004A4D3B">
                              <w:rPr>
                                <w:rFonts w:ascii="Times New Roman" w:hAnsi="Times New Roman" w:cs="Times New Roman"/>
                                <w:bCs/>
                                <w:sz w:val="20"/>
                                <w:szCs w:val="20"/>
                              </w:rPr>
                              <w:t xml:space="preserve"> Los diagramas de barras muestran el crecimiento de las tres cepas del complejo </w:t>
                            </w:r>
                            <w:r w:rsidRPr="004A4D3B">
                              <w:rPr>
                                <w:rFonts w:ascii="Times New Roman" w:hAnsi="Times New Roman" w:cs="Times New Roman"/>
                                <w:bCs/>
                                <w:i/>
                                <w:iCs/>
                                <w:sz w:val="20"/>
                                <w:szCs w:val="20"/>
                              </w:rPr>
                              <w:t>Fusarium oxysporum</w:t>
                            </w:r>
                            <w:r w:rsidRPr="004A4D3B">
                              <w:rPr>
                                <w:rFonts w:ascii="Times New Roman" w:hAnsi="Times New Roman" w:cs="Times New Roman"/>
                                <w:bCs/>
                                <w:sz w:val="20"/>
                                <w:szCs w:val="20"/>
                              </w:rPr>
                              <w:t xml:space="preserve"> FUSA (</w:t>
                            </w:r>
                            <w:r w:rsidR="009A6338">
                              <w:rPr>
                                <w:rFonts w:ascii="Times New Roman" w:hAnsi="Times New Roman" w:cs="Times New Roman"/>
                                <w:bCs/>
                                <w:sz w:val="20"/>
                                <w:szCs w:val="20"/>
                              </w:rPr>
                              <w:t>rojo</w:t>
                            </w:r>
                            <w:r w:rsidRPr="004A4D3B">
                              <w:rPr>
                                <w:rFonts w:ascii="Times New Roman" w:hAnsi="Times New Roman" w:cs="Times New Roman"/>
                                <w:bCs/>
                                <w:sz w:val="20"/>
                                <w:szCs w:val="20"/>
                              </w:rPr>
                              <w:t>), FUSB (azul), FUSC (</w:t>
                            </w:r>
                            <w:r w:rsidR="009A6338">
                              <w:rPr>
                                <w:rFonts w:ascii="Times New Roman" w:hAnsi="Times New Roman" w:cs="Times New Roman"/>
                                <w:bCs/>
                                <w:sz w:val="20"/>
                                <w:szCs w:val="20"/>
                              </w:rPr>
                              <w:t>amarillo</w:t>
                            </w:r>
                            <w:r w:rsidRPr="004A4D3B">
                              <w:rPr>
                                <w:rFonts w:ascii="Times New Roman" w:hAnsi="Times New Roman" w:cs="Times New Roman"/>
                                <w:bCs/>
                                <w:sz w:val="20"/>
                                <w:szCs w:val="20"/>
                              </w:rPr>
                              <w:t xml:space="preserve">) tratado previamente con AgNPs sintetizadas a partir de tres especies de Agave. </w:t>
                            </w:r>
                          </w:p>
                          <w:p w14:paraId="3D88B578" w14:textId="77777777" w:rsidR="0064052D" w:rsidRDefault="0064052D" w:rsidP="0064052D"/>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0316094" id="_x0000_s1032" type="#_x0000_t202" style="position:absolute;left:0;text-align:left;margin-left:0;margin-top:5.1pt;width:491.05pt;height:48.6pt;z-index:251681792;visibility:visible;mso-wrap-style:square;mso-width-percent:0;mso-height-percent:0;mso-wrap-distance-left:9pt;mso-wrap-distance-top:0;mso-wrap-distance-right:9pt;mso-wrap-distance-bottom:0;mso-position-horizontal:center;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" fillcolor="window" stroked="f" strokeweight=".5pt">
                <v:textbox>
                  <w:txbxContent>
                    <w:p w14:paraId="04369898" w14:textId="3BAC87EF" w:rsidR="0064052D" w:rsidRPr="004A4D3B" w:rsidRDefault="0064052D" w:rsidP="0064052D">
                      <w:pPr>
                        <w:jc w:val="both"/>
                        <w:rPr>
                          <w:rFonts w:ascii="Times New Roman" w:hAnsi="Times New Roman" w:cs="Times New Roman"/>
                          <w:bCs/>
                          <w:sz w:val="20"/>
                          <w:szCs w:val="20"/>
                        </w:rPr>
                      </w:pPr>
                      <w:r w:rsidRPr="004A4D3B">
                        <w:rPr>
                          <w:rFonts w:ascii="Times New Roman" w:hAnsi="Times New Roman" w:cs="Times New Roman"/>
                          <w:b/>
                          <w:sz w:val="20"/>
                          <w:szCs w:val="20"/>
                        </w:rPr>
                        <w:t xml:space="preserve">Figura </w:t>
                      </w:r>
                      <w:r>
                        <w:rPr>
                          <w:rFonts w:ascii="Times New Roman" w:hAnsi="Times New Roman" w:cs="Times New Roman"/>
                          <w:b/>
                          <w:sz w:val="20"/>
                          <w:szCs w:val="20"/>
                        </w:rPr>
                        <w:t>8</w:t>
                      </w:r>
                      <w:r w:rsidRPr="004A4D3B">
                        <w:rPr>
                          <w:rFonts w:ascii="Times New Roman" w:hAnsi="Times New Roman" w:cs="Times New Roman"/>
                          <w:b/>
                          <w:sz w:val="20"/>
                          <w:szCs w:val="20"/>
                        </w:rPr>
                        <w:t>. Efecto de las AgNPs en crecimiento del complejo FOSC</w:t>
                      </w:r>
                      <w:r w:rsidRPr="004A4D3B">
                        <w:rPr>
                          <w:rFonts w:ascii="Times New Roman" w:hAnsi="Times New Roman" w:cs="Times New Roman"/>
                          <w:b/>
                          <w:i/>
                          <w:iCs/>
                          <w:sz w:val="20"/>
                          <w:szCs w:val="20"/>
                        </w:rPr>
                        <w:t>.</w:t>
                      </w:r>
                      <w:r w:rsidRPr="004A4D3B">
                        <w:rPr>
                          <w:rFonts w:ascii="Times New Roman" w:hAnsi="Times New Roman" w:cs="Times New Roman"/>
                          <w:bCs/>
                          <w:sz w:val="20"/>
                          <w:szCs w:val="20"/>
                        </w:rPr>
                        <w:t xml:space="preserve"> Los diagramas de barras muestran el crecimiento de las tres cepas del complejo </w:t>
                      </w:r>
                      <w:r w:rsidRPr="004A4D3B">
                        <w:rPr>
                          <w:rFonts w:ascii="Times New Roman" w:hAnsi="Times New Roman" w:cs="Times New Roman"/>
                          <w:bCs/>
                          <w:i/>
                          <w:iCs/>
                          <w:sz w:val="20"/>
                          <w:szCs w:val="20"/>
                        </w:rPr>
                        <w:t>Fusarium oxysporum</w:t>
                      </w:r>
                      <w:r w:rsidRPr="004A4D3B">
                        <w:rPr>
                          <w:rFonts w:ascii="Times New Roman" w:hAnsi="Times New Roman" w:cs="Times New Roman"/>
                          <w:bCs/>
                          <w:sz w:val="20"/>
                          <w:szCs w:val="20"/>
                        </w:rPr>
                        <w:t xml:space="preserve"> FUSA (</w:t>
                      </w:r>
                      <w:r w:rsidR="009A6338">
                        <w:rPr>
                          <w:rFonts w:ascii="Times New Roman" w:hAnsi="Times New Roman" w:cs="Times New Roman"/>
                          <w:bCs/>
                          <w:sz w:val="20"/>
                          <w:szCs w:val="20"/>
                        </w:rPr>
                        <w:t>rojo</w:t>
                      </w:r>
                      <w:r w:rsidRPr="004A4D3B">
                        <w:rPr>
                          <w:rFonts w:ascii="Times New Roman" w:hAnsi="Times New Roman" w:cs="Times New Roman"/>
                          <w:bCs/>
                          <w:sz w:val="20"/>
                          <w:szCs w:val="20"/>
                        </w:rPr>
                        <w:t>), FUSB (azul), FUSC (</w:t>
                      </w:r>
                      <w:r w:rsidR="009A6338">
                        <w:rPr>
                          <w:rFonts w:ascii="Times New Roman" w:hAnsi="Times New Roman" w:cs="Times New Roman"/>
                          <w:bCs/>
                          <w:sz w:val="20"/>
                          <w:szCs w:val="20"/>
                        </w:rPr>
                        <w:t>amarillo</w:t>
                      </w:r>
                      <w:r w:rsidRPr="004A4D3B">
                        <w:rPr>
                          <w:rFonts w:ascii="Times New Roman" w:hAnsi="Times New Roman" w:cs="Times New Roman"/>
                          <w:bCs/>
                          <w:sz w:val="20"/>
                          <w:szCs w:val="20"/>
                        </w:rPr>
                        <w:t xml:space="preserve">) tratado previamente con AgNPs sintetizadas a partir de tres especies de Agave. </w:t>
                      </w:r>
                    </w:p>
                    <w:p w14:paraId="3D88B578" w14:textId="77777777" w:rsidR="0064052D" w:rsidRDefault="0064052D" w:rsidP="0064052D"/>
                  </w:txbxContent>
                </v:textbox>
                <w10:wrap anchorx="margin"/>
              </v:shape>
            </w:pict>
          </mc:Fallback>
        </mc:AlternateContent>
      </w:r>
    </w:p>
    <w:p w14:paraId="344F234C" w14:textId="66BD6E87" w:rsidR="001C3515" w:rsidRDefault="001C3515" w:rsidP="00D77BFB">
      <w:pPr>
        <w:spacing w:line="276" w:lineRule="auto"/>
        <w:jc w:val="both"/>
        <w:rPr>
          <w:rFonts w:ascii="Times New Roman" w:eastAsia="Times New Roman" w:hAnsi="Times New Roman" w:cs="Times New Roman"/>
          <w:b/>
          <w:szCs w:val="24"/>
          <w:lang w:val="en-US"/>
        </w:rPr>
      </w:pPr>
    </w:p>
    <w:p w14:paraId="284CCD71" w14:textId="6F193CC1" w:rsidR="001C3515" w:rsidRDefault="001C3515" w:rsidP="00D77BFB">
      <w:pPr>
        <w:spacing w:line="276" w:lineRule="auto"/>
        <w:jc w:val="both"/>
        <w:rPr>
          <w:rFonts w:ascii="Times New Roman" w:eastAsia="Times New Roman" w:hAnsi="Times New Roman" w:cs="Times New Roman"/>
          <w:b/>
          <w:szCs w:val="24"/>
          <w:lang w:val="en-US"/>
        </w:rPr>
      </w:pPr>
    </w:p>
    <w:p w14:paraId="12A3D192" w14:textId="4B158B5E" w:rsidR="001C3515" w:rsidRDefault="001C3515" w:rsidP="00D77BFB">
      <w:pPr>
        <w:spacing w:line="276" w:lineRule="auto"/>
        <w:jc w:val="both"/>
        <w:rPr>
          <w:rFonts w:ascii="Times New Roman" w:eastAsia="Times New Roman" w:hAnsi="Times New Roman" w:cs="Times New Roman"/>
          <w:b/>
          <w:szCs w:val="24"/>
          <w:lang w:val="en-US"/>
        </w:rPr>
      </w:pPr>
    </w:p>
    <w:p w14:paraId="25BF2A63" w14:textId="005B290D" w:rsidR="0064052D" w:rsidRPr="00505904" w:rsidRDefault="002F6D12" w:rsidP="00D77BFB">
      <w:pPr>
        <w:spacing w:line="276" w:lineRule="auto"/>
        <w:jc w:val="both"/>
        <w:rPr>
          <w:rFonts w:ascii="Times New Roman" w:eastAsia="Times New Roman" w:hAnsi="Times New Roman" w:cs="Times New Roman"/>
          <w:b/>
          <w:szCs w:val="24"/>
        </w:rPr>
      </w:pPr>
      <w:r w:rsidRPr="00505904">
        <w:rPr>
          <w:rFonts w:ascii="Times New Roman" w:eastAsia="Times New Roman" w:hAnsi="Times New Roman" w:cs="Times New Roman"/>
          <w:b/>
          <w:szCs w:val="24"/>
        </w:rPr>
        <w:t>Discus</w:t>
      </w:r>
      <w:r w:rsidR="00B1540D" w:rsidRPr="00505904">
        <w:rPr>
          <w:rFonts w:ascii="Times New Roman" w:eastAsia="Times New Roman" w:hAnsi="Times New Roman" w:cs="Times New Roman"/>
          <w:b/>
          <w:szCs w:val="24"/>
        </w:rPr>
        <w:t xml:space="preserve">ión </w:t>
      </w:r>
    </w:p>
    <w:p w14:paraId="31CEAD65" w14:textId="77777777" w:rsidR="00A17E36" w:rsidRDefault="0064052D" w:rsidP="0064052D">
      <w:pPr>
        <w:spacing w:line="276" w:lineRule="auto"/>
        <w:jc w:val="both"/>
        <w:rPr>
          <w:rFonts w:ascii="Times New Roman" w:eastAsia="Times New Roman" w:hAnsi="Times New Roman" w:cs="Times New Roman"/>
          <w:szCs w:val="24"/>
        </w:rPr>
      </w:pPr>
      <w:r w:rsidRPr="0064052D">
        <w:rPr>
          <w:rFonts w:ascii="Times New Roman" w:eastAsia="Times New Roman" w:hAnsi="Times New Roman" w:cs="Times New Roman"/>
          <w:szCs w:val="24"/>
        </w:rPr>
        <w:t xml:space="preserve">En este estudio, las cepas FUSA, FUSB y FUSC, aunque tienen una esporulación de color diferente las tres pertenecen a la especie </w:t>
      </w:r>
      <w:r w:rsidRPr="0064052D">
        <w:rPr>
          <w:rFonts w:ascii="Times New Roman" w:eastAsia="Times New Roman" w:hAnsi="Times New Roman" w:cs="Times New Roman"/>
          <w:i/>
          <w:iCs/>
          <w:szCs w:val="24"/>
        </w:rPr>
        <w:t>Fusarium oxysporum</w:t>
      </w:r>
      <w:r w:rsidRPr="0064052D">
        <w:rPr>
          <w:rFonts w:ascii="Times New Roman" w:eastAsia="Times New Roman" w:hAnsi="Times New Roman" w:cs="Times New Roman"/>
          <w:szCs w:val="24"/>
        </w:rPr>
        <w:t>, de acuerdo con lo que sugiere el análisis molecular utilizando los cebadores ITS. Esto coloca a los aislados dentro del complejo FOSC, presentando 100% de identidad en las cepas FUSA y FUSC y un 99.81% en la cepa FUSB.</w:t>
      </w:r>
    </w:p>
    <w:p w14:paraId="1A014438" w14:textId="2BD915BD" w:rsidR="00A17E36" w:rsidRDefault="00A17E36" w:rsidP="0064052D">
      <w:pPr>
        <w:spacing w:line="276" w:lineRule="auto"/>
        <w:jc w:val="both"/>
        <w:rPr>
          <w:rFonts w:ascii="Times New Roman" w:eastAsia="Times New Roman" w:hAnsi="Times New Roman" w:cs="Times New Roman"/>
          <w:szCs w:val="24"/>
        </w:rPr>
      </w:pPr>
      <w:r w:rsidRPr="00A17E36">
        <w:rPr>
          <w:rFonts w:ascii="Times New Roman" w:eastAsia="Times New Roman" w:hAnsi="Times New Roman" w:cs="Times New Roman"/>
          <w:szCs w:val="24"/>
        </w:rPr>
        <w:t xml:space="preserve">El análisis filogenético mostró que los aislamientos FUSA, FUSB y FUSC se agruparon dentro del clado correspondiente a </w:t>
      </w:r>
      <w:r w:rsidRPr="00A17E36">
        <w:rPr>
          <w:rFonts w:ascii="Times New Roman" w:eastAsia="Times New Roman" w:hAnsi="Times New Roman" w:cs="Times New Roman"/>
          <w:i/>
          <w:iCs/>
          <w:szCs w:val="24"/>
        </w:rPr>
        <w:t>Fusarium oxysporum</w:t>
      </w:r>
      <w:r w:rsidRPr="00A17E36">
        <w:rPr>
          <w:rFonts w:ascii="Times New Roman" w:eastAsia="Times New Roman" w:hAnsi="Times New Roman" w:cs="Times New Roman"/>
          <w:szCs w:val="24"/>
        </w:rPr>
        <w:t xml:space="preserve">, respaldando su identificación molecular. Sin embargo, los valores de bootstrap evidenciaron diferencias en la confiabilidad de las relaciones filogenéticas. Mientras que FUSA presentó un soporte de bootstrap del 80 %, indicando una relación bien sustentada con la secuencia de referencia OP897707.1, FUSB mostró un soporte moderado (57 %) al agruparse con </w:t>
      </w:r>
      <w:r w:rsidRPr="00A17E36">
        <w:rPr>
          <w:rFonts w:ascii="Times New Roman" w:eastAsia="Times New Roman" w:hAnsi="Times New Roman" w:cs="Times New Roman"/>
          <w:i/>
          <w:iCs/>
          <w:szCs w:val="24"/>
        </w:rPr>
        <w:t>F. oxysporum</w:t>
      </w:r>
      <w:r w:rsidRPr="00A17E36">
        <w:rPr>
          <w:rFonts w:ascii="Times New Roman" w:eastAsia="Times New Roman" w:hAnsi="Times New Roman" w:cs="Times New Roman"/>
          <w:szCs w:val="24"/>
        </w:rPr>
        <w:t xml:space="preserve"> f. sp. </w:t>
      </w:r>
      <w:r w:rsidRPr="00A17E36">
        <w:rPr>
          <w:rFonts w:ascii="Times New Roman" w:eastAsia="Times New Roman" w:hAnsi="Times New Roman" w:cs="Times New Roman"/>
          <w:i/>
          <w:iCs/>
          <w:szCs w:val="24"/>
        </w:rPr>
        <w:t>lactucae</w:t>
      </w:r>
      <w:r w:rsidRPr="00A17E36">
        <w:rPr>
          <w:rFonts w:ascii="Times New Roman" w:eastAsia="Times New Roman" w:hAnsi="Times New Roman" w:cs="Times New Roman"/>
          <w:szCs w:val="24"/>
        </w:rPr>
        <w:t xml:space="preserve">, por lo que esta asociación debe interpretarse con cautela. Por su parte, la posición de FUSC estuvo respaldada por un bootstrap bajo (16 %), lo que sugiere una resolución insuficiente para establecer con certeza sus relaciones evolutivas más cercanas. Asimismo, los bajos valores de bootstrap observados en varios nodos internos (&lt;50 %) indican una limitada resolución del marcador molecular empleado para discriminar las relaciones dentro del complejo de especies </w:t>
      </w:r>
      <w:r w:rsidRPr="00A17E36">
        <w:rPr>
          <w:rFonts w:ascii="Times New Roman" w:eastAsia="Times New Roman" w:hAnsi="Times New Roman" w:cs="Times New Roman"/>
          <w:i/>
          <w:iCs/>
          <w:szCs w:val="24"/>
        </w:rPr>
        <w:t>F. oxysporum</w:t>
      </w:r>
      <w:r w:rsidRPr="00A17E36">
        <w:rPr>
          <w:rFonts w:ascii="Times New Roman" w:eastAsia="Times New Roman" w:hAnsi="Times New Roman" w:cs="Times New Roman"/>
          <w:szCs w:val="24"/>
        </w:rPr>
        <w:t>, un fenómeno reportado previamente debido a la alta similitud genética existente entre sus miembros.</w:t>
      </w:r>
    </w:p>
    <w:p w14:paraId="31C9D9AE" w14:textId="5AFE647E" w:rsidR="0064052D" w:rsidRPr="0064052D" w:rsidRDefault="0064052D" w:rsidP="0064052D">
      <w:pPr>
        <w:spacing w:line="276" w:lineRule="auto"/>
        <w:jc w:val="both"/>
        <w:rPr>
          <w:rFonts w:ascii="Times New Roman" w:eastAsia="Times New Roman" w:hAnsi="Times New Roman" w:cs="Times New Roman"/>
          <w:szCs w:val="24"/>
        </w:rPr>
      </w:pPr>
      <w:r w:rsidRPr="0064052D">
        <w:rPr>
          <w:rFonts w:ascii="Times New Roman" w:eastAsia="Times New Roman" w:hAnsi="Times New Roman" w:cs="Times New Roman"/>
          <w:szCs w:val="24"/>
        </w:rPr>
        <w:t xml:space="preserve">Esto confirma que la marchitez en </w:t>
      </w:r>
      <w:r w:rsidRPr="0064052D">
        <w:rPr>
          <w:rFonts w:ascii="Times New Roman" w:eastAsia="Times New Roman" w:hAnsi="Times New Roman" w:cs="Times New Roman"/>
          <w:i/>
          <w:iCs/>
          <w:szCs w:val="24"/>
        </w:rPr>
        <w:t>Agave cupreata</w:t>
      </w:r>
      <w:r w:rsidRPr="0064052D">
        <w:rPr>
          <w:rFonts w:ascii="Times New Roman" w:eastAsia="Times New Roman" w:hAnsi="Times New Roman" w:cs="Times New Roman"/>
          <w:szCs w:val="24"/>
        </w:rPr>
        <w:t xml:space="preserve"> utilizado en este estudio, no sólo es causada por una sola especie de </w:t>
      </w:r>
      <w:r w:rsidRPr="0064052D">
        <w:rPr>
          <w:rFonts w:ascii="Times New Roman" w:eastAsia="Times New Roman" w:hAnsi="Times New Roman" w:cs="Times New Roman"/>
          <w:i/>
          <w:iCs/>
          <w:szCs w:val="24"/>
        </w:rPr>
        <w:t>Fusarium</w:t>
      </w:r>
      <w:r w:rsidRPr="0064052D">
        <w:rPr>
          <w:rFonts w:ascii="Times New Roman" w:eastAsia="Times New Roman" w:hAnsi="Times New Roman" w:cs="Times New Roman"/>
          <w:szCs w:val="24"/>
        </w:rPr>
        <w:t xml:space="preserve">, sino que, en este caso lo ocasiona un complejo formado por tres o incluso más especies.  Lo cual coincide con López-Bautista </w:t>
      </w:r>
      <w:r w:rsidRPr="0064052D">
        <w:rPr>
          <w:rFonts w:ascii="Times New Roman" w:eastAsia="Times New Roman" w:hAnsi="Times New Roman" w:cs="Times New Roman"/>
          <w:i/>
          <w:szCs w:val="24"/>
        </w:rPr>
        <w:t>et al</w:t>
      </w:r>
      <w:r w:rsidRPr="0064052D">
        <w:rPr>
          <w:rFonts w:ascii="Times New Roman" w:eastAsia="Times New Roman" w:hAnsi="Times New Roman" w:cs="Times New Roman"/>
          <w:szCs w:val="24"/>
        </w:rPr>
        <w:t xml:space="preserve">. (2020) donde en sus estudios realizados en </w:t>
      </w:r>
      <w:r w:rsidRPr="0064052D">
        <w:rPr>
          <w:rFonts w:ascii="Times New Roman" w:eastAsia="Times New Roman" w:hAnsi="Times New Roman" w:cs="Times New Roman"/>
          <w:i/>
          <w:iCs/>
          <w:szCs w:val="24"/>
        </w:rPr>
        <w:t>Agave tequilana</w:t>
      </w:r>
      <w:r w:rsidRPr="0064052D">
        <w:rPr>
          <w:rFonts w:ascii="Times New Roman" w:eastAsia="Times New Roman" w:hAnsi="Times New Roman" w:cs="Times New Roman"/>
          <w:szCs w:val="24"/>
        </w:rPr>
        <w:t xml:space="preserve"> mostraron que la marchitez es causada por un complejo de </w:t>
      </w:r>
      <w:r w:rsidRPr="0064052D">
        <w:rPr>
          <w:rFonts w:ascii="Times New Roman" w:eastAsia="Times New Roman" w:hAnsi="Times New Roman" w:cs="Times New Roman"/>
          <w:i/>
          <w:iCs/>
          <w:szCs w:val="24"/>
        </w:rPr>
        <w:t>Fusarium</w:t>
      </w:r>
      <w:r w:rsidRPr="0064052D">
        <w:rPr>
          <w:rFonts w:ascii="Times New Roman" w:eastAsia="Times New Roman" w:hAnsi="Times New Roman" w:cs="Times New Roman"/>
          <w:szCs w:val="24"/>
        </w:rPr>
        <w:t>, así mismo nuestros resultados coinciden con</w:t>
      </w:r>
      <w:r w:rsidR="000652E0">
        <w:rPr>
          <w:rFonts w:ascii="Times New Roman" w:eastAsia="Times New Roman" w:hAnsi="Times New Roman" w:cs="Times New Roman"/>
          <w:szCs w:val="24"/>
        </w:rPr>
        <w:t xml:space="preserve"> </w:t>
      </w:r>
      <w:r w:rsidR="000652E0">
        <w:rPr>
          <w:rFonts w:ascii="Times New Roman" w:eastAsia="Times New Roman" w:hAnsi="Times New Roman" w:cs="Times New Roman"/>
          <w:szCs w:val="24"/>
        </w:rPr>
        <w:fldChar w:fldCharType="begin"/>
      </w:r>
      <w:r w:rsidR="000652E0">
        <w:rPr>
          <w:rFonts w:ascii="Times New Roman" w:eastAsia="Times New Roman" w:hAnsi="Times New Roman" w:cs="Times New Roman"/>
          <w:szCs w:val="24"/>
        </w:rPr>
        <w:instrText xml:space="preserve"> ADDIN ZOTERO_ITEM CSL_CITATION {"citationID":"V7Oamkoe","properties":{"formattedCitation":"(Rubio Rios, 2018)","plainCitation":"(Rubio Rios, 2018)","noteIndex":0},"citationItems":[{"id":52,"uris":["http://zotero.org/users/local/SJHdbt7z/items/93LR9UQR"],"itemData":{"id":52,"type":"article-journal","abstract":"La marchitez del agave azul es uno de los problemas fitosanitarios que afectan este cultivo. La enfermedad es atribuida a Fusarium oxysporum que ocasiona pérdidas económicas y que puede ser alterada por el régimen de humedad en el suelo, la presencia S. acupunctatus y las aplicaciones de glifosato. En este trabajo se analizó la dinámica espacio-temporal de la enfermedad en plantaciones comerciales de agave azul en el estado de Jalisco y cómo la ocurrencia de la enfermedad puede ser alterada, en condiciones de invernadero, por los factores anteriormente descritos. Para el estudio de la dinámica espacio-temporal, se realizaron cuatro censos a lo largo de un año de evaluación en cuatro predios de aproximadamente 1 ha en los municipios de Arandas y Magdalena, donde se categorizó cada planta con base en una escala con cuatro clases de severidad (planta sana, severidad 1, severidad 2 y severidad 3). Se elaboraron mapas de distribución de la enfermedad. El patrón espacial se determinó mediante la relación varianza-media. La variación espacio-temporal se analizó mediante matrices de transición entre clases de severidad con el comando CROSSTAB del Software IDRISI v. Terrset. La dinámica temporal y la intensidad de la enfermedad se calculó el área bajo la curva de progreso de la enfermedad (ABCPE) de cada nivel de severidad de la marchitez mediante el método de integración trapezoidal. El patrón de distribución espacial se presentó inicialmente en forma de agregados, pero al término de un año en general se tornó uniforme. Las transiciones en los niveles de severidad no fueron completamente unidireccionales, algunas plantas mostraron remisión de síntomas entre la primera y segunda fecha censal, mientras que otras se mantuvieron en su severidad original. La severidad 1 se presentó con mayor frecuencia en los predios de Arandas (de 13.5 a 40.3% en El Estribo, 12.9 a 16.3 % en Agua Nueva), y un incremento notable en la severidad 2 para las plantaciones de Magdalena (de 13.8 a 45% en Potrero Viejo 1 y de 4 a 50.6% en Potrero Viejo 2). La intensidad de la enfermedad fue mayor en las plantaciones de Magdalena según los resultados del ABCPE. Las tasas de incremento en plantas que alcanzaron la severidad 3 al final de la evaluación son bajas y no suponen una limitante importante para el cultivo, sin embargo, las tasas de incremento en plantas que alcanzaron la severidad 2 si ponen en riesgo la sanidad y la disponibilidad de la materia prima para la elaboración de tequila. Para el análisis de los factores asociados, se realizó un experimento bajo un diseño experimental en bloques completos al azar. Se realizaron dos experimentos simultáneos, el primero con plantas sometidas a temperatura de entre los 12 y 40° C y el segundo bajo una temperatura constante de 27° C ± 3° C. A 180 d del inicio del primer experimento, la interacción Humedad x Herbicida x Picudo x Fusarium resultó significativa con P &gt; F = 0.0145. Las condiciones de sequía recurrente favorecieron el desarrollo de síntomas de marchitez independientemente de la acción de los factores Herbicida, F. oxysporum y Picudo. Estos factores a su vez incrementaron el marchitamiento de las plantas de agave con respecto al testigo no tratado y bajo condiciones óptimas de humedad, pero el grado de encarrujamiento en general no fue tan intenso como el causado por la sequía. La inundación periódica de los suelos incrementó el encarrujamiento a niveles intermedios a los observados bajo condiciones óptimas de humedad y bajo sequía. _______________ SPATIO-TEMPORAL ANALYSIS OF BLUE AGAVE WILT IN JALISCO. ABSTRACT: The blue agave wilt is one of the phytosanitary problems that affect this crop. The disease is attributed to Fusarium oxysporum that causes economic losses and that can be altered by the regime of humidity in the soil, the presence of S. acupunctatus and the applications of glyphosate. In this work, the spatiotemporal dynamics of the disease was analyzed in commercial plantations blue agave in Jalisco and how the occurrence of the disease can be altered, under greenhouse conditions, by the factors described above. For the study of spatiotemporal dynamics, four censuses were conducted over a year of evaluation in four fields of approximately 1 ha in the municipalities of Arandas and Magdalena, where each plant was categorized based on a scale with four classes of severity (healthy plant, severity 1, severity 2 and severity 3). Maps of disease distribution were made. The spatial pattern was determined by the variance-mean ratio. Spatiotemporal variation was analyzed by transition matrices between classes of severity with the command CROSSTAB Software IDRISI v. Terrset. The temporal dynamics and the intensity of the disease were calculated according to the area under the disease progress curve (ABCPE) of each wilt severity level using the trapezoidal integration method. The pattern of spatial distribution was presented initially in the form of aggregates, but after a year, in general it became uniform. The transitions in severity levels were not completely unidirectional, some plants showed remission of symptoms between the first and second census date, while others remained at their original severity. Severity 1 occurred most frequently in the Arandas fields (from 13.5 to 40.3% in El Estribo, 12.9 to 16.3% in Agua Nueva), and a notable increase in severity 2 for the Magdalena plantations (from 13.8 to 45 % in Potrero Viejo 1 and from 4 to 50.6 % in Potrero Viejo 2). The intensity of the disease was higher in the Magdalena fields according to the results of the ABCPE. The rates of increase in plants that reached severity 3 at the end of the evaluation are low and do not suppose an important limitation for the crop, however, the rates of increase in plants that reached the severity 2 if they put in risk the health and the availability of the raw material for the production of tequila. For analysis of related factors, an experiment under experimental design in randomized complete blocks was performed. two simultaneous experiments were performed, the first with plants under temperature between 12 and 40 ° C and the second under a constant temperature of 27 ° C ± 3 ° C. A 180 d of the start of the first experiment, the interaction humidity x herbicide x agave weevil x Fusarium was significant with P&gt; F = 0.0145. Recurrent drought conditions favored the development of wilt symptoms, regardless of the action of herbicide, F. oxysporum and agave weevil factors. These factors, in turn, increased the wilting of agave plants relative to untreated control and under optimum moisture conditions, but the degree of encarrujamiento was not that intense as that caused by the drought. Periodic flooding of soils increased the encarrujamiento at intermediate levels to those observed under optimal conditions of moisture and under drought.","language":"spa","license":"http://creativecommons.org/licenses/by-nc-nd/4.0","note":"Accepted: 2018-10-29T18:23:47Z","source":"colposdigital.colpos.mx:8080","title":"Análisis espacio-temporal de la marchitez del agave tequilero en Jalisco.","URL":"http://colposdigital.colpos.mx:8080/xmlui/handle/10521/3065","author":[{"family":"Rubio Rios","given":"Jose Ramon"}],"accessed":{"date-parts":[["2025",1,26]]},"issued":{"date-parts":[["2018",10]]}}}],"schema":"https://github.com/citation-style-language/schema/raw/master/csl-citation.json"} </w:instrText>
      </w:r>
      <w:r w:rsidR="000652E0">
        <w:rPr>
          <w:rFonts w:ascii="Times New Roman" w:eastAsia="Times New Roman" w:hAnsi="Times New Roman" w:cs="Times New Roman"/>
          <w:szCs w:val="24"/>
        </w:rPr>
        <w:fldChar w:fldCharType="separate"/>
      </w:r>
      <w:r w:rsidR="000652E0" w:rsidRPr="000652E0">
        <w:rPr>
          <w:rFonts w:ascii="Times New Roman" w:hAnsi="Times New Roman" w:cs="Times New Roman"/>
        </w:rPr>
        <w:t>(Rubio Rios, 2018)</w:t>
      </w:r>
      <w:r w:rsidR="000652E0">
        <w:rPr>
          <w:rFonts w:ascii="Times New Roman" w:eastAsia="Times New Roman" w:hAnsi="Times New Roman" w:cs="Times New Roman"/>
          <w:szCs w:val="24"/>
        </w:rPr>
        <w:fldChar w:fldCharType="end"/>
      </w:r>
      <w:r w:rsidR="000652E0">
        <w:rPr>
          <w:rFonts w:ascii="Times New Roman" w:eastAsia="Times New Roman" w:hAnsi="Times New Roman" w:cs="Times New Roman"/>
          <w:szCs w:val="24"/>
        </w:rPr>
        <w:t xml:space="preserve">, </w:t>
      </w:r>
      <w:r w:rsidRPr="0064052D">
        <w:rPr>
          <w:rFonts w:ascii="Times New Roman" w:eastAsia="Times New Roman" w:hAnsi="Times New Roman" w:cs="Times New Roman"/>
          <w:szCs w:val="24"/>
        </w:rPr>
        <w:t xml:space="preserve">quien menciona que diferentes especies de </w:t>
      </w:r>
      <w:r w:rsidRPr="0064052D">
        <w:rPr>
          <w:rFonts w:ascii="Times New Roman" w:eastAsia="Times New Roman" w:hAnsi="Times New Roman" w:cs="Times New Roman"/>
          <w:i/>
          <w:iCs/>
          <w:szCs w:val="24"/>
        </w:rPr>
        <w:t>Fusarium</w:t>
      </w:r>
      <w:r w:rsidRPr="0064052D">
        <w:rPr>
          <w:rFonts w:ascii="Times New Roman" w:eastAsia="Times New Roman" w:hAnsi="Times New Roman" w:cs="Times New Roman"/>
          <w:szCs w:val="24"/>
        </w:rPr>
        <w:t xml:space="preserve"> son consideradas como un complejo fitopatogénico que en condiciones favorables causan marchitez. Cabe mencionar que los ITS es una región genérica para definir complejos de </w:t>
      </w:r>
      <w:r w:rsidRPr="0064052D">
        <w:rPr>
          <w:rFonts w:ascii="Times New Roman" w:eastAsia="Times New Roman" w:hAnsi="Times New Roman" w:cs="Times New Roman"/>
          <w:i/>
          <w:iCs/>
          <w:szCs w:val="24"/>
        </w:rPr>
        <w:t xml:space="preserve">Fusarium </w:t>
      </w:r>
      <w:r w:rsidRPr="0064052D">
        <w:rPr>
          <w:rFonts w:ascii="Times New Roman" w:eastAsia="Times New Roman" w:hAnsi="Times New Roman" w:cs="Times New Roman"/>
          <w:szCs w:val="24"/>
        </w:rPr>
        <w:t xml:space="preserve">y se </w:t>
      </w:r>
      <w:r w:rsidRPr="0064052D">
        <w:rPr>
          <w:rFonts w:ascii="Times New Roman" w:eastAsia="Times New Roman" w:hAnsi="Times New Roman" w:cs="Times New Roman"/>
          <w:szCs w:val="24"/>
        </w:rPr>
        <w:lastRenderedPageBreak/>
        <w:t xml:space="preserve">recomienda otros genes o regiones más consistentes como IGS, Factor de elongación, RPB-2, B-tubulina etc., tal como lo mencionan </w:t>
      </w:r>
      <w:r w:rsidR="00431D20">
        <w:rPr>
          <w:rFonts w:ascii="Times New Roman" w:eastAsia="Times New Roman" w:hAnsi="Times New Roman" w:cs="Times New Roman"/>
          <w:szCs w:val="24"/>
        </w:rPr>
        <w:fldChar w:fldCharType="begin"/>
      </w:r>
      <w:r w:rsidR="00431D20">
        <w:rPr>
          <w:rFonts w:ascii="Times New Roman" w:eastAsia="Times New Roman" w:hAnsi="Times New Roman" w:cs="Times New Roman"/>
          <w:szCs w:val="24"/>
        </w:rPr>
        <w:instrText xml:space="preserve"> ADDIN ZOTERO_ITEM CSL_CITATION {"citationID":"cVXttglL","properties":{"formattedCitation":"(L\\uc0\\u243{}pez-Bautista et\\uc0\\u160{}al., 2020)","plainCitation":"(López-Bautista et al., 2020)","noteIndex":0},"citationItems":[{"id":93,"uris":["http://zotero.org/users/local/SJHdbt7z/items/N2HH45AS"],"itemData":{"id":93,"type":"article-journal","container-title":"Revista mexicana de fitopatología","DOI":"10.18781/r.mex.fit.1911-4","ISSN":"0185-3309","issue":"1","language":"es","page":"79-106","source":"SciELO","title":"Caracterización morfológica y molecular de Fusarium spp. asociados a la ocurrencia regional de marchitez y pudrición seca del cogollo en Agave tequilana","volume":"38","author":[{"family":"López-Bautista","given":"Viridiana"},{"family":"Mora-Aguilera","given":"Gustavo"},{"family":"Gutiérrez-Espinosa","given":"María Alejandra"},{"family":"Mendoza-Ramos","given":"Coral"},{"family":"Martínez-Bustamante","given":"Verónica Inés"},{"family":"Coria-Contreras","given":"Juan José"},{"family":"Acevedo-Sánchez","given":"Gerardo"},{"family":"Santana-Peñaloza","given":"Baldemar"}],"issued":{"date-parts":[["2020"]]}}}],"schema":"https://github.com/citation-style-language/schema/raw/master/csl-citation.json"} </w:instrText>
      </w:r>
      <w:r w:rsidR="00431D20">
        <w:rPr>
          <w:rFonts w:ascii="Times New Roman" w:eastAsia="Times New Roman" w:hAnsi="Times New Roman" w:cs="Times New Roman"/>
          <w:szCs w:val="24"/>
        </w:rPr>
        <w:fldChar w:fldCharType="separate"/>
      </w:r>
      <w:r w:rsidR="00431D20" w:rsidRPr="00431D20">
        <w:rPr>
          <w:rFonts w:ascii="Times New Roman" w:hAnsi="Times New Roman" w:cs="Times New Roman"/>
        </w:rPr>
        <w:t>(López-Bautista et al., 2020)</w:t>
      </w:r>
      <w:r w:rsidR="00431D20">
        <w:rPr>
          <w:rFonts w:ascii="Times New Roman" w:eastAsia="Times New Roman" w:hAnsi="Times New Roman" w:cs="Times New Roman"/>
          <w:szCs w:val="24"/>
        </w:rPr>
        <w:fldChar w:fldCharType="end"/>
      </w:r>
      <w:r w:rsidRPr="0064052D">
        <w:rPr>
          <w:rFonts w:ascii="Times New Roman" w:eastAsia="Times New Roman" w:hAnsi="Times New Roman" w:cs="Times New Roman"/>
          <w:szCs w:val="24"/>
        </w:rPr>
        <w:t xml:space="preserve"> y </w:t>
      </w:r>
      <w:r w:rsidR="00431D20">
        <w:rPr>
          <w:rFonts w:ascii="Times New Roman" w:eastAsia="Times New Roman" w:hAnsi="Times New Roman" w:cs="Times New Roman"/>
          <w:szCs w:val="24"/>
        </w:rPr>
        <w:fldChar w:fldCharType="begin"/>
      </w:r>
      <w:r w:rsidR="00431D20">
        <w:rPr>
          <w:rFonts w:ascii="Times New Roman" w:eastAsia="Times New Roman" w:hAnsi="Times New Roman" w:cs="Times New Roman"/>
          <w:szCs w:val="24"/>
        </w:rPr>
        <w:instrText xml:space="preserve"> ADDIN ZOTERO_ITEM CSL_CITATION {"citationID":"vUgc0pdB","properties":{"formattedCitation":"(Mendoza-Ramos et\\uc0\\u160{}al., 2021)","plainCitation":"(Mendoza-Ramos et al., 2021)","noteIndex":0},"citationItems":[{"id":95,"uris":["http://zotero.org/users/local/SJHdbt7z/items/CXNZYDPD"],"itemData":{"id":95,"type":"article-journal","container-title":"Revista mexicana de fitopatología","DOI":"10.18781/r.mex.fit.2006-8","ISSN":"0185-3309","issue":"1","language":"es","page":"94-121","source":"SciELO","title":"Fusarium spp. y estimación de carga de inóculo asociados a hijuelos de Agave tequilana en diferentes niveles de inductividad epidémica regional","volume":"39","author":[{"family":"Mendoza-Ramos","given":"Coral"},{"family":"Mora-Aguilera","given":"Gustavo"},{"family":"Coria-Contreras","given":"Juan José"},{"family":"Santana-Peñaloza","given":"Baldemar"},{"family":"Acevedo-Sánchez","given":"Gerardo"},{"family":"Martínez-Bustamante","given":"Verónica"},{"family":"Gutiérrez-Espinosa","given":"María Alejandra"},{"family":"Rubio-Cortés","given":"Ramón"}],"issued":{"date-parts":[["2021"]]}}}],"schema":"https://github.com/citation-style-language/schema/raw/master/csl-citation.json"} </w:instrText>
      </w:r>
      <w:r w:rsidR="00431D20">
        <w:rPr>
          <w:rFonts w:ascii="Times New Roman" w:eastAsia="Times New Roman" w:hAnsi="Times New Roman" w:cs="Times New Roman"/>
          <w:szCs w:val="24"/>
        </w:rPr>
        <w:fldChar w:fldCharType="separate"/>
      </w:r>
      <w:r w:rsidR="00431D20" w:rsidRPr="00431D20">
        <w:rPr>
          <w:rFonts w:ascii="Times New Roman" w:hAnsi="Times New Roman" w:cs="Times New Roman"/>
        </w:rPr>
        <w:t>(Mendoza-Ramos et al., 2021)</w:t>
      </w:r>
      <w:r w:rsidR="00431D20">
        <w:rPr>
          <w:rFonts w:ascii="Times New Roman" w:eastAsia="Times New Roman" w:hAnsi="Times New Roman" w:cs="Times New Roman"/>
          <w:szCs w:val="24"/>
        </w:rPr>
        <w:fldChar w:fldCharType="end"/>
      </w:r>
      <w:r w:rsidR="00431D20">
        <w:rPr>
          <w:rFonts w:ascii="Times New Roman" w:eastAsia="Times New Roman" w:hAnsi="Times New Roman" w:cs="Times New Roman"/>
          <w:szCs w:val="24"/>
        </w:rPr>
        <w:t xml:space="preserve"> </w:t>
      </w:r>
      <w:r w:rsidRPr="0064052D">
        <w:rPr>
          <w:rFonts w:ascii="Times New Roman" w:eastAsia="Times New Roman" w:hAnsi="Times New Roman" w:cs="Times New Roman"/>
          <w:szCs w:val="24"/>
        </w:rPr>
        <w:t xml:space="preserve">en los estudios realizados en </w:t>
      </w:r>
      <w:r w:rsidRPr="0064052D">
        <w:rPr>
          <w:rFonts w:ascii="Times New Roman" w:eastAsia="Times New Roman" w:hAnsi="Times New Roman" w:cs="Times New Roman"/>
          <w:i/>
          <w:iCs/>
          <w:szCs w:val="24"/>
        </w:rPr>
        <w:t>Agave tequilana</w:t>
      </w:r>
      <w:r w:rsidRPr="0064052D">
        <w:rPr>
          <w:rFonts w:ascii="Times New Roman" w:eastAsia="Times New Roman" w:hAnsi="Times New Roman" w:cs="Times New Roman"/>
          <w:szCs w:val="24"/>
        </w:rPr>
        <w:t xml:space="preserve"> dañados por </w:t>
      </w:r>
      <w:r w:rsidRPr="0064052D">
        <w:rPr>
          <w:rFonts w:ascii="Times New Roman" w:eastAsia="Times New Roman" w:hAnsi="Times New Roman" w:cs="Times New Roman"/>
          <w:i/>
          <w:iCs/>
          <w:szCs w:val="24"/>
        </w:rPr>
        <w:t>Fusarium spp.</w:t>
      </w:r>
      <w:r w:rsidRPr="0064052D">
        <w:rPr>
          <w:rFonts w:ascii="Times New Roman" w:eastAsia="Times New Roman" w:hAnsi="Times New Roman" w:cs="Times New Roman"/>
          <w:szCs w:val="24"/>
        </w:rPr>
        <w:t xml:space="preserve"> Por otra parte, el análisis filogenético realizado </w:t>
      </w:r>
      <w:r w:rsidR="009A6338">
        <w:rPr>
          <w:rFonts w:ascii="Times New Roman" w:eastAsia="Times New Roman" w:hAnsi="Times New Roman" w:cs="Times New Roman"/>
          <w:szCs w:val="24"/>
        </w:rPr>
        <w:t>indica que</w:t>
      </w:r>
      <w:r w:rsidRPr="0064052D">
        <w:rPr>
          <w:rFonts w:ascii="Times New Roman" w:eastAsia="Times New Roman" w:hAnsi="Times New Roman" w:cs="Times New Roman"/>
          <w:szCs w:val="24"/>
        </w:rPr>
        <w:t xml:space="preserve"> las cepas FUSA, FUSB y </w:t>
      </w:r>
      <w:r w:rsidR="00431D20" w:rsidRPr="0064052D">
        <w:rPr>
          <w:rFonts w:ascii="Times New Roman" w:eastAsia="Times New Roman" w:hAnsi="Times New Roman" w:cs="Times New Roman"/>
          <w:szCs w:val="24"/>
        </w:rPr>
        <w:t>FUSC,</w:t>
      </w:r>
      <w:r w:rsidRPr="0064052D">
        <w:rPr>
          <w:rFonts w:ascii="Times New Roman" w:eastAsia="Times New Roman" w:hAnsi="Times New Roman" w:cs="Times New Roman"/>
          <w:szCs w:val="24"/>
        </w:rPr>
        <w:t xml:space="preserve"> aunque pertenecen a </w:t>
      </w:r>
      <w:r w:rsidRPr="0064052D">
        <w:rPr>
          <w:rFonts w:ascii="Times New Roman" w:eastAsia="Times New Roman" w:hAnsi="Times New Roman" w:cs="Times New Roman"/>
          <w:i/>
          <w:iCs/>
          <w:szCs w:val="24"/>
        </w:rPr>
        <w:t>Fusarium</w:t>
      </w:r>
      <w:r w:rsidRPr="0064052D">
        <w:rPr>
          <w:rFonts w:ascii="Times New Roman" w:eastAsia="Times New Roman" w:hAnsi="Times New Roman" w:cs="Times New Roman"/>
          <w:szCs w:val="24"/>
        </w:rPr>
        <w:t xml:space="preserve"> son diferentes entre ellas, ya que cada una se agrupan con otros grupos debido a sus características genéticas. Esto coincide con</w:t>
      </w:r>
      <w:r w:rsidR="000652E0">
        <w:rPr>
          <w:rFonts w:ascii="Times New Roman" w:eastAsia="Times New Roman" w:hAnsi="Times New Roman" w:cs="Times New Roman"/>
          <w:szCs w:val="24"/>
        </w:rPr>
        <w:t xml:space="preserve"> </w:t>
      </w:r>
      <w:r w:rsidR="000652E0">
        <w:rPr>
          <w:rFonts w:ascii="Times New Roman" w:eastAsia="Times New Roman" w:hAnsi="Times New Roman" w:cs="Times New Roman"/>
          <w:szCs w:val="24"/>
        </w:rPr>
        <w:fldChar w:fldCharType="begin"/>
      </w:r>
      <w:r w:rsidR="00DC5174">
        <w:rPr>
          <w:rFonts w:ascii="Times New Roman" w:eastAsia="Times New Roman" w:hAnsi="Times New Roman" w:cs="Times New Roman"/>
          <w:szCs w:val="24"/>
        </w:rPr>
        <w:instrText xml:space="preserve"> ADDIN ZOTERO_ITEM CSL_CITATION {"citationID":"9FYe7u3p","properties":{"formattedCitation":"(Aiyaz et\\uc0\\u160{}al., 2016)","plainCitation":"(Aiyaz et al., 2016)","noteIndex":0},"citationItems":[{"id":46,"uris":["http://zotero.org/users/local/SJHdbt7z/items/J3D5AILL"],"itemData":{"id":46,"type":"article-journal","abstract":"A total of 106 maize seed samples were collected from different agro-climatic regions of India. Sixty-two  Fusarium  isolates were recovered, 90% of which were identified as Fusarium verticillioides  based on morphological and molecular characters. Use of the tef-1α gene corrected/refined the morphological species identifications of 11 isolates, and confirmed those of the remaining isolates. Genetic diversity among the Fusarium  isolates involved multilocus fingerprinting profiles by Inter Simple Sequence Repeats (ISSR) UPGMA and tef-1α gene phenetic analyses; for which, we observed no significant differences among the isolates based on geographic origin or fumonisin production; most of the subdivision related to species. Genotyping was performed on the  F. verticillioides  isolates, using 12 primer sets from the fumonisin pathway, to elucidate the molec-ular basis of fumonisin production or non-production. One fumonisin-negative isolate, UOMMF-16, was unable to amplify nine of the 12 fumonisin cluster genes tested. We also used the CD-ELISA method to confirm fumonisin production for our 62  Fusarium  isolates. Only 15 isolates were found to be fumonisin-negative. Interestingly, genotypic characterization re-vealed six isolates with various gene deletion patterns that also tested positive for the production of fumonisins via CD-ELISA. Our findings confirm the importance of molecular studies for species delimitation, and for observing genetic and phenotypic diversity, among the Fusaria.","container-title":"Current Genomics","DOI":"10.2174/1389202917666151116213056","ISSN":"1389-2029","issue":"2","journalAbbreviation":"Curr Genomics","page":"132-144","PMID":"27226769","PMCID":"PMC4864842","source":"PubMed Central","title":"Molecular Diversity of Seed-borne  Fusarium Species Associated with Maize in India","volume":"17","author":[{"family":"Aiyaz","given":"Mohammed"},{"family":"Divakara","given":"Shetty Thimmappa"},{"family":"Mudili","given":"Venkataramana"},{"family":"Moore","given":"Geromy George"},{"family":"Gupta","given":"Vijai Kumar"},{"family":"Yli-Mattila","given":"Tapani"},{"family":"Nayaka","given":"Siddaiah Chandra"},{"family":"Niranjana","given":"Siddapura Ramachandrappa"}],"issued":{"date-parts":[["2016",4]]}}}],"schema":"https://github.com/citation-style-language/schema/raw/master/csl-citation.json"} </w:instrText>
      </w:r>
      <w:r w:rsidR="000652E0">
        <w:rPr>
          <w:rFonts w:ascii="Times New Roman" w:eastAsia="Times New Roman" w:hAnsi="Times New Roman" w:cs="Times New Roman"/>
          <w:szCs w:val="24"/>
        </w:rPr>
        <w:fldChar w:fldCharType="separate"/>
      </w:r>
      <w:r w:rsidR="000652E0" w:rsidRPr="000652E0">
        <w:rPr>
          <w:rFonts w:ascii="Times New Roman" w:hAnsi="Times New Roman" w:cs="Times New Roman"/>
        </w:rPr>
        <w:t>(Aiyaz et al., 2016)</w:t>
      </w:r>
      <w:r w:rsidR="000652E0">
        <w:rPr>
          <w:rFonts w:ascii="Times New Roman" w:eastAsia="Times New Roman" w:hAnsi="Times New Roman" w:cs="Times New Roman"/>
          <w:szCs w:val="24"/>
        </w:rPr>
        <w:fldChar w:fldCharType="end"/>
      </w:r>
      <w:r w:rsidR="000652E0">
        <w:rPr>
          <w:rFonts w:ascii="Times New Roman" w:eastAsia="Times New Roman" w:hAnsi="Times New Roman" w:cs="Times New Roman"/>
          <w:szCs w:val="24"/>
        </w:rPr>
        <w:t>,</w:t>
      </w:r>
      <w:r w:rsidRPr="0064052D">
        <w:rPr>
          <w:rFonts w:ascii="Times New Roman" w:eastAsia="Times New Roman" w:hAnsi="Times New Roman" w:cs="Times New Roman"/>
          <w:szCs w:val="24"/>
        </w:rPr>
        <w:t xml:space="preserve"> quienes indican una comprensión mayor de las enfermedades causadas por </w:t>
      </w:r>
      <w:r w:rsidRPr="0064052D">
        <w:rPr>
          <w:rFonts w:ascii="Times New Roman" w:eastAsia="Times New Roman" w:hAnsi="Times New Roman" w:cs="Times New Roman"/>
          <w:i/>
          <w:iCs/>
          <w:szCs w:val="24"/>
        </w:rPr>
        <w:t>Fusarium</w:t>
      </w:r>
      <w:r w:rsidRPr="0064052D">
        <w:rPr>
          <w:rFonts w:ascii="Times New Roman" w:eastAsia="Times New Roman" w:hAnsi="Times New Roman" w:cs="Times New Roman"/>
          <w:szCs w:val="24"/>
        </w:rPr>
        <w:t xml:space="preserve"> al comprobarse mediante herramientas genéticas y filogenéticas.</w:t>
      </w:r>
    </w:p>
    <w:p w14:paraId="53B1DAC4" w14:textId="69245684" w:rsidR="003D550B" w:rsidRDefault="00431D20" w:rsidP="00431D20">
      <w:pPr>
        <w:spacing w:line="276" w:lineRule="auto"/>
        <w:jc w:val="both"/>
        <w:rPr>
          <w:rFonts w:ascii="Times New Roman" w:eastAsia="Times New Roman" w:hAnsi="Times New Roman" w:cs="Times New Roman"/>
          <w:bCs/>
          <w:szCs w:val="24"/>
        </w:rPr>
      </w:pPr>
      <w:r w:rsidRPr="00431D20">
        <w:rPr>
          <w:rFonts w:ascii="Times New Roman" w:eastAsia="Times New Roman" w:hAnsi="Times New Roman" w:cs="Times New Roman"/>
          <w:szCs w:val="24"/>
        </w:rPr>
        <w:t xml:space="preserve">En relación con los resultados de antagonismo, es importante mencionar que para el Estado de México no hay reportes donde evalúen el efecto de </w:t>
      </w:r>
      <w:r w:rsidRPr="00431D20">
        <w:rPr>
          <w:rFonts w:ascii="Times New Roman" w:eastAsia="Times New Roman" w:hAnsi="Times New Roman" w:cs="Times New Roman"/>
          <w:i/>
          <w:iCs/>
          <w:szCs w:val="24"/>
        </w:rPr>
        <w:t>T. longibranchiatum</w:t>
      </w:r>
      <w:r w:rsidRPr="00431D20">
        <w:rPr>
          <w:rFonts w:ascii="Times New Roman" w:eastAsia="Times New Roman" w:hAnsi="Times New Roman" w:cs="Times New Roman"/>
          <w:szCs w:val="24"/>
        </w:rPr>
        <w:t xml:space="preserve"> como antagonista. Este estudio </w:t>
      </w:r>
      <w:r w:rsidRPr="00431D20">
        <w:rPr>
          <w:rFonts w:ascii="Times New Roman" w:eastAsia="Times New Roman" w:hAnsi="Times New Roman" w:cs="Times New Roman"/>
          <w:i/>
          <w:iCs/>
          <w:szCs w:val="24"/>
        </w:rPr>
        <w:t>in vitro</w:t>
      </w:r>
      <w:r w:rsidRPr="00431D20">
        <w:rPr>
          <w:rFonts w:ascii="Times New Roman" w:eastAsia="Times New Roman" w:hAnsi="Times New Roman" w:cs="Times New Roman"/>
          <w:szCs w:val="24"/>
        </w:rPr>
        <w:t xml:space="preserve"> reveló que </w:t>
      </w:r>
      <w:r w:rsidRPr="00431D20">
        <w:rPr>
          <w:rFonts w:ascii="Times New Roman" w:eastAsia="Times New Roman" w:hAnsi="Times New Roman" w:cs="Times New Roman"/>
          <w:i/>
          <w:iCs/>
          <w:szCs w:val="24"/>
        </w:rPr>
        <w:t>T. longibrachiatum</w:t>
      </w:r>
      <w:r w:rsidRPr="00431D20">
        <w:rPr>
          <w:rFonts w:ascii="Times New Roman" w:eastAsia="Times New Roman" w:hAnsi="Times New Roman" w:cs="Times New Roman"/>
          <w:szCs w:val="24"/>
        </w:rPr>
        <w:t xml:space="preserve"> controla eficazmente al complejo </w:t>
      </w:r>
      <w:r w:rsidRPr="00431D20">
        <w:rPr>
          <w:rFonts w:ascii="Times New Roman" w:eastAsia="Times New Roman" w:hAnsi="Times New Roman" w:cs="Times New Roman"/>
          <w:i/>
          <w:iCs/>
          <w:szCs w:val="24"/>
        </w:rPr>
        <w:t>F. oxysporum</w:t>
      </w:r>
      <w:r w:rsidRPr="00431D20">
        <w:rPr>
          <w:rFonts w:ascii="Times New Roman" w:eastAsia="Times New Roman" w:hAnsi="Times New Roman" w:cs="Times New Roman"/>
          <w:szCs w:val="24"/>
        </w:rPr>
        <w:t xml:space="preserve"> (FOSC) reportándose un rango de inhibición del 72.1 al 83.6% y fue posible exhibir los mecanismos de acción hacia las tres cepas del complejo FOSC como</w:t>
      </w:r>
      <w:r>
        <w:rPr>
          <w:rFonts w:ascii="Times New Roman" w:eastAsia="Times New Roman" w:hAnsi="Times New Roman" w:cs="Times New Roman"/>
          <w:szCs w:val="24"/>
        </w:rPr>
        <w:t xml:space="preserve"> </w:t>
      </w:r>
      <w:r w:rsidRPr="00431D20">
        <w:rPr>
          <w:rFonts w:ascii="Times New Roman" w:eastAsia="Times New Roman" w:hAnsi="Times New Roman" w:cs="Times New Roman"/>
          <w:bCs/>
          <w:szCs w:val="24"/>
        </w:rPr>
        <w:t xml:space="preserve">la competencia por espacio y nutrientes, micoparasitismo y posible antibiosis. La cepa FUSB presentó mayor inhibición con respecto a las cepas FUSA y FUSC del complejo FOSC. Lo que evidencia que </w:t>
      </w:r>
      <w:r w:rsidRPr="00431D20">
        <w:rPr>
          <w:rFonts w:ascii="Times New Roman" w:eastAsia="Times New Roman" w:hAnsi="Times New Roman" w:cs="Times New Roman"/>
          <w:bCs/>
          <w:i/>
          <w:iCs/>
          <w:szCs w:val="24"/>
        </w:rPr>
        <w:t>T. longibranchiatum</w:t>
      </w:r>
      <w:r w:rsidRPr="00431D20">
        <w:rPr>
          <w:rFonts w:ascii="Times New Roman" w:eastAsia="Times New Roman" w:hAnsi="Times New Roman" w:cs="Times New Roman"/>
          <w:bCs/>
          <w:szCs w:val="24"/>
        </w:rPr>
        <w:t xml:space="preserve"> tiene que activar su metabolismo con diferentes estrategias hacia el complejo </w:t>
      </w:r>
      <w:r w:rsidRPr="00431D20">
        <w:rPr>
          <w:rFonts w:ascii="Times New Roman" w:eastAsia="Times New Roman" w:hAnsi="Times New Roman" w:cs="Times New Roman"/>
          <w:bCs/>
          <w:i/>
          <w:iCs/>
          <w:szCs w:val="24"/>
        </w:rPr>
        <w:t>Fusarium</w:t>
      </w:r>
      <w:r w:rsidRPr="00431D20">
        <w:rPr>
          <w:rFonts w:ascii="Times New Roman" w:eastAsia="Times New Roman" w:hAnsi="Times New Roman" w:cs="Times New Roman"/>
          <w:bCs/>
          <w:szCs w:val="24"/>
        </w:rPr>
        <w:t xml:space="preserve">, ya que puede reconocer que son diferentes entre ellas. Estos resultados coinciden con los estudios realizados por </w:t>
      </w:r>
      <w:r w:rsidR="000652E0">
        <w:rPr>
          <w:rFonts w:ascii="Times New Roman" w:eastAsia="Times New Roman" w:hAnsi="Times New Roman" w:cs="Times New Roman"/>
          <w:bCs/>
          <w:szCs w:val="24"/>
        </w:rPr>
        <w:fldChar w:fldCharType="begin"/>
      </w:r>
      <w:r w:rsidR="00DC5174">
        <w:rPr>
          <w:rFonts w:ascii="Times New Roman" w:eastAsia="Times New Roman" w:hAnsi="Times New Roman" w:cs="Times New Roman"/>
          <w:bCs/>
          <w:szCs w:val="24"/>
        </w:rPr>
        <w:instrText xml:space="preserve"> ADDIN ZOTERO_ITEM CSL_CITATION {"citationID":"HFWOOoZC","properties":{"formattedCitation":"(S\\uc0\\u225{}nchez-Garc\\uc0\\u237{}a et\\uc0\\u160{}al., 2017)","plainCitation":"(Sánchez-García et al., 2017)","noteIndex":0},"citationItems":[{"id":38,"uris":["http://zotero.org/users/local/SJHdbt7z/items/Y5KH7P4Q"],"itemData":{"id":38,"type":"article-journal","container-title":"Agrociencia","ISSN":"1405-3195","issue":"1","language":"es","page":"63-79","publisher":"Colegio de Postgraduados","source":"SciELO","title":"Identificación molecular y evaluación antagónica in vitro de cepas nativas de Trichoderma spp. sobre hongos fitopatógenos de raíz en frijol (Phaseolus vulgaris L.) cv. Montcalm","volume":"51","author":[{"family":"Sánchez-García","given":"Bertha M."},{"family":"Espinosa-Huerta","given":"Elsa"},{"family":"Villordo-Pineda","given":"Emiliano"},{"family":"Rodríguez-Guerra","given":"Raúl"},{"family":"Mora-Avilés","given":"María A."},{"family":"Sánchez-García","given":"Bertha M."},{"family":"Espinosa-Huerta","given":"Elsa"},{"family":"Villordo-Pineda","given":"Emiliano"},{"family":"Rodríguez-Guerra","given":"Raúl"},{"family":"Mora-Avilés","given":"María A."}],"issued":{"date-parts":[["2017",2]]}}}],"schema":"https://github.com/citation-style-language/schema/raw/master/csl-citation.json"} </w:instrText>
      </w:r>
      <w:r w:rsidR="000652E0">
        <w:rPr>
          <w:rFonts w:ascii="Times New Roman" w:eastAsia="Times New Roman" w:hAnsi="Times New Roman" w:cs="Times New Roman"/>
          <w:bCs/>
          <w:szCs w:val="24"/>
        </w:rPr>
        <w:fldChar w:fldCharType="separate"/>
      </w:r>
      <w:r w:rsidR="000652E0" w:rsidRPr="000652E0">
        <w:rPr>
          <w:rFonts w:ascii="Times New Roman" w:hAnsi="Times New Roman" w:cs="Times New Roman"/>
        </w:rPr>
        <w:t>(Sánchez-García et al., 2017)</w:t>
      </w:r>
      <w:r w:rsidR="000652E0">
        <w:rPr>
          <w:rFonts w:ascii="Times New Roman" w:eastAsia="Times New Roman" w:hAnsi="Times New Roman" w:cs="Times New Roman"/>
          <w:bCs/>
          <w:szCs w:val="24"/>
        </w:rPr>
        <w:fldChar w:fldCharType="end"/>
      </w:r>
      <w:r w:rsidR="000652E0">
        <w:rPr>
          <w:rFonts w:ascii="Times New Roman" w:eastAsia="Times New Roman" w:hAnsi="Times New Roman" w:cs="Times New Roman"/>
          <w:bCs/>
          <w:szCs w:val="24"/>
        </w:rPr>
        <w:t xml:space="preserve"> </w:t>
      </w:r>
      <w:r w:rsidRPr="00431D20">
        <w:rPr>
          <w:rFonts w:ascii="Times New Roman" w:eastAsia="Times New Roman" w:hAnsi="Times New Roman" w:cs="Times New Roman"/>
          <w:bCs/>
          <w:szCs w:val="24"/>
        </w:rPr>
        <w:t xml:space="preserve">quienes demostraron el micoparasitismo de aislados de </w:t>
      </w:r>
      <w:r w:rsidRPr="00431D20">
        <w:rPr>
          <w:rFonts w:ascii="Times New Roman" w:eastAsia="Times New Roman" w:hAnsi="Times New Roman" w:cs="Times New Roman"/>
          <w:bCs/>
          <w:i/>
          <w:iCs/>
          <w:szCs w:val="24"/>
        </w:rPr>
        <w:t>Trichoderma</w:t>
      </w:r>
      <w:r w:rsidRPr="00431D20">
        <w:rPr>
          <w:rFonts w:ascii="Times New Roman" w:eastAsia="Times New Roman" w:hAnsi="Times New Roman" w:cs="Times New Roman"/>
          <w:bCs/>
          <w:szCs w:val="24"/>
        </w:rPr>
        <w:t xml:space="preserve"> sobre </w:t>
      </w:r>
      <w:r w:rsidRPr="00431D20">
        <w:rPr>
          <w:rFonts w:ascii="Times New Roman" w:eastAsia="Times New Roman" w:hAnsi="Times New Roman" w:cs="Times New Roman"/>
          <w:bCs/>
          <w:i/>
          <w:iCs/>
          <w:szCs w:val="24"/>
        </w:rPr>
        <w:t>Fusarium</w:t>
      </w:r>
      <w:r w:rsidRPr="00431D20">
        <w:rPr>
          <w:rFonts w:ascii="Times New Roman" w:eastAsia="Times New Roman" w:hAnsi="Times New Roman" w:cs="Times New Roman"/>
          <w:bCs/>
          <w:szCs w:val="24"/>
        </w:rPr>
        <w:t xml:space="preserve"> y </w:t>
      </w:r>
      <w:r w:rsidRPr="00431D20">
        <w:rPr>
          <w:rFonts w:ascii="Times New Roman" w:eastAsia="Times New Roman" w:hAnsi="Times New Roman" w:cs="Times New Roman"/>
          <w:bCs/>
          <w:i/>
          <w:iCs/>
          <w:szCs w:val="24"/>
        </w:rPr>
        <w:t>Rhizoctonia solani</w:t>
      </w:r>
      <w:r w:rsidRPr="00431D20">
        <w:rPr>
          <w:rFonts w:ascii="Times New Roman" w:eastAsia="Times New Roman" w:hAnsi="Times New Roman" w:cs="Times New Roman"/>
          <w:bCs/>
          <w:szCs w:val="24"/>
        </w:rPr>
        <w:t xml:space="preserve">, esto por medio de formación de haustorios sobre las hifas de estos hongos. Por  otro lado, al comparar estos resultados con los obtenidos por </w:t>
      </w:r>
      <w:r w:rsidRPr="00431D20">
        <w:rPr>
          <w:rFonts w:ascii="Times New Roman" w:eastAsia="Times New Roman" w:hAnsi="Times New Roman" w:cs="Times New Roman"/>
          <w:bCs/>
          <w:szCs w:val="24"/>
        </w:rPr>
        <w:fldChar w:fldCharType="begin"/>
      </w:r>
      <w:r w:rsidR="00DC5174">
        <w:rPr>
          <w:rFonts w:ascii="Times New Roman" w:eastAsia="Times New Roman" w:hAnsi="Times New Roman" w:cs="Times New Roman"/>
          <w:bCs/>
          <w:szCs w:val="24"/>
        </w:rPr>
        <w:instrText xml:space="preserve"> ADDIN ZOTERO_ITEM CSL_CITATION {"citationID":"qivTmNty","properties":{"formattedCitation":"(Alburqueque Andrade &amp; Gusqui Mata, 2018)","plainCitation":"(Alburqueque Andrade &amp; Gusqui Mata, 2018)","dontUpdate":true,"noteIndex":0},"citationItems":[{"id":40,"uris":["http://zotero.org/users/local/SJHdbt7z/items/BHZMWQUZ"],"itemData":{"id":40,"type":"article-journal","container-title":"Arnaldoa","DOI":"10.22497/arnaldoa.252.25209","ISSN":"2413-3299","issue":"2","page":"489-498","publisher":"Universidad Privada Antenor Orrego","source":"SciELO","title":"Eficacia de fungicidas químicos para el control in vitro de diferentes fitopatógenos en condiciones controladas","volume":"25","author":[{"family":"Alburqueque Andrade","given":"Diana"},{"family":"Gusqui Mata","given":"Roberto"}],"issued":{"date-parts":[["2018",7]]}}}],"schema":"https://github.com/citation-style-language/schema/raw/master/csl-citation.json"} </w:instrText>
      </w:r>
      <w:r w:rsidRPr="00431D20">
        <w:rPr>
          <w:rFonts w:ascii="Times New Roman" w:eastAsia="Times New Roman" w:hAnsi="Times New Roman" w:cs="Times New Roman"/>
          <w:bCs/>
          <w:szCs w:val="24"/>
        </w:rPr>
        <w:fldChar w:fldCharType="separate"/>
      </w:r>
      <w:r w:rsidRPr="00431D20">
        <w:rPr>
          <w:rFonts w:ascii="Times New Roman" w:eastAsia="Times New Roman" w:hAnsi="Times New Roman" w:cs="Times New Roman"/>
          <w:bCs/>
          <w:szCs w:val="24"/>
        </w:rPr>
        <w:t xml:space="preserve">Alburqueque </w:t>
      </w:r>
      <w:r w:rsidRPr="00431D20">
        <w:rPr>
          <w:rFonts w:ascii="Times New Roman" w:eastAsia="Times New Roman" w:hAnsi="Times New Roman" w:cs="Times New Roman"/>
          <w:bCs/>
          <w:i/>
          <w:szCs w:val="24"/>
        </w:rPr>
        <w:t>et al.</w:t>
      </w:r>
      <w:r w:rsidRPr="00431D20">
        <w:rPr>
          <w:rFonts w:ascii="Times New Roman" w:eastAsia="Times New Roman" w:hAnsi="Times New Roman" w:cs="Times New Roman"/>
          <w:bCs/>
          <w:szCs w:val="24"/>
        </w:rPr>
        <w:t>, (2018)</w:t>
      </w:r>
      <w:r w:rsidRPr="00431D20">
        <w:rPr>
          <w:rFonts w:ascii="Times New Roman" w:eastAsia="Times New Roman" w:hAnsi="Times New Roman" w:cs="Times New Roman"/>
          <w:szCs w:val="24"/>
        </w:rPr>
        <w:fldChar w:fldCharType="end"/>
      </w:r>
      <w:r w:rsidRPr="00431D20">
        <w:rPr>
          <w:rFonts w:ascii="Times New Roman" w:eastAsia="Times New Roman" w:hAnsi="Times New Roman" w:cs="Times New Roman"/>
          <w:bCs/>
          <w:szCs w:val="24"/>
        </w:rPr>
        <w:t xml:space="preserve"> reportan que el fungicida sulfato de cobre pentahidratado resultó ser el mejor tratamiento para el control de </w:t>
      </w:r>
      <w:r w:rsidRPr="00431D20">
        <w:rPr>
          <w:rFonts w:ascii="Times New Roman" w:eastAsia="Times New Roman" w:hAnsi="Times New Roman" w:cs="Times New Roman"/>
          <w:bCs/>
          <w:i/>
          <w:iCs/>
          <w:szCs w:val="24"/>
        </w:rPr>
        <w:t xml:space="preserve">Phytophthora infestans </w:t>
      </w:r>
      <w:r w:rsidRPr="00431D20">
        <w:rPr>
          <w:rFonts w:ascii="Times New Roman" w:eastAsia="Times New Roman" w:hAnsi="Times New Roman" w:cs="Times New Roman"/>
          <w:bCs/>
          <w:szCs w:val="24"/>
        </w:rPr>
        <w:t xml:space="preserve">y </w:t>
      </w:r>
      <w:r w:rsidRPr="00431D20">
        <w:rPr>
          <w:rFonts w:ascii="Times New Roman" w:eastAsia="Times New Roman" w:hAnsi="Times New Roman" w:cs="Times New Roman"/>
          <w:bCs/>
          <w:i/>
          <w:iCs/>
          <w:szCs w:val="24"/>
        </w:rPr>
        <w:t xml:space="preserve">F. oxysporum </w:t>
      </w:r>
      <w:r w:rsidRPr="00431D20">
        <w:rPr>
          <w:rFonts w:ascii="Times New Roman" w:eastAsia="Times New Roman" w:hAnsi="Times New Roman" w:cs="Times New Roman"/>
          <w:bCs/>
          <w:szCs w:val="24"/>
        </w:rPr>
        <w:t>en estudios</w:t>
      </w:r>
      <w:r w:rsidRPr="00431D20">
        <w:rPr>
          <w:rFonts w:ascii="Times New Roman" w:eastAsia="Times New Roman" w:hAnsi="Times New Roman" w:cs="Times New Roman"/>
          <w:bCs/>
          <w:i/>
          <w:iCs/>
          <w:szCs w:val="24"/>
        </w:rPr>
        <w:t xml:space="preserve">  in vitro.</w:t>
      </w:r>
      <w:r w:rsidRPr="00431D20">
        <w:rPr>
          <w:rFonts w:ascii="Times New Roman" w:eastAsia="Times New Roman" w:hAnsi="Times New Roman" w:cs="Times New Roman"/>
          <w:bCs/>
          <w:szCs w:val="24"/>
        </w:rPr>
        <w:t xml:space="preserve"> También se evidenció que el control químico mostró total inhibición del complejo FOSC. Es importante mencionar que, debido a la falta de variedades resistentes a la marchitez por </w:t>
      </w:r>
      <w:r w:rsidRPr="00431D20">
        <w:rPr>
          <w:rFonts w:ascii="Times New Roman" w:eastAsia="Times New Roman" w:hAnsi="Times New Roman" w:cs="Times New Roman"/>
          <w:bCs/>
          <w:i/>
          <w:iCs/>
          <w:szCs w:val="24"/>
        </w:rPr>
        <w:t>Fusarium</w:t>
      </w:r>
      <w:r w:rsidRPr="00431D20">
        <w:rPr>
          <w:rFonts w:ascii="Times New Roman" w:eastAsia="Times New Roman" w:hAnsi="Times New Roman" w:cs="Times New Roman"/>
          <w:bCs/>
          <w:szCs w:val="24"/>
        </w:rPr>
        <w:t xml:space="preserve"> y de biofungicidas eficaces, el control de este hongo depende en gran medida de dosis altas y aplicaciones frecuentes de fungicidas químicos lo que ocasiona una eficacia limitante y fuerte impacto en el ambiente. Por lo que el control biorracional con </w:t>
      </w:r>
      <w:r w:rsidRPr="00431D20">
        <w:rPr>
          <w:rFonts w:ascii="Times New Roman" w:eastAsia="Times New Roman" w:hAnsi="Times New Roman" w:cs="Times New Roman"/>
          <w:bCs/>
          <w:i/>
          <w:iCs/>
          <w:szCs w:val="24"/>
        </w:rPr>
        <w:t>T. longibranchiatum</w:t>
      </w:r>
      <w:r w:rsidRPr="00431D20">
        <w:rPr>
          <w:rFonts w:ascii="Times New Roman" w:eastAsia="Times New Roman" w:hAnsi="Times New Roman" w:cs="Times New Roman"/>
          <w:bCs/>
          <w:szCs w:val="24"/>
        </w:rPr>
        <w:t xml:space="preserve"> es una alternativa ecológica y eficaz en el manejo de especies de </w:t>
      </w:r>
      <w:r w:rsidRPr="00431D20">
        <w:rPr>
          <w:rFonts w:ascii="Times New Roman" w:eastAsia="Times New Roman" w:hAnsi="Times New Roman" w:cs="Times New Roman"/>
          <w:bCs/>
          <w:i/>
          <w:szCs w:val="24"/>
        </w:rPr>
        <w:t>Fusarium</w:t>
      </w:r>
      <w:r w:rsidRPr="00431D20">
        <w:rPr>
          <w:rFonts w:ascii="Times New Roman" w:eastAsia="Times New Roman" w:hAnsi="Times New Roman" w:cs="Times New Roman"/>
          <w:bCs/>
          <w:szCs w:val="24"/>
        </w:rPr>
        <w:t xml:space="preserve"> causantes de la marchitez seca en </w:t>
      </w:r>
      <w:r w:rsidRPr="00431D20">
        <w:rPr>
          <w:rFonts w:ascii="Times New Roman" w:eastAsia="Times New Roman" w:hAnsi="Times New Roman" w:cs="Times New Roman"/>
          <w:bCs/>
          <w:i/>
          <w:iCs/>
          <w:szCs w:val="24"/>
        </w:rPr>
        <w:t>Agave cupreata</w:t>
      </w:r>
      <w:r w:rsidRPr="00431D20">
        <w:rPr>
          <w:rFonts w:ascii="Times New Roman" w:eastAsia="Times New Roman" w:hAnsi="Times New Roman" w:cs="Times New Roman"/>
          <w:bCs/>
          <w:szCs w:val="24"/>
        </w:rPr>
        <w:t>.</w:t>
      </w:r>
    </w:p>
    <w:p w14:paraId="23F3D2BC" w14:textId="3377E5AF" w:rsidR="00DA4310" w:rsidRPr="003F1E3E" w:rsidRDefault="003D550B" w:rsidP="003D550B">
      <w:pPr>
        <w:spacing w:line="276" w:lineRule="auto"/>
        <w:jc w:val="both"/>
        <w:rPr>
          <w:rFonts w:ascii="Times New Roman" w:eastAsia="Times New Roman" w:hAnsi="Times New Roman" w:cs="Times New Roman"/>
          <w:bCs/>
          <w:szCs w:val="24"/>
        </w:rPr>
      </w:pPr>
      <w:r w:rsidRPr="003F1E3E">
        <w:rPr>
          <w:rFonts w:ascii="Times New Roman" w:eastAsia="Times New Roman" w:hAnsi="Times New Roman" w:cs="Times New Roman"/>
          <w:bCs/>
          <w:szCs w:val="24"/>
        </w:rPr>
        <w:t xml:space="preserve">Los resultados obtenidos en este estudio evidencian que las nanopartículas de plata sintetizadas a partir de extracto de </w:t>
      </w:r>
      <w:r w:rsidRPr="003F1E3E">
        <w:rPr>
          <w:rFonts w:ascii="Times New Roman" w:eastAsia="Times New Roman" w:hAnsi="Times New Roman" w:cs="Times New Roman"/>
          <w:bCs/>
          <w:i/>
          <w:iCs/>
          <w:szCs w:val="24"/>
        </w:rPr>
        <w:t>Agave</w:t>
      </w:r>
      <w:r w:rsidRPr="003F1E3E">
        <w:rPr>
          <w:rFonts w:ascii="Times New Roman" w:eastAsia="Times New Roman" w:hAnsi="Times New Roman" w:cs="Times New Roman"/>
          <w:bCs/>
          <w:szCs w:val="24"/>
        </w:rPr>
        <w:t xml:space="preserve"> presentan un efecto antifúngico significativo sobre las cepas evaluadas del complejo </w:t>
      </w:r>
      <w:r w:rsidRPr="003F1E3E">
        <w:rPr>
          <w:rFonts w:ascii="Times New Roman" w:eastAsia="Times New Roman" w:hAnsi="Times New Roman" w:cs="Times New Roman"/>
          <w:bCs/>
          <w:i/>
          <w:iCs/>
          <w:szCs w:val="24"/>
        </w:rPr>
        <w:t>Fusarium</w:t>
      </w:r>
      <w:r w:rsidRPr="003F1E3E">
        <w:rPr>
          <w:rFonts w:ascii="Times New Roman" w:eastAsia="Times New Roman" w:hAnsi="Times New Roman" w:cs="Times New Roman"/>
          <w:bCs/>
          <w:szCs w:val="24"/>
        </w:rPr>
        <w:t xml:space="preserve">, lo cual se reflejó en la alteración estructural del micelio y en la reducción del crecimiento fúngico observada durante los ensayos </w:t>
      </w:r>
      <w:r w:rsidRPr="003F1E3E">
        <w:rPr>
          <w:rFonts w:ascii="Times New Roman" w:eastAsia="Times New Roman" w:hAnsi="Times New Roman" w:cs="Times New Roman"/>
          <w:bCs/>
          <w:i/>
          <w:iCs/>
          <w:szCs w:val="24"/>
        </w:rPr>
        <w:t>in vitro</w:t>
      </w:r>
      <w:r w:rsidRPr="003F1E3E">
        <w:rPr>
          <w:rFonts w:ascii="Times New Roman" w:eastAsia="Times New Roman" w:hAnsi="Times New Roman" w:cs="Times New Roman"/>
          <w:bCs/>
          <w:szCs w:val="24"/>
        </w:rPr>
        <w:t xml:space="preserve">. De manera similar, estudios como el de </w:t>
      </w:r>
      <w:r w:rsidRPr="003F1E3E">
        <w:rPr>
          <w:rFonts w:ascii="Times New Roman" w:eastAsia="Times New Roman" w:hAnsi="Times New Roman" w:cs="Times New Roman"/>
          <w:bCs/>
          <w:szCs w:val="24"/>
        </w:rPr>
        <w:fldChar w:fldCharType="begin"/>
      </w:r>
      <w:r w:rsidRPr="003F1E3E">
        <w:rPr>
          <w:rFonts w:ascii="Times New Roman" w:eastAsia="Times New Roman" w:hAnsi="Times New Roman" w:cs="Times New Roman"/>
          <w:bCs/>
          <w:szCs w:val="24"/>
        </w:rPr>
        <w:instrText xml:space="preserve"> ADDIN ZOTERO_ITEM CSL_CITATION {"citationID":"G99A81FI","properties":{"formattedCitation":"(Khan et\\uc0\\u160{}al., 2021)","plainCitation":"(Khan et al., 2021)","noteIndex":0},"citationItems":[{"id":102,"uris":["http://zotero.org/users/local/SJHdbt7z/items/REIE6PAZ"],"itemData":{"id":102,"type":"article-journal","abstract":"The possibility of using silver nanoparticles (AgNPs) to enhance the plants growth, crop production, and control of plant diseases is currently being ...","container-title":"Molecules","DOI":"10.3390/molecules26092462","ISSN":"1420-3049","issue":"9","language":"en","license":"http://creativecommons.org/licenses/by/3.0/","publisher":"Multidisciplinary Digital Publishing Institute","source":"www.mdpi.com","title":"Antibacterial and Antifungal Studies of Biosynthesized Silver Nanoparticles against Plant Parasitic Nematode Meloidogyne incognita, Plant Pathogens Ralstonia solanacearum and Fusarium oxysporum","URL":"https://www.mdpi.com/1420-3049/26/9/2462","volume":"26","author":[{"family":"Khan","given":"Masudulla"},{"family":"Khan","given":"Azhar U."},{"family":"Bogdanchikova","given":"Nina"},{"family":"Garibo","given":"Diana"}],"accessed":{"date-parts":[["2026",3,6]]},"issued":{"date-parts":[["2021",4,22]]}}}],"schema":"https://github.com/citation-style-language/schema/raw/master/csl-citation.json"} </w:instrText>
      </w:r>
      <w:r w:rsidRPr="003F1E3E">
        <w:rPr>
          <w:rFonts w:ascii="Times New Roman" w:eastAsia="Times New Roman" w:hAnsi="Times New Roman" w:cs="Times New Roman"/>
          <w:bCs/>
          <w:szCs w:val="24"/>
        </w:rPr>
        <w:fldChar w:fldCharType="separate"/>
      </w:r>
      <w:r w:rsidRPr="003F1E3E">
        <w:rPr>
          <w:rFonts w:ascii="Times New Roman" w:eastAsia="Times New Roman" w:hAnsi="Times New Roman" w:cs="Times New Roman"/>
          <w:bCs/>
          <w:szCs w:val="24"/>
        </w:rPr>
        <w:t>(Khan et al., 2021)</w:t>
      </w:r>
      <w:r w:rsidRPr="003F1E3E">
        <w:rPr>
          <w:rFonts w:ascii="Times New Roman" w:eastAsia="Times New Roman" w:hAnsi="Times New Roman" w:cs="Times New Roman"/>
          <w:bCs/>
          <w:szCs w:val="24"/>
        </w:rPr>
        <w:fldChar w:fldCharType="end"/>
      </w:r>
      <w:r w:rsidRPr="003F1E3E">
        <w:rPr>
          <w:rFonts w:ascii="Times New Roman" w:eastAsia="Times New Roman" w:hAnsi="Times New Roman" w:cs="Times New Roman"/>
          <w:bCs/>
          <w:szCs w:val="24"/>
        </w:rPr>
        <w:t xml:space="preserve"> han reportado la actividad antifúngica de las nanopartículas de plata (AgNPs) frente a hongos fitopatógenos, evidenciando también efectos de daño sobre el micelio.</w:t>
      </w:r>
      <w:r w:rsidR="003F1E3E" w:rsidRPr="003F1E3E">
        <w:rPr>
          <w:rFonts w:ascii="Times New Roman" w:eastAsia="Times New Roman" w:hAnsi="Times New Roman" w:cs="Times New Roman"/>
          <w:bCs/>
          <w:szCs w:val="24"/>
        </w:rPr>
        <w:t xml:space="preserve"> </w:t>
      </w:r>
      <w:r w:rsidR="009D033D" w:rsidRPr="003F1E3E">
        <w:rPr>
          <w:rFonts w:ascii="Times New Roman" w:eastAsia="Times New Roman" w:hAnsi="Times New Roman" w:cs="Times New Roman"/>
          <w:bCs/>
          <w:szCs w:val="24"/>
        </w:rPr>
        <w:t xml:space="preserve">Las </w:t>
      </w:r>
      <w:r w:rsidR="009D033D" w:rsidRPr="003F1E3E">
        <w:rPr>
          <w:rFonts w:ascii="Times New Roman" w:eastAsia="Times New Roman" w:hAnsi="Times New Roman" w:cs="Times New Roman"/>
          <w:szCs w:val="24"/>
        </w:rPr>
        <w:t>AgNPs</w:t>
      </w:r>
      <w:r w:rsidR="009D033D" w:rsidRPr="003F1E3E">
        <w:rPr>
          <w:rFonts w:ascii="Times New Roman" w:eastAsia="Times New Roman" w:hAnsi="Times New Roman" w:cs="Times New Roman"/>
          <w:bCs/>
          <w:szCs w:val="24"/>
        </w:rPr>
        <w:t xml:space="preserve"> de síntesis verde (AgNPMar, AgNPSal y AgNPTeq) han demostrado una notable eficacia antimicrobiana frente a diversos microorganismos fitopatógenos, incluyendo especies del complejo </w:t>
      </w:r>
      <w:r w:rsidR="009D033D" w:rsidRPr="003F1E3E">
        <w:rPr>
          <w:rFonts w:ascii="Times New Roman" w:eastAsia="Times New Roman" w:hAnsi="Times New Roman" w:cs="Times New Roman"/>
          <w:bCs/>
          <w:i/>
          <w:iCs/>
          <w:szCs w:val="24"/>
        </w:rPr>
        <w:t>Fusarium oxysporum</w:t>
      </w:r>
      <w:r w:rsidR="009D033D" w:rsidRPr="003F1E3E">
        <w:rPr>
          <w:rFonts w:ascii="Times New Roman" w:eastAsia="Times New Roman" w:hAnsi="Times New Roman" w:cs="Times New Roman"/>
          <w:bCs/>
          <w:szCs w:val="24"/>
        </w:rPr>
        <w:t xml:space="preserve">. Diversos estudios han reportado que estas nanopartículas pueden inhibir significativamente el crecimiento micelial y alterar la morfología de las hifas, lo que sugiere un efecto directo sobre la integridad estructural del hongo. Esto coincide con lo que comenta </w:t>
      </w:r>
      <w:r w:rsidR="009D033D" w:rsidRPr="003F1E3E">
        <w:rPr>
          <w:rFonts w:ascii="Times New Roman" w:eastAsia="Times New Roman" w:hAnsi="Times New Roman" w:cs="Times New Roman"/>
          <w:bCs/>
          <w:szCs w:val="24"/>
        </w:rPr>
        <w:fldChar w:fldCharType="begin"/>
      </w:r>
      <w:r w:rsidR="009D033D" w:rsidRPr="003F1E3E">
        <w:rPr>
          <w:rFonts w:ascii="Times New Roman" w:eastAsia="Times New Roman" w:hAnsi="Times New Roman" w:cs="Times New Roman"/>
          <w:bCs/>
          <w:szCs w:val="24"/>
        </w:rPr>
        <w:instrText xml:space="preserve"> ADDIN ZOTERO_ITEM CSL_CITATION {"citationID":"HiIPPH5g","properties":{"formattedCitation":"(Mart\\uc0\\u237{}nez-Mart\\uc0\\u237{}nez et\\uc0\\u160{}al., 2024)","plainCitation":"(Martínez-Martínez et al., 2024)","noteIndex":0},"citationItems":[{"id":63,"uris":["http://zotero.org/users/local/SJHdbt7z/items/7MNDZTTZ"],"itemData":{"id":63,"type":"article-journal","abstract":"Somatic embryogenesis in Agave genus has been induced; however, it is desirable to increase the rate of growth to get a more efficient propagation system. In this chapter, we present in detailed a protocol for somatic embryogenesis in Agave cupreata and the use of silver nanoparticles in a temporary immersion system. This is an efficient method that can be used commercially to improve the production and germination of somatic embryos.","container-title":"Methods in Molecular Biology (Clifton, N.J.)","DOI":"10.1007/978-1-0716-3654-1_9","ISSN":"1940-6029","journalAbbreviation":"Methods Mol Biol","language":"eng","page":"89-96","PMID":"38285142","source":"PubMed","title":"Plant Regeneration of Agave cupreata by Somatic Embryogenesis in a Temporary Immersion System with Silver Nanoparticles","volume":"2759","author":[{"family":"Martínez-Martínez","given":"Sandra Y."},{"family":"Arzate-Fernández","given":"Amaury M."},{"family":"Gonzáles-Pedroza","given":"María G."}],"issued":{"date-parts":[["2024"]]}}}],"schema":"https://github.com/citation-style-language/schema/raw/master/csl-citation.json"} </w:instrText>
      </w:r>
      <w:r w:rsidR="009D033D" w:rsidRPr="003F1E3E">
        <w:rPr>
          <w:rFonts w:ascii="Times New Roman" w:eastAsia="Times New Roman" w:hAnsi="Times New Roman" w:cs="Times New Roman"/>
          <w:bCs/>
          <w:szCs w:val="24"/>
        </w:rPr>
        <w:fldChar w:fldCharType="separate"/>
      </w:r>
      <w:r w:rsidR="009D033D" w:rsidRPr="003F1E3E">
        <w:rPr>
          <w:rFonts w:ascii="Times New Roman" w:eastAsia="Times New Roman" w:hAnsi="Times New Roman" w:cs="Times New Roman"/>
          <w:bCs/>
          <w:szCs w:val="24"/>
        </w:rPr>
        <w:t>(Martínez-Martínez et al., 2024)</w:t>
      </w:r>
      <w:r w:rsidR="009D033D" w:rsidRPr="003F1E3E">
        <w:rPr>
          <w:rFonts w:ascii="Times New Roman" w:eastAsia="Times New Roman" w:hAnsi="Times New Roman" w:cs="Times New Roman"/>
          <w:bCs/>
          <w:szCs w:val="24"/>
        </w:rPr>
        <w:fldChar w:fldCharType="end"/>
      </w:r>
      <w:r w:rsidR="009D033D" w:rsidRPr="003F1E3E">
        <w:rPr>
          <w:rFonts w:ascii="Times New Roman" w:eastAsia="Times New Roman" w:hAnsi="Times New Roman" w:cs="Times New Roman"/>
          <w:bCs/>
          <w:szCs w:val="24"/>
        </w:rPr>
        <w:t xml:space="preserve"> que para detener el crecimiento de los contaminantes microbianos de los cultivos </w:t>
      </w:r>
      <w:r w:rsidR="009D033D" w:rsidRPr="003F1E3E">
        <w:rPr>
          <w:rFonts w:ascii="Times New Roman" w:eastAsia="Times New Roman" w:hAnsi="Times New Roman" w:cs="Times New Roman"/>
          <w:bCs/>
          <w:i/>
          <w:iCs/>
          <w:szCs w:val="24"/>
        </w:rPr>
        <w:t>in vitro</w:t>
      </w:r>
      <w:r w:rsidR="009D033D" w:rsidRPr="003F1E3E">
        <w:rPr>
          <w:rFonts w:ascii="Times New Roman" w:eastAsia="Times New Roman" w:hAnsi="Times New Roman" w:cs="Times New Roman"/>
          <w:bCs/>
          <w:szCs w:val="24"/>
        </w:rPr>
        <w:t xml:space="preserve"> depende del tamaño de las AgNPs de su forma y el tipo de recubrimiento, además de que las nanopartículas de plata son más eficaces en un medio líquido. Los resultados de este estudio coinciden con lo encontrado con </w:t>
      </w:r>
      <w:r w:rsidR="009D033D" w:rsidRPr="003F1E3E">
        <w:rPr>
          <w:rFonts w:ascii="Times New Roman" w:eastAsia="Times New Roman" w:hAnsi="Times New Roman" w:cs="Times New Roman"/>
          <w:bCs/>
          <w:szCs w:val="24"/>
        </w:rPr>
        <w:fldChar w:fldCharType="begin"/>
      </w:r>
      <w:r w:rsidR="009D033D" w:rsidRPr="003F1E3E">
        <w:rPr>
          <w:rFonts w:ascii="Times New Roman" w:eastAsia="Times New Roman" w:hAnsi="Times New Roman" w:cs="Times New Roman"/>
          <w:bCs/>
          <w:szCs w:val="24"/>
        </w:rPr>
        <w:instrText xml:space="preserve"> ADDIN ZOTERO_ITEM CSL_CITATION {"citationID":"sJ5I0IeS","properties":{"formattedCitation":"(Garc\\uc0\\u237{}a N\\uc0\\u250{}\\uc0\\u241{}ez et\\uc0\\u160{}al., 2025)","plainCitation":"(García Núñez et al., 2025)","noteIndex":0},"citationItems":[{"id":92,"uris":["http://zotero.org/users/local/SJHdbt7z/items/MC482V2U"],"itemData":{"id":92,"type":"article-journal","container-title":"Polibotánica","DOI":"10.18387/polibotanica.59.13","ISSN":"2395-9525","issue":"59","journalAbbreviation":"polibotanica","source":"DOI.org (Crossref)","title":"Evaluación in vitro de nanopartículas de síntesis verde y otros métodos biorracionales para el control de Pectobacterium carotovorum en Agave cupreata","URL":"https://polibotanica.mx/index.php/polibotanica/article/view/1153","volume":"0","author":[{"family":"García Núñez","given":"Hilda Guadalupe"},{"family":"Soria Díaz","given":"José Manuel"},{"family":"Arzate Fernández","given":"Amaury Martín"},{"family":"Norman Mondragón","given":"Tomás Héctor"},{"family":"De La Cruz Torres","given":"Eulogio"}],"accessed":{"date-parts":[["2025",2,27]]},"issued":{"date-parts":[["2025",1,15]]}}}],"schema":"https://github.com/citation-style-language/schema/raw/master/csl-citation.json"} </w:instrText>
      </w:r>
      <w:r w:rsidR="009D033D" w:rsidRPr="003F1E3E">
        <w:rPr>
          <w:rFonts w:ascii="Times New Roman" w:eastAsia="Times New Roman" w:hAnsi="Times New Roman" w:cs="Times New Roman"/>
          <w:bCs/>
          <w:szCs w:val="24"/>
        </w:rPr>
        <w:fldChar w:fldCharType="separate"/>
      </w:r>
      <w:r w:rsidR="009D033D" w:rsidRPr="003F1E3E">
        <w:rPr>
          <w:rFonts w:ascii="Times New Roman" w:hAnsi="Times New Roman" w:cs="Times New Roman"/>
        </w:rPr>
        <w:t>(García Núñez et al., 2025)</w:t>
      </w:r>
      <w:r w:rsidR="009D033D" w:rsidRPr="003F1E3E">
        <w:rPr>
          <w:rFonts w:ascii="Times New Roman" w:eastAsia="Times New Roman" w:hAnsi="Times New Roman" w:cs="Times New Roman"/>
          <w:bCs/>
          <w:szCs w:val="24"/>
        </w:rPr>
        <w:fldChar w:fldCharType="end"/>
      </w:r>
      <w:r w:rsidR="009D033D" w:rsidRPr="003F1E3E">
        <w:rPr>
          <w:rFonts w:ascii="Times New Roman" w:eastAsia="Times New Roman" w:hAnsi="Times New Roman" w:cs="Times New Roman"/>
          <w:bCs/>
          <w:szCs w:val="24"/>
        </w:rPr>
        <w:t xml:space="preserve">, donde demostraron la eficiencia de nanopartículas sintetizadas a partir de </w:t>
      </w:r>
      <w:r w:rsidR="009D033D" w:rsidRPr="003F1E3E">
        <w:rPr>
          <w:rFonts w:ascii="Times New Roman" w:eastAsia="Times New Roman" w:hAnsi="Times New Roman" w:cs="Times New Roman"/>
          <w:bCs/>
          <w:i/>
          <w:iCs/>
          <w:szCs w:val="24"/>
        </w:rPr>
        <w:t xml:space="preserve">A. salmiana </w:t>
      </w:r>
      <w:r w:rsidR="009D033D" w:rsidRPr="003F1E3E">
        <w:rPr>
          <w:rFonts w:ascii="Times New Roman" w:eastAsia="Times New Roman" w:hAnsi="Times New Roman" w:cs="Times New Roman"/>
          <w:bCs/>
          <w:szCs w:val="24"/>
        </w:rPr>
        <w:t>para el control de</w:t>
      </w:r>
      <w:r w:rsidR="009D033D" w:rsidRPr="003F1E3E">
        <w:rPr>
          <w:rFonts w:ascii="Times New Roman" w:eastAsia="Times New Roman" w:hAnsi="Times New Roman" w:cs="Times New Roman"/>
          <w:bCs/>
          <w:i/>
          <w:iCs/>
          <w:szCs w:val="24"/>
        </w:rPr>
        <w:t xml:space="preserve"> Pectobacterium carotovorum. </w:t>
      </w:r>
      <w:r w:rsidRPr="003F1E3E">
        <w:rPr>
          <w:rFonts w:ascii="Times New Roman" w:eastAsia="Times New Roman" w:hAnsi="Times New Roman" w:cs="Times New Roman"/>
          <w:bCs/>
          <w:szCs w:val="24"/>
        </w:rPr>
        <w:t xml:space="preserve">De </w:t>
      </w:r>
      <w:r w:rsidR="00E20F14" w:rsidRPr="003F1E3E">
        <w:rPr>
          <w:rFonts w:ascii="Times New Roman" w:eastAsia="Times New Roman" w:hAnsi="Times New Roman" w:cs="Times New Roman"/>
          <w:bCs/>
          <w:szCs w:val="24"/>
        </w:rPr>
        <w:t>forma semejante</w:t>
      </w:r>
      <w:r w:rsidRPr="003F1E3E">
        <w:rPr>
          <w:rFonts w:ascii="Times New Roman" w:eastAsia="Times New Roman" w:hAnsi="Times New Roman" w:cs="Times New Roman"/>
          <w:bCs/>
          <w:szCs w:val="24"/>
        </w:rPr>
        <w:t xml:space="preserve">, los resultados reportados por </w:t>
      </w:r>
      <w:r w:rsidR="00697238" w:rsidRPr="003F1E3E">
        <w:rPr>
          <w:rFonts w:ascii="Times New Roman" w:eastAsia="Times New Roman" w:hAnsi="Times New Roman" w:cs="Times New Roman"/>
          <w:bCs/>
          <w:szCs w:val="24"/>
        </w:rPr>
        <w:fldChar w:fldCharType="begin"/>
      </w:r>
      <w:r w:rsidR="00697238" w:rsidRPr="003F1E3E">
        <w:rPr>
          <w:rFonts w:ascii="Times New Roman" w:eastAsia="Times New Roman" w:hAnsi="Times New Roman" w:cs="Times New Roman"/>
          <w:bCs/>
          <w:szCs w:val="24"/>
        </w:rPr>
        <w:instrText xml:space="preserve"> ADDIN ZOTERO_ITEM CSL_CITATION {"citationID":"n0mNEpHZ","properties":{"formattedCitation":"(S et\\uc0\\u160{}al., 2024)","plainCitation":"(S et al., 2024)","noteIndex":0},"citationItems":[{"id":104,"uris":["http://zotero.org/users/local/SJHdbt7z/items/VUU3MLR8"],"itemData":{"id":104,"type":"article-journal","container-title":"Microbiology Research Journal International","DOI":"10.9734/mrji/2024/v34i31432","ISSN":"2456-7043","issue":"3","language":"en","page":"1-9","source":"journalmrji.com","title":"In vitro Antifungal Efficacy of Silver Nanoparticles against Fusarium oxysporum f. sp. Lycopersici in Tomato","volume":"34","author":[{"family":"S","given":"Shendge V."},{"family":"Magar","given":"Sunita J."},{"family":"Somwanshi","given":"S. D."}],"issued":{"date-parts":[["2024",3,30]]}}}],"schema":"https://github.com/citation-style-language/schema/raw/master/csl-citation.json"} </w:instrText>
      </w:r>
      <w:r w:rsidR="00697238" w:rsidRPr="003F1E3E">
        <w:rPr>
          <w:rFonts w:ascii="Times New Roman" w:eastAsia="Times New Roman" w:hAnsi="Times New Roman" w:cs="Times New Roman"/>
          <w:bCs/>
          <w:szCs w:val="24"/>
        </w:rPr>
        <w:fldChar w:fldCharType="separate"/>
      </w:r>
      <w:r w:rsidR="00697238" w:rsidRPr="003F1E3E">
        <w:rPr>
          <w:rFonts w:ascii="Times New Roman" w:hAnsi="Times New Roman" w:cs="Times New Roman"/>
        </w:rPr>
        <w:t>(S et al., 2024)</w:t>
      </w:r>
      <w:r w:rsidR="00697238" w:rsidRPr="003F1E3E">
        <w:rPr>
          <w:rFonts w:ascii="Times New Roman" w:eastAsia="Times New Roman" w:hAnsi="Times New Roman" w:cs="Times New Roman"/>
          <w:bCs/>
          <w:szCs w:val="24"/>
        </w:rPr>
        <w:fldChar w:fldCharType="end"/>
      </w:r>
      <w:r w:rsidR="00E20F14" w:rsidRPr="003F1E3E">
        <w:rPr>
          <w:rFonts w:ascii="Times New Roman" w:eastAsia="Times New Roman" w:hAnsi="Times New Roman" w:cs="Times New Roman"/>
          <w:bCs/>
          <w:szCs w:val="24"/>
        </w:rPr>
        <w:t xml:space="preserve"> </w:t>
      </w:r>
      <w:r w:rsidRPr="003F1E3E">
        <w:rPr>
          <w:rFonts w:ascii="Times New Roman" w:eastAsia="Times New Roman" w:hAnsi="Times New Roman" w:cs="Times New Roman"/>
          <w:bCs/>
          <w:szCs w:val="24"/>
        </w:rPr>
        <w:t xml:space="preserve">muestran que las AgNPs </w:t>
      </w:r>
      <w:r w:rsidR="00697238" w:rsidRPr="003F1E3E">
        <w:rPr>
          <w:rFonts w:ascii="Times New Roman" w:eastAsia="Times New Roman" w:hAnsi="Times New Roman" w:cs="Times New Roman"/>
          <w:bCs/>
          <w:szCs w:val="24"/>
        </w:rPr>
        <w:t xml:space="preserve">sisntetizadas a partir de </w:t>
      </w:r>
      <w:r w:rsidR="00697238" w:rsidRPr="003F1E3E">
        <w:rPr>
          <w:rFonts w:ascii="Times New Roman" w:eastAsia="Times New Roman" w:hAnsi="Times New Roman" w:cs="Times New Roman"/>
          <w:bCs/>
          <w:i/>
          <w:iCs/>
          <w:szCs w:val="24"/>
        </w:rPr>
        <w:t>T. harzianum</w:t>
      </w:r>
      <w:r w:rsidR="00697238" w:rsidRPr="003F1E3E">
        <w:rPr>
          <w:rFonts w:ascii="Times New Roman" w:eastAsia="Times New Roman" w:hAnsi="Times New Roman" w:cs="Times New Roman"/>
          <w:bCs/>
          <w:szCs w:val="24"/>
        </w:rPr>
        <w:t xml:space="preserve"> </w:t>
      </w:r>
      <w:r w:rsidRPr="003F1E3E">
        <w:rPr>
          <w:rFonts w:ascii="Times New Roman" w:eastAsia="Times New Roman" w:hAnsi="Times New Roman" w:cs="Times New Roman"/>
          <w:bCs/>
          <w:szCs w:val="24"/>
        </w:rPr>
        <w:t xml:space="preserve">pueden inhibir significativamente el crecimiento de </w:t>
      </w:r>
      <w:r w:rsidRPr="003F1E3E">
        <w:rPr>
          <w:rFonts w:ascii="Times New Roman" w:eastAsia="Times New Roman" w:hAnsi="Times New Roman" w:cs="Times New Roman"/>
          <w:bCs/>
          <w:i/>
          <w:iCs/>
          <w:szCs w:val="24"/>
        </w:rPr>
        <w:t>Fusarium oxysporum</w:t>
      </w:r>
      <w:r w:rsidRPr="003F1E3E">
        <w:rPr>
          <w:rFonts w:ascii="Times New Roman" w:eastAsia="Times New Roman" w:hAnsi="Times New Roman" w:cs="Times New Roman"/>
          <w:bCs/>
          <w:szCs w:val="24"/>
        </w:rPr>
        <w:t xml:space="preserve"> f. sp. </w:t>
      </w:r>
      <w:r w:rsidRPr="003F1E3E">
        <w:rPr>
          <w:rFonts w:ascii="Times New Roman" w:eastAsia="Times New Roman" w:hAnsi="Times New Roman" w:cs="Times New Roman"/>
          <w:bCs/>
          <w:i/>
          <w:iCs/>
          <w:szCs w:val="24"/>
        </w:rPr>
        <w:t>lycopersici</w:t>
      </w:r>
      <w:r w:rsidRPr="003F1E3E">
        <w:rPr>
          <w:rFonts w:ascii="Times New Roman" w:eastAsia="Times New Roman" w:hAnsi="Times New Roman" w:cs="Times New Roman"/>
          <w:bCs/>
          <w:szCs w:val="24"/>
        </w:rPr>
        <w:t xml:space="preserve">, </w:t>
      </w:r>
      <w:r w:rsidR="00DA4310" w:rsidRPr="003F1E3E">
        <w:rPr>
          <w:rFonts w:ascii="Times New Roman" w:eastAsia="Times New Roman" w:hAnsi="Times New Roman" w:cs="Times New Roman"/>
          <w:bCs/>
          <w:szCs w:val="24"/>
        </w:rPr>
        <w:t xml:space="preserve">en cultivo de tomate, </w:t>
      </w:r>
      <w:r w:rsidRPr="003F1E3E">
        <w:rPr>
          <w:rFonts w:ascii="Times New Roman" w:eastAsia="Times New Roman" w:hAnsi="Times New Roman" w:cs="Times New Roman"/>
          <w:bCs/>
          <w:szCs w:val="24"/>
        </w:rPr>
        <w:t xml:space="preserve">observándose una relación dependiente de la concentración en la actividad antifúngica. En dicho estudio </w:t>
      </w:r>
      <w:r w:rsidRPr="003F1E3E">
        <w:rPr>
          <w:rFonts w:ascii="Times New Roman" w:eastAsia="Times New Roman" w:hAnsi="Times New Roman" w:cs="Times New Roman"/>
          <w:bCs/>
          <w:szCs w:val="24"/>
        </w:rPr>
        <w:lastRenderedPageBreak/>
        <w:t>se reportó que concentraciones elevadas de nanopartículas generaron porcentajes de inhibición superiores al 70 %, lo cual respalda el potencial de estos nanomateriales como agentes de control frente a patógenos del suelo. Estos resultados coinciden con lo observado en la presente investigación, donde el tratamiento con nanopartículas</w:t>
      </w:r>
      <w:r w:rsidR="00E20F14" w:rsidRPr="003F1E3E">
        <w:rPr>
          <w:rFonts w:ascii="Times New Roman" w:eastAsia="Times New Roman" w:hAnsi="Times New Roman" w:cs="Times New Roman"/>
          <w:bCs/>
          <w:szCs w:val="24"/>
        </w:rPr>
        <w:t xml:space="preserve"> de síntesis verde</w:t>
      </w:r>
      <w:r w:rsidR="00DA4310" w:rsidRPr="003F1E3E">
        <w:rPr>
          <w:rFonts w:ascii="Times New Roman" w:eastAsia="Times New Roman" w:hAnsi="Times New Roman" w:cs="Times New Roman"/>
          <w:bCs/>
          <w:szCs w:val="24"/>
        </w:rPr>
        <w:t xml:space="preserve"> de extractos de tres especies diferentes de </w:t>
      </w:r>
      <w:r w:rsidR="00DA4310" w:rsidRPr="003F1E3E">
        <w:rPr>
          <w:rFonts w:ascii="Times New Roman" w:eastAsia="Times New Roman" w:hAnsi="Times New Roman" w:cs="Times New Roman"/>
          <w:bCs/>
          <w:i/>
          <w:iCs/>
          <w:szCs w:val="24"/>
        </w:rPr>
        <w:t>Agave</w:t>
      </w:r>
      <w:r w:rsidRPr="003F1E3E">
        <w:rPr>
          <w:rFonts w:ascii="Times New Roman" w:eastAsia="Times New Roman" w:hAnsi="Times New Roman" w:cs="Times New Roman"/>
          <w:bCs/>
          <w:szCs w:val="24"/>
        </w:rPr>
        <w:t xml:space="preserve"> </w:t>
      </w:r>
      <w:r w:rsidR="00DA4310" w:rsidRPr="003F1E3E">
        <w:rPr>
          <w:rFonts w:ascii="Times New Roman" w:eastAsia="Times New Roman" w:hAnsi="Times New Roman" w:cs="Times New Roman"/>
          <w:bCs/>
          <w:szCs w:val="24"/>
        </w:rPr>
        <w:t>produjo</w:t>
      </w:r>
      <w:r w:rsidRPr="003F1E3E">
        <w:rPr>
          <w:rFonts w:ascii="Times New Roman" w:eastAsia="Times New Roman" w:hAnsi="Times New Roman" w:cs="Times New Roman"/>
          <w:bCs/>
          <w:szCs w:val="24"/>
        </w:rPr>
        <w:t xml:space="preserve"> alteraciones en la morfología del micelio, indicando posibles daños en la pared celular </w:t>
      </w:r>
      <w:r w:rsidR="00E20F14" w:rsidRPr="003F1E3E">
        <w:rPr>
          <w:rFonts w:ascii="Times New Roman" w:eastAsia="Times New Roman" w:hAnsi="Times New Roman" w:cs="Times New Roman"/>
          <w:bCs/>
          <w:szCs w:val="24"/>
        </w:rPr>
        <w:t>y</w:t>
      </w:r>
      <w:r w:rsidRPr="003F1E3E">
        <w:rPr>
          <w:rFonts w:ascii="Times New Roman" w:eastAsia="Times New Roman" w:hAnsi="Times New Roman" w:cs="Times New Roman"/>
          <w:bCs/>
          <w:szCs w:val="24"/>
        </w:rPr>
        <w:t xml:space="preserve"> en la integridad de la membrana plasmática del </w:t>
      </w:r>
      <w:r w:rsidR="00E20F14" w:rsidRPr="003F1E3E">
        <w:rPr>
          <w:rFonts w:ascii="Times New Roman" w:eastAsia="Times New Roman" w:hAnsi="Times New Roman" w:cs="Times New Roman"/>
          <w:bCs/>
          <w:szCs w:val="24"/>
        </w:rPr>
        <w:t>complejo FOSC.</w:t>
      </w:r>
      <w:r w:rsidR="00DA4310" w:rsidRPr="003F1E3E">
        <w:rPr>
          <w:rFonts w:ascii="Times New Roman" w:eastAsia="Times New Roman" w:hAnsi="Times New Roman" w:cs="Times New Roman"/>
          <w:bCs/>
          <w:i/>
          <w:iCs/>
          <w:szCs w:val="24"/>
        </w:rPr>
        <w:t xml:space="preserve"> </w:t>
      </w:r>
      <w:r w:rsidR="00431D20" w:rsidRPr="003F1E3E">
        <w:rPr>
          <w:rFonts w:ascii="Times New Roman" w:eastAsia="Times New Roman" w:hAnsi="Times New Roman" w:cs="Times New Roman"/>
          <w:bCs/>
          <w:szCs w:val="24"/>
        </w:rPr>
        <w:t xml:space="preserve">También hay que recordar que, el mecanismo de acción antifúngica de estas AgNPs se debe a que estas partículas se unen a la membrana del hongo modificando su permeabilidad y con ello alterar la viabilidad celular, o bien, pueden penetrar y modificar la capacidad respiratoria, detener su división celular ocasionando así la muerte celular del patógeno </w:t>
      </w:r>
      <w:r w:rsidR="00431D20" w:rsidRPr="003F1E3E">
        <w:rPr>
          <w:rFonts w:ascii="Times New Roman" w:eastAsia="Times New Roman" w:hAnsi="Times New Roman" w:cs="Times New Roman"/>
          <w:bCs/>
          <w:szCs w:val="24"/>
        </w:rPr>
        <w:fldChar w:fldCharType="begin"/>
      </w:r>
      <w:r w:rsidR="00DC5174" w:rsidRPr="003F1E3E">
        <w:rPr>
          <w:rFonts w:ascii="Times New Roman" w:eastAsia="Times New Roman" w:hAnsi="Times New Roman" w:cs="Times New Roman"/>
          <w:bCs/>
          <w:szCs w:val="24"/>
        </w:rPr>
        <w:instrText xml:space="preserve"> ADDIN ZOTERO_ITEM CSL_CITATION {"citationID":"JIDEDtm1","properties":{"formattedCitation":"(Castrill\\uc0\\u243{}n Rivera et\\uc0\\u160{}al., 2014)","plainCitation":"(Castrillón Rivera et al., 2014)","noteIndex":0},"citationItems":[{"id":65,"uris":["http://zotero.org/users/local/SJHdbt7z/items/WAXXW7SP"],"itemData":{"id":65,"type":"article-journal","container-title":"Mundo nano. Revista interdisciplinaria en nanociencias y nanotecnología","ISSN":"2448-5691","issue":"12","language":"es","page":"6-18","publisher":"Universidad Nacional Autónoma de México","source":"SciELO","title":"Actividad antimicótica de nanopartículas","volume":"7","author":[{"family":"Castrillón Rivera","given":"Laura E."},{"family":"Palma Ramos","given":"Alejandro"},{"family":"Castrillón Rivera","given":"Laura E."},{"family":"Palma Ramos","given":"Alejandro"}],"issued":{"date-parts":[["2014",6]]}}}],"schema":"https://github.com/citation-style-language/schema/raw/master/csl-citation.json"} </w:instrText>
      </w:r>
      <w:r w:rsidR="00431D20" w:rsidRPr="003F1E3E">
        <w:rPr>
          <w:rFonts w:ascii="Times New Roman" w:eastAsia="Times New Roman" w:hAnsi="Times New Roman" w:cs="Times New Roman"/>
          <w:bCs/>
          <w:szCs w:val="24"/>
        </w:rPr>
        <w:fldChar w:fldCharType="separate"/>
      </w:r>
      <w:r w:rsidR="00431D20" w:rsidRPr="003F1E3E">
        <w:rPr>
          <w:rFonts w:ascii="Times New Roman" w:eastAsia="Times New Roman" w:hAnsi="Times New Roman" w:cs="Times New Roman"/>
          <w:szCs w:val="24"/>
        </w:rPr>
        <w:t>(Castrillón Rivera et al., 2014)</w:t>
      </w:r>
      <w:r w:rsidR="00431D20" w:rsidRPr="003F1E3E">
        <w:rPr>
          <w:rFonts w:ascii="Times New Roman" w:eastAsia="Times New Roman" w:hAnsi="Times New Roman" w:cs="Times New Roman"/>
          <w:szCs w:val="24"/>
          <w:lang w:val="en-US"/>
        </w:rPr>
        <w:fldChar w:fldCharType="end"/>
      </w:r>
      <w:r w:rsidR="00431D20" w:rsidRPr="003F1E3E">
        <w:rPr>
          <w:rFonts w:ascii="Times New Roman" w:eastAsia="Times New Roman" w:hAnsi="Times New Roman" w:cs="Times New Roman"/>
          <w:bCs/>
          <w:szCs w:val="24"/>
        </w:rPr>
        <w:t>.</w:t>
      </w:r>
      <w:r w:rsidRPr="003F1E3E">
        <w:rPr>
          <w:rFonts w:ascii="Times New Roman" w:eastAsia="Times New Roman" w:hAnsi="Times New Roman" w:cs="Times New Roman"/>
          <w:bCs/>
          <w:szCs w:val="24"/>
        </w:rPr>
        <w:t xml:space="preserve"> </w:t>
      </w:r>
    </w:p>
    <w:p w14:paraId="15F3AE1A" w14:textId="13E13FB0" w:rsidR="003D550B" w:rsidRPr="003D550B" w:rsidRDefault="00DA4310" w:rsidP="003D550B">
      <w:pPr>
        <w:spacing w:line="276" w:lineRule="auto"/>
        <w:jc w:val="both"/>
        <w:rPr>
          <w:rFonts w:ascii="Times New Roman" w:eastAsia="Times New Roman" w:hAnsi="Times New Roman" w:cs="Times New Roman"/>
          <w:bCs/>
          <w:szCs w:val="24"/>
        </w:rPr>
      </w:pPr>
      <w:r w:rsidRPr="003F1E3E">
        <w:rPr>
          <w:rFonts w:ascii="Times New Roman" w:eastAsia="Times New Roman" w:hAnsi="Times New Roman" w:cs="Times New Roman"/>
          <w:bCs/>
          <w:szCs w:val="24"/>
        </w:rPr>
        <w:t xml:space="preserve">Algunos otros estudios comparativos como el realizado por </w:t>
      </w:r>
      <w:r w:rsidR="00223C76" w:rsidRPr="003F1E3E">
        <w:rPr>
          <w:rFonts w:ascii="Times New Roman" w:eastAsia="Times New Roman" w:hAnsi="Times New Roman" w:cs="Times New Roman"/>
          <w:bCs/>
          <w:szCs w:val="24"/>
        </w:rPr>
        <w:fldChar w:fldCharType="begin"/>
      </w:r>
      <w:r w:rsidR="00223C76" w:rsidRPr="003F1E3E">
        <w:rPr>
          <w:rFonts w:ascii="Times New Roman" w:eastAsia="Times New Roman" w:hAnsi="Times New Roman" w:cs="Times New Roman"/>
          <w:bCs/>
          <w:szCs w:val="24"/>
        </w:rPr>
        <w:instrText xml:space="preserve"> ADDIN ZOTERO_ITEM CSL_CITATION {"citationID":"1KZw9FtC","properties":{"formattedCitation":"(Sara Greish; Mona M. Gaber, 2022)","plainCitation":"(Sara Greish; Mona M. Gaber, 2022)","noteIndex":0},"citationItems":[{"id":110,"uris":["http://zotero.org/users/local/SJHdbt7z/items/J4WUAWCE"],"itemData":{"id":110,"type":"article-journal","abstract":": One of the major issues facing the world today is the control of phytopathogenic fungus. One of the principal fungal diseases affecting agricultural foodstuffs in terms of crop production and monetary loss is the Fusarium genus. A novel technology with application potential in many industries, including agriculture, is nanotechnology. This study focused on determining potential effects of silver nanoparticles (AgNPs) compared with two traditional fungicides namely, thyophenate-methyl (Topsin-M ® ) and ethylene-bis-dithio carbamate (Mancozeb ® ) against phytopathogenic Fusarium oxysporum . AgNPs and Topsin-M ® both showed comparable outcomes for inhibiting mycelial growth, with corresponding percentages of 86.3% and 92.3%.This study demonstrated the promising effectiveness of AgNPs in controlling phytopathogenic fungi.","container-title":"Journal of Applied Plant Protection","DOI":"10.21608/japp.2022.290554","ISSN":"2636-2759","issue":"1","journalAbbreviation":"Journal of Applied Plant Protection","language":"en","page":"21-27","source":"Semantic Scholar","title":"Comparing the Antifungal Potency of Silver Nanoparticles and Traditional Fungicides against Fusarium oxysporum","volume":"11","author":[{"family":"Sara Greish; Mona M. Gaber","given":"Ahmed Osman; Ahmed G. El-Shamy;"}],"issued":{"date-parts":[["2022",12,1]]}}}],"schema":"https://github.com/citation-style-language/schema/raw/master/csl-citation.json"} </w:instrText>
      </w:r>
      <w:r w:rsidR="00223C76" w:rsidRPr="003F1E3E">
        <w:rPr>
          <w:rFonts w:ascii="Times New Roman" w:eastAsia="Times New Roman" w:hAnsi="Times New Roman" w:cs="Times New Roman"/>
          <w:bCs/>
          <w:szCs w:val="24"/>
        </w:rPr>
        <w:fldChar w:fldCharType="separate"/>
      </w:r>
      <w:r w:rsidR="00223C76" w:rsidRPr="003F1E3E">
        <w:rPr>
          <w:rFonts w:ascii="Times New Roman" w:hAnsi="Times New Roman" w:cs="Times New Roman"/>
        </w:rPr>
        <w:t>(Sara Greish; Mona M. Gaber, 2022)</w:t>
      </w:r>
      <w:r w:rsidR="00223C76" w:rsidRPr="003F1E3E">
        <w:rPr>
          <w:rFonts w:ascii="Times New Roman" w:eastAsia="Times New Roman" w:hAnsi="Times New Roman" w:cs="Times New Roman"/>
          <w:bCs/>
          <w:szCs w:val="24"/>
        </w:rPr>
        <w:fldChar w:fldCharType="end"/>
      </w:r>
      <w:r w:rsidR="00223C76" w:rsidRPr="003F1E3E">
        <w:rPr>
          <w:rFonts w:ascii="Times New Roman" w:eastAsia="Times New Roman" w:hAnsi="Times New Roman" w:cs="Times New Roman"/>
          <w:bCs/>
          <w:szCs w:val="24"/>
        </w:rPr>
        <w:t xml:space="preserve"> </w:t>
      </w:r>
      <w:r w:rsidRPr="003F1E3E">
        <w:rPr>
          <w:rFonts w:ascii="Times New Roman" w:eastAsia="Times New Roman" w:hAnsi="Times New Roman" w:cs="Times New Roman"/>
          <w:bCs/>
          <w:szCs w:val="24"/>
        </w:rPr>
        <w:t xml:space="preserve">han señalado que las nanopartículas de plata pueden presentar niveles de inhibición del crecimiento micelial comparables a los obtenidos con fungicidas químicos convencionales. En su investigación, las AgNPs mostraron una inhibición superior al 80 % contra </w:t>
      </w:r>
      <w:r w:rsidRPr="003F1E3E">
        <w:rPr>
          <w:rFonts w:ascii="Times New Roman" w:eastAsia="Times New Roman" w:hAnsi="Times New Roman" w:cs="Times New Roman"/>
          <w:bCs/>
          <w:i/>
          <w:iCs/>
          <w:szCs w:val="24"/>
        </w:rPr>
        <w:t>Fusarium oxysporum</w:t>
      </w:r>
      <w:r w:rsidRPr="003F1E3E">
        <w:rPr>
          <w:rFonts w:ascii="Times New Roman" w:eastAsia="Times New Roman" w:hAnsi="Times New Roman" w:cs="Times New Roman"/>
          <w:bCs/>
          <w:szCs w:val="24"/>
        </w:rPr>
        <w:t>, lo que sugiere que estas nanopartículas podrían representar una alternativa viable dentro de estrategias de manejo integrado de enfermedades. Este aspecto resulta particularmente relevante considerando las preocupaciones actuales relacionadas con el uso excesivo de fungicidas sintéticos</w:t>
      </w:r>
      <w:r w:rsidR="00223C76" w:rsidRPr="003F1E3E">
        <w:rPr>
          <w:rFonts w:ascii="Times New Roman" w:eastAsia="Times New Roman" w:hAnsi="Times New Roman" w:cs="Times New Roman"/>
          <w:bCs/>
          <w:szCs w:val="24"/>
        </w:rPr>
        <w:t xml:space="preserve"> </w:t>
      </w:r>
      <w:r w:rsidRPr="003F1E3E">
        <w:rPr>
          <w:rFonts w:ascii="Times New Roman" w:eastAsia="Times New Roman" w:hAnsi="Times New Roman" w:cs="Times New Roman"/>
          <w:bCs/>
          <w:szCs w:val="24"/>
        </w:rPr>
        <w:t>y el desarrollo de resistencia en los patógenos.</w:t>
      </w:r>
      <w:r w:rsidR="001C3515" w:rsidRPr="003F1E3E">
        <w:rPr>
          <w:rFonts w:ascii="Times New Roman" w:eastAsia="Times New Roman" w:hAnsi="Times New Roman" w:cs="Times New Roman"/>
          <w:bCs/>
          <w:szCs w:val="24"/>
        </w:rPr>
        <w:t xml:space="preserve"> </w:t>
      </w:r>
      <w:r w:rsidR="003D550B" w:rsidRPr="003F1E3E">
        <w:rPr>
          <w:rFonts w:ascii="Times New Roman" w:eastAsia="Times New Roman" w:hAnsi="Times New Roman" w:cs="Times New Roman"/>
          <w:bCs/>
          <w:szCs w:val="24"/>
        </w:rPr>
        <w:t xml:space="preserve">Estos resultados respaldan la idea de que las AgNPs </w:t>
      </w:r>
      <w:r w:rsidRPr="003F1E3E">
        <w:rPr>
          <w:rFonts w:ascii="Times New Roman" w:eastAsia="Times New Roman" w:hAnsi="Times New Roman" w:cs="Times New Roman"/>
          <w:bCs/>
          <w:szCs w:val="24"/>
        </w:rPr>
        <w:t xml:space="preserve">de síntesis verde a partir de extractos de </w:t>
      </w:r>
      <w:r w:rsidRPr="003F1E3E">
        <w:rPr>
          <w:rFonts w:ascii="Times New Roman" w:eastAsia="Times New Roman" w:hAnsi="Times New Roman" w:cs="Times New Roman"/>
          <w:bCs/>
          <w:i/>
          <w:iCs/>
          <w:szCs w:val="24"/>
        </w:rPr>
        <w:t xml:space="preserve">Agave </w:t>
      </w:r>
      <w:r w:rsidR="003D550B" w:rsidRPr="003F1E3E">
        <w:rPr>
          <w:rFonts w:ascii="Times New Roman" w:eastAsia="Times New Roman" w:hAnsi="Times New Roman" w:cs="Times New Roman"/>
          <w:bCs/>
          <w:szCs w:val="24"/>
        </w:rPr>
        <w:t xml:space="preserve">pueden emplearse como una alternativa antifúngica para reducir los efectos perjudiciales </w:t>
      </w:r>
      <w:r w:rsidRPr="003F1E3E">
        <w:rPr>
          <w:rFonts w:ascii="Times New Roman" w:eastAsia="Times New Roman" w:hAnsi="Times New Roman" w:cs="Times New Roman"/>
          <w:bCs/>
          <w:szCs w:val="24"/>
        </w:rPr>
        <w:t xml:space="preserve">patógenos como el complejo </w:t>
      </w:r>
      <w:r w:rsidRPr="003F1E3E">
        <w:rPr>
          <w:rFonts w:ascii="Times New Roman" w:eastAsia="Times New Roman" w:hAnsi="Times New Roman" w:cs="Times New Roman"/>
          <w:bCs/>
          <w:i/>
          <w:iCs/>
          <w:szCs w:val="24"/>
        </w:rPr>
        <w:t>Fusarium oxysporum</w:t>
      </w:r>
      <w:r w:rsidR="003D550B" w:rsidRPr="003F1E3E">
        <w:rPr>
          <w:rFonts w:ascii="Times New Roman" w:eastAsia="Times New Roman" w:hAnsi="Times New Roman" w:cs="Times New Roman"/>
          <w:bCs/>
          <w:szCs w:val="24"/>
        </w:rPr>
        <w:t xml:space="preserve"> en cultivos agrícolas.</w:t>
      </w:r>
    </w:p>
    <w:p w14:paraId="586EBC51" w14:textId="77777777" w:rsidR="003228C1" w:rsidRPr="00D75B42" w:rsidRDefault="003228C1" w:rsidP="001C3515">
      <w:pPr>
        <w:spacing w:line="276" w:lineRule="auto"/>
        <w:jc w:val="both"/>
        <w:rPr>
          <w:rFonts w:ascii="Times New Roman" w:eastAsia="Times New Roman" w:hAnsi="Times New Roman" w:cs="Times New Roman"/>
          <w:bCs/>
          <w:szCs w:val="24"/>
        </w:rPr>
      </w:pPr>
    </w:p>
    <w:p w14:paraId="2F41D036" w14:textId="2B4A00CE" w:rsidR="003228C1" w:rsidRPr="00505904" w:rsidRDefault="002F6D12" w:rsidP="00D77BFB">
      <w:pPr>
        <w:spacing w:line="276" w:lineRule="auto"/>
        <w:jc w:val="both"/>
        <w:rPr>
          <w:rFonts w:ascii="Times New Roman" w:eastAsia="Times New Roman" w:hAnsi="Times New Roman" w:cs="Times New Roman"/>
          <w:b/>
          <w:szCs w:val="24"/>
        </w:rPr>
      </w:pPr>
      <w:r w:rsidRPr="00505904">
        <w:rPr>
          <w:rFonts w:ascii="Times New Roman" w:eastAsia="Times New Roman" w:hAnsi="Times New Roman" w:cs="Times New Roman"/>
          <w:b/>
          <w:szCs w:val="24"/>
        </w:rPr>
        <w:t>Conclusion</w:t>
      </w:r>
      <w:r w:rsidR="0069157C" w:rsidRPr="00505904">
        <w:rPr>
          <w:rFonts w:ascii="Times New Roman" w:eastAsia="Times New Roman" w:hAnsi="Times New Roman" w:cs="Times New Roman"/>
          <w:b/>
          <w:szCs w:val="24"/>
        </w:rPr>
        <w:t>e</w:t>
      </w:r>
      <w:r w:rsidRPr="00505904">
        <w:rPr>
          <w:rFonts w:ascii="Times New Roman" w:eastAsia="Times New Roman" w:hAnsi="Times New Roman" w:cs="Times New Roman"/>
          <w:b/>
          <w:szCs w:val="24"/>
        </w:rPr>
        <w:t>s</w:t>
      </w:r>
    </w:p>
    <w:p w14:paraId="686837F4" w14:textId="513ADCBA" w:rsidR="009F2A48" w:rsidRPr="00A82F95" w:rsidRDefault="004E2623" w:rsidP="00A82F95">
      <w:pPr>
        <w:jc w:val="both"/>
        <w:rPr>
          <w:rFonts w:ascii="Times New Roman" w:eastAsia="Times New Roman" w:hAnsi="Times New Roman" w:cs="Times New Roman"/>
          <w:bCs/>
          <w:szCs w:val="24"/>
        </w:rPr>
      </w:pPr>
      <w:r w:rsidRPr="004E2623">
        <w:rPr>
          <w:rFonts w:ascii="Times New Roman" w:eastAsia="Times New Roman" w:hAnsi="Times New Roman" w:cs="Times New Roman"/>
          <w:bCs/>
          <w:szCs w:val="24"/>
        </w:rPr>
        <w:t xml:space="preserve">Este es el primer estudio que describe el uso de </w:t>
      </w:r>
      <w:r w:rsidRPr="004E2623">
        <w:rPr>
          <w:rFonts w:ascii="Times New Roman" w:eastAsia="Times New Roman" w:hAnsi="Times New Roman" w:cs="Times New Roman"/>
          <w:bCs/>
          <w:i/>
          <w:iCs/>
          <w:szCs w:val="24"/>
        </w:rPr>
        <w:t>Trichoderma longibrachiatum</w:t>
      </w:r>
      <w:r w:rsidRPr="004E2623">
        <w:rPr>
          <w:rFonts w:ascii="Times New Roman" w:eastAsia="Times New Roman" w:hAnsi="Times New Roman" w:cs="Times New Roman"/>
          <w:bCs/>
          <w:szCs w:val="24"/>
        </w:rPr>
        <w:t xml:space="preserve"> y nanopartículas de síntesis verde a partir de extractos de </w:t>
      </w:r>
      <w:r w:rsidRPr="004E2623">
        <w:rPr>
          <w:rFonts w:ascii="Times New Roman" w:eastAsia="Times New Roman" w:hAnsi="Times New Roman" w:cs="Times New Roman"/>
          <w:bCs/>
          <w:i/>
          <w:iCs/>
          <w:szCs w:val="24"/>
        </w:rPr>
        <w:t>Agave marmorata</w:t>
      </w:r>
      <w:r w:rsidRPr="004E2623">
        <w:rPr>
          <w:rFonts w:ascii="Times New Roman" w:eastAsia="Times New Roman" w:hAnsi="Times New Roman" w:cs="Times New Roman"/>
          <w:bCs/>
          <w:szCs w:val="24"/>
        </w:rPr>
        <w:t xml:space="preserve"> para el control del complejo </w:t>
      </w:r>
      <w:r w:rsidRPr="004E2623">
        <w:rPr>
          <w:rFonts w:ascii="Times New Roman" w:eastAsia="Times New Roman" w:hAnsi="Times New Roman" w:cs="Times New Roman"/>
          <w:bCs/>
          <w:i/>
          <w:iCs/>
          <w:szCs w:val="24"/>
        </w:rPr>
        <w:t>Fusarium</w:t>
      </w:r>
      <w:r w:rsidRPr="004E2623">
        <w:rPr>
          <w:rFonts w:ascii="Times New Roman" w:eastAsia="Times New Roman" w:hAnsi="Times New Roman" w:cs="Times New Roman"/>
          <w:bCs/>
          <w:szCs w:val="24"/>
        </w:rPr>
        <w:t xml:space="preserve"> causante de la marchitez en el agave en el Estado de México. Sin embargo, son necesarios estudios complementarios en condiciones in vivo y de campo, así como una evaluación de los posibles efectos fitotóxicos y su impacto en microorganismos no objetivo, antes de recomendar su aplicación a escala agrícola. En conjunto, este estudio contribuye al desarrollo de nuevas estrategias sostenibles de control fitopatológico, promoviendo la utilización de recursos vegetales autóctonos como </w:t>
      </w:r>
      <w:r w:rsidRPr="004E2623">
        <w:rPr>
          <w:rFonts w:ascii="Times New Roman" w:eastAsia="Times New Roman" w:hAnsi="Times New Roman" w:cs="Times New Roman"/>
          <w:bCs/>
          <w:i/>
          <w:iCs/>
          <w:szCs w:val="24"/>
        </w:rPr>
        <w:t>Agave marmorata</w:t>
      </w:r>
      <w:r w:rsidRPr="004E2623">
        <w:rPr>
          <w:rFonts w:ascii="Times New Roman" w:eastAsia="Times New Roman" w:hAnsi="Times New Roman" w:cs="Times New Roman"/>
          <w:bCs/>
          <w:szCs w:val="24"/>
        </w:rPr>
        <w:t xml:space="preserve">, </w:t>
      </w:r>
      <w:r w:rsidRPr="004E2623">
        <w:rPr>
          <w:rFonts w:ascii="Times New Roman" w:eastAsia="Times New Roman" w:hAnsi="Times New Roman" w:cs="Times New Roman"/>
          <w:bCs/>
          <w:i/>
          <w:iCs/>
          <w:szCs w:val="24"/>
        </w:rPr>
        <w:t>Agave salmiana</w:t>
      </w:r>
      <w:r w:rsidRPr="004E2623">
        <w:rPr>
          <w:rFonts w:ascii="Times New Roman" w:eastAsia="Times New Roman" w:hAnsi="Times New Roman" w:cs="Times New Roman"/>
          <w:bCs/>
          <w:szCs w:val="24"/>
        </w:rPr>
        <w:t xml:space="preserve"> y </w:t>
      </w:r>
      <w:r w:rsidRPr="004E2623">
        <w:rPr>
          <w:rFonts w:ascii="Times New Roman" w:eastAsia="Times New Roman" w:hAnsi="Times New Roman" w:cs="Times New Roman"/>
          <w:bCs/>
          <w:i/>
          <w:iCs/>
          <w:szCs w:val="24"/>
        </w:rPr>
        <w:t>Agave tequilana</w:t>
      </w:r>
      <w:r w:rsidRPr="004E2623">
        <w:rPr>
          <w:rFonts w:ascii="Times New Roman" w:eastAsia="Times New Roman" w:hAnsi="Times New Roman" w:cs="Times New Roman"/>
          <w:bCs/>
          <w:szCs w:val="24"/>
        </w:rPr>
        <w:t>, así como el uso de agentes biológicos en los sistemas de producción agrícola.</w:t>
      </w:r>
    </w:p>
    <w:p w14:paraId="33C8E37B" w14:textId="77777777" w:rsidR="009F2A48" w:rsidRDefault="009F2A48" w:rsidP="003228C1">
      <w:pPr>
        <w:pStyle w:val="Prrafodelista"/>
        <w:spacing w:line="276" w:lineRule="auto"/>
        <w:ind w:left="1494"/>
        <w:jc w:val="both"/>
        <w:rPr>
          <w:rFonts w:ascii="Times New Roman" w:eastAsia="Times New Roman" w:hAnsi="Times New Roman" w:cs="Times New Roman"/>
          <w:b/>
          <w:szCs w:val="24"/>
        </w:rPr>
      </w:pPr>
    </w:p>
    <w:p w14:paraId="5DA576E5" w14:textId="68C39F73" w:rsidR="00431D20" w:rsidRDefault="00D75B42" w:rsidP="009F2A48">
      <w:pPr>
        <w:pStyle w:val="Prrafodelista"/>
        <w:spacing w:line="276" w:lineRule="auto"/>
        <w:ind w:left="0"/>
        <w:jc w:val="both"/>
        <w:rPr>
          <w:rFonts w:ascii="Times New Roman" w:eastAsia="Times New Roman" w:hAnsi="Times New Roman" w:cs="Times New Roman"/>
          <w:b/>
          <w:szCs w:val="24"/>
        </w:rPr>
      </w:pPr>
      <w:r w:rsidRPr="00D75B42">
        <w:rPr>
          <w:rFonts w:ascii="Times New Roman" w:eastAsia="Times New Roman" w:hAnsi="Times New Roman" w:cs="Times New Roman"/>
          <w:b/>
          <w:szCs w:val="24"/>
        </w:rPr>
        <w:t>Agradecimiento</w:t>
      </w:r>
      <w:r>
        <w:rPr>
          <w:rFonts w:ascii="Times New Roman" w:eastAsia="Times New Roman" w:hAnsi="Times New Roman" w:cs="Times New Roman"/>
          <w:b/>
          <w:szCs w:val="24"/>
        </w:rPr>
        <w:t>s</w:t>
      </w:r>
      <w:r w:rsidRPr="00D75B42">
        <w:rPr>
          <w:rFonts w:ascii="Times New Roman" w:eastAsia="Times New Roman" w:hAnsi="Times New Roman" w:cs="Times New Roman"/>
          <w:b/>
          <w:szCs w:val="24"/>
        </w:rPr>
        <w:t xml:space="preserve"> </w:t>
      </w:r>
    </w:p>
    <w:p w14:paraId="39DB291F" w14:textId="68C0C6BE" w:rsidR="00D75B42" w:rsidRPr="00D75B42" w:rsidRDefault="00D75B42" w:rsidP="009F2A48">
      <w:pPr>
        <w:pStyle w:val="Prrafodelista"/>
        <w:spacing w:line="276" w:lineRule="auto"/>
        <w:ind w:left="0"/>
        <w:jc w:val="both"/>
        <w:rPr>
          <w:rFonts w:ascii="Times New Roman" w:eastAsia="Times New Roman" w:hAnsi="Times New Roman" w:cs="Times New Roman"/>
          <w:bCs/>
          <w:i/>
          <w:iCs/>
          <w:szCs w:val="24"/>
        </w:rPr>
      </w:pPr>
      <w:r w:rsidRPr="00D75B42">
        <w:rPr>
          <w:rFonts w:ascii="Times New Roman" w:eastAsia="Times New Roman" w:hAnsi="Times New Roman" w:cs="Times New Roman"/>
          <w:bCs/>
          <w:szCs w:val="24"/>
        </w:rPr>
        <w:t xml:space="preserve"> A la Dra. Guadalupe Ríos Domínguez, por la donación de la cepa de </w:t>
      </w:r>
      <w:r w:rsidRPr="00D75B42">
        <w:rPr>
          <w:rFonts w:ascii="Times New Roman" w:eastAsia="Times New Roman" w:hAnsi="Times New Roman" w:cs="Times New Roman"/>
          <w:bCs/>
          <w:i/>
          <w:iCs/>
          <w:szCs w:val="24"/>
        </w:rPr>
        <w:t>Trichoderma longibranchiatum</w:t>
      </w:r>
      <w:r>
        <w:rPr>
          <w:rFonts w:ascii="Times New Roman" w:eastAsia="Times New Roman" w:hAnsi="Times New Roman" w:cs="Times New Roman"/>
          <w:bCs/>
          <w:i/>
          <w:iCs/>
          <w:szCs w:val="24"/>
        </w:rPr>
        <w:t xml:space="preserve">, </w:t>
      </w:r>
      <w:r w:rsidRPr="00E035EA">
        <w:rPr>
          <w:rFonts w:ascii="Times New Roman" w:eastAsia="Times New Roman" w:hAnsi="Times New Roman" w:cs="Times New Roman"/>
          <w:bCs/>
          <w:szCs w:val="24"/>
        </w:rPr>
        <w:t>parte de la colección de</w:t>
      </w:r>
      <w:r w:rsidR="00E035EA" w:rsidRPr="00E035EA">
        <w:rPr>
          <w:rFonts w:ascii="Times New Roman" w:eastAsia="Times New Roman" w:hAnsi="Times New Roman" w:cs="Times New Roman"/>
          <w:bCs/>
          <w:szCs w:val="24"/>
        </w:rPr>
        <w:t>l laboratorio de Fitopatología del Instituto de Investigación y Capacitación Agropecuaria, Acuícola y Forestal (ICAMEX)</w:t>
      </w:r>
    </w:p>
    <w:p w14:paraId="2250E5CF" w14:textId="6A35052C" w:rsidR="002F6D12" w:rsidRPr="00D75B42" w:rsidRDefault="002F6D12" w:rsidP="00431D20">
      <w:pPr>
        <w:spacing w:line="276" w:lineRule="auto"/>
        <w:jc w:val="both"/>
        <w:rPr>
          <w:rFonts w:ascii="Times New Roman" w:eastAsia="Times New Roman" w:hAnsi="Times New Roman" w:cs="Times New Roman"/>
          <w:szCs w:val="24"/>
        </w:rPr>
      </w:pPr>
    </w:p>
    <w:p w14:paraId="549C5C47" w14:textId="2EC6C769" w:rsidR="00191BE7" w:rsidRPr="00191BE7" w:rsidRDefault="00191BE7" w:rsidP="009F2A48">
      <w:pPr>
        <w:spacing w:line="276" w:lineRule="auto"/>
        <w:jc w:val="both"/>
        <w:rPr>
          <w:rFonts w:ascii="Times New Roman" w:eastAsia="Times New Roman" w:hAnsi="Times New Roman" w:cs="Times New Roman"/>
          <w:b/>
          <w:bCs/>
          <w:szCs w:val="24"/>
        </w:rPr>
      </w:pPr>
      <w:r w:rsidRPr="00191BE7">
        <w:rPr>
          <w:rFonts w:ascii="Times New Roman" w:eastAsia="Times New Roman" w:hAnsi="Times New Roman" w:cs="Times New Roman"/>
          <w:b/>
          <w:bCs/>
          <w:szCs w:val="24"/>
        </w:rPr>
        <w:t>Conflicto de intereses</w:t>
      </w:r>
    </w:p>
    <w:p w14:paraId="36914669" w14:textId="191436EA" w:rsidR="00D0144E" w:rsidRPr="005D497E" w:rsidRDefault="00191BE7" w:rsidP="009F2A48">
      <w:pPr>
        <w:spacing w:line="276" w:lineRule="auto"/>
        <w:jc w:val="both"/>
        <w:rPr>
          <w:rFonts w:ascii="Times New Roman" w:eastAsia="Times New Roman" w:hAnsi="Times New Roman" w:cs="Times New Roman"/>
          <w:szCs w:val="24"/>
        </w:rPr>
      </w:pPr>
      <w:r w:rsidRPr="00191BE7">
        <w:rPr>
          <w:rFonts w:ascii="Times New Roman" w:eastAsia="Times New Roman" w:hAnsi="Times New Roman" w:cs="Times New Roman"/>
          <w:szCs w:val="24"/>
        </w:rPr>
        <w:t>Los autores declaran no tener conflictos de interés.</w:t>
      </w:r>
    </w:p>
    <w:p w14:paraId="070765D0" w14:textId="06E8CF3B" w:rsidR="002F6D12" w:rsidRPr="00D75B42" w:rsidRDefault="004E59BB" w:rsidP="009F2A48">
      <w:pPr>
        <w:spacing w:line="276" w:lineRule="auto"/>
        <w:jc w:val="both"/>
        <w:rPr>
          <w:rFonts w:ascii="Times New Roman" w:eastAsia="Times New Roman" w:hAnsi="Times New Roman" w:cs="Times New Roman"/>
          <w:b/>
          <w:szCs w:val="24"/>
        </w:rPr>
      </w:pPr>
      <w:r w:rsidRPr="00D75B42">
        <w:rPr>
          <w:rFonts w:ascii="Times New Roman" w:eastAsia="Times New Roman" w:hAnsi="Times New Roman" w:cs="Times New Roman"/>
          <w:b/>
          <w:szCs w:val="24"/>
        </w:rPr>
        <w:t>Contribución de autores</w:t>
      </w:r>
      <w:r w:rsidR="002F6D12" w:rsidRPr="00D75B42">
        <w:rPr>
          <w:rFonts w:ascii="Times New Roman" w:eastAsia="Times New Roman" w:hAnsi="Times New Roman" w:cs="Times New Roman"/>
          <w:b/>
          <w:szCs w:val="24"/>
        </w:rPr>
        <w:t xml:space="preserve"> </w:t>
      </w:r>
    </w:p>
    <w:p w14:paraId="41D99270" w14:textId="0430BB57" w:rsidR="002F6D12" w:rsidRPr="00D75B42" w:rsidRDefault="00AF379D" w:rsidP="009F2A48">
      <w:pPr>
        <w:spacing w:line="276" w:lineRule="auto"/>
        <w:jc w:val="both"/>
        <w:rPr>
          <w:rFonts w:ascii="Times New Roman" w:eastAsia="Times New Roman" w:hAnsi="Times New Roman" w:cs="Times New Roman"/>
          <w:bCs/>
          <w:szCs w:val="24"/>
        </w:rPr>
      </w:pPr>
      <w:r w:rsidRPr="00AF379D">
        <w:rPr>
          <w:rFonts w:ascii="Times New Roman" w:eastAsia="Times New Roman" w:hAnsi="Times New Roman" w:cs="Times New Roman"/>
          <w:szCs w:val="24"/>
        </w:rPr>
        <w:lastRenderedPageBreak/>
        <w:t>Paula Jael Pérez-Pichardo</w:t>
      </w:r>
      <w:r w:rsidRPr="00D75B42">
        <w:rPr>
          <w:rFonts w:ascii="Times New Roman" w:eastAsia="Times New Roman" w:hAnsi="Times New Roman" w:cs="Times New Roman"/>
          <w:bCs/>
          <w:szCs w:val="24"/>
        </w:rPr>
        <w:t xml:space="preserve">, </w:t>
      </w:r>
      <w:r w:rsidR="004E59BB" w:rsidRPr="00D75B42">
        <w:rPr>
          <w:rFonts w:ascii="Times New Roman" w:eastAsia="Times New Roman" w:hAnsi="Times New Roman" w:cs="Times New Roman"/>
          <w:bCs/>
          <w:szCs w:val="24"/>
        </w:rPr>
        <w:t xml:space="preserve">Conceptualización, </w:t>
      </w:r>
      <w:r w:rsidRPr="00D75B42">
        <w:rPr>
          <w:rFonts w:ascii="Times New Roman" w:eastAsia="Times New Roman" w:hAnsi="Times New Roman" w:cs="Times New Roman"/>
          <w:bCs/>
          <w:szCs w:val="24"/>
        </w:rPr>
        <w:t>metodología,</w:t>
      </w:r>
      <w:r w:rsidR="004E59BB" w:rsidRPr="00D75B42">
        <w:rPr>
          <w:rFonts w:ascii="Times New Roman" w:eastAsia="Times New Roman" w:hAnsi="Times New Roman" w:cs="Times New Roman"/>
          <w:bCs/>
          <w:szCs w:val="24"/>
        </w:rPr>
        <w:t xml:space="preserve"> investigación, redacción-edición de revisión.</w:t>
      </w:r>
      <w:r w:rsidRPr="00D75B42">
        <w:rPr>
          <w:rFonts w:ascii="Times New Roman" w:eastAsia="Times New Roman" w:hAnsi="Times New Roman" w:cs="Times New Roman"/>
          <w:bCs/>
          <w:szCs w:val="24"/>
        </w:rPr>
        <w:t xml:space="preserve">; Amaury Martín Arzate-Fernández- investigación, administración de proyectos, visualización, validación, revisión de redacción y edición.; </w:t>
      </w:r>
      <w:r w:rsidR="004E59BB" w:rsidRPr="00D75B42">
        <w:rPr>
          <w:rFonts w:ascii="Times New Roman" w:eastAsia="Times New Roman" w:hAnsi="Times New Roman" w:cs="Times New Roman"/>
          <w:bCs/>
          <w:szCs w:val="24"/>
        </w:rPr>
        <w:t>H</w:t>
      </w:r>
      <w:r w:rsidRPr="00D75B42">
        <w:rPr>
          <w:rFonts w:ascii="Times New Roman" w:eastAsia="Times New Roman" w:hAnsi="Times New Roman" w:cs="Times New Roman"/>
          <w:bCs/>
          <w:szCs w:val="24"/>
        </w:rPr>
        <w:t>ilda Guadalupe</w:t>
      </w:r>
      <w:r w:rsidR="004E59BB" w:rsidRPr="00D75B42">
        <w:rPr>
          <w:rFonts w:ascii="Times New Roman" w:eastAsia="Times New Roman" w:hAnsi="Times New Roman" w:cs="Times New Roman"/>
          <w:bCs/>
          <w:szCs w:val="24"/>
        </w:rPr>
        <w:t xml:space="preserve"> García Núñez</w:t>
      </w:r>
      <w:r w:rsidRPr="00D75B42">
        <w:rPr>
          <w:rFonts w:ascii="Times New Roman" w:eastAsia="Times New Roman" w:hAnsi="Times New Roman" w:cs="Times New Roman"/>
          <w:bCs/>
          <w:szCs w:val="24"/>
        </w:rPr>
        <w:t xml:space="preserve">, </w:t>
      </w:r>
      <w:r w:rsidR="004E59BB" w:rsidRPr="00D75B42">
        <w:rPr>
          <w:rFonts w:ascii="Times New Roman" w:eastAsia="Times New Roman" w:hAnsi="Times New Roman" w:cs="Times New Roman"/>
          <w:bCs/>
          <w:szCs w:val="24"/>
        </w:rPr>
        <w:t>Conceptualización, metodología, investigación, análisis de formato. Conceptualización</w:t>
      </w:r>
      <w:r w:rsidRPr="00D75B42">
        <w:rPr>
          <w:rFonts w:ascii="Times New Roman" w:eastAsia="Times New Roman" w:hAnsi="Times New Roman" w:cs="Times New Roman"/>
          <w:bCs/>
          <w:szCs w:val="24"/>
        </w:rPr>
        <w:t xml:space="preserve">; </w:t>
      </w:r>
      <w:r w:rsidRPr="00AF379D">
        <w:rPr>
          <w:rFonts w:ascii="Times New Roman" w:eastAsia="Times New Roman" w:hAnsi="Times New Roman" w:cs="Times New Roman"/>
          <w:szCs w:val="24"/>
        </w:rPr>
        <w:t>Andrea Rubí Jiménez-Marín</w:t>
      </w:r>
      <w:r w:rsidRPr="00D75B42">
        <w:rPr>
          <w:rFonts w:ascii="Times New Roman" w:eastAsia="Times New Roman" w:hAnsi="Times New Roman" w:cs="Times New Roman"/>
          <w:bCs/>
          <w:szCs w:val="24"/>
        </w:rPr>
        <w:t xml:space="preserve">, </w:t>
      </w:r>
      <w:r w:rsidR="004E59BB" w:rsidRPr="00D75B42">
        <w:rPr>
          <w:rFonts w:ascii="Times New Roman" w:eastAsia="Times New Roman" w:hAnsi="Times New Roman" w:cs="Times New Roman"/>
          <w:bCs/>
          <w:szCs w:val="24"/>
        </w:rPr>
        <w:t>investigación, metodología, visualización</w:t>
      </w:r>
      <w:r w:rsidRPr="00D75B42">
        <w:rPr>
          <w:rFonts w:ascii="Times New Roman" w:eastAsia="Times New Roman" w:hAnsi="Times New Roman" w:cs="Times New Roman"/>
          <w:bCs/>
          <w:szCs w:val="24"/>
        </w:rPr>
        <w:t>, validación.;</w:t>
      </w:r>
      <w:r w:rsidRPr="00AF379D">
        <w:rPr>
          <w:rFonts w:ascii="Times New Roman" w:eastAsia="Times New Roman" w:hAnsi="Times New Roman" w:cs="Times New Roman"/>
          <w:b/>
          <w:bCs/>
          <w:sz w:val="20"/>
          <w:szCs w:val="24"/>
        </w:rPr>
        <w:t xml:space="preserve"> </w:t>
      </w:r>
      <w:r w:rsidRPr="00AF379D">
        <w:rPr>
          <w:rFonts w:ascii="Times New Roman" w:eastAsia="Times New Roman" w:hAnsi="Times New Roman" w:cs="Times New Roman"/>
          <w:szCs w:val="24"/>
        </w:rPr>
        <w:t>Jesús Ignacio. Reyes-Díaz</w:t>
      </w:r>
      <w:r w:rsidRPr="00D75B42">
        <w:rPr>
          <w:rFonts w:ascii="Times New Roman" w:eastAsia="Times New Roman" w:hAnsi="Times New Roman" w:cs="Times New Roman"/>
          <w:bCs/>
          <w:szCs w:val="24"/>
        </w:rPr>
        <w:t xml:space="preserve">, </w:t>
      </w:r>
      <w:r w:rsidR="004E59BB" w:rsidRPr="00D75B42">
        <w:rPr>
          <w:rFonts w:ascii="Times New Roman" w:eastAsia="Times New Roman" w:hAnsi="Times New Roman" w:cs="Times New Roman"/>
          <w:bCs/>
          <w:szCs w:val="24"/>
        </w:rPr>
        <w:t>Investigación,</w:t>
      </w:r>
      <w:r w:rsidRPr="00D75B42">
        <w:rPr>
          <w:rFonts w:ascii="Times New Roman" w:eastAsia="Times New Roman" w:hAnsi="Times New Roman" w:cs="Times New Roman"/>
          <w:bCs/>
          <w:szCs w:val="24"/>
        </w:rPr>
        <w:t xml:space="preserve"> software</w:t>
      </w:r>
      <w:r w:rsidR="004E59BB" w:rsidRPr="00D75B42">
        <w:rPr>
          <w:rFonts w:ascii="Times New Roman" w:eastAsia="Times New Roman" w:hAnsi="Times New Roman" w:cs="Times New Roman"/>
          <w:bCs/>
          <w:szCs w:val="24"/>
        </w:rPr>
        <w:t xml:space="preserve"> revisión y edición.</w:t>
      </w:r>
    </w:p>
    <w:p w14:paraId="75870ACA" w14:textId="77777777" w:rsidR="00CB59C5" w:rsidRPr="00D75B42" w:rsidRDefault="00CB59C5" w:rsidP="002F6D12">
      <w:pPr>
        <w:spacing w:line="276" w:lineRule="auto"/>
        <w:ind w:left="1134"/>
        <w:jc w:val="both"/>
        <w:rPr>
          <w:rFonts w:ascii="Times New Roman" w:eastAsia="Times New Roman" w:hAnsi="Times New Roman" w:cs="Times New Roman"/>
          <w:b/>
          <w:szCs w:val="24"/>
        </w:rPr>
      </w:pPr>
    </w:p>
    <w:p w14:paraId="1B313DD7" w14:textId="317628F6" w:rsidR="00431D20" w:rsidRPr="00D75B42" w:rsidRDefault="002F6D12" w:rsidP="009F2A48">
      <w:pPr>
        <w:spacing w:line="276" w:lineRule="auto"/>
        <w:jc w:val="both"/>
        <w:rPr>
          <w:rFonts w:ascii="Times New Roman" w:eastAsia="Times New Roman" w:hAnsi="Times New Roman" w:cs="Times New Roman"/>
          <w:b/>
          <w:szCs w:val="24"/>
        </w:rPr>
      </w:pPr>
      <w:r w:rsidRPr="00D75B42">
        <w:rPr>
          <w:rFonts w:ascii="Times New Roman" w:eastAsia="Times New Roman" w:hAnsi="Times New Roman" w:cs="Times New Roman"/>
          <w:b/>
          <w:szCs w:val="24"/>
        </w:rPr>
        <w:t>Referen</w:t>
      </w:r>
      <w:r w:rsidR="003228C1" w:rsidRPr="00D75B42">
        <w:rPr>
          <w:rFonts w:ascii="Times New Roman" w:eastAsia="Times New Roman" w:hAnsi="Times New Roman" w:cs="Times New Roman"/>
          <w:b/>
          <w:szCs w:val="24"/>
        </w:rPr>
        <w:t>cias</w:t>
      </w:r>
    </w:p>
    <w:p w14:paraId="6B380A6B" w14:textId="77777777" w:rsidR="000652E0" w:rsidRPr="00D75B42" w:rsidRDefault="000652E0" w:rsidP="000F63B6">
      <w:pPr>
        <w:spacing w:line="276" w:lineRule="auto"/>
        <w:ind w:left="1134"/>
        <w:jc w:val="both"/>
        <w:rPr>
          <w:rFonts w:ascii="Times New Roman" w:eastAsia="Times New Roman" w:hAnsi="Times New Roman" w:cs="Times New Roman"/>
          <w:b/>
          <w:szCs w:val="24"/>
        </w:rPr>
      </w:pPr>
    </w:p>
    <w:p w14:paraId="454D9CCB" w14:textId="77777777" w:rsidR="00223C76" w:rsidRPr="00223C76" w:rsidRDefault="00CB59C5" w:rsidP="00223C76">
      <w:pPr>
        <w:pStyle w:val="Bibliografa"/>
        <w:rPr>
          <w:rFonts w:ascii="Times New Roman" w:hAnsi="Times New Roman" w:cs="Times New Roman"/>
        </w:rPr>
      </w:pPr>
      <w:r>
        <w:rPr>
          <w:rFonts w:eastAsia="Times New Roman"/>
          <w:b/>
          <w:szCs w:val="24"/>
          <w:lang w:val="en-US"/>
        </w:rPr>
        <w:fldChar w:fldCharType="begin"/>
      </w:r>
      <w:r w:rsidR="00223C76">
        <w:rPr>
          <w:rFonts w:eastAsia="Times New Roman"/>
          <w:b/>
          <w:szCs w:val="24"/>
        </w:rPr>
        <w:instrText xml:space="preserve"> ADDIN ZOTERO_BIBL {"uncited":[],"omitted":[],"custom":[]} CSL_BIBLIOGRAPHY </w:instrText>
      </w:r>
      <w:r>
        <w:rPr>
          <w:rFonts w:eastAsia="Times New Roman"/>
          <w:b/>
          <w:szCs w:val="24"/>
          <w:lang w:val="en-US"/>
        </w:rPr>
        <w:fldChar w:fldCharType="separate"/>
      </w:r>
      <w:r w:rsidR="00223C76" w:rsidRPr="00223C76">
        <w:rPr>
          <w:rFonts w:ascii="Times New Roman" w:hAnsi="Times New Roman" w:cs="Times New Roman"/>
        </w:rPr>
        <w:t xml:space="preserve">Aguilar-Rito, M. G., Arzate-Fernández, A. M., García-Núñez, H. G., Norman-Mondragón, T. H., Aguilar-Rito, M. G., Arzate-Fernández, A. M., García-Núñez, H. G., &amp; Norman-Mondragón, T. H. (2024). Establecimiento de un protocolo eficiente de desinfección in vitro en semillas de siete especies de Agave spp. </w:t>
      </w:r>
      <w:r w:rsidR="00223C76" w:rsidRPr="00223C76">
        <w:rPr>
          <w:rFonts w:ascii="Times New Roman" w:hAnsi="Times New Roman" w:cs="Times New Roman"/>
          <w:i/>
          <w:iCs/>
        </w:rPr>
        <w:t>Revista mexicana de fitopatología</w:t>
      </w:r>
      <w:r w:rsidR="00223C76" w:rsidRPr="00223C76">
        <w:rPr>
          <w:rFonts w:ascii="Times New Roman" w:hAnsi="Times New Roman" w:cs="Times New Roman"/>
        </w:rPr>
        <w:t xml:space="preserve">, </w:t>
      </w:r>
      <w:r w:rsidR="00223C76" w:rsidRPr="00223C76">
        <w:rPr>
          <w:rFonts w:ascii="Times New Roman" w:hAnsi="Times New Roman" w:cs="Times New Roman"/>
          <w:i/>
          <w:iCs/>
        </w:rPr>
        <w:t>42</w:t>
      </w:r>
      <w:r w:rsidR="00223C76" w:rsidRPr="00223C76">
        <w:rPr>
          <w:rFonts w:ascii="Times New Roman" w:hAnsi="Times New Roman" w:cs="Times New Roman"/>
        </w:rPr>
        <w:t>(1). https://doi.org/10.18781/r.mex.fit.2310-1</w:t>
      </w:r>
    </w:p>
    <w:p w14:paraId="4D84FA47" w14:textId="77777777" w:rsidR="00223C76" w:rsidRPr="00223C76" w:rsidRDefault="00223C76" w:rsidP="00223C76">
      <w:pPr>
        <w:pStyle w:val="Bibliografa"/>
        <w:rPr>
          <w:rFonts w:ascii="Times New Roman" w:hAnsi="Times New Roman" w:cs="Times New Roman"/>
        </w:rPr>
      </w:pPr>
      <w:r w:rsidRPr="00223C76">
        <w:rPr>
          <w:rFonts w:ascii="Times New Roman" w:hAnsi="Times New Roman" w:cs="Times New Roman"/>
        </w:rPr>
        <w:t xml:space="preserve">Aiyaz, M., Divakara, S. T., Mudili, V., Moore, G. G., Gupta, V. K., Yli-Mattila, T., Nayaka, S. C., &amp; Niranjana, S. R. (2016). </w:t>
      </w:r>
      <w:r w:rsidRPr="00505904">
        <w:rPr>
          <w:rFonts w:ascii="Times New Roman" w:hAnsi="Times New Roman" w:cs="Times New Roman"/>
          <w:lang w:val="en-US"/>
        </w:rPr>
        <w:t xml:space="preserve">Molecular Diversity of Seed-borne  Fusarium Species Associated with Maize in India. </w:t>
      </w:r>
      <w:r w:rsidRPr="00223C76">
        <w:rPr>
          <w:rFonts w:ascii="Times New Roman" w:hAnsi="Times New Roman" w:cs="Times New Roman"/>
          <w:i/>
          <w:iCs/>
        </w:rPr>
        <w:t>Current Genomics</w:t>
      </w:r>
      <w:r w:rsidRPr="00223C76">
        <w:rPr>
          <w:rFonts w:ascii="Times New Roman" w:hAnsi="Times New Roman" w:cs="Times New Roman"/>
        </w:rPr>
        <w:t xml:space="preserve">, </w:t>
      </w:r>
      <w:r w:rsidRPr="00223C76">
        <w:rPr>
          <w:rFonts w:ascii="Times New Roman" w:hAnsi="Times New Roman" w:cs="Times New Roman"/>
          <w:i/>
          <w:iCs/>
        </w:rPr>
        <w:t>17</w:t>
      </w:r>
      <w:r w:rsidRPr="00223C76">
        <w:rPr>
          <w:rFonts w:ascii="Times New Roman" w:hAnsi="Times New Roman" w:cs="Times New Roman"/>
        </w:rPr>
        <w:t>(2), 132–144. https://doi.org/10.2174/1389202917666151116213056</w:t>
      </w:r>
    </w:p>
    <w:p w14:paraId="01824A2B" w14:textId="77777777" w:rsidR="00223C76" w:rsidRPr="00223C76" w:rsidRDefault="00223C76" w:rsidP="00223C76">
      <w:pPr>
        <w:pStyle w:val="Bibliografa"/>
        <w:rPr>
          <w:rFonts w:ascii="Times New Roman" w:hAnsi="Times New Roman" w:cs="Times New Roman"/>
        </w:rPr>
      </w:pPr>
      <w:r w:rsidRPr="00223C76">
        <w:rPr>
          <w:rFonts w:ascii="Times New Roman" w:hAnsi="Times New Roman" w:cs="Times New Roman"/>
        </w:rPr>
        <w:t xml:space="preserve">Alburqueque Andrade, D., &amp; Gusqui Mata, R. (2018). Eficacia de fungicidas químicos para el control in vitro de diferentes fitopatógenos en condiciones controladas. </w:t>
      </w:r>
      <w:r w:rsidRPr="00223C76">
        <w:rPr>
          <w:rFonts w:ascii="Times New Roman" w:hAnsi="Times New Roman" w:cs="Times New Roman"/>
          <w:i/>
          <w:iCs/>
        </w:rPr>
        <w:t>Arnaldoa</w:t>
      </w:r>
      <w:r w:rsidRPr="00223C76">
        <w:rPr>
          <w:rFonts w:ascii="Times New Roman" w:hAnsi="Times New Roman" w:cs="Times New Roman"/>
        </w:rPr>
        <w:t xml:space="preserve">, </w:t>
      </w:r>
      <w:r w:rsidRPr="00223C76">
        <w:rPr>
          <w:rFonts w:ascii="Times New Roman" w:hAnsi="Times New Roman" w:cs="Times New Roman"/>
          <w:i/>
          <w:iCs/>
        </w:rPr>
        <w:t>25</w:t>
      </w:r>
      <w:r w:rsidRPr="00223C76">
        <w:rPr>
          <w:rFonts w:ascii="Times New Roman" w:hAnsi="Times New Roman" w:cs="Times New Roman"/>
        </w:rPr>
        <w:t>(2), 489–498. https://doi.org/10.22497/arnaldoa.252.25209</w:t>
      </w:r>
    </w:p>
    <w:p w14:paraId="7E63F4F6" w14:textId="77777777" w:rsidR="00223C76" w:rsidRPr="00505904" w:rsidRDefault="00223C76" w:rsidP="00223C76">
      <w:pPr>
        <w:pStyle w:val="Bibliografa"/>
        <w:rPr>
          <w:rFonts w:ascii="Times New Roman" w:hAnsi="Times New Roman" w:cs="Times New Roman"/>
          <w:lang w:val="en-US"/>
        </w:rPr>
      </w:pPr>
      <w:r w:rsidRPr="00223C76">
        <w:rPr>
          <w:rFonts w:ascii="Times New Roman" w:hAnsi="Times New Roman" w:cs="Times New Roman"/>
        </w:rPr>
        <w:t xml:space="preserve">Al-Hatmi, A. M., de Hoog, G. S., &amp; Meis, J. F. (2019). </w:t>
      </w:r>
      <w:r w:rsidRPr="00505904">
        <w:rPr>
          <w:rFonts w:ascii="Times New Roman" w:hAnsi="Times New Roman" w:cs="Times New Roman"/>
          <w:lang w:val="en-US"/>
        </w:rPr>
        <w:t xml:space="preserve">Multiresistant Fusarium Pathogens on Plants and Humans: Solutions in (from) the Antifungal Pipeline? </w:t>
      </w:r>
      <w:r w:rsidRPr="00505904">
        <w:rPr>
          <w:rFonts w:ascii="Times New Roman" w:hAnsi="Times New Roman" w:cs="Times New Roman"/>
          <w:i/>
          <w:iCs/>
          <w:lang w:val="en-US"/>
        </w:rPr>
        <w:t>Infection and Drug Resistance</w:t>
      </w:r>
      <w:r w:rsidRPr="00505904">
        <w:rPr>
          <w:rFonts w:ascii="Times New Roman" w:hAnsi="Times New Roman" w:cs="Times New Roman"/>
          <w:lang w:val="en-US"/>
        </w:rPr>
        <w:t xml:space="preserve">, </w:t>
      </w:r>
      <w:r w:rsidRPr="00505904">
        <w:rPr>
          <w:rFonts w:ascii="Times New Roman" w:hAnsi="Times New Roman" w:cs="Times New Roman"/>
          <w:i/>
          <w:iCs/>
          <w:lang w:val="en-US"/>
        </w:rPr>
        <w:t>12</w:t>
      </w:r>
      <w:r w:rsidRPr="00505904">
        <w:rPr>
          <w:rFonts w:ascii="Times New Roman" w:hAnsi="Times New Roman" w:cs="Times New Roman"/>
          <w:lang w:val="en-US"/>
        </w:rPr>
        <w:t>, 3727–3737. https://doi.org/10.2147/IDR.S180912</w:t>
      </w:r>
    </w:p>
    <w:p w14:paraId="5BB97B0D" w14:textId="77777777" w:rsidR="00223C76" w:rsidRPr="00505904" w:rsidRDefault="00223C76" w:rsidP="00223C76">
      <w:pPr>
        <w:pStyle w:val="Bibliografa"/>
        <w:rPr>
          <w:rFonts w:ascii="Times New Roman" w:hAnsi="Times New Roman" w:cs="Times New Roman"/>
          <w:lang w:val="en-US"/>
        </w:rPr>
      </w:pPr>
      <w:r w:rsidRPr="00505904">
        <w:rPr>
          <w:rFonts w:ascii="Times New Roman" w:hAnsi="Times New Roman" w:cs="Times New Roman"/>
          <w:lang w:val="en-US"/>
        </w:rPr>
        <w:t xml:space="preserve">Behiry, S., Soliman, S. A., Massoud, M. A., Abdelbary, M., Kordy, A. M., Abdelkhalek, A., &amp; Heflish, A. (2023). Trichoderma pubescens Elicit Induced Systemic Resistance in Tomato Challenged by Rhizoctonia solani. </w:t>
      </w:r>
      <w:r w:rsidRPr="00505904">
        <w:rPr>
          <w:rFonts w:ascii="Times New Roman" w:hAnsi="Times New Roman" w:cs="Times New Roman"/>
          <w:i/>
          <w:iCs/>
          <w:lang w:val="en-US"/>
        </w:rPr>
        <w:t>Journal of Fungi (Basel, Switzerland)</w:t>
      </w:r>
      <w:r w:rsidRPr="00505904">
        <w:rPr>
          <w:rFonts w:ascii="Times New Roman" w:hAnsi="Times New Roman" w:cs="Times New Roman"/>
          <w:lang w:val="en-US"/>
        </w:rPr>
        <w:t xml:space="preserve">, </w:t>
      </w:r>
      <w:r w:rsidRPr="00505904">
        <w:rPr>
          <w:rFonts w:ascii="Times New Roman" w:hAnsi="Times New Roman" w:cs="Times New Roman"/>
          <w:i/>
          <w:iCs/>
          <w:lang w:val="en-US"/>
        </w:rPr>
        <w:t>9</w:t>
      </w:r>
      <w:r w:rsidRPr="00505904">
        <w:rPr>
          <w:rFonts w:ascii="Times New Roman" w:hAnsi="Times New Roman" w:cs="Times New Roman"/>
          <w:lang w:val="en-US"/>
        </w:rPr>
        <w:t>(2), 167. https://doi.org/10.3390/jof9020167</w:t>
      </w:r>
    </w:p>
    <w:p w14:paraId="75B28680" w14:textId="77777777" w:rsidR="00223C76" w:rsidRPr="00505904" w:rsidRDefault="00223C76" w:rsidP="00223C76">
      <w:pPr>
        <w:pStyle w:val="Bibliografa"/>
        <w:rPr>
          <w:rFonts w:ascii="Times New Roman" w:hAnsi="Times New Roman" w:cs="Times New Roman"/>
          <w:lang w:val="en-US"/>
        </w:rPr>
      </w:pPr>
      <w:r w:rsidRPr="00505904">
        <w:rPr>
          <w:rFonts w:ascii="Times New Roman" w:hAnsi="Times New Roman" w:cs="Times New Roman"/>
          <w:lang w:val="en-US"/>
        </w:rPr>
        <w:lastRenderedPageBreak/>
        <w:t xml:space="preserve">Bhat, K. A. (2017). A New Agar Plate Assisted Slide Culture Technique to Study Mycoparasitism of Trichoderma sp. On Rhizoctonia solani and Fusarium oxysporium. </w:t>
      </w:r>
      <w:r w:rsidRPr="00505904">
        <w:rPr>
          <w:rFonts w:ascii="Times New Roman" w:hAnsi="Times New Roman" w:cs="Times New Roman"/>
          <w:i/>
          <w:iCs/>
          <w:lang w:val="en-US"/>
        </w:rPr>
        <w:t>International Journal of Current Microbiology and Applied Sciences</w:t>
      </w:r>
      <w:r w:rsidRPr="00505904">
        <w:rPr>
          <w:rFonts w:ascii="Times New Roman" w:hAnsi="Times New Roman" w:cs="Times New Roman"/>
          <w:lang w:val="en-US"/>
        </w:rPr>
        <w:t xml:space="preserve">, </w:t>
      </w:r>
      <w:r w:rsidRPr="00505904">
        <w:rPr>
          <w:rFonts w:ascii="Times New Roman" w:hAnsi="Times New Roman" w:cs="Times New Roman"/>
          <w:i/>
          <w:iCs/>
          <w:lang w:val="en-US"/>
        </w:rPr>
        <w:t>6</w:t>
      </w:r>
      <w:r w:rsidRPr="00505904">
        <w:rPr>
          <w:rFonts w:ascii="Times New Roman" w:hAnsi="Times New Roman" w:cs="Times New Roman"/>
          <w:lang w:val="en-US"/>
        </w:rPr>
        <w:t>(8), 3176–3180. https://doi.org/10.20546/ijcmas.2017.608.378</w:t>
      </w:r>
    </w:p>
    <w:p w14:paraId="5CDEC21A" w14:textId="77777777" w:rsidR="00223C76" w:rsidRPr="00223C76" w:rsidRDefault="00223C76" w:rsidP="00223C76">
      <w:pPr>
        <w:pStyle w:val="Bibliografa"/>
        <w:rPr>
          <w:rFonts w:ascii="Times New Roman" w:hAnsi="Times New Roman" w:cs="Times New Roman"/>
        </w:rPr>
      </w:pPr>
      <w:r w:rsidRPr="00223C76">
        <w:rPr>
          <w:rFonts w:ascii="Times New Roman" w:hAnsi="Times New Roman" w:cs="Times New Roman"/>
        </w:rPr>
        <w:t xml:space="preserve">Castillo-Henríquez, L., Alfaro-Aguilar, K., Ugalde-Álvarez, J., Vega-Fernández, L., Montes de Oca-Vásquez, G., &amp; Vega-Baudrit, J. R. (2020). </w:t>
      </w:r>
      <w:r w:rsidRPr="00505904">
        <w:rPr>
          <w:rFonts w:ascii="Times New Roman" w:hAnsi="Times New Roman" w:cs="Times New Roman"/>
          <w:lang w:val="en-US"/>
        </w:rPr>
        <w:t xml:space="preserve">Green Synthesis of Gold and Silver Nanoparticles from Plant Extracts and Their Possible Applications as Antimicrobial Agents in the Agricultural Area. </w:t>
      </w:r>
      <w:r w:rsidRPr="00223C76">
        <w:rPr>
          <w:rFonts w:ascii="Times New Roman" w:hAnsi="Times New Roman" w:cs="Times New Roman"/>
          <w:i/>
          <w:iCs/>
        </w:rPr>
        <w:t>Nanomaterials (Basel, Switzerland)</w:t>
      </w:r>
      <w:r w:rsidRPr="00223C76">
        <w:rPr>
          <w:rFonts w:ascii="Times New Roman" w:hAnsi="Times New Roman" w:cs="Times New Roman"/>
        </w:rPr>
        <w:t xml:space="preserve">, </w:t>
      </w:r>
      <w:r w:rsidRPr="00223C76">
        <w:rPr>
          <w:rFonts w:ascii="Times New Roman" w:hAnsi="Times New Roman" w:cs="Times New Roman"/>
          <w:i/>
          <w:iCs/>
        </w:rPr>
        <w:t>10</w:t>
      </w:r>
      <w:r w:rsidRPr="00223C76">
        <w:rPr>
          <w:rFonts w:ascii="Times New Roman" w:hAnsi="Times New Roman" w:cs="Times New Roman"/>
        </w:rPr>
        <w:t>(9), 1763. https://doi.org/10.3390/nano10091763</w:t>
      </w:r>
    </w:p>
    <w:p w14:paraId="68C944F9" w14:textId="77777777" w:rsidR="00223C76" w:rsidRPr="00223C76" w:rsidRDefault="00223C76" w:rsidP="00223C76">
      <w:pPr>
        <w:pStyle w:val="Bibliografa"/>
        <w:rPr>
          <w:rFonts w:ascii="Times New Roman" w:hAnsi="Times New Roman" w:cs="Times New Roman"/>
        </w:rPr>
      </w:pPr>
      <w:r w:rsidRPr="00223C76">
        <w:rPr>
          <w:rFonts w:ascii="Times New Roman" w:hAnsi="Times New Roman" w:cs="Times New Roman"/>
        </w:rPr>
        <w:t xml:space="preserve">Castrillón Rivera, L. E., Palma Ramos, A., Castrillón Rivera, L. E., &amp; Palma Ramos, A. (2014). Actividad antimicótica de nanopartículas. </w:t>
      </w:r>
      <w:r w:rsidRPr="00223C76">
        <w:rPr>
          <w:rFonts w:ascii="Times New Roman" w:hAnsi="Times New Roman" w:cs="Times New Roman"/>
          <w:i/>
          <w:iCs/>
        </w:rPr>
        <w:t>Mundo nano. Revista interdisciplinaria en nanociencias y nanotecnología</w:t>
      </w:r>
      <w:r w:rsidRPr="00223C76">
        <w:rPr>
          <w:rFonts w:ascii="Times New Roman" w:hAnsi="Times New Roman" w:cs="Times New Roman"/>
        </w:rPr>
        <w:t xml:space="preserve">, </w:t>
      </w:r>
      <w:r w:rsidRPr="00223C76">
        <w:rPr>
          <w:rFonts w:ascii="Times New Roman" w:hAnsi="Times New Roman" w:cs="Times New Roman"/>
          <w:i/>
          <w:iCs/>
        </w:rPr>
        <w:t>7</w:t>
      </w:r>
      <w:r w:rsidRPr="00223C76">
        <w:rPr>
          <w:rFonts w:ascii="Times New Roman" w:hAnsi="Times New Roman" w:cs="Times New Roman"/>
        </w:rPr>
        <w:t>(12), 6–18.</w:t>
      </w:r>
    </w:p>
    <w:p w14:paraId="0C67E305" w14:textId="77777777" w:rsidR="00223C76" w:rsidRPr="00505904" w:rsidRDefault="00223C76" w:rsidP="00223C76">
      <w:pPr>
        <w:pStyle w:val="Bibliografa"/>
        <w:rPr>
          <w:rFonts w:ascii="Times New Roman" w:hAnsi="Times New Roman" w:cs="Times New Roman"/>
          <w:lang w:val="en-US"/>
        </w:rPr>
      </w:pPr>
      <w:r w:rsidRPr="00505904">
        <w:rPr>
          <w:rFonts w:ascii="Times New Roman" w:hAnsi="Times New Roman" w:cs="Times New Roman"/>
          <w:lang w:val="en-US"/>
        </w:rPr>
        <w:t xml:space="preserve">Dean, R., Van Kan, J. A. L., Pretorius, Z. A., Hammond-Kosack, K. E., Di Pietro, A., Spanu, P. D., Rudd, J. J., Dickman, M., Kahmann, R., Ellis, J., &amp; Foster, G. D. (2012). The Top 10 fungal pathogens in molecular plant pathology. </w:t>
      </w:r>
      <w:r w:rsidRPr="00505904">
        <w:rPr>
          <w:rFonts w:ascii="Times New Roman" w:hAnsi="Times New Roman" w:cs="Times New Roman"/>
          <w:i/>
          <w:iCs/>
          <w:lang w:val="en-US"/>
        </w:rPr>
        <w:t>Molecular Plant Pathology</w:t>
      </w:r>
      <w:r w:rsidRPr="00505904">
        <w:rPr>
          <w:rFonts w:ascii="Times New Roman" w:hAnsi="Times New Roman" w:cs="Times New Roman"/>
          <w:lang w:val="en-US"/>
        </w:rPr>
        <w:t xml:space="preserve">, </w:t>
      </w:r>
      <w:r w:rsidRPr="00505904">
        <w:rPr>
          <w:rFonts w:ascii="Times New Roman" w:hAnsi="Times New Roman" w:cs="Times New Roman"/>
          <w:i/>
          <w:iCs/>
          <w:lang w:val="en-US"/>
        </w:rPr>
        <w:t>13</w:t>
      </w:r>
      <w:r w:rsidRPr="00505904">
        <w:rPr>
          <w:rFonts w:ascii="Times New Roman" w:hAnsi="Times New Roman" w:cs="Times New Roman"/>
          <w:lang w:val="en-US"/>
        </w:rPr>
        <w:t>(4), 414–430. https://doi.org/10.1111/j.1364-3703.2011.00783.x</w:t>
      </w:r>
    </w:p>
    <w:p w14:paraId="087CF323" w14:textId="77777777" w:rsidR="00223C76" w:rsidRPr="00505904" w:rsidRDefault="00223C76" w:rsidP="00223C76">
      <w:pPr>
        <w:pStyle w:val="Bibliografa"/>
        <w:rPr>
          <w:rFonts w:ascii="Times New Roman" w:hAnsi="Times New Roman" w:cs="Times New Roman"/>
          <w:lang w:val="en-US"/>
        </w:rPr>
      </w:pPr>
      <w:r w:rsidRPr="00223C76">
        <w:rPr>
          <w:rFonts w:ascii="Times New Roman" w:hAnsi="Times New Roman" w:cs="Times New Roman"/>
        </w:rPr>
        <w:t xml:space="preserve">García Núñez, H. G., Soria Díaz, J. M., Arzate Fernández, A. M., Norman Mondragón, T. H., &amp; De La Cruz Torres, E. (2025). Evaluación in vitro de nanopartículas de síntesis verde y otros métodos biorracionales para el control de Pectobacterium carotovorum en Agave cupreata. </w:t>
      </w:r>
      <w:r w:rsidRPr="00505904">
        <w:rPr>
          <w:rFonts w:ascii="Times New Roman" w:hAnsi="Times New Roman" w:cs="Times New Roman"/>
          <w:i/>
          <w:iCs/>
          <w:lang w:val="en-US"/>
        </w:rPr>
        <w:t>Polibotánica</w:t>
      </w:r>
      <w:r w:rsidRPr="00505904">
        <w:rPr>
          <w:rFonts w:ascii="Times New Roman" w:hAnsi="Times New Roman" w:cs="Times New Roman"/>
          <w:lang w:val="en-US"/>
        </w:rPr>
        <w:t xml:space="preserve">, </w:t>
      </w:r>
      <w:r w:rsidRPr="00505904">
        <w:rPr>
          <w:rFonts w:ascii="Times New Roman" w:hAnsi="Times New Roman" w:cs="Times New Roman"/>
          <w:i/>
          <w:iCs/>
          <w:lang w:val="en-US"/>
        </w:rPr>
        <w:t>0</w:t>
      </w:r>
      <w:r w:rsidRPr="00505904">
        <w:rPr>
          <w:rFonts w:ascii="Times New Roman" w:hAnsi="Times New Roman" w:cs="Times New Roman"/>
          <w:lang w:val="en-US"/>
        </w:rPr>
        <w:t>(59). https://doi.org/10.18387/polibotanica.59.13</w:t>
      </w:r>
    </w:p>
    <w:p w14:paraId="3C8841A8" w14:textId="77777777" w:rsidR="00223C76" w:rsidRPr="00223C76" w:rsidRDefault="00223C76" w:rsidP="00223C76">
      <w:pPr>
        <w:pStyle w:val="Bibliografa"/>
        <w:rPr>
          <w:rFonts w:ascii="Times New Roman" w:hAnsi="Times New Roman" w:cs="Times New Roman"/>
        </w:rPr>
      </w:pPr>
      <w:r w:rsidRPr="00505904">
        <w:rPr>
          <w:rFonts w:ascii="Times New Roman" w:hAnsi="Times New Roman" w:cs="Times New Roman"/>
          <w:lang w:val="en-US"/>
        </w:rPr>
        <w:t xml:space="preserve">Geiser, D. M., Aoki, T., Bacon, C. W., Baker, S. E., Bhattacharyya, M. K., Brandt, M. E., Brown, D. W., Burgess, L. W., Chulze, S., Coleman, J. J., Correll, J. C., Covert, S. F., Crous, P. W., Cuomo, C. A., De Hoog, G. S., Di Pietro, A., Elmer, W. H., Epstein, L., Frandsen, R. J. N., … Zhang, N. (2013). One fungus, one name: Defining the genus Fusarium in a scientifically robust way that preserves longstanding use. </w:t>
      </w:r>
      <w:r w:rsidRPr="00223C76">
        <w:rPr>
          <w:rFonts w:ascii="Times New Roman" w:hAnsi="Times New Roman" w:cs="Times New Roman"/>
          <w:i/>
          <w:iCs/>
        </w:rPr>
        <w:t>Phytopathology</w:t>
      </w:r>
      <w:r w:rsidRPr="00223C76">
        <w:rPr>
          <w:rFonts w:ascii="Times New Roman" w:hAnsi="Times New Roman" w:cs="Times New Roman"/>
        </w:rPr>
        <w:t xml:space="preserve">, </w:t>
      </w:r>
      <w:r w:rsidRPr="00223C76">
        <w:rPr>
          <w:rFonts w:ascii="Times New Roman" w:hAnsi="Times New Roman" w:cs="Times New Roman"/>
          <w:i/>
          <w:iCs/>
        </w:rPr>
        <w:t>103</w:t>
      </w:r>
      <w:r w:rsidRPr="00223C76">
        <w:rPr>
          <w:rFonts w:ascii="Times New Roman" w:hAnsi="Times New Roman" w:cs="Times New Roman"/>
        </w:rPr>
        <w:t>(5), 400–408. https://doi.org/10.1094/PHYTO-07-12-0150-LE</w:t>
      </w:r>
    </w:p>
    <w:p w14:paraId="524BAFDC" w14:textId="77777777" w:rsidR="00223C76" w:rsidRPr="00505904" w:rsidRDefault="00223C76" w:rsidP="00223C76">
      <w:pPr>
        <w:pStyle w:val="Bibliografa"/>
        <w:rPr>
          <w:rFonts w:ascii="Times New Roman" w:hAnsi="Times New Roman" w:cs="Times New Roman"/>
          <w:lang w:val="en-US"/>
        </w:rPr>
      </w:pPr>
      <w:r w:rsidRPr="00223C76">
        <w:rPr>
          <w:rFonts w:ascii="Times New Roman" w:hAnsi="Times New Roman" w:cs="Times New Roman"/>
        </w:rPr>
        <w:lastRenderedPageBreak/>
        <w:t xml:space="preserve">González-Pedroza, M. G., Argueta-Figueroa, L., García-Contreras, R., Jiménez-Martínez, Y., Martínez-Martínez, E., Navarro-Marchal, S. A., Marchal, J. A., Morales-Luckie, R. A., &amp; Boulaiz, H. (2021). </w:t>
      </w:r>
      <w:r w:rsidRPr="00505904">
        <w:rPr>
          <w:rFonts w:ascii="Times New Roman" w:hAnsi="Times New Roman" w:cs="Times New Roman"/>
          <w:lang w:val="en-US"/>
        </w:rPr>
        <w:t xml:space="preserve">Silver Nanoparticles from Annona muricata Peel and Leaf Extracts as a Potential Potent, Biocompatible and Low Cost Antitumor Tool. </w:t>
      </w:r>
      <w:r w:rsidRPr="00505904">
        <w:rPr>
          <w:rFonts w:ascii="Times New Roman" w:hAnsi="Times New Roman" w:cs="Times New Roman"/>
          <w:i/>
          <w:iCs/>
          <w:lang w:val="en-US"/>
        </w:rPr>
        <w:t>Nanomaterials (Basel, Switzerland)</w:t>
      </w:r>
      <w:r w:rsidRPr="00505904">
        <w:rPr>
          <w:rFonts w:ascii="Times New Roman" w:hAnsi="Times New Roman" w:cs="Times New Roman"/>
          <w:lang w:val="en-US"/>
        </w:rPr>
        <w:t xml:space="preserve">, </w:t>
      </w:r>
      <w:r w:rsidRPr="00505904">
        <w:rPr>
          <w:rFonts w:ascii="Times New Roman" w:hAnsi="Times New Roman" w:cs="Times New Roman"/>
          <w:i/>
          <w:iCs/>
          <w:lang w:val="en-US"/>
        </w:rPr>
        <w:t>11</w:t>
      </w:r>
      <w:r w:rsidRPr="00505904">
        <w:rPr>
          <w:rFonts w:ascii="Times New Roman" w:hAnsi="Times New Roman" w:cs="Times New Roman"/>
          <w:lang w:val="en-US"/>
        </w:rPr>
        <w:t>(5), 1273. https://doi.org/10.3390/nano11051273</w:t>
      </w:r>
    </w:p>
    <w:p w14:paraId="3CA65EFE" w14:textId="77777777" w:rsidR="00223C76" w:rsidRPr="00223C76" w:rsidRDefault="00223C76" w:rsidP="00223C76">
      <w:pPr>
        <w:pStyle w:val="Bibliografa"/>
        <w:rPr>
          <w:rFonts w:ascii="Times New Roman" w:hAnsi="Times New Roman" w:cs="Times New Roman"/>
        </w:rPr>
      </w:pPr>
      <w:r w:rsidRPr="00505904">
        <w:rPr>
          <w:rFonts w:ascii="Times New Roman" w:hAnsi="Times New Roman" w:cs="Times New Roman"/>
          <w:lang w:val="en-US"/>
        </w:rPr>
        <w:t xml:space="preserve">Khan, M., Khan, A. U., Bogdanchikova, N., &amp; Garibo, D. (2021). Antibacterial and Antifungal Studies of Biosynthesized Silver Nanoparticles against Plant Parasitic Nematode Meloidogyne incognita, Plant Pathogens Ralstonia solanacearum and Fusarium oxysporum. </w:t>
      </w:r>
      <w:r w:rsidRPr="00223C76">
        <w:rPr>
          <w:rFonts w:ascii="Times New Roman" w:hAnsi="Times New Roman" w:cs="Times New Roman"/>
          <w:i/>
          <w:iCs/>
        </w:rPr>
        <w:t>Molecules</w:t>
      </w:r>
      <w:r w:rsidRPr="00223C76">
        <w:rPr>
          <w:rFonts w:ascii="Times New Roman" w:hAnsi="Times New Roman" w:cs="Times New Roman"/>
        </w:rPr>
        <w:t xml:space="preserve">, </w:t>
      </w:r>
      <w:r w:rsidRPr="00223C76">
        <w:rPr>
          <w:rFonts w:ascii="Times New Roman" w:hAnsi="Times New Roman" w:cs="Times New Roman"/>
          <w:i/>
          <w:iCs/>
        </w:rPr>
        <w:t>26</w:t>
      </w:r>
      <w:r w:rsidRPr="00223C76">
        <w:rPr>
          <w:rFonts w:ascii="Times New Roman" w:hAnsi="Times New Roman" w:cs="Times New Roman"/>
        </w:rPr>
        <w:t>(9). https://doi.org/10.3390/molecules26092462</w:t>
      </w:r>
    </w:p>
    <w:p w14:paraId="55970878" w14:textId="77777777" w:rsidR="00223C76" w:rsidRPr="00505904" w:rsidRDefault="00223C76" w:rsidP="00223C76">
      <w:pPr>
        <w:pStyle w:val="Bibliografa"/>
        <w:rPr>
          <w:rFonts w:ascii="Times New Roman" w:hAnsi="Times New Roman" w:cs="Times New Roman"/>
          <w:lang w:val="en-US"/>
        </w:rPr>
      </w:pPr>
      <w:r w:rsidRPr="00223C76">
        <w:rPr>
          <w:rFonts w:ascii="Times New Roman" w:hAnsi="Times New Roman" w:cs="Times New Roman"/>
        </w:rPr>
        <w:t xml:space="preserve">Kumar, R., Kumari, K., Hembram, K. C., Kandha, L., &amp; Bindhani, B. K. (2019). </w:t>
      </w:r>
      <w:r w:rsidRPr="00505904">
        <w:rPr>
          <w:rFonts w:ascii="Times New Roman" w:hAnsi="Times New Roman" w:cs="Times New Roman"/>
          <w:lang w:val="en-US"/>
        </w:rPr>
        <w:t xml:space="preserve">Expression of an endo </w:t>
      </w:r>
      <w:r w:rsidRPr="00223C76">
        <w:rPr>
          <w:rFonts w:ascii="Times New Roman" w:hAnsi="Times New Roman" w:cs="Times New Roman"/>
        </w:rPr>
        <w:t>α</w:t>
      </w:r>
      <w:r w:rsidRPr="00505904">
        <w:rPr>
          <w:rFonts w:ascii="Times New Roman" w:hAnsi="Times New Roman" w:cs="Times New Roman"/>
          <w:lang w:val="en-US"/>
        </w:rPr>
        <w:t xml:space="preserve">-1, 3-Glucanase gene from Trichoderma harzianum in rice induces resistance against sheath blight. </w:t>
      </w:r>
      <w:r w:rsidRPr="00505904">
        <w:rPr>
          <w:rFonts w:ascii="Times New Roman" w:hAnsi="Times New Roman" w:cs="Times New Roman"/>
          <w:i/>
          <w:iCs/>
          <w:lang w:val="en-US"/>
        </w:rPr>
        <w:t>Journal of Plant Biochemistry and Biotechnology</w:t>
      </w:r>
      <w:r w:rsidRPr="00505904">
        <w:rPr>
          <w:rFonts w:ascii="Times New Roman" w:hAnsi="Times New Roman" w:cs="Times New Roman"/>
          <w:lang w:val="en-US"/>
        </w:rPr>
        <w:t xml:space="preserve">, </w:t>
      </w:r>
      <w:r w:rsidRPr="00505904">
        <w:rPr>
          <w:rFonts w:ascii="Times New Roman" w:hAnsi="Times New Roman" w:cs="Times New Roman"/>
          <w:i/>
          <w:iCs/>
          <w:lang w:val="en-US"/>
        </w:rPr>
        <w:t>28</w:t>
      </w:r>
      <w:r w:rsidRPr="00505904">
        <w:rPr>
          <w:rFonts w:ascii="Times New Roman" w:hAnsi="Times New Roman" w:cs="Times New Roman"/>
          <w:lang w:val="en-US"/>
        </w:rPr>
        <w:t>(1), 84–90. https://doi.org/10.1007/s13562-018-0465-7</w:t>
      </w:r>
    </w:p>
    <w:p w14:paraId="1E2CC767" w14:textId="77777777" w:rsidR="00223C76" w:rsidRPr="00223C76" w:rsidRDefault="00223C76" w:rsidP="00223C76">
      <w:pPr>
        <w:pStyle w:val="Bibliografa"/>
        <w:rPr>
          <w:rFonts w:ascii="Times New Roman" w:hAnsi="Times New Roman" w:cs="Times New Roman"/>
        </w:rPr>
      </w:pPr>
      <w:r w:rsidRPr="00505904">
        <w:rPr>
          <w:rFonts w:ascii="Times New Roman" w:hAnsi="Times New Roman" w:cs="Times New Roman"/>
          <w:lang w:val="en-US"/>
        </w:rPr>
        <w:t xml:space="preserve">Leslie, J. F., &amp; Summerell, B. A. (Eds.). (2006). </w:t>
      </w:r>
      <w:r w:rsidRPr="00505904">
        <w:rPr>
          <w:rFonts w:ascii="Times New Roman" w:hAnsi="Times New Roman" w:cs="Times New Roman"/>
          <w:i/>
          <w:iCs/>
          <w:lang w:val="en-US"/>
        </w:rPr>
        <w:t>The Fusarium Laboratory Manual</w:t>
      </w:r>
      <w:r w:rsidRPr="00505904">
        <w:rPr>
          <w:rFonts w:ascii="Times New Roman" w:hAnsi="Times New Roman" w:cs="Times New Roman"/>
          <w:lang w:val="en-US"/>
        </w:rPr>
        <w:t xml:space="preserve"> (1a ed.). </w:t>
      </w:r>
      <w:r w:rsidRPr="00223C76">
        <w:rPr>
          <w:rFonts w:ascii="Times New Roman" w:hAnsi="Times New Roman" w:cs="Times New Roman"/>
        </w:rPr>
        <w:t>Wiley. https://doi.org/10.1002/9780470278376</w:t>
      </w:r>
    </w:p>
    <w:p w14:paraId="36EA6BCC" w14:textId="77777777" w:rsidR="00223C76" w:rsidRPr="00223C76" w:rsidRDefault="00223C76" w:rsidP="00223C76">
      <w:pPr>
        <w:pStyle w:val="Bibliografa"/>
        <w:rPr>
          <w:rFonts w:ascii="Times New Roman" w:hAnsi="Times New Roman" w:cs="Times New Roman"/>
        </w:rPr>
      </w:pPr>
      <w:r w:rsidRPr="00223C76">
        <w:rPr>
          <w:rFonts w:ascii="Times New Roman" w:hAnsi="Times New Roman" w:cs="Times New Roman"/>
        </w:rPr>
        <w:t xml:space="preserve">López-Bautista, V., Mora-Aguilera, G., Gutiérrez-Espinosa, M. A., Mendoza-Ramos, C., Martínez-Bustamante, V. I., Coria-Contreras, J. J., Acevedo-Sánchez, G., &amp; Santana-Peñaloza, B. (2020). Caracterización morfológica y molecular de Fusarium spp. Asociados a la ocurrencia regional de marchitez y pudrición seca del cogollo en Agave tequilana. </w:t>
      </w:r>
      <w:r w:rsidRPr="00223C76">
        <w:rPr>
          <w:rFonts w:ascii="Times New Roman" w:hAnsi="Times New Roman" w:cs="Times New Roman"/>
          <w:i/>
          <w:iCs/>
        </w:rPr>
        <w:t>Revista mexicana de fitopatología</w:t>
      </w:r>
      <w:r w:rsidRPr="00223C76">
        <w:rPr>
          <w:rFonts w:ascii="Times New Roman" w:hAnsi="Times New Roman" w:cs="Times New Roman"/>
        </w:rPr>
        <w:t xml:space="preserve">, </w:t>
      </w:r>
      <w:r w:rsidRPr="00223C76">
        <w:rPr>
          <w:rFonts w:ascii="Times New Roman" w:hAnsi="Times New Roman" w:cs="Times New Roman"/>
          <w:i/>
          <w:iCs/>
        </w:rPr>
        <w:t>38</w:t>
      </w:r>
      <w:r w:rsidRPr="00223C76">
        <w:rPr>
          <w:rFonts w:ascii="Times New Roman" w:hAnsi="Times New Roman" w:cs="Times New Roman"/>
        </w:rPr>
        <w:t>(1), 79–106. https://doi.org/10.18781/r.mex.fit.1911-4</w:t>
      </w:r>
    </w:p>
    <w:p w14:paraId="5A363F7C" w14:textId="77777777" w:rsidR="00223C76" w:rsidRPr="00505904" w:rsidRDefault="00223C76" w:rsidP="00223C76">
      <w:pPr>
        <w:pStyle w:val="Bibliografa"/>
        <w:rPr>
          <w:rFonts w:ascii="Times New Roman" w:hAnsi="Times New Roman" w:cs="Times New Roman"/>
          <w:lang w:val="en-US"/>
        </w:rPr>
      </w:pPr>
      <w:r w:rsidRPr="00223C76">
        <w:rPr>
          <w:rFonts w:ascii="Times New Roman" w:hAnsi="Times New Roman" w:cs="Times New Roman"/>
        </w:rPr>
        <w:t xml:space="preserve">Martínez-Martínez, S. Y., Arzate-Fernández, A. M., &amp; Gonzáles-Pedroza, M. G. (2024). </w:t>
      </w:r>
      <w:r w:rsidRPr="00505904">
        <w:rPr>
          <w:rFonts w:ascii="Times New Roman" w:hAnsi="Times New Roman" w:cs="Times New Roman"/>
          <w:lang w:val="en-US"/>
        </w:rPr>
        <w:t xml:space="preserve">Plant Regeneration of Agave cupreata by Somatic Embryogenesis in a Temporary Immersion System with Silver Nanoparticles. </w:t>
      </w:r>
      <w:r w:rsidRPr="00505904">
        <w:rPr>
          <w:rFonts w:ascii="Times New Roman" w:hAnsi="Times New Roman" w:cs="Times New Roman"/>
          <w:i/>
          <w:iCs/>
          <w:lang w:val="en-US"/>
        </w:rPr>
        <w:t>Methods in Molecular Biology (Clifton, N.J.)</w:t>
      </w:r>
      <w:r w:rsidRPr="00505904">
        <w:rPr>
          <w:rFonts w:ascii="Times New Roman" w:hAnsi="Times New Roman" w:cs="Times New Roman"/>
          <w:lang w:val="en-US"/>
        </w:rPr>
        <w:t xml:space="preserve">, </w:t>
      </w:r>
      <w:r w:rsidRPr="00505904">
        <w:rPr>
          <w:rFonts w:ascii="Times New Roman" w:hAnsi="Times New Roman" w:cs="Times New Roman"/>
          <w:i/>
          <w:iCs/>
          <w:lang w:val="en-US"/>
        </w:rPr>
        <w:t>2759</w:t>
      </w:r>
      <w:r w:rsidRPr="00505904">
        <w:rPr>
          <w:rFonts w:ascii="Times New Roman" w:hAnsi="Times New Roman" w:cs="Times New Roman"/>
          <w:lang w:val="en-US"/>
        </w:rPr>
        <w:t>, 89–96. https://doi.org/10.1007/978-1-0716-3654-1_9</w:t>
      </w:r>
    </w:p>
    <w:p w14:paraId="6E2E51BC" w14:textId="77777777" w:rsidR="00223C76" w:rsidRPr="00223C76" w:rsidRDefault="00223C76" w:rsidP="00223C76">
      <w:pPr>
        <w:pStyle w:val="Bibliografa"/>
        <w:rPr>
          <w:rFonts w:ascii="Times New Roman" w:hAnsi="Times New Roman" w:cs="Times New Roman"/>
        </w:rPr>
      </w:pPr>
      <w:r w:rsidRPr="00223C76">
        <w:rPr>
          <w:rFonts w:ascii="Times New Roman" w:hAnsi="Times New Roman" w:cs="Times New Roman"/>
        </w:rPr>
        <w:t xml:space="preserve">Mendoza-Ramos, C., Mora-Aguilera, G., Coria-Contreras, J. J., Santana-Peñaloza, B., Acevedo-Sánchez, G., Martínez-Bustamante, V., Gutiérrez-Espinosa, M. A., &amp; Rubio-Cortés, R. (2021). Fusarium spp. Y estimación de carga de inóculo asociados a hijuelos de Agave </w:t>
      </w:r>
      <w:r w:rsidRPr="00223C76">
        <w:rPr>
          <w:rFonts w:ascii="Times New Roman" w:hAnsi="Times New Roman" w:cs="Times New Roman"/>
        </w:rPr>
        <w:lastRenderedPageBreak/>
        <w:t xml:space="preserve">tequilana en diferentes niveles de inductividad epidémica regional. </w:t>
      </w:r>
      <w:r w:rsidRPr="00223C76">
        <w:rPr>
          <w:rFonts w:ascii="Times New Roman" w:hAnsi="Times New Roman" w:cs="Times New Roman"/>
          <w:i/>
          <w:iCs/>
        </w:rPr>
        <w:t>Revista mexicana de fitopatología</w:t>
      </w:r>
      <w:r w:rsidRPr="00223C76">
        <w:rPr>
          <w:rFonts w:ascii="Times New Roman" w:hAnsi="Times New Roman" w:cs="Times New Roman"/>
        </w:rPr>
        <w:t xml:space="preserve">, </w:t>
      </w:r>
      <w:r w:rsidRPr="00223C76">
        <w:rPr>
          <w:rFonts w:ascii="Times New Roman" w:hAnsi="Times New Roman" w:cs="Times New Roman"/>
          <w:i/>
          <w:iCs/>
        </w:rPr>
        <w:t>39</w:t>
      </w:r>
      <w:r w:rsidRPr="00223C76">
        <w:rPr>
          <w:rFonts w:ascii="Times New Roman" w:hAnsi="Times New Roman" w:cs="Times New Roman"/>
        </w:rPr>
        <w:t>(1), 94–121. https://doi.org/10.18781/r.mex.fit.2006-8</w:t>
      </w:r>
    </w:p>
    <w:p w14:paraId="02028366" w14:textId="77777777" w:rsidR="00223C76" w:rsidRPr="00505904" w:rsidRDefault="00223C76" w:rsidP="00223C76">
      <w:pPr>
        <w:pStyle w:val="Bibliografa"/>
        <w:rPr>
          <w:rFonts w:ascii="Times New Roman" w:hAnsi="Times New Roman" w:cs="Times New Roman"/>
          <w:lang w:val="en-US"/>
        </w:rPr>
      </w:pPr>
      <w:r w:rsidRPr="00223C76">
        <w:rPr>
          <w:rFonts w:ascii="Times New Roman" w:hAnsi="Times New Roman" w:cs="Times New Roman"/>
        </w:rPr>
        <w:t xml:space="preserve">Moreno-Juárez, E. G., Jiménez-Marin, A., Vera-Paz, S. I., &amp; Álvarez, F. (2023). The complete mitochondrial genome of the freshwater crab Tzotzilthelphusa villarosalensis Villalobos &amp; Álvarez, 2013 (Brachyura: Decapoda: Pseudothelphusidae: Raddausinae) from Mexico. </w:t>
      </w:r>
      <w:r w:rsidRPr="00505904">
        <w:rPr>
          <w:rFonts w:ascii="Times New Roman" w:hAnsi="Times New Roman" w:cs="Times New Roman"/>
          <w:i/>
          <w:iCs/>
          <w:lang w:val="en-US"/>
        </w:rPr>
        <w:t>Journal of Crustacean Biology</w:t>
      </w:r>
      <w:r w:rsidRPr="00505904">
        <w:rPr>
          <w:rFonts w:ascii="Times New Roman" w:hAnsi="Times New Roman" w:cs="Times New Roman"/>
          <w:lang w:val="en-US"/>
        </w:rPr>
        <w:t xml:space="preserve">, </w:t>
      </w:r>
      <w:r w:rsidRPr="00505904">
        <w:rPr>
          <w:rFonts w:ascii="Times New Roman" w:hAnsi="Times New Roman" w:cs="Times New Roman"/>
          <w:i/>
          <w:iCs/>
          <w:lang w:val="en-US"/>
        </w:rPr>
        <w:t>43</w:t>
      </w:r>
      <w:r w:rsidRPr="00505904">
        <w:rPr>
          <w:rFonts w:ascii="Times New Roman" w:hAnsi="Times New Roman" w:cs="Times New Roman"/>
          <w:lang w:val="en-US"/>
        </w:rPr>
        <w:t>(2), ruad033. https://doi.org/10.1093/jcbiol/ruad033</w:t>
      </w:r>
    </w:p>
    <w:p w14:paraId="35779B53" w14:textId="77777777" w:rsidR="00223C76" w:rsidRPr="00223C76" w:rsidRDefault="00223C76" w:rsidP="00223C76">
      <w:pPr>
        <w:pStyle w:val="Bibliografa"/>
        <w:rPr>
          <w:rFonts w:ascii="Times New Roman" w:hAnsi="Times New Roman" w:cs="Times New Roman"/>
        </w:rPr>
      </w:pPr>
      <w:r w:rsidRPr="00505904">
        <w:rPr>
          <w:rFonts w:ascii="Times New Roman" w:hAnsi="Times New Roman" w:cs="Times New Roman"/>
          <w:lang w:val="en-US"/>
        </w:rPr>
        <w:t xml:space="preserve">Prabhu, S., &amp; Poulose, E. K. (2012). Silver nanoparticles: Mechanism of antimicrobial action, synthesis, medical applications, and toxicity effects. </w:t>
      </w:r>
      <w:r w:rsidRPr="00223C76">
        <w:rPr>
          <w:rFonts w:ascii="Times New Roman" w:hAnsi="Times New Roman" w:cs="Times New Roman"/>
          <w:i/>
          <w:iCs/>
        </w:rPr>
        <w:t>International Nano Letters</w:t>
      </w:r>
      <w:r w:rsidRPr="00223C76">
        <w:rPr>
          <w:rFonts w:ascii="Times New Roman" w:hAnsi="Times New Roman" w:cs="Times New Roman"/>
        </w:rPr>
        <w:t xml:space="preserve">, </w:t>
      </w:r>
      <w:r w:rsidRPr="00223C76">
        <w:rPr>
          <w:rFonts w:ascii="Times New Roman" w:hAnsi="Times New Roman" w:cs="Times New Roman"/>
          <w:i/>
          <w:iCs/>
        </w:rPr>
        <w:t>2</w:t>
      </w:r>
      <w:r w:rsidRPr="00223C76">
        <w:rPr>
          <w:rFonts w:ascii="Times New Roman" w:hAnsi="Times New Roman" w:cs="Times New Roman"/>
        </w:rPr>
        <w:t>(1), 32. https://doi.org/10.1186/2228-5326-2-32</w:t>
      </w:r>
    </w:p>
    <w:p w14:paraId="488E8CA1" w14:textId="77777777" w:rsidR="00223C76" w:rsidRPr="00223C76" w:rsidRDefault="00223C76" w:rsidP="00223C76">
      <w:pPr>
        <w:pStyle w:val="Bibliografa"/>
        <w:rPr>
          <w:rFonts w:ascii="Times New Roman" w:hAnsi="Times New Roman" w:cs="Times New Roman"/>
        </w:rPr>
      </w:pPr>
      <w:r w:rsidRPr="00223C76">
        <w:rPr>
          <w:rFonts w:ascii="Times New Roman" w:hAnsi="Times New Roman" w:cs="Times New Roman"/>
        </w:rPr>
        <w:t xml:space="preserve">Rios-Hernández, T. A., Uc-Varguez, A., Evangelista-Martínez, Z., Rios-Hernández, T. A., Uc-Varguez, A., &amp; Evangelista-Martínez, Z. (2021). Control biológico de Fusarium oxysporum, agente causal de la pudrición del cormo en gladiolo, mediante estreptomicetos. </w:t>
      </w:r>
      <w:r w:rsidRPr="00223C76">
        <w:rPr>
          <w:rFonts w:ascii="Times New Roman" w:hAnsi="Times New Roman" w:cs="Times New Roman"/>
          <w:i/>
          <w:iCs/>
        </w:rPr>
        <w:t>Revista mexicana de fitopatología</w:t>
      </w:r>
      <w:r w:rsidRPr="00223C76">
        <w:rPr>
          <w:rFonts w:ascii="Times New Roman" w:hAnsi="Times New Roman" w:cs="Times New Roman"/>
        </w:rPr>
        <w:t xml:space="preserve">, </w:t>
      </w:r>
      <w:r w:rsidRPr="00223C76">
        <w:rPr>
          <w:rFonts w:ascii="Times New Roman" w:hAnsi="Times New Roman" w:cs="Times New Roman"/>
          <w:i/>
          <w:iCs/>
        </w:rPr>
        <w:t>39</w:t>
      </w:r>
      <w:r w:rsidRPr="00223C76">
        <w:rPr>
          <w:rFonts w:ascii="Times New Roman" w:hAnsi="Times New Roman" w:cs="Times New Roman"/>
        </w:rPr>
        <w:t>(3), 391–413. https://doi.org/10.18781/r.mex.fit.2105-3</w:t>
      </w:r>
    </w:p>
    <w:p w14:paraId="1FB5E64A" w14:textId="77777777" w:rsidR="00223C76" w:rsidRPr="00223C76" w:rsidRDefault="00223C76" w:rsidP="00223C76">
      <w:pPr>
        <w:pStyle w:val="Bibliografa"/>
        <w:rPr>
          <w:rFonts w:ascii="Times New Roman" w:hAnsi="Times New Roman" w:cs="Times New Roman"/>
        </w:rPr>
      </w:pPr>
      <w:r w:rsidRPr="00223C76">
        <w:rPr>
          <w:rFonts w:ascii="Times New Roman" w:hAnsi="Times New Roman" w:cs="Times New Roman"/>
        </w:rPr>
        <w:t xml:space="preserve">Rubio Rios, J. R. (2018). </w:t>
      </w:r>
      <w:r w:rsidRPr="00223C76">
        <w:rPr>
          <w:rFonts w:ascii="Times New Roman" w:hAnsi="Times New Roman" w:cs="Times New Roman"/>
          <w:i/>
          <w:iCs/>
        </w:rPr>
        <w:t>Análisis espacio-temporal de la marchitez del agave tequilero en Jalisco.</w:t>
      </w:r>
      <w:r w:rsidRPr="00223C76">
        <w:rPr>
          <w:rFonts w:ascii="Times New Roman" w:hAnsi="Times New Roman" w:cs="Times New Roman"/>
        </w:rPr>
        <w:t xml:space="preserve"> http://colposdigital.colpos.mx:8080/xmlui/handle/10521/3065</w:t>
      </w:r>
    </w:p>
    <w:p w14:paraId="20506AA5" w14:textId="77777777" w:rsidR="00223C76" w:rsidRPr="00505904" w:rsidRDefault="00223C76" w:rsidP="00223C76">
      <w:pPr>
        <w:pStyle w:val="Bibliografa"/>
        <w:rPr>
          <w:rFonts w:ascii="Times New Roman" w:hAnsi="Times New Roman" w:cs="Times New Roman"/>
          <w:lang w:val="en-US"/>
        </w:rPr>
      </w:pPr>
      <w:r w:rsidRPr="00505904">
        <w:rPr>
          <w:rFonts w:ascii="Times New Roman" w:hAnsi="Times New Roman" w:cs="Times New Roman"/>
          <w:lang w:val="en-US"/>
        </w:rPr>
        <w:t xml:space="preserve">S, S. V., Magar, S. J., &amp; Somwanshi, S. D. (2024). In vitro Antifungal Efficacy of Silver Nanoparticles against Fusarium oxysporum f. Sp. Lycopersici in Tomato. </w:t>
      </w:r>
      <w:r w:rsidRPr="00505904">
        <w:rPr>
          <w:rFonts w:ascii="Times New Roman" w:hAnsi="Times New Roman" w:cs="Times New Roman"/>
          <w:i/>
          <w:iCs/>
          <w:lang w:val="en-US"/>
        </w:rPr>
        <w:t>Microbiology Research Journal International</w:t>
      </w:r>
      <w:r w:rsidRPr="00505904">
        <w:rPr>
          <w:rFonts w:ascii="Times New Roman" w:hAnsi="Times New Roman" w:cs="Times New Roman"/>
          <w:lang w:val="en-US"/>
        </w:rPr>
        <w:t xml:space="preserve">, </w:t>
      </w:r>
      <w:r w:rsidRPr="00505904">
        <w:rPr>
          <w:rFonts w:ascii="Times New Roman" w:hAnsi="Times New Roman" w:cs="Times New Roman"/>
          <w:i/>
          <w:iCs/>
          <w:lang w:val="en-US"/>
        </w:rPr>
        <w:t>34</w:t>
      </w:r>
      <w:r w:rsidRPr="00505904">
        <w:rPr>
          <w:rFonts w:ascii="Times New Roman" w:hAnsi="Times New Roman" w:cs="Times New Roman"/>
          <w:lang w:val="en-US"/>
        </w:rPr>
        <w:t>(3), 1–9. https://doi.org/10.9734/mrji/2024/v34i31432</w:t>
      </w:r>
    </w:p>
    <w:p w14:paraId="4817F38A" w14:textId="77777777" w:rsidR="00223C76" w:rsidRPr="00223C76" w:rsidRDefault="00223C76" w:rsidP="00223C76">
      <w:pPr>
        <w:pStyle w:val="Bibliografa"/>
        <w:rPr>
          <w:rFonts w:ascii="Times New Roman" w:hAnsi="Times New Roman" w:cs="Times New Roman"/>
        </w:rPr>
      </w:pPr>
      <w:r w:rsidRPr="00223C76">
        <w:rPr>
          <w:rFonts w:ascii="Times New Roman" w:hAnsi="Times New Roman" w:cs="Times New Roman"/>
        </w:rPr>
        <w:t xml:space="preserve">Sánchez-García, B. M., Espinosa-Huerta, E., Villordo-Pineda, E., Rodríguez-Guerra, R., Mora-Avilés, M. A., Sánchez-García, B. M., Espinosa-Huerta, E., Villordo-Pineda, E., Rodríguez-Guerra, R., &amp; Mora-Avilés, M. A. (2017). Identificación molecular y evaluación antagónica in vitro de cepas nativas de Trichoderma spp. Sobre hongos fitopatógenos de raíz en frijol (Phaseolus vulgaris L.) cv. Montcalm. </w:t>
      </w:r>
      <w:r w:rsidRPr="00223C76">
        <w:rPr>
          <w:rFonts w:ascii="Times New Roman" w:hAnsi="Times New Roman" w:cs="Times New Roman"/>
          <w:i/>
          <w:iCs/>
        </w:rPr>
        <w:t>Agrociencia</w:t>
      </w:r>
      <w:r w:rsidRPr="00223C76">
        <w:rPr>
          <w:rFonts w:ascii="Times New Roman" w:hAnsi="Times New Roman" w:cs="Times New Roman"/>
        </w:rPr>
        <w:t xml:space="preserve">, </w:t>
      </w:r>
      <w:r w:rsidRPr="00223C76">
        <w:rPr>
          <w:rFonts w:ascii="Times New Roman" w:hAnsi="Times New Roman" w:cs="Times New Roman"/>
          <w:i/>
          <w:iCs/>
        </w:rPr>
        <w:t>51</w:t>
      </w:r>
      <w:r w:rsidRPr="00223C76">
        <w:rPr>
          <w:rFonts w:ascii="Times New Roman" w:hAnsi="Times New Roman" w:cs="Times New Roman"/>
        </w:rPr>
        <w:t>(1), 63–79.</w:t>
      </w:r>
    </w:p>
    <w:p w14:paraId="59E6C66E" w14:textId="77777777" w:rsidR="00223C76" w:rsidRPr="00505904" w:rsidRDefault="00223C76" w:rsidP="00223C76">
      <w:pPr>
        <w:pStyle w:val="Bibliografa"/>
        <w:rPr>
          <w:rFonts w:ascii="Times New Roman" w:hAnsi="Times New Roman" w:cs="Times New Roman"/>
          <w:lang w:val="en-US"/>
        </w:rPr>
      </w:pPr>
      <w:r w:rsidRPr="00223C76">
        <w:rPr>
          <w:rFonts w:ascii="Times New Roman" w:hAnsi="Times New Roman" w:cs="Times New Roman"/>
        </w:rPr>
        <w:t xml:space="preserve">Sara Greish; Mona M. Gaber, A. O. A. G. E.-S. (2022). </w:t>
      </w:r>
      <w:r w:rsidRPr="00505904">
        <w:rPr>
          <w:rFonts w:ascii="Times New Roman" w:hAnsi="Times New Roman" w:cs="Times New Roman"/>
          <w:lang w:val="en-US"/>
        </w:rPr>
        <w:t xml:space="preserve">Comparing the Antifungal Potency of Silver Nanoparticles and Traditional Fungicides against Fusarium oxysporum. </w:t>
      </w:r>
      <w:r w:rsidRPr="00505904">
        <w:rPr>
          <w:rFonts w:ascii="Times New Roman" w:hAnsi="Times New Roman" w:cs="Times New Roman"/>
          <w:i/>
          <w:iCs/>
          <w:lang w:val="en-US"/>
        </w:rPr>
        <w:t>Journal of Applied Plant Protection</w:t>
      </w:r>
      <w:r w:rsidRPr="00505904">
        <w:rPr>
          <w:rFonts w:ascii="Times New Roman" w:hAnsi="Times New Roman" w:cs="Times New Roman"/>
          <w:lang w:val="en-US"/>
        </w:rPr>
        <w:t xml:space="preserve">, </w:t>
      </w:r>
      <w:r w:rsidRPr="00505904">
        <w:rPr>
          <w:rFonts w:ascii="Times New Roman" w:hAnsi="Times New Roman" w:cs="Times New Roman"/>
          <w:i/>
          <w:iCs/>
          <w:lang w:val="en-US"/>
        </w:rPr>
        <w:t>11</w:t>
      </w:r>
      <w:r w:rsidRPr="00505904">
        <w:rPr>
          <w:rFonts w:ascii="Times New Roman" w:hAnsi="Times New Roman" w:cs="Times New Roman"/>
          <w:lang w:val="en-US"/>
        </w:rPr>
        <w:t>(1), 21–27. https://doi.org/10.21608/japp.2022.290554</w:t>
      </w:r>
    </w:p>
    <w:p w14:paraId="055746E0" w14:textId="77777777" w:rsidR="00223C76" w:rsidRPr="00223C76" w:rsidRDefault="00223C76" w:rsidP="00223C76">
      <w:pPr>
        <w:pStyle w:val="Bibliografa"/>
        <w:rPr>
          <w:rFonts w:ascii="Times New Roman" w:hAnsi="Times New Roman" w:cs="Times New Roman"/>
        </w:rPr>
      </w:pPr>
      <w:r w:rsidRPr="00505904">
        <w:rPr>
          <w:rFonts w:ascii="Times New Roman" w:hAnsi="Times New Roman" w:cs="Times New Roman"/>
          <w:lang w:val="en-US"/>
        </w:rPr>
        <w:lastRenderedPageBreak/>
        <w:t xml:space="preserve">Zepeda-Jazo, I. (2018). </w:t>
      </w:r>
      <w:r w:rsidRPr="00223C76">
        <w:rPr>
          <w:rFonts w:ascii="Times New Roman" w:hAnsi="Times New Roman" w:cs="Times New Roman"/>
        </w:rPr>
        <w:t xml:space="preserve">Manejo sustentable de plagas agrícolas en México. </w:t>
      </w:r>
      <w:r w:rsidRPr="00223C76">
        <w:rPr>
          <w:rFonts w:ascii="Times New Roman" w:hAnsi="Times New Roman" w:cs="Times New Roman"/>
          <w:i/>
          <w:iCs/>
        </w:rPr>
        <w:t>Agricultura, sociedad y desarrollo</w:t>
      </w:r>
      <w:r w:rsidRPr="00223C76">
        <w:rPr>
          <w:rFonts w:ascii="Times New Roman" w:hAnsi="Times New Roman" w:cs="Times New Roman"/>
        </w:rPr>
        <w:t xml:space="preserve">, </w:t>
      </w:r>
      <w:r w:rsidRPr="00223C76">
        <w:rPr>
          <w:rFonts w:ascii="Times New Roman" w:hAnsi="Times New Roman" w:cs="Times New Roman"/>
          <w:i/>
          <w:iCs/>
        </w:rPr>
        <w:t>15</w:t>
      </w:r>
      <w:r w:rsidRPr="00223C76">
        <w:rPr>
          <w:rFonts w:ascii="Times New Roman" w:hAnsi="Times New Roman" w:cs="Times New Roman"/>
        </w:rPr>
        <w:t>(1), 99–108.</w:t>
      </w:r>
    </w:p>
    <w:p w14:paraId="0046BBD9" w14:textId="77777777" w:rsidR="00223C76" w:rsidRPr="00505904" w:rsidRDefault="00223C76" w:rsidP="00223C76">
      <w:pPr>
        <w:pStyle w:val="Bibliografa"/>
        <w:rPr>
          <w:rFonts w:ascii="Times New Roman" w:hAnsi="Times New Roman" w:cs="Times New Roman"/>
          <w:lang w:val="en-US"/>
        </w:rPr>
      </w:pPr>
      <w:r w:rsidRPr="00223C76">
        <w:rPr>
          <w:rFonts w:ascii="Times New Roman" w:hAnsi="Times New Roman" w:cs="Times New Roman"/>
        </w:rPr>
        <w:t xml:space="preserve">Zin, N. A., &amp; Badaluddin, N. A. (2020). </w:t>
      </w:r>
      <w:r w:rsidRPr="00505904">
        <w:rPr>
          <w:rFonts w:ascii="Times New Roman" w:hAnsi="Times New Roman" w:cs="Times New Roman"/>
          <w:lang w:val="en-US"/>
        </w:rPr>
        <w:t xml:space="preserve">Biological functions of </w:t>
      </w:r>
      <w:r w:rsidRPr="00505904">
        <w:rPr>
          <w:rFonts w:ascii="Times New Roman" w:hAnsi="Times New Roman" w:cs="Times New Roman"/>
          <w:i/>
          <w:iCs/>
          <w:lang w:val="en-US"/>
        </w:rPr>
        <w:t>Trichoderma</w:t>
      </w:r>
      <w:r w:rsidRPr="00505904">
        <w:rPr>
          <w:rFonts w:ascii="Times New Roman" w:hAnsi="Times New Roman" w:cs="Times New Roman"/>
          <w:lang w:val="en-US"/>
        </w:rPr>
        <w:t xml:space="preserve"> spp. For agriculture applications. </w:t>
      </w:r>
      <w:r w:rsidRPr="00505904">
        <w:rPr>
          <w:rFonts w:ascii="Times New Roman" w:hAnsi="Times New Roman" w:cs="Times New Roman"/>
          <w:i/>
          <w:iCs/>
          <w:lang w:val="en-US"/>
        </w:rPr>
        <w:t>Annals of Agricultural Sciences</w:t>
      </w:r>
      <w:r w:rsidRPr="00505904">
        <w:rPr>
          <w:rFonts w:ascii="Times New Roman" w:hAnsi="Times New Roman" w:cs="Times New Roman"/>
          <w:lang w:val="en-US"/>
        </w:rPr>
        <w:t xml:space="preserve">, </w:t>
      </w:r>
      <w:r w:rsidRPr="00505904">
        <w:rPr>
          <w:rFonts w:ascii="Times New Roman" w:hAnsi="Times New Roman" w:cs="Times New Roman"/>
          <w:i/>
          <w:iCs/>
          <w:lang w:val="en-US"/>
        </w:rPr>
        <w:t>65</w:t>
      </w:r>
      <w:r w:rsidRPr="00505904">
        <w:rPr>
          <w:rFonts w:ascii="Times New Roman" w:hAnsi="Times New Roman" w:cs="Times New Roman"/>
          <w:lang w:val="en-US"/>
        </w:rPr>
        <w:t>(2), 168–178. https://doi.org/10.1016/j.aoas.2020.09.003</w:t>
      </w:r>
    </w:p>
    <w:p w14:paraId="34A11759" w14:textId="77777777" w:rsidR="00223C76" w:rsidRPr="00223C76" w:rsidRDefault="00223C76" w:rsidP="00223C76">
      <w:pPr>
        <w:pStyle w:val="Bibliografa"/>
        <w:rPr>
          <w:rFonts w:ascii="Times New Roman" w:hAnsi="Times New Roman" w:cs="Times New Roman"/>
        </w:rPr>
      </w:pPr>
      <w:r w:rsidRPr="00505904">
        <w:rPr>
          <w:rFonts w:ascii="Times New Roman" w:hAnsi="Times New Roman" w:cs="Times New Roman"/>
          <w:lang w:val="en-US"/>
        </w:rPr>
        <w:t xml:space="preserve">Zuriegat, Q., Zheng, Y., Liu, H., Wang, Z., &amp; Yun, Y. (2021). Current progress on pathogenicity-related transcription factors in Fusarium oxysporum. </w:t>
      </w:r>
      <w:r w:rsidRPr="00223C76">
        <w:rPr>
          <w:rFonts w:ascii="Times New Roman" w:hAnsi="Times New Roman" w:cs="Times New Roman"/>
          <w:i/>
          <w:iCs/>
        </w:rPr>
        <w:t>Molecular Plant Pathology</w:t>
      </w:r>
      <w:r w:rsidRPr="00223C76">
        <w:rPr>
          <w:rFonts w:ascii="Times New Roman" w:hAnsi="Times New Roman" w:cs="Times New Roman"/>
        </w:rPr>
        <w:t xml:space="preserve">, </w:t>
      </w:r>
      <w:r w:rsidRPr="00223C76">
        <w:rPr>
          <w:rFonts w:ascii="Times New Roman" w:hAnsi="Times New Roman" w:cs="Times New Roman"/>
          <w:i/>
          <w:iCs/>
        </w:rPr>
        <w:t>22</w:t>
      </w:r>
      <w:r w:rsidRPr="00223C76">
        <w:rPr>
          <w:rFonts w:ascii="Times New Roman" w:hAnsi="Times New Roman" w:cs="Times New Roman"/>
        </w:rPr>
        <w:t>(7), 882–895. https://doi.org/10.1111/mpp.13068</w:t>
      </w:r>
    </w:p>
    <w:p w14:paraId="21494E44" w14:textId="40BCB094" w:rsidR="005B2B0C" w:rsidRPr="000652E0" w:rsidRDefault="00CB59C5" w:rsidP="000652E0">
      <w:pPr>
        <w:spacing w:line="276" w:lineRule="auto"/>
        <w:ind w:left="1134"/>
        <w:jc w:val="both"/>
        <w:rPr>
          <w:rFonts w:ascii="Times New Roman" w:eastAsia="Times New Roman" w:hAnsi="Times New Roman" w:cs="Times New Roman"/>
          <w:b/>
          <w:szCs w:val="24"/>
          <w:lang w:val="en-US"/>
        </w:rPr>
      </w:pPr>
      <w:r>
        <w:rPr>
          <w:rFonts w:ascii="Times New Roman" w:eastAsia="Times New Roman" w:hAnsi="Times New Roman" w:cs="Times New Roman"/>
          <w:b/>
          <w:szCs w:val="24"/>
          <w:lang w:val="en-US"/>
        </w:rPr>
        <w:fldChar w:fldCharType="end"/>
      </w:r>
    </w:p>
    <w:sectPr w:rsidR="005B2B0C" w:rsidRPr="000652E0" w:rsidSect="00E14152">
      <w:footerReference w:type="default" r:id="rId15"/>
      <w:headerReference w:type="first" r:id="rId16"/>
      <w:footerReference w:type="first" r:id="rId17"/>
      <w:pgSz w:w="11906" w:h="16838"/>
      <w:pgMar w:top="1919" w:right="1133" w:bottom="1417" w:left="1701" w:header="708" w:footer="413"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5BB940C" w14:textId="77777777" w:rsidR="001076F7" w:rsidRDefault="001076F7" w:rsidP="00BA279B">
      <w:pPr>
        <w:spacing w:after="0" w:line="240" w:lineRule="auto"/>
      </w:pPr>
      <w:r>
        <w:separator/>
      </w:r>
    </w:p>
  </w:endnote>
  <w:endnote w:type="continuationSeparator" w:id="0">
    <w:p w14:paraId="019F1A58" w14:textId="77777777" w:rsidR="001076F7" w:rsidRDefault="001076F7" w:rsidP="00BA279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Palatino Linotype">
    <w:panose1 w:val="02040502050505030304"/>
    <w:charset w:val="00"/>
    <w:family w:val="roman"/>
    <w:pitch w:val="variable"/>
    <w:sig w:usb0="E0000287" w:usb1="40000013" w:usb2="00000000" w:usb3="00000000" w:csb0="0000019F" w:csb1="00000000"/>
  </w:font>
  <w:font w:name="Cordia New">
    <w:panose1 w:val="020B0304020202020204"/>
    <w:charset w:val="DE"/>
    <w:family w:val="swiss"/>
    <w:pitch w:val="variable"/>
    <w:sig w:usb0="81000003" w:usb1="00000000" w:usb2="00000000" w:usb3="00000000" w:csb0="00010001" w:csb1="00000000"/>
  </w:font>
  <w:font w:name="Cambria Math">
    <w:panose1 w:val="02040503050406030204"/>
    <w:charset w:val="00"/>
    <w:family w:val="roman"/>
    <w:pitch w:val="variable"/>
    <w:sig w:usb0="E00006FF" w:usb1="420024FF" w:usb2="02000000" w:usb3="00000000" w:csb0="0000019F" w:csb1="00000000"/>
  </w:font>
  <w:font w:name="Aptos">
    <w:charset w:val="00"/>
    <w:family w:val="swiss"/>
    <w:pitch w:val="variable"/>
    <w:sig w:usb0="20000287" w:usb1="00000003" w:usb2="00000000" w:usb3="00000000" w:csb0="000001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E19368C" w14:textId="6A595E8E" w:rsidR="00035956" w:rsidRPr="003F285A" w:rsidRDefault="004F79D9" w:rsidP="00F72EBA">
    <w:pPr>
      <w:pStyle w:val="Piedepgina"/>
      <w:tabs>
        <w:tab w:val="left" w:pos="4121"/>
      </w:tabs>
      <w:ind w:left="-426"/>
      <w:rPr>
        <w:rFonts w:ascii="Times New Roman" w:hAnsi="Times New Roman" w:cs="Times New Roman"/>
        <w:lang w:val="en-US"/>
      </w:rPr>
    </w:pPr>
    <w:r w:rsidRPr="00033DEC">
      <w:rPr>
        <w:rFonts w:ascii="Times New Roman" w:hAnsi="Times New Roman" w:cs="Times New Roman"/>
        <w:noProof/>
        <w:sz w:val="20"/>
        <w:lang w:eastAsia="es-ES"/>
      </w:rPr>
      <mc:AlternateContent>
        <mc:Choice Requires="wps">
          <w:drawing>
            <wp:anchor distT="0" distB="0" distL="114300" distR="114300" simplePos="0" relativeHeight="251664384" behindDoc="0" locked="0" layoutInCell="1" allowOverlap="1" wp14:anchorId="4AA3AAA7" wp14:editId="03D69EFD">
              <wp:simplePos x="0" y="0"/>
              <wp:positionH relativeFrom="column">
                <wp:posOffset>-143619</wp:posOffset>
              </wp:positionH>
              <wp:positionV relativeFrom="paragraph">
                <wp:posOffset>-38735</wp:posOffset>
              </wp:positionV>
              <wp:extent cx="5832000" cy="0"/>
              <wp:effectExtent l="0" t="0" r="16510" b="19050"/>
              <wp:wrapNone/>
              <wp:docPr id="9" name="9 Conector recto"/>
              <wp:cNvGraphicFramePr/>
              <a:graphic xmlns:a="http://schemas.openxmlformats.org/drawingml/2006/main">
                <a:graphicData uri="http://schemas.microsoft.com/office/word/2010/wordprocessingShape">
                  <wps:wsp>
                    <wps:cNvCnPr/>
                    <wps:spPr>
                      <a:xfrm>
                        <a:off x="0" y="0"/>
                        <a:ext cx="5832000" cy="0"/>
                      </a:xfrm>
                      <a:prstGeom prst="line">
                        <a:avLst/>
                      </a:prstGeom>
                      <a:ln>
                        <a:solidFill>
                          <a:schemeClr val="bg1">
                            <a:lumMod val="75000"/>
                          </a:schemeClr>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61B38086" id="9 Conector recto" o:spid="_x0000_s1026" style="position:absolute;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11.3pt,-3.05pt" to="447.9pt,-3.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" strokecolor="#bfbfbf [2412]"/>
          </w:pict>
        </mc:Fallback>
      </mc:AlternateContent>
    </w:r>
    <w:r w:rsidR="00033DEC" w:rsidRPr="00AE1A91">
      <w:rPr>
        <w:rFonts w:ascii="Times New Roman" w:hAnsi="Times New Roman" w:cs="Times New Roman"/>
        <w:sz w:val="20"/>
      </w:rPr>
      <w:t xml:space="preserve"> </w:t>
    </w:r>
    <w:sdt>
      <w:sdtPr>
        <w:rPr>
          <w:rFonts w:ascii="Times New Roman" w:hAnsi="Times New Roman" w:cs="Times New Roman"/>
        </w:rPr>
        <w:id w:val="-1342160155"/>
        <w:docPartObj>
          <w:docPartGallery w:val="Page Numbers (Bottom of Page)"/>
          <w:docPartUnique/>
        </w:docPartObj>
      </w:sdtPr>
      <w:sdtContent>
        <w:r w:rsidR="003F285A" w:rsidRPr="00AE1A91">
          <w:rPr>
            <w:rFonts w:ascii="Times New Roman" w:hAnsi="Times New Roman" w:cs="Times New Roman"/>
          </w:rPr>
          <w:t xml:space="preserve">  </w:t>
        </w:r>
        <w:r w:rsidR="00F72EBA" w:rsidRPr="00AE1A91">
          <w:rPr>
            <w:rFonts w:ascii="Times New Roman" w:hAnsi="Times New Roman" w:cs="Times New Roman"/>
          </w:rPr>
          <w:tab/>
        </w:r>
        <w:r w:rsidR="00F72EBA" w:rsidRPr="00AE1A91">
          <w:rPr>
            <w:rFonts w:ascii="Times New Roman" w:hAnsi="Times New Roman" w:cs="Times New Roman"/>
          </w:rPr>
          <w:tab/>
        </w:r>
        <w:r w:rsidR="003F285A" w:rsidRPr="00AE1A91">
          <w:rPr>
            <w:rFonts w:ascii="Times New Roman" w:hAnsi="Times New Roman" w:cs="Times New Roman"/>
          </w:rPr>
          <w:t xml:space="preserve"> </w:t>
        </w:r>
        <w:r w:rsidR="00F72EBA" w:rsidRPr="00AE1A91">
          <w:rPr>
            <w:rFonts w:ascii="Times New Roman" w:hAnsi="Times New Roman" w:cs="Times New Roman"/>
          </w:rPr>
          <w:tab/>
        </w:r>
        <w:r w:rsidR="003F285A" w:rsidRPr="00AE1A91">
          <w:rPr>
            <w:rFonts w:ascii="Times New Roman" w:hAnsi="Times New Roman" w:cs="Times New Roman"/>
          </w:rPr>
          <w:t xml:space="preserve"> </w:t>
        </w:r>
        <w:r w:rsidR="0044336E" w:rsidRPr="00AE1A91">
          <w:rPr>
            <w:rFonts w:ascii="Times New Roman" w:hAnsi="Times New Roman" w:cs="Times New Roman"/>
          </w:rPr>
          <w:t>[</w:t>
        </w:r>
        <w:r w:rsidR="00035956" w:rsidRPr="003F285A">
          <w:rPr>
            <w:rFonts w:ascii="Times New Roman" w:hAnsi="Times New Roman" w:cs="Times New Roman"/>
          </w:rPr>
          <w:fldChar w:fldCharType="begin"/>
        </w:r>
        <w:r w:rsidR="00035956" w:rsidRPr="003F285A">
          <w:rPr>
            <w:rFonts w:ascii="Times New Roman" w:hAnsi="Times New Roman" w:cs="Times New Roman"/>
            <w:lang w:val="en-US"/>
          </w:rPr>
          <w:instrText>PAGE   \* MERGEFORMAT</w:instrText>
        </w:r>
        <w:r w:rsidR="00035956" w:rsidRPr="003F285A">
          <w:rPr>
            <w:rFonts w:ascii="Times New Roman" w:hAnsi="Times New Roman" w:cs="Times New Roman"/>
          </w:rPr>
          <w:fldChar w:fldCharType="separate"/>
        </w:r>
        <w:r w:rsidR="00366D95">
          <w:rPr>
            <w:rFonts w:ascii="Times New Roman" w:hAnsi="Times New Roman" w:cs="Times New Roman"/>
            <w:noProof/>
            <w:lang w:val="en-US"/>
          </w:rPr>
          <w:t>3</w:t>
        </w:r>
        <w:r w:rsidR="00035956" w:rsidRPr="003F285A">
          <w:rPr>
            <w:rFonts w:ascii="Times New Roman" w:hAnsi="Times New Roman" w:cs="Times New Roman"/>
          </w:rPr>
          <w:fldChar w:fldCharType="end"/>
        </w:r>
        <w:r w:rsidR="0044336E" w:rsidRPr="003F285A">
          <w:rPr>
            <w:rFonts w:ascii="Times New Roman" w:hAnsi="Times New Roman" w:cs="Times New Roman"/>
            <w:lang w:val="en-US"/>
          </w:rPr>
          <w:t>]</w:t>
        </w:r>
      </w:sdtContent>
    </w:sdt>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52A14C0" w14:textId="09BCDF63" w:rsidR="00FB7871" w:rsidRPr="005546CA" w:rsidRDefault="00FB7871" w:rsidP="00FB7871">
    <w:pPr>
      <w:pStyle w:val="Piedepgina"/>
      <w:tabs>
        <w:tab w:val="left" w:pos="4121"/>
      </w:tabs>
      <w:ind w:left="-426"/>
      <w:jc w:val="center"/>
      <w:rPr>
        <w:rFonts w:ascii="Times New Roman" w:hAnsi="Times New Roman" w:cs="Times New Roman"/>
        <w:lang w:val="en-US"/>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3186C02" w14:textId="77777777" w:rsidR="001076F7" w:rsidRDefault="001076F7" w:rsidP="00BA279B">
      <w:pPr>
        <w:spacing w:after="0" w:line="240" w:lineRule="auto"/>
      </w:pPr>
      <w:r>
        <w:separator/>
      </w:r>
    </w:p>
  </w:footnote>
  <w:footnote w:type="continuationSeparator" w:id="0">
    <w:p w14:paraId="2AE3B874" w14:textId="77777777" w:rsidR="001076F7" w:rsidRDefault="001076F7" w:rsidP="00BA279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5E91F4F" w14:textId="7FF212E3" w:rsidR="00E14152" w:rsidRPr="00B137B9" w:rsidRDefault="00E14152" w:rsidP="00E14152"/>
  <w:p w14:paraId="1B62FB69" w14:textId="664D94E2" w:rsidR="00E14152" w:rsidRDefault="00E14152">
    <w:pPr>
      <w:pStyle w:val="Encabezad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8B468F5"/>
    <w:multiLevelType w:val="hybridMultilevel"/>
    <w:tmpl w:val="F7E250A8"/>
    <w:lvl w:ilvl="0" w:tplc="5A92E4B0">
      <w:start w:val="1"/>
      <w:numFmt w:val="decimal"/>
      <w:lvlRestart w:val="0"/>
      <w:pStyle w:val="MDPI71References"/>
      <w:lvlText w:val="%1."/>
      <w:lvlJc w:val="left"/>
      <w:pPr>
        <w:ind w:left="425" w:hanging="425"/>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1E0C6F5D"/>
    <w:multiLevelType w:val="hybridMultilevel"/>
    <w:tmpl w:val="8BFE0D56"/>
    <w:lvl w:ilvl="0" w:tplc="CCCE9BD4">
      <w:start w:val="1"/>
      <w:numFmt w:val="bullet"/>
      <w:lvlRestart w:val="0"/>
      <w:pStyle w:val="MDPI38bullet"/>
      <w:lvlText w:val=""/>
      <w:lvlJc w:val="left"/>
      <w:pPr>
        <w:ind w:left="3033" w:hanging="425"/>
      </w:pPr>
      <w:rPr>
        <w:rFonts w:ascii="Symbol" w:hAnsi="Symbol" w:hint="default"/>
      </w:rPr>
    </w:lvl>
    <w:lvl w:ilvl="1" w:tplc="04090003" w:tentative="1">
      <w:start w:val="1"/>
      <w:numFmt w:val="bullet"/>
      <w:lvlText w:val="o"/>
      <w:lvlJc w:val="left"/>
      <w:pPr>
        <w:ind w:left="4048" w:hanging="360"/>
      </w:pPr>
      <w:rPr>
        <w:rFonts w:ascii="Courier New" w:hAnsi="Courier New" w:cs="Courier New" w:hint="default"/>
      </w:rPr>
    </w:lvl>
    <w:lvl w:ilvl="2" w:tplc="04090005" w:tentative="1">
      <w:start w:val="1"/>
      <w:numFmt w:val="bullet"/>
      <w:lvlText w:val=""/>
      <w:lvlJc w:val="left"/>
      <w:pPr>
        <w:ind w:left="4768" w:hanging="360"/>
      </w:pPr>
      <w:rPr>
        <w:rFonts w:ascii="Wingdings" w:hAnsi="Wingdings" w:hint="default"/>
      </w:rPr>
    </w:lvl>
    <w:lvl w:ilvl="3" w:tplc="04090001" w:tentative="1">
      <w:start w:val="1"/>
      <w:numFmt w:val="bullet"/>
      <w:lvlText w:val=""/>
      <w:lvlJc w:val="left"/>
      <w:pPr>
        <w:ind w:left="5488" w:hanging="360"/>
      </w:pPr>
      <w:rPr>
        <w:rFonts w:ascii="Symbol" w:hAnsi="Symbol" w:hint="default"/>
      </w:rPr>
    </w:lvl>
    <w:lvl w:ilvl="4" w:tplc="04090003" w:tentative="1">
      <w:start w:val="1"/>
      <w:numFmt w:val="bullet"/>
      <w:lvlText w:val="o"/>
      <w:lvlJc w:val="left"/>
      <w:pPr>
        <w:ind w:left="6208" w:hanging="360"/>
      </w:pPr>
      <w:rPr>
        <w:rFonts w:ascii="Courier New" w:hAnsi="Courier New" w:cs="Courier New" w:hint="default"/>
      </w:rPr>
    </w:lvl>
    <w:lvl w:ilvl="5" w:tplc="04090005" w:tentative="1">
      <w:start w:val="1"/>
      <w:numFmt w:val="bullet"/>
      <w:lvlText w:val=""/>
      <w:lvlJc w:val="left"/>
      <w:pPr>
        <w:ind w:left="6928" w:hanging="360"/>
      </w:pPr>
      <w:rPr>
        <w:rFonts w:ascii="Wingdings" w:hAnsi="Wingdings" w:hint="default"/>
      </w:rPr>
    </w:lvl>
    <w:lvl w:ilvl="6" w:tplc="04090001" w:tentative="1">
      <w:start w:val="1"/>
      <w:numFmt w:val="bullet"/>
      <w:lvlText w:val=""/>
      <w:lvlJc w:val="left"/>
      <w:pPr>
        <w:ind w:left="7648" w:hanging="360"/>
      </w:pPr>
      <w:rPr>
        <w:rFonts w:ascii="Symbol" w:hAnsi="Symbol" w:hint="default"/>
      </w:rPr>
    </w:lvl>
    <w:lvl w:ilvl="7" w:tplc="04090003" w:tentative="1">
      <w:start w:val="1"/>
      <w:numFmt w:val="bullet"/>
      <w:lvlText w:val="o"/>
      <w:lvlJc w:val="left"/>
      <w:pPr>
        <w:ind w:left="8368" w:hanging="360"/>
      </w:pPr>
      <w:rPr>
        <w:rFonts w:ascii="Courier New" w:hAnsi="Courier New" w:cs="Courier New" w:hint="default"/>
      </w:rPr>
    </w:lvl>
    <w:lvl w:ilvl="8" w:tplc="04090005" w:tentative="1">
      <w:start w:val="1"/>
      <w:numFmt w:val="bullet"/>
      <w:lvlText w:val=""/>
      <w:lvlJc w:val="left"/>
      <w:pPr>
        <w:ind w:left="9088" w:hanging="360"/>
      </w:pPr>
      <w:rPr>
        <w:rFonts w:ascii="Wingdings" w:hAnsi="Wingdings" w:hint="default"/>
      </w:rPr>
    </w:lvl>
  </w:abstractNum>
  <w:abstractNum w:abstractNumId="2" w15:restartNumberingAfterBreak="0">
    <w:nsid w:val="245B6215"/>
    <w:multiLevelType w:val="multilevel"/>
    <w:tmpl w:val="A762F46A"/>
    <w:lvl w:ilvl="0">
      <w:start w:val="1"/>
      <w:numFmt w:val="decimal"/>
      <w:lvlText w:val="%1."/>
      <w:lvlJc w:val="left"/>
      <w:pPr>
        <w:ind w:left="1494" w:hanging="360"/>
      </w:pPr>
      <w:rPr>
        <w:rFonts w:hint="default"/>
      </w:rPr>
    </w:lvl>
    <w:lvl w:ilvl="1">
      <w:start w:val="1"/>
      <w:numFmt w:val="decimal"/>
      <w:isLgl/>
      <w:lvlText w:val="%1.%2."/>
      <w:lvlJc w:val="left"/>
      <w:pPr>
        <w:ind w:left="2227" w:hanging="384"/>
      </w:pPr>
      <w:rPr>
        <w:rFonts w:hint="default"/>
        <w:sz w:val="22"/>
      </w:rPr>
    </w:lvl>
    <w:lvl w:ilvl="2">
      <w:start w:val="1"/>
      <w:numFmt w:val="decimal"/>
      <w:isLgl/>
      <w:lvlText w:val="%1.%2.%3."/>
      <w:lvlJc w:val="left"/>
      <w:pPr>
        <w:ind w:left="3272" w:hanging="720"/>
      </w:pPr>
      <w:rPr>
        <w:rFonts w:hint="default"/>
        <w:sz w:val="22"/>
      </w:rPr>
    </w:lvl>
    <w:lvl w:ilvl="3">
      <w:start w:val="1"/>
      <w:numFmt w:val="decimal"/>
      <w:isLgl/>
      <w:lvlText w:val="%1.%2.%3.%4."/>
      <w:lvlJc w:val="left"/>
      <w:pPr>
        <w:ind w:left="3981" w:hanging="720"/>
      </w:pPr>
      <w:rPr>
        <w:rFonts w:hint="default"/>
        <w:sz w:val="22"/>
      </w:rPr>
    </w:lvl>
    <w:lvl w:ilvl="4">
      <w:start w:val="1"/>
      <w:numFmt w:val="decimal"/>
      <w:isLgl/>
      <w:lvlText w:val="%1.%2.%3.%4.%5."/>
      <w:lvlJc w:val="left"/>
      <w:pPr>
        <w:ind w:left="5050" w:hanging="1080"/>
      </w:pPr>
      <w:rPr>
        <w:rFonts w:hint="default"/>
        <w:sz w:val="22"/>
      </w:rPr>
    </w:lvl>
    <w:lvl w:ilvl="5">
      <w:start w:val="1"/>
      <w:numFmt w:val="decimal"/>
      <w:isLgl/>
      <w:lvlText w:val="%1.%2.%3.%4.%5.%6."/>
      <w:lvlJc w:val="left"/>
      <w:pPr>
        <w:ind w:left="5759" w:hanging="1080"/>
      </w:pPr>
      <w:rPr>
        <w:rFonts w:hint="default"/>
        <w:sz w:val="22"/>
      </w:rPr>
    </w:lvl>
    <w:lvl w:ilvl="6">
      <w:start w:val="1"/>
      <w:numFmt w:val="decimal"/>
      <w:isLgl/>
      <w:lvlText w:val="%1.%2.%3.%4.%5.%6.%7."/>
      <w:lvlJc w:val="left"/>
      <w:pPr>
        <w:ind w:left="6468" w:hanging="1080"/>
      </w:pPr>
      <w:rPr>
        <w:rFonts w:hint="default"/>
        <w:sz w:val="22"/>
      </w:rPr>
    </w:lvl>
    <w:lvl w:ilvl="7">
      <w:start w:val="1"/>
      <w:numFmt w:val="decimal"/>
      <w:isLgl/>
      <w:lvlText w:val="%1.%2.%3.%4.%5.%6.%7.%8."/>
      <w:lvlJc w:val="left"/>
      <w:pPr>
        <w:ind w:left="7537" w:hanging="1440"/>
      </w:pPr>
      <w:rPr>
        <w:rFonts w:hint="default"/>
        <w:sz w:val="22"/>
      </w:rPr>
    </w:lvl>
    <w:lvl w:ilvl="8">
      <w:start w:val="1"/>
      <w:numFmt w:val="decimal"/>
      <w:isLgl/>
      <w:lvlText w:val="%1.%2.%3.%4.%5.%6.%7.%8.%9."/>
      <w:lvlJc w:val="left"/>
      <w:pPr>
        <w:ind w:left="8246" w:hanging="1440"/>
      </w:pPr>
      <w:rPr>
        <w:rFonts w:hint="default"/>
        <w:sz w:val="22"/>
      </w:rPr>
    </w:lvl>
  </w:abstractNum>
  <w:abstractNum w:abstractNumId="3" w15:restartNumberingAfterBreak="0">
    <w:nsid w:val="250A245F"/>
    <w:multiLevelType w:val="hybridMultilevel"/>
    <w:tmpl w:val="29E20A30"/>
    <w:lvl w:ilvl="0" w:tplc="1AF444CE">
      <w:start w:val="1"/>
      <w:numFmt w:val="decimal"/>
      <w:lvlText w:val="%1."/>
      <w:lvlJc w:val="left"/>
      <w:pPr>
        <w:ind w:left="780" w:hanging="4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3F1D71DC"/>
    <w:multiLevelType w:val="hybridMultilevel"/>
    <w:tmpl w:val="998ADEBA"/>
    <w:lvl w:ilvl="0" w:tplc="0C0A0001">
      <w:start w:val="1"/>
      <w:numFmt w:val="bullet"/>
      <w:lvlText w:val=""/>
      <w:lvlJc w:val="left"/>
      <w:pPr>
        <w:ind w:left="1713" w:hanging="360"/>
      </w:pPr>
      <w:rPr>
        <w:rFonts w:ascii="Symbol" w:hAnsi="Symbol" w:hint="default"/>
      </w:rPr>
    </w:lvl>
    <w:lvl w:ilvl="1" w:tplc="0C0A0003" w:tentative="1">
      <w:start w:val="1"/>
      <w:numFmt w:val="bullet"/>
      <w:lvlText w:val="o"/>
      <w:lvlJc w:val="left"/>
      <w:pPr>
        <w:ind w:left="2433" w:hanging="360"/>
      </w:pPr>
      <w:rPr>
        <w:rFonts w:ascii="Courier New" w:hAnsi="Courier New" w:cs="Courier New" w:hint="default"/>
      </w:rPr>
    </w:lvl>
    <w:lvl w:ilvl="2" w:tplc="0C0A0005" w:tentative="1">
      <w:start w:val="1"/>
      <w:numFmt w:val="bullet"/>
      <w:lvlText w:val=""/>
      <w:lvlJc w:val="left"/>
      <w:pPr>
        <w:ind w:left="3153" w:hanging="360"/>
      </w:pPr>
      <w:rPr>
        <w:rFonts w:ascii="Wingdings" w:hAnsi="Wingdings" w:hint="default"/>
      </w:rPr>
    </w:lvl>
    <w:lvl w:ilvl="3" w:tplc="0C0A0001" w:tentative="1">
      <w:start w:val="1"/>
      <w:numFmt w:val="bullet"/>
      <w:lvlText w:val=""/>
      <w:lvlJc w:val="left"/>
      <w:pPr>
        <w:ind w:left="3873" w:hanging="360"/>
      </w:pPr>
      <w:rPr>
        <w:rFonts w:ascii="Symbol" w:hAnsi="Symbol" w:hint="default"/>
      </w:rPr>
    </w:lvl>
    <w:lvl w:ilvl="4" w:tplc="0C0A0003" w:tentative="1">
      <w:start w:val="1"/>
      <w:numFmt w:val="bullet"/>
      <w:lvlText w:val="o"/>
      <w:lvlJc w:val="left"/>
      <w:pPr>
        <w:ind w:left="4593" w:hanging="360"/>
      </w:pPr>
      <w:rPr>
        <w:rFonts w:ascii="Courier New" w:hAnsi="Courier New" w:cs="Courier New" w:hint="default"/>
      </w:rPr>
    </w:lvl>
    <w:lvl w:ilvl="5" w:tplc="0C0A0005" w:tentative="1">
      <w:start w:val="1"/>
      <w:numFmt w:val="bullet"/>
      <w:lvlText w:val=""/>
      <w:lvlJc w:val="left"/>
      <w:pPr>
        <w:ind w:left="5313" w:hanging="360"/>
      </w:pPr>
      <w:rPr>
        <w:rFonts w:ascii="Wingdings" w:hAnsi="Wingdings" w:hint="default"/>
      </w:rPr>
    </w:lvl>
    <w:lvl w:ilvl="6" w:tplc="0C0A0001" w:tentative="1">
      <w:start w:val="1"/>
      <w:numFmt w:val="bullet"/>
      <w:lvlText w:val=""/>
      <w:lvlJc w:val="left"/>
      <w:pPr>
        <w:ind w:left="6033" w:hanging="360"/>
      </w:pPr>
      <w:rPr>
        <w:rFonts w:ascii="Symbol" w:hAnsi="Symbol" w:hint="default"/>
      </w:rPr>
    </w:lvl>
    <w:lvl w:ilvl="7" w:tplc="0C0A0003" w:tentative="1">
      <w:start w:val="1"/>
      <w:numFmt w:val="bullet"/>
      <w:lvlText w:val="o"/>
      <w:lvlJc w:val="left"/>
      <w:pPr>
        <w:ind w:left="6753" w:hanging="360"/>
      </w:pPr>
      <w:rPr>
        <w:rFonts w:ascii="Courier New" w:hAnsi="Courier New" w:cs="Courier New" w:hint="default"/>
      </w:rPr>
    </w:lvl>
    <w:lvl w:ilvl="8" w:tplc="0C0A0005" w:tentative="1">
      <w:start w:val="1"/>
      <w:numFmt w:val="bullet"/>
      <w:lvlText w:val=""/>
      <w:lvlJc w:val="left"/>
      <w:pPr>
        <w:ind w:left="7473" w:hanging="360"/>
      </w:pPr>
      <w:rPr>
        <w:rFonts w:ascii="Wingdings" w:hAnsi="Wingdings" w:hint="default"/>
      </w:rPr>
    </w:lvl>
  </w:abstractNum>
  <w:abstractNum w:abstractNumId="5" w15:restartNumberingAfterBreak="0">
    <w:nsid w:val="54075B53"/>
    <w:multiLevelType w:val="hybridMultilevel"/>
    <w:tmpl w:val="A0DCA02E"/>
    <w:lvl w:ilvl="0" w:tplc="5CB0595C">
      <w:start w:val="1"/>
      <w:numFmt w:val="decimal"/>
      <w:lvlRestart w:val="0"/>
      <w:pStyle w:val="MDPI37itemize"/>
      <w:lvlText w:val="%1."/>
      <w:lvlJc w:val="left"/>
      <w:pPr>
        <w:ind w:left="3033" w:hanging="425"/>
      </w:pPr>
    </w:lvl>
    <w:lvl w:ilvl="1" w:tplc="04090019" w:tentative="1">
      <w:start w:val="1"/>
      <w:numFmt w:val="lowerLetter"/>
      <w:lvlText w:val="%2."/>
      <w:lvlJc w:val="left"/>
      <w:pPr>
        <w:ind w:left="3691" w:hanging="360"/>
      </w:pPr>
    </w:lvl>
    <w:lvl w:ilvl="2" w:tplc="0409001B" w:tentative="1">
      <w:start w:val="1"/>
      <w:numFmt w:val="lowerRoman"/>
      <w:lvlText w:val="%3."/>
      <w:lvlJc w:val="right"/>
      <w:pPr>
        <w:ind w:left="4411" w:hanging="180"/>
      </w:pPr>
    </w:lvl>
    <w:lvl w:ilvl="3" w:tplc="0409000F" w:tentative="1">
      <w:start w:val="1"/>
      <w:numFmt w:val="decimal"/>
      <w:lvlText w:val="%4."/>
      <w:lvlJc w:val="left"/>
      <w:pPr>
        <w:ind w:left="5131" w:hanging="360"/>
      </w:pPr>
    </w:lvl>
    <w:lvl w:ilvl="4" w:tplc="04090019" w:tentative="1">
      <w:start w:val="1"/>
      <w:numFmt w:val="lowerLetter"/>
      <w:lvlText w:val="%5."/>
      <w:lvlJc w:val="left"/>
      <w:pPr>
        <w:ind w:left="5851" w:hanging="360"/>
      </w:pPr>
    </w:lvl>
    <w:lvl w:ilvl="5" w:tplc="0409001B" w:tentative="1">
      <w:start w:val="1"/>
      <w:numFmt w:val="lowerRoman"/>
      <w:lvlText w:val="%6."/>
      <w:lvlJc w:val="right"/>
      <w:pPr>
        <w:ind w:left="6571" w:hanging="180"/>
      </w:pPr>
    </w:lvl>
    <w:lvl w:ilvl="6" w:tplc="0409000F" w:tentative="1">
      <w:start w:val="1"/>
      <w:numFmt w:val="decimal"/>
      <w:lvlText w:val="%7."/>
      <w:lvlJc w:val="left"/>
      <w:pPr>
        <w:ind w:left="7291" w:hanging="360"/>
      </w:pPr>
    </w:lvl>
    <w:lvl w:ilvl="7" w:tplc="04090019" w:tentative="1">
      <w:start w:val="1"/>
      <w:numFmt w:val="lowerLetter"/>
      <w:lvlText w:val="%8."/>
      <w:lvlJc w:val="left"/>
      <w:pPr>
        <w:ind w:left="8011" w:hanging="360"/>
      </w:pPr>
    </w:lvl>
    <w:lvl w:ilvl="8" w:tplc="0409001B" w:tentative="1">
      <w:start w:val="1"/>
      <w:numFmt w:val="lowerRoman"/>
      <w:lvlText w:val="%9."/>
      <w:lvlJc w:val="right"/>
      <w:pPr>
        <w:ind w:left="8731" w:hanging="180"/>
      </w:pPr>
    </w:lvl>
  </w:abstractNum>
  <w:abstractNum w:abstractNumId="6" w15:restartNumberingAfterBreak="0">
    <w:nsid w:val="5DB94EDB"/>
    <w:multiLevelType w:val="multilevel"/>
    <w:tmpl w:val="F886E3C4"/>
    <w:lvl w:ilvl="0">
      <w:start w:val="2"/>
      <w:numFmt w:val="decimal"/>
      <w:lvlText w:val="%1"/>
      <w:lvlJc w:val="left"/>
      <w:pPr>
        <w:ind w:left="420" w:hanging="420"/>
      </w:pPr>
      <w:rPr>
        <w:rFonts w:hint="default"/>
      </w:rPr>
    </w:lvl>
    <w:lvl w:ilvl="1">
      <w:start w:val="3"/>
      <w:numFmt w:val="decimal"/>
      <w:lvlText w:val="%1.%2"/>
      <w:lvlJc w:val="left"/>
      <w:pPr>
        <w:ind w:left="420" w:hanging="420"/>
      </w:pPr>
      <w:rPr>
        <w:rFonts w:hint="default"/>
      </w:rPr>
    </w:lvl>
    <w:lvl w:ilvl="2">
      <w:start w:val="3"/>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720" w:hanging="72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7" w15:restartNumberingAfterBreak="0">
    <w:nsid w:val="6D6D3328"/>
    <w:multiLevelType w:val="hybridMultilevel"/>
    <w:tmpl w:val="F8E4F73C"/>
    <w:lvl w:ilvl="0" w:tplc="36C48642">
      <w:start w:val="1"/>
      <w:numFmt w:val="decimal"/>
      <w:lvlText w:val="%1."/>
      <w:lvlJc w:val="left"/>
      <w:pPr>
        <w:ind w:left="1476" w:hanging="360"/>
      </w:pPr>
      <w:rPr>
        <w:rFonts w:hint="default"/>
        <w:sz w:val="28"/>
      </w:rPr>
    </w:lvl>
    <w:lvl w:ilvl="1" w:tplc="080A0019">
      <w:start w:val="1"/>
      <w:numFmt w:val="lowerLetter"/>
      <w:lvlText w:val="%2."/>
      <w:lvlJc w:val="left"/>
      <w:pPr>
        <w:ind w:left="2196" w:hanging="360"/>
      </w:pPr>
    </w:lvl>
    <w:lvl w:ilvl="2" w:tplc="080A001B" w:tentative="1">
      <w:start w:val="1"/>
      <w:numFmt w:val="lowerRoman"/>
      <w:lvlText w:val="%3."/>
      <w:lvlJc w:val="right"/>
      <w:pPr>
        <w:ind w:left="2916" w:hanging="180"/>
      </w:pPr>
    </w:lvl>
    <w:lvl w:ilvl="3" w:tplc="080A000F" w:tentative="1">
      <w:start w:val="1"/>
      <w:numFmt w:val="decimal"/>
      <w:lvlText w:val="%4."/>
      <w:lvlJc w:val="left"/>
      <w:pPr>
        <w:ind w:left="3636" w:hanging="360"/>
      </w:pPr>
    </w:lvl>
    <w:lvl w:ilvl="4" w:tplc="080A0019" w:tentative="1">
      <w:start w:val="1"/>
      <w:numFmt w:val="lowerLetter"/>
      <w:lvlText w:val="%5."/>
      <w:lvlJc w:val="left"/>
      <w:pPr>
        <w:ind w:left="4356" w:hanging="360"/>
      </w:pPr>
    </w:lvl>
    <w:lvl w:ilvl="5" w:tplc="080A001B" w:tentative="1">
      <w:start w:val="1"/>
      <w:numFmt w:val="lowerRoman"/>
      <w:lvlText w:val="%6."/>
      <w:lvlJc w:val="right"/>
      <w:pPr>
        <w:ind w:left="5076" w:hanging="180"/>
      </w:pPr>
    </w:lvl>
    <w:lvl w:ilvl="6" w:tplc="080A000F" w:tentative="1">
      <w:start w:val="1"/>
      <w:numFmt w:val="decimal"/>
      <w:lvlText w:val="%7."/>
      <w:lvlJc w:val="left"/>
      <w:pPr>
        <w:ind w:left="5796" w:hanging="360"/>
      </w:pPr>
    </w:lvl>
    <w:lvl w:ilvl="7" w:tplc="080A0019" w:tentative="1">
      <w:start w:val="1"/>
      <w:numFmt w:val="lowerLetter"/>
      <w:lvlText w:val="%8."/>
      <w:lvlJc w:val="left"/>
      <w:pPr>
        <w:ind w:left="6516" w:hanging="360"/>
      </w:pPr>
    </w:lvl>
    <w:lvl w:ilvl="8" w:tplc="080A001B" w:tentative="1">
      <w:start w:val="1"/>
      <w:numFmt w:val="lowerRoman"/>
      <w:lvlText w:val="%9."/>
      <w:lvlJc w:val="right"/>
      <w:pPr>
        <w:ind w:left="7236" w:hanging="180"/>
      </w:pPr>
    </w:lvl>
  </w:abstractNum>
  <w:abstractNum w:abstractNumId="8" w15:restartNumberingAfterBreak="0">
    <w:nsid w:val="706D5736"/>
    <w:multiLevelType w:val="hybridMultilevel"/>
    <w:tmpl w:val="E3640C5C"/>
    <w:lvl w:ilvl="0" w:tplc="0409000F">
      <w:start w:val="1"/>
      <w:numFmt w:val="decimal"/>
      <w:lvlText w:val="%1."/>
      <w:lvlJc w:val="left"/>
      <w:pPr>
        <w:ind w:left="1429" w:hanging="360"/>
      </w:pPr>
      <w:rPr>
        <w:rFonts w:hint="eastAsia"/>
      </w:rPr>
    </w:lvl>
    <w:lvl w:ilvl="1" w:tplc="08070019" w:tentative="1">
      <w:start w:val="1"/>
      <w:numFmt w:val="lowerLetter"/>
      <w:lvlText w:val="%2."/>
      <w:lvlJc w:val="left"/>
      <w:pPr>
        <w:ind w:left="2149" w:hanging="360"/>
      </w:pPr>
    </w:lvl>
    <w:lvl w:ilvl="2" w:tplc="0807001B" w:tentative="1">
      <w:start w:val="1"/>
      <w:numFmt w:val="lowerRoman"/>
      <w:lvlText w:val="%3."/>
      <w:lvlJc w:val="right"/>
      <w:pPr>
        <w:ind w:left="2869" w:hanging="180"/>
      </w:pPr>
    </w:lvl>
    <w:lvl w:ilvl="3" w:tplc="0807000F" w:tentative="1">
      <w:start w:val="1"/>
      <w:numFmt w:val="decimal"/>
      <w:lvlText w:val="%4."/>
      <w:lvlJc w:val="left"/>
      <w:pPr>
        <w:ind w:left="3589" w:hanging="360"/>
      </w:pPr>
    </w:lvl>
    <w:lvl w:ilvl="4" w:tplc="08070019" w:tentative="1">
      <w:start w:val="1"/>
      <w:numFmt w:val="lowerLetter"/>
      <w:lvlText w:val="%5."/>
      <w:lvlJc w:val="left"/>
      <w:pPr>
        <w:ind w:left="4309" w:hanging="360"/>
      </w:pPr>
    </w:lvl>
    <w:lvl w:ilvl="5" w:tplc="0807001B" w:tentative="1">
      <w:start w:val="1"/>
      <w:numFmt w:val="lowerRoman"/>
      <w:lvlText w:val="%6."/>
      <w:lvlJc w:val="right"/>
      <w:pPr>
        <w:ind w:left="5029" w:hanging="180"/>
      </w:pPr>
    </w:lvl>
    <w:lvl w:ilvl="6" w:tplc="0807000F" w:tentative="1">
      <w:start w:val="1"/>
      <w:numFmt w:val="decimal"/>
      <w:lvlText w:val="%7."/>
      <w:lvlJc w:val="left"/>
      <w:pPr>
        <w:ind w:left="5749" w:hanging="360"/>
      </w:pPr>
    </w:lvl>
    <w:lvl w:ilvl="7" w:tplc="08070019" w:tentative="1">
      <w:start w:val="1"/>
      <w:numFmt w:val="lowerLetter"/>
      <w:lvlText w:val="%8."/>
      <w:lvlJc w:val="left"/>
      <w:pPr>
        <w:ind w:left="6469" w:hanging="360"/>
      </w:pPr>
    </w:lvl>
    <w:lvl w:ilvl="8" w:tplc="0807001B" w:tentative="1">
      <w:start w:val="1"/>
      <w:numFmt w:val="lowerRoman"/>
      <w:lvlText w:val="%9."/>
      <w:lvlJc w:val="right"/>
      <w:pPr>
        <w:ind w:left="7189" w:hanging="180"/>
      </w:pPr>
    </w:lvl>
  </w:abstractNum>
  <w:num w:numId="1" w16cid:durableId="92435516">
    <w:abstractNumId w:val="2"/>
  </w:num>
  <w:num w:numId="2" w16cid:durableId="451755921">
    <w:abstractNumId w:val="1"/>
  </w:num>
  <w:num w:numId="3" w16cid:durableId="382560360">
    <w:abstractNumId w:val="8"/>
  </w:num>
  <w:num w:numId="4" w16cid:durableId="4018708">
    <w:abstractNumId w:val="5"/>
  </w:num>
  <w:num w:numId="5" w16cid:durableId="1499073583">
    <w:abstractNumId w:val="4"/>
  </w:num>
  <w:num w:numId="6" w16cid:durableId="1841693289">
    <w:abstractNumId w:val="3"/>
  </w:num>
  <w:num w:numId="7" w16cid:durableId="947659994">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16cid:durableId="2047412905">
    <w:abstractNumId w:val="0"/>
  </w:num>
  <w:num w:numId="9" w16cid:durableId="1267612760">
    <w:abstractNumId w:val="0"/>
  </w:num>
  <w:num w:numId="10" w16cid:durableId="1465076119">
    <w:abstractNumId w:val="0"/>
  </w:num>
  <w:num w:numId="11" w16cid:durableId="1998726346">
    <w:abstractNumId w:val="0"/>
  </w:num>
  <w:num w:numId="12" w16cid:durableId="608775002">
    <w:abstractNumId w:val="0"/>
  </w:num>
  <w:num w:numId="13" w16cid:durableId="1066149841">
    <w:abstractNumId w:val="6"/>
  </w:num>
  <w:num w:numId="14" w16cid:durableId="2092004079">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8"/>
  <w:proofState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A279B"/>
    <w:rsid w:val="000126A6"/>
    <w:rsid w:val="00033DEC"/>
    <w:rsid w:val="00035956"/>
    <w:rsid w:val="000652E0"/>
    <w:rsid w:val="00084A4B"/>
    <w:rsid w:val="000871EF"/>
    <w:rsid w:val="00094705"/>
    <w:rsid w:val="000D47A0"/>
    <w:rsid w:val="000F63B6"/>
    <w:rsid w:val="001076F7"/>
    <w:rsid w:val="001105DC"/>
    <w:rsid w:val="00124AA3"/>
    <w:rsid w:val="0013025D"/>
    <w:rsid w:val="001316D1"/>
    <w:rsid w:val="001560AA"/>
    <w:rsid w:val="00174AEA"/>
    <w:rsid w:val="00191BE7"/>
    <w:rsid w:val="00197B3D"/>
    <w:rsid w:val="001A70C0"/>
    <w:rsid w:val="001C3515"/>
    <w:rsid w:val="001C5750"/>
    <w:rsid w:val="001C6EF9"/>
    <w:rsid w:val="002168EF"/>
    <w:rsid w:val="00223C76"/>
    <w:rsid w:val="00231B10"/>
    <w:rsid w:val="00233957"/>
    <w:rsid w:val="00245BB7"/>
    <w:rsid w:val="002473E1"/>
    <w:rsid w:val="002619E4"/>
    <w:rsid w:val="002629C3"/>
    <w:rsid w:val="0027046F"/>
    <w:rsid w:val="00286CB5"/>
    <w:rsid w:val="002B2683"/>
    <w:rsid w:val="002C5FF0"/>
    <w:rsid w:val="002D32E2"/>
    <w:rsid w:val="002F6D12"/>
    <w:rsid w:val="00313DE1"/>
    <w:rsid w:val="003172DE"/>
    <w:rsid w:val="003228C1"/>
    <w:rsid w:val="003638A2"/>
    <w:rsid w:val="00366D95"/>
    <w:rsid w:val="003B63F5"/>
    <w:rsid w:val="003D3189"/>
    <w:rsid w:val="003D550B"/>
    <w:rsid w:val="003D5667"/>
    <w:rsid w:val="003E401F"/>
    <w:rsid w:val="003E58D2"/>
    <w:rsid w:val="003F1E3E"/>
    <w:rsid w:val="003F27CF"/>
    <w:rsid w:val="003F285A"/>
    <w:rsid w:val="00413B38"/>
    <w:rsid w:val="00431D20"/>
    <w:rsid w:val="0044336E"/>
    <w:rsid w:val="00450FB4"/>
    <w:rsid w:val="004556CE"/>
    <w:rsid w:val="0047744D"/>
    <w:rsid w:val="004933E0"/>
    <w:rsid w:val="00496871"/>
    <w:rsid w:val="004C0B5E"/>
    <w:rsid w:val="004D554D"/>
    <w:rsid w:val="004E2623"/>
    <w:rsid w:val="004E59BB"/>
    <w:rsid w:val="004F79D9"/>
    <w:rsid w:val="00505904"/>
    <w:rsid w:val="005253EA"/>
    <w:rsid w:val="00526CF5"/>
    <w:rsid w:val="00544C99"/>
    <w:rsid w:val="005546CA"/>
    <w:rsid w:val="00557028"/>
    <w:rsid w:val="00564C1F"/>
    <w:rsid w:val="005930AF"/>
    <w:rsid w:val="005A1DFD"/>
    <w:rsid w:val="005B2B0C"/>
    <w:rsid w:val="005C10F1"/>
    <w:rsid w:val="005D1875"/>
    <w:rsid w:val="005D497E"/>
    <w:rsid w:val="0060490B"/>
    <w:rsid w:val="00613FF2"/>
    <w:rsid w:val="006168E6"/>
    <w:rsid w:val="0064052D"/>
    <w:rsid w:val="00681CAC"/>
    <w:rsid w:val="0069157C"/>
    <w:rsid w:val="00697238"/>
    <w:rsid w:val="006C7403"/>
    <w:rsid w:val="006D2CA3"/>
    <w:rsid w:val="006F1E5B"/>
    <w:rsid w:val="0070540B"/>
    <w:rsid w:val="007166ED"/>
    <w:rsid w:val="00727400"/>
    <w:rsid w:val="007303E1"/>
    <w:rsid w:val="007534DB"/>
    <w:rsid w:val="0076219B"/>
    <w:rsid w:val="007B415E"/>
    <w:rsid w:val="007C18A1"/>
    <w:rsid w:val="007C65FE"/>
    <w:rsid w:val="007D7929"/>
    <w:rsid w:val="007E284E"/>
    <w:rsid w:val="007F7B3F"/>
    <w:rsid w:val="00810CA6"/>
    <w:rsid w:val="00812C8B"/>
    <w:rsid w:val="00831C4E"/>
    <w:rsid w:val="008662EC"/>
    <w:rsid w:val="00872897"/>
    <w:rsid w:val="008A445E"/>
    <w:rsid w:val="008A715B"/>
    <w:rsid w:val="008B4E3E"/>
    <w:rsid w:val="008C63A1"/>
    <w:rsid w:val="008D25DC"/>
    <w:rsid w:val="008D50A9"/>
    <w:rsid w:val="008F6096"/>
    <w:rsid w:val="008F6DF9"/>
    <w:rsid w:val="00904210"/>
    <w:rsid w:val="00913F04"/>
    <w:rsid w:val="009269EE"/>
    <w:rsid w:val="00932127"/>
    <w:rsid w:val="0095439E"/>
    <w:rsid w:val="009A1876"/>
    <w:rsid w:val="009A1BCB"/>
    <w:rsid w:val="009A6338"/>
    <w:rsid w:val="009B0D14"/>
    <w:rsid w:val="009D033D"/>
    <w:rsid w:val="009E3652"/>
    <w:rsid w:val="009F2380"/>
    <w:rsid w:val="009F2A48"/>
    <w:rsid w:val="00A15E59"/>
    <w:rsid w:val="00A1658B"/>
    <w:rsid w:val="00A17E36"/>
    <w:rsid w:val="00A43515"/>
    <w:rsid w:val="00A52CCA"/>
    <w:rsid w:val="00A61F4E"/>
    <w:rsid w:val="00A72B13"/>
    <w:rsid w:val="00A82F95"/>
    <w:rsid w:val="00AE1A91"/>
    <w:rsid w:val="00AF3341"/>
    <w:rsid w:val="00AF379D"/>
    <w:rsid w:val="00B137B9"/>
    <w:rsid w:val="00B1540D"/>
    <w:rsid w:val="00B178B9"/>
    <w:rsid w:val="00B42CED"/>
    <w:rsid w:val="00B61521"/>
    <w:rsid w:val="00B64B5A"/>
    <w:rsid w:val="00BA279B"/>
    <w:rsid w:val="00BE08EC"/>
    <w:rsid w:val="00BE2A12"/>
    <w:rsid w:val="00C13D10"/>
    <w:rsid w:val="00C52BB2"/>
    <w:rsid w:val="00C66B3F"/>
    <w:rsid w:val="00C96355"/>
    <w:rsid w:val="00CA367F"/>
    <w:rsid w:val="00CB59C5"/>
    <w:rsid w:val="00CB6637"/>
    <w:rsid w:val="00CC0AD4"/>
    <w:rsid w:val="00CC20F4"/>
    <w:rsid w:val="00CC5B51"/>
    <w:rsid w:val="00CD4B55"/>
    <w:rsid w:val="00CD4BE4"/>
    <w:rsid w:val="00CF11AD"/>
    <w:rsid w:val="00D0144E"/>
    <w:rsid w:val="00D025D5"/>
    <w:rsid w:val="00D24AFB"/>
    <w:rsid w:val="00D250F9"/>
    <w:rsid w:val="00D312B1"/>
    <w:rsid w:val="00D73B72"/>
    <w:rsid w:val="00D75B42"/>
    <w:rsid w:val="00D77BFB"/>
    <w:rsid w:val="00DA4310"/>
    <w:rsid w:val="00DA6B33"/>
    <w:rsid w:val="00DB3A68"/>
    <w:rsid w:val="00DC495C"/>
    <w:rsid w:val="00DC5174"/>
    <w:rsid w:val="00DE5881"/>
    <w:rsid w:val="00E035EA"/>
    <w:rsid w:val="00E045A0"/>
    <w:rsid w:val="00E14152"/>
    <w:rsid w:val="00E17296"/>
    <w:rsid w:val="00E20F14"/>
    <w:rsid w:val="00E349DA"/>
    <w:rsid w:val="00E7664F"/>
    <w:rsid w:val="00E9307A"/>
    <w:rsid w:val="00E952D6"/>
    <w:rsid w:val="00E96CD0"/>
    <w:rsid w:val="00EB0125"/>
    <w:rsid w:val="00F508EF"/>
    <w:rsid w:val="00F72B36"/>
    <w:rsid w:val="00F72EBA"/>
    <w:rsid w:val="00F91972"/>
    <w:rsid w:val="00FB7871"/>
    <w:rsid w:val="00FC14F0"/>
    <w:rsid w:val="00FD576C"/>
    <w:rsid w:val="00FF3F1D"/>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0DF1393"/>
  <w15:docId w15:val="{32C944E6-AC3E-45F8-B7C0-4E9367C7BA9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s-E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253EA"/>
    <w:pPr>
      <w:spacing w:after="160" w:line="259" w:lineRule="auto"/>
    </w:pPr>
    <w:rPr>
      <w:rFonts w:ascii="Calibri" w:eastAsia="Calibri" w:hAnsi="Calibri" w:cs="Calibri"/>
      <w:lang w:val="es-MX" w:eastAsia="es-E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B137B9"/>
    <w:pPr>
      <w:tabs>
        <w:tab w:val="center" w:pos="4252"/>
        <w:tab w:val="right" w:pos="8504"/>
      </w:tabs>
      <w:spacing w:after="0" w:line="240" w:lineRule="auto"/>
    </w:pPr>
    <w:rPr>
      <w:rFonts w:asciiTheme="minorHAnsi" w:eastAsiaTheme="minorHAnsi" w:hAnsiTheme="minorHAnsi" w:cstheme="minorBidi"/>
      <w:noProof/>
      <w:lang w:val="es-ES"/>
    </w:rPr>
  </w:style>
  <w:style w:type="character" w:customStyle="1" w:styleId="EncabezadoCar">
    <w:name w:val="Encabezado Car"/>
    <w:basedOn w:val="Fuentedeprrafopredeter"/>
    <w:link w:val="Encabezado"/>
    <w:uiPriority w:val="99"/>
    <w:rsid w:val="00B137B9"/>
    <w:rPr>
      <w:noProof/>
      <w:lang w:eastAsia="es-ES"/>
    </w:rPr>
  </w:style>
  <w:style w:type="paragraph" w:styleId="Piedepgina">
    <w:name w:val="footer"/>
    <w:basedOn w:val="Normal"/>
    <w:link w:val="PiedepginaCar"/>
    <w:uiPriority w:val="99"/>
    <w:unhideWhenUsed/>
    <w:rsid w:val="00BA279B"/>
    <w:pPr>
      <w:tabs>
        <w:tab w:val="center" w:pos="4252"/>
        <w:tab w:val="right" w:pos="8504"/>
      </w:tabs>
      <w:spacing w:after="0" w:line="240" w:lineRule="auto"/>
    </w:pPr>
    <w:rPr>
      <w:rFonts w:asciiTheme="minorHAnsi" w:eastAsiaTheme="minorHAnsi" w:hAnsiTheme="minorHAnsi" w:cstheme="minorBidi"/>
      <w:lang w:val="es-ES" w:eastAsia="en-US"/>
    </w:rPr>
  </w:style>
  <w:style w:type="character" w:customStyle="1" w:styleId="PiedepginaCar">
    <w:name w:val="Pie de página Car"/>
    <w:basedOn w:val="Fuentedeprrafopredeter"/>
    <w:link w:val="Piedepgina"/>
    <w:uiPriority w:val="99"/>
    <w:rsid w:val="00BA279B"/>
  </w:style>
  <w:style w:type="paragraph" w:styleId="Textodeglobo">
    <w:name w:val="Balloon Text"/>
    <w:basedOn w:val="Normal"/>
    <w:link w:val="TextodegloboCar"/>
    <w:uiPriority w:val="99"/>
    <w:semiHidden/>
    <w:unhideWhenUsed/>
    <w:rsid w:val="00BA279B"/>
    <w:pPr>
      <w:spacing w:after="0" w:line="240" w:lineRule="auto"/>
    </w:pPr>
    <w:rPr>
      <w:rFonts w:ascii="Tahoma" w:eastAsiaTheme="minorHAnsi" w:hAnsi="Tahoma" w:cs="Tahoma"/>
      <w:sz w:val="16"/>
      <w:szCs w:val="16"/>
      <w:lang w:val="es-ES" w:eastAsia="en-US"/>
    </w:rPr>
  </w:style>
  <w:style w:type="character" w:customStyle="1" w:styleId="TextodegloboCar">
    <w:name w:val="Texto de globo Car"/>
    <w:basedOn w:val="Fuentedeprrafopredeter"/>
    <w:link w:val="Textodeglobo"/>
    <w:uiPriority w:val="99"/>
    <w:semiHidden/>
    <w:rsid w:val="00BA279B"/>
    <w:rPr>
      <w:rFonts w:ascii="Tahoma" w:hAnsi="Tahoma" w:cs="Tahoma"/>
      <w:sz w:val="16"/>
      <w:szCs w:val="16"/>
    </w:rPr>
  </w:style>
  <w:style w:type="character" w:styleId="Textodelmarcadordeposicin">
    <w:name w:val="Placeholder Text"/>
    <w:basedOn w:val="Fuentedeprrafopredeter"/>
    <w:uiPriority w:val="99"/>
    <w:semiHidden/>
    <w:rsid w:val="00450FB4"/>
    <w:rPr>
      <w:color w:val="808080"/>
    </w:rPr>
  </w:style>
  <w:style w:type="table" w:styleId="Tablaconcuadrcula">
    <w:name w:val="Table Grid"/>
    <w:basedOn w:val="Tablanormal"/>
    <w:uiPriority w:val="39"/>
    <w:rsid w:val="00231B1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ipervnculo">
    <w:name w:val="Hyperlink"/>
    <w:basedOn w:val="Fuentedeprrafopredeter"/>
    <w:uiPriority w:val="99"/>
    <w:unhideWhenUsed/>
    <w:rsid w:val="00035956"/>
    <w:rPr>
      <w:color w:val="0000FF" w:themeColor="hyperlink"/>
      <w:u w:val="single"/>
    </w:rPr>
  </w:style>
  <w:style w:type="paragraph" w:styleId="Prrafodelista">
    <w:name w:val="List Paragraph"/>
    <w:basedOn w:val="Normal"/>
    <w:uiPriority w:val="34"/>
    <w:qFormat/>
    <w:rsid w:val="000D47A0"/>
    <w:pPr>
      <w:ind w:left="720"/>
      <w:contextualSpacing/>
    </w:pPr>
  </w:style>
  <w:style w:type="paragraph" w:customStyle="1" w:styleId="MDPI32textnoindent">
    <w:name w:val="MDPI_3.2_text_no_indent"/>
    <w:basedOn w:val="MDPI31text"/>
    <w:rsid w:val="000D47A0"/>
    <w:pPr>
      <w:ind w:firstLine="0"/>
    </w:pPr>
  </w:style>
  <w:style w:type="paragraph" w:customStyle="1" w:styleId="MDPI31text">
    <w:name w:val="MDPI_3.1_text"/>
    <w:rsid w:val="000D47A0"/>
    <w:pPr>
      <w:adjustRightInd w:val="0"/>
      <w:snapToGrid w:val="0"/>
      <w:spacing w:after="0" w:line="228" w:lineRule="auto"/>
      <w:ind w:left="2608" w:firstLine="425"/>
      <w:jc w:val="both"/>
    </w:pPr>
    <w:rPr>
      <w:rFonts w:ascii="Palatino Linotype" w:eastAsia="Times New Roman" w:hAnsi="Palatino Linotype" w:cs="Times New Roman"/>
      <w:snapToGrid w:val="0"/>
      <w:color w:val="000000"/>
      <w:sz w:val="20"/>
      <w:lang w:val="en-US" w:eastAsia="de-DE" w:bidi="en-US"/>
    </w:rPr>
  </w:style>
  <w:style w:type="paragraph" w:customStyle="1" w:styleId="MDPI35textbeforelist">
    <w:name w:val="MDPI_3.5_text_before_list"/>
    <w:rsid w:val="000D47A0"/>
    <w:pPr>
      <w:adjustRightInd w:val="0"/>
      <w:snapToGrid w:val="0"/>
      <w:spacing w:after="0" w:line="228" w:lineRule="auto"/>
      <w:ind w:left="2608" w:firstLine="425"/>
      <w:jc w:val="both"/>
    </w:pPr>
    <w:rPr>
      <w:rFonts w:ascii="Palatino Linotype" w:eastAsia="Times New Roman" w:hAnsi="Palatino Linotype" w:cs="Times New Roman"/>
      <w:snapToGrid w:val="0"/>
      <w:color w:val="000000"/>
      <w:sz w:val="20"/>
      <w:lang w:val="en-US" w:eastAsia="de-DE" w:bidi="en-US"/>
    </w:rPr>
  </w:style>
  <w:style w:type="paragraph" w:customStyle="1" w:styleId="MDPI37itemize">
    <w:name w:val="MDPI_3.7_itemize"/>
    <w:rsid w:val="000D47A0"/>
    <w:pPr>
      <w:numPr>
        <w:numId w:val="4"/>
      </w:numPr>
      <w:adjustRightInd w:val="0"/>
      <w:snapToGrid w:val="0"/>
      <w:spacing w:after="0" w:line="228" w:lineRule="auto"/>
      <w:jc w:val="both"/>
    </w:pPr>
    <w:rPr>
      <w:rFonts w:ascii="Palatino Linotype" w:eastAsia="Times New Roman" w:hAnsi="Palatino Linotype" w:cs="Times New Roman"/>
      <w:color w:val="000000"/>
      <w:sz w:val="20"/>
      <w:lang w:val="en-US" w:eastAsia="de-DE" w:bidi="en-US"/>
    </w:rPr>
  </w:style>
  <w:style w:type="paragraph" w:customStyle="1" w:styleId="MDPI38bullet">
    <w:name w:val="MDPI_3.8_bullet"/>
    <w:rsid w:val="000D47A0"/>
    <w:pPr>
      <w:numPr>
        <w:numId w:val="2"/>
      </w:numPr>
      <w:adjustRightInd w:val="0"/>
      <w:snapToGrid w:val="0"/>
      <w:spacing w:after="0" w:line="228" w:lineRule="auto"/>
      <w:jc w:val="both"/>
    </w:pPr>
    <w:rPr>
      <w:rFonts w:ascii="Palatino Linotype" w:eastAsia="Times New Roman" w:hAnsi="Palatino Linotype" w:cs="Times New Roman"/>
      <w:color w:val="000000"/>
      <w:sz w:val="20"/>
      <w:lang w:val="en-US" w:eastAsia="de-DE" w:bidi="en-US"/>
    </w:rPr>
  </w:style>
  <w:style w:type="paragraph" w:customStyle="1" w:styleId="MDPI39equation">
    <w:name w:val="MDPI_3.9_equation"/>
    <w:rsid w:val="000D47A0"/>
    <w:pPr>
      <w:adjustRightInd w:val="0"/>
      <w:snapToGrid w:val="0"/>
      <w:spacing w:before="120" w:after="120" w:line="260" w:lineRule="atLeast"/>
      <w:ind w:left="709"/>
      <w:jc w:val="center"/>
    </w:pPr>
    <w:rPr>
      <w:rFonts w:ascii="Palatino Linotype" w:eastAsia="Times New Roman" w:hAnsi="Palatino Linotype" w:cs="Times New Roman"/>
      <w:snapToGrid w:val="0"/>
      <w:color w:val="000000"/>
      <w:sz w:val="20"/>
      <w:lang w:val="en-US" w:eastAsia="de-DE" w:bidi="en-US"/>
    </w:rPr>
  </w:style>
  <w:style w:type="paragraph" w:customStyle="1" w:styleId="MDPI3aequationnumber">
    <w:name w:val="MDPI_3.a_equation_number"/>
    <w:rsid w:val="000D47A0"/>
    <w:pPr>
      <w:spacing w:before="120" w:after="120" w:line="240" w:lineRule="auto"/>
      <w:jc w:val="right"/>
    </w:pPr>
    <w:rPr>
      <w:rFonts w:ascii="Palatino Linotype" w:eastAsia="Times New Roman" w:hAnsi="Palatino Linotype" w:cs="Times New Roman"/>
      <w:snapToGrid w:val="0"/>
      <w:color w:val="000000"/>
      <w:sz w:val="20"/>
      <w:lang w:val="en-US" w:eastAsia="de-DE" w:bidi="en-US"/>
    </w:rPr>
  </w:style>
  <w:style w:type="paragraph" w:customStyle="1" w:styleId="MDPI41tablecaption">
    <w:name w:val="MDPI_4.1_table_caption"/>
    <w:rsid w:val="000D47A0"/>
    <w:pPr>
      <w:adjustRightInd w:val="0"/>
      <w:snapToGrid w:val="0"/>
      <w:spacing w:before="240" w:after="120" w:line="228" w:lineRule="auto"/>
      <w:ind w:left="2608"/>
    </w:pPr>
    <w:rPr>
      <w:rFonts w:ascii="Palatino Linotype" w:eastAsia="Times New Roman" w:hAnsi="Palatino Linotype" w:cs="Cordia New"/>
      <w:color w:val="000000"/>
      <w:sz w:val="18"/>
      <w:lang w:val="en-US" w:eastAsia="de-DE" w:bidi="en-US"/>
    </w:rPr>
  </w:style>
  <w:style w:type="paragraph" w:customStyle="1" w:styleId="MDPI42tablebody">
    <w:name w:val="MDPI_4.2_table_body"/>
    <w:rsid w:val="000D47A0"/>
    <w:pPr>
      <w:adjustRightInd w:val="0"/>
      <w:snapToGrid w:val="0"/>
      <w:spacing w:after="0" w:line="260" w:lineRule="atLeast"/>
      <w:jc w:val="center"/>
    </w:pPr>
    <w:rPr>
      <w:rFonts w:ascii="Palatino Linotype" w:eastAsia="Times New Roman" w:hAnsi="Palatino Linotype" w:cs="Times New Roman"/>
      <w:snapToGrid w:val="0"/>
      <w:color w:val="000000"/>
      <w:sz w:val="20"/>
      <w:szCs w:val="20"/>
      <w:lang w:val="en-US" w:eastAsia="de-DE" w:bidi="en-US"/>
    </w:rPr>
  </w:style>
  <w:style w:type="paragraph" w:customStyle="1" w:styleId="MDPI43tablefooter">
    <w:name w:val="MDPI_4.3_table_footer"/>
    <w:next w:val="MDPI31text"/>
    <w:rsid w:val="000D47A0"/>
    <w:pPr>
      <w:adjustRightInd w:val="0"/>
      <w:snapToGrid w:val="0"/>
      <w:spacing w:after="0" w:line="228" w:lineRule="auto"/>
      <w:ind w:left="2608"/>
    </w:pPr>
    <w:rPr>
      <w:rFonts w:ascii="Palatino Linotype" w:eastAsia="Times New Roman" w:hAnsi="Palatino Linotype" w:cs="Cordia New"/>
      <w:color w:val="000000"/>
      <w:sz w:val="18"/>
      <w:lang w:val="en-US" w:eastAsia="de-DE" w:bidi="en-US"/>
    </w:rPr>
  </w:style>
  <w:style w:type="paragraph" w:customStyle="1" w:styleId="MDPI51figurecaption">
    <w:name w:val="MDPI_5.1_figure_caption"/>
    <w:rsid w:val="000D47A0"/>
    <w:pPr>
      <w:adjustRightInd w:val="0"/>
      <w:snapToGrid w:val="0"/>
      <w:spacing w:before="120" w:after="240" w:line="228" w:lineRule="auto"/>
      <w:ind w:left="2608"/>
    </w:pPr>
    <w:rPr>
      <w:rFonts w:ascii="Palatino Linotype" w:eastAsia="Times New Roman" w:hAnsi="Palatino Linotype" w:cs="Times New Roman"/>
      <w:color w:val="000000"/>
      <w:sz w:val="18"/>
      <w:szCs w:val="20"/>
      <w:lang w:val="en-US" w:eastAsia="de-DE" w:bidi="en-US"/>
    </w:rPr>
  </w:style>
  <w:style w:type="paragraph" w:customStyle="1" w:styleId="MDPI52figure">
    <w:name w:val="MDPI_5.2_figure"/>
    <w:rsid w:val="000D47A0"/>
    <w:pPr>
      <w:adjustRightInd w:val="0"/>
      <w:snapToGrid w:val="0"/>
      <w:spacing w:before="240" w:after="120" w:line="240" w:lineRule="auto"/>
      <w:jc w:val="center"/>
    </w:pPr>
    <w:rPr>
      <w:rFonts w:ascii="Palatino Linotype" w:eastAsia="Times New Roman" w:hAnsi="Palatino Linotype" w:cs="Times New Roman"/>
      <w:snapToGrid w:val="0"/>
      <w:color w:val="000000"/>
      <w:sz w:val="20"/>
      <w:szCs w:val="20"/>
      <w:lang w:val="en-US" w:eastAsia="de-DE" w:bidi="en-US"/>
    </w:rPr>
  </w:style>
  <w:style w:type="paragraph" w:customStyle="1" w:styleId="MDPI81theorem">
    <w:name w:val="MDPI_8.1_theorem"/>
    <w:rsid w:val="000D47A0"/>
    <w:pPr>
      <w:adjustRightInd w:val="0"/>
      <w:snapToGrid w:val="0"/>
      <w:spacing w:after="0" w:line="228" w:lineRule="auto"/>
      <w:ind w:left="2608"/>
      <w:jc w:val="both"/>
    </w:pPr>
    <w:rPr>
      <w:rFonts w:ascii="Palatino Linotype" w:eastAsia="Times New Roman" w:hAnsi="Palatino Linotype" w:cs="Times New Roman"/>
      <w:i/>
      <w:snapToGrid w:val="0"/>
      <w:color w:val="000000"/>
      <w:sz w:val="20"/>
      <w:lang w:val="en-US" w:eastAsia="de-DE" w:bidi="en-US"/>
    </w:rPr>
  </w:style>
  <w:style w:type="paragraph" w:customStyle="1" w:styleId="MDPI82proof">
    <w:name w:val="MDPI_8.2_proof"/>
    <w:rsid w:val="000D47A0"/>
    <w:pPr>
      <w:adjustRightInd w:val="0"/>
      <w:snapToGrid w:val="0"/>
      <w:spacing w:after="0" w:line="228" w:lineRule="auto"/>
      <w:ind w:left="2608"/>
      <w:jc w:val="both"/>
    </w:pPr>
    <w:rPr>
      <w:rFonts w:ascii="Palatino Linotype" w:eastAsia="Times New Roman" w:hAnsi="Palatino Linotype" w:cs="Times New Roman"/>
      <w:snapToGrid w:val="0"/>
      <w:color w:val="000000"/>
      <w:sz w:val="20"/>
      <w:lang w:val="en-US" w:eastAsia="de-DE" w:bidi="en-US"/>
    </w:rPr>
  </w:style>
  <w:style w:type="paragraph" w:customStyle="1" w:styleId="MDPI23heading3">
    <w:name w:val="MDPI_2.3_heading3"/>
    <w:rsid w:val="000D47A0"/>
    <w:pPr>
      <w:adjustRightInd w:val="0"/>
      <w:snapToGrid w:val="0"/>
      <w:spacing w:before="60" w:after="60" w:line="228" w:lineRule="auto"/>
      <w:ind w:left="2608"/>
      <w:outlineLvl w:val="2"/>
    </w:pPr>
    <w:rPr>
      <w:rFonts w:ascii="Palatino Linotype" w:eastAsia="Times New Roman" w:hAnsi="Palatino Linotype" w:cs="Times New Roman"/>
      <w:snapToGrid w:val="0"/>
      <w:color w:val="000000"/>
      <w:sz w:val="20"/>
      <w:lang w:val="en-US" w:eastAsia="de-DE" w:bidi="en-US"/>
    </w:rPr>
  </w:style>
  <w:style w:type="paragraph" w:customStyle="1" w:styleId="MDPI22heading2">
    <w:name w:val="MDPI_2.2_heading2"/>
    <w:rsid w:val="000D47A0"/>
    <w:pPr>
      <w:adjustRightInd w:val="0"/>
      <w:snapToGrid w:val="0"/>
      <w:spacing w:before="60" w:after="60" w:line="228" w:lineRule="auto"/>
      <w:ind w:left="2608"/>
      <w:outlineLvl w:val="1"/>
    </w:pPr>
    <w:rPr>
      <w:rFonts w:ascii="Palatino Linotype" w:eastAsia="Times New Roman" w:hAnsi="Palatino Linotype" w:cs="Times New Roman"/>
      <w:i/>
      <w:noProof/>
      <w:snapToGrid w:val="0"/>
      <w:color w:val="000000"/>
      <w:sz w:val="20"/>
      <w:lang w:val="en-US" w:eastAsia="de-DE" w:bidi="en-US"/>
    </w:rPr>
  </w:style>
  <w:style w:type="paragraph" w:customStyle="1" w:styleId="MDPI71References">
    <w:name w:val="MDPI_7.1_References"/>
    <w:rsid w:val="000871EF"/>
    <w:pPr>
      <w:numPr>
        <w:numId w:val="8"/>
      </w:numPr>
      <w:adjustRightInd w:val="0"/>
      <w:snapToGrid w:val="0"/>
      <w:spacing w:after="0" w:line="228" w:lineRule="auto"/>
      <w:jc w:val="both"/>
    </w:pPr>
    <w:rPr>
      <w:rFonts w:ascii="Palatino Linotype" w:eastAsia="Times New Roman" w:hAnsi="Palatino Linotype" w:cs="Times New Roman"/>
      <w:color w:val="000000"/>
      <w:sz w:val="18"/>
      <w:szCs w:val="20"/>
      <w:lang w:val="en-US" w:eastAsia="de-DE" w:bidi="en-US"/>
    </w:rPr>
  </w:style>
  <w:style w:type="paragraph" w:styleId="Bibliografa">
    <w:name w:val="Bibliography"/>
    <w:basedOn w:val="Normal"/>
    <w:next w:val="Normal"/>
    <w:uiPriority w:val="37"/>
    <w:unhideWhenUsed/>
    <w:rsid w:val="00CB59C5"/>
    <w:pPr>
      <w:spacing w:after="0" w:line="480" w:lineRule="auto"/>
      <w:ind w:left="720" w:hanging="720"/>
    </w:pPr>
  </w:style>
  <w:style w:type="paragraph" w:styleId="Textocomentario">
    <w:name w:val="annotation text"/>
    <w:basedOn w:val="Normal"/>
    <w:link w:val="TextocomentarioCar"/>
    <w:uiPriority w:val="99"/>
    <w:semiHidden/>
    <w:unhideWhenUsed/>
    <w:rsid w:val="00AF3341"/>
    <w:pPr>
      <w:spacing w:line="240" w:lineRule="auto"/>
    </w:pPr>
    <w:rPr>
      <w:sz w:val="20"/>
      <w:szCs w:val="20"/>
    </w:rPr>
  </w:style>
  <w:style w:type="character" w:customStyle="1" w:styleId="TextocomentarioCar">
    <w:name w:val="Texto comentario Car"/>
    <w:basedOn w:val="Fuentedeprrafopredeter"/>
    <w:link w:val="Textocomentario"/>
    <w:uiPriority w:val="99"/>
    <w:semiHidden/>
    <w:rsid w:val="00AF3341"/>
    <w:rPr>
      <w:rFonts w:ascii="Calibri" w:eastAsia="Calibri" w:hAnsi="Calibri" w:cs="Calibri"/>
      <w:sz w:val="20"/>
      <w:szCs w:val="20"/>
      <w:lang w:val="es-MX" w:eastAsia="es-ES"/>
    </w:rPr>
  </w:style>
  <w:style w:type="character" w:styleId="Refdecomentario">
    <w:name w:val="annotation reference"/>
    <w:basedOn w:val="Fuentedeprrafopredeter"/>
    <w:uiPriority w:val="99"/>
    <w:semiHidden/>
    <w:unhideWhenUsed/>
    <w:rsid w:val="00AF3341"/>
    <w:rPr>
      <w:sz w:val="16"/>
      <w:szCs w:val="16"/>
    </w:rPr>
  </w:style>
  <w:style w:type="paragraph" w:styleId="NormalWeb">
    <w:name w:val="Normal (Web)"/>
    <w:basedOn w:val="Normal"/>
    <w:uiPriority w:val="99"/>
    <w:unhideWhenUsed/>
    <w:rsid w:val="00DC5174"/>
    <w:rPr>
      <w:rFonts w:ascii="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42051936">
      <w:bodyDiv w:val="1"/>
      <w:marLeft w:val="0"/>
      <w:marRight w:val="0"/>
      <w:marTop w:val="0"/>
      <w:marBottom w:val="0"/>
      <w:divBdr>
        <w:top w:val="none" w:sz="0" w:space="0" w:color="auto"/>
        <w:left w:val="none" w:sz="0" w:space="0" w:color="auto"/>
        <w:bottom w:val="none" w:sz="0" w:space="0" w:color="auto"/>
        <w:right w:val="none" w:sz="0" w:space="0" w:color="auto"/>
      </w:divBdr>
    </w:div>
    <w:div w:id="763452224">
      <w:bodyDiv w:val="1"/>
      <w:marLeft w:val="0"/>
      <w:marRight w:val="0"/>
      <w:marTop w:val="0"/>
      <w:marBottom w:val="0"/>
      <w:divBdr>
        <w:top w:val="none" w:sz="0" w:space="0" w:color="auto"/>
        <w:left w:val="none" w:sz="0" w:space="0" w:color="auto"/>
        <w:bottom w:val="none" w:sz="0" w:space="0" w:color="auto"/>
        <w:right w:val="none" w:sz="0" w:space="0" w:color="auto"/>
      </w:divBdr>
    </w:div>
    <w:div w:id="1019429537">
      <w:bodyDiv w:val="1"/>
      <w:marLeft w:val="0"/>
      <w:marRight w:val="0"/>
      <w:marTop w:val="0"/>
      <w:marBottom w:val="0"/>
      <w:divBdr>
        <w:top w:val="none" w:sz="0" w:space="0" w:color="auto"/>
        <w:left w:val="none" w:sz="0" w:space="0" w:color="auto"/>
        <w:bottom w:val="none" w:sz="0" w:space="0" w:color="auto"/>
        <w:right w:val="none" w:sz="0" w:space="0" w:color="auto"/>
      </w:divBdr>
    </w:div>
    <w:div w:id="1115366224">
      <w:bodyDiv w:val="1"/>
      <w:marLeft w:val="0"/>
      <w:marRight w:val="0"/>
      <w:marTop w:val="0"/>
      <w:marBottom w:val="0"/>
      <w:divBdr>
        <w:top w:val="none" w:sz="0" w:space="0" w:color="auto"/>
        <w:left w:val="none" w:sz="0" w:space="0" w:color="auto"/>
        <w:bottom w:val="none" w:sz="0" w:space="0" w:color="auto"/>
        <w:right w:val="none" w:sz="0" w:space="0" w:color="auto"/>
      </w:divBdr>
    </w:div>
    <w:div w:id="206864837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image" Target="media/image7.png"/><Relationship Id="rId1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image" Target="media/image6.png"/><Relationship Id="rId17" Type="http://schemas.openxmlformats.org/officeDocument/2006/relationships/footer" Target="footer2.xml"/><Relationship Id="rId2" Type="http://schemas.openxmlformats.org/officeDocument/2006/relationships/styles" Target="styles.xml"/><Relationship Id="rId16" Type="http://schemas.openxmlformats.org/officeDocument/2006/relationships/header" Target="header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5.png"/><Relationship Id="rId5" Type="http://schemas.openxmlformats.org/officeDocument/2006/relationships/footnotes" Target="footnotes.xml"/><Relationship Id="rId15" Type="http://schemas.openxmlformats.org/officeDocument/2006/relationships/footer" Target="footer1.xml"/><Relationship Id="rId10" Type="http://schemas.openxmlformats.org/officeDocument/2006/relationships/image" Target="media/image4.png"/><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image" Target="media/image3.png"/><Relationship Id="rId14" Type="http://schemas.openxmlformats.org/officeDocument/2006/relationships/image" Target="media/image8.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102</TotalTime>
  <Pages>18</Pages>
  <Words>15584</Words>
  <Characters>85713</Characters>
  <Application>Microsoft Office Word</Application>
  <DocSecurity>0</DocSecurity>
  <Lines>714</Lines>
  <Paragraphs>202</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101095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Morag</dc:creator>
  <cp:lastModifiedBy>Paula Jael Perez Pichardo</cp:lastModifiedBy>
  <cp:revision>11</cp:revision>
  <cp:lastPrinted>2022-04-25T17:05:00Z</cp:lastPrinted>
  <dcterms:created xsi:type="dcterms:W3CDTF">2026-03-07T01:33:00Z</dcterms:created>
  <dcterms:modified xsi:type="dcterms:W3CDTF">2026-07-11T16:25:00Z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ZOTERO_PREF_1">
    <vt:lpwstr>&lt;data data-version="3" zotero-version="7.0.32"&gt;&lt;session id="Md4tWvLT"/&gt;&lt;style id="http://www.zotero.org/styles/apa" locale="es-MX" hasBibliography="1" bibliographyStyleHasBeenSet="1"/&gt;&lt;prefs&gt;&lt;pref name="fieldType" value="Field"/&gt;&lt;pref name="automaticJourn</vt:lpwstr>
  </property>
  <property fmtid="{D5CDD505-2E9C-101B-9397-08002B2CF9AE}" pid="3" name="ZOTERO_PREF_2">
    <vt:lpwstr>alAbbreviations" value="true"/&gt;&lt;/prefs&gt;&lt;/data&gt;</vt:lpwstr>
  </property>
</Properties>
</file>